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ABA91" w14:textId="2B4037B2" w:rsidR="004736E5" w:rsidRPr="00DB3D39" w:rsidRDefault="00D643AE" w:rsidP="00096E94">
      <w:pPr>
        <w:pStyle w:val="1-MainHeading"/>
        <w:spacing w:before="0" w:after="0"/>
      </w:pPr>
      <w:bookmarkStart w:id="0" w:name="_Toc177472444"/>
      <w:bookmarkStart w:id="1" w:name="_Toc177475535"/>
      <w:r w:rsidRPr="00DB3D39">
        <w:t>6</w:t>
      </w:r>
      <w:r w:rsidR="00433044" w:rsidRPr="00DB3D39">
        <w:t>.</w:t>
      </w:r>
      <w:r w:rsidRPr="00DB3D39">
        <w:t>10</w:t>
      </w:r>
      <w:r w:rsidR="00163F66" w:rsidRPr="00DB3D39">
        <w:tab/>
      </w:r>
      <w:r w:rsidR="00304016" w:rsidRPr="00DB3D39">
        <w:t>RIBOCICLIB</w:t>
      </w:r>
      <w:bookmarkEnd w:id="0"/>
      <w:bookmarkEnd w:id="1"/>
      <w:r w:rsidR="004021ED">
        <w:t>,</w:t>
      </w:r>
      <w:r w:rsidR="00304016" w:rsidRPr="00DB3D39">
        <w:t xml:space="preserve"> </w:t>
      </w:r>
    </w:p>
    <w:p w14:paraId="6A174791" w14:textId="53B03DD0" w:rsidR="00990DF0" w:rsidRPr="00DB3D39" w:rsidRDefault="00304016" w:rsidP="00096E94">
      <w:pPr>
        <w:pStyle w:val="1-MainHeading"/>
        <w:spacing w:before="0" w:after="0"/>
        <w:ind w:firstLine="0"/>
      </w:pPr>
      <w:bookmarkStart w:id="2" w:name="_Toc177472445"/>
      <w:bookmarkStart w:id="3" w:name="_Toc177475536"/>
      <w:r w:rsidRPr="00DB3D39">
        <w:t>Tablet 200 mg</w:t>
      </w:r>
      <w:r w:rsidR="00163F66" w:rsidRPr="00DB3D39">
        <w:t>,</w:t>
      </w:r>
      <w:r w:rsidR="00163F66" w:rsidRPr="00DB3D39">
        <w:br/>
      </w:r>
      <w:r w:rsidR="00385ABF" w:rsidRPr="00DB3D39">
        <w:t>Kisqali®</w:t>
      </w:r>
      <w:bookmarkEnd w:id="2"/>
      <w:bookmarkEnd w:id="3"/>
      <w:r w:rsidR="004021ED">
        <w:t>,</w:t>
      </w:r>
    </w:p>
    <w:p w14:paraId="125DA461" w14:textId="59A5670D" w:rsidR="00BF6C94" w:rsidRPr="00F52D4E" w:rsidRDefault="00385ABF" w:rsidP="00F52D4E">
      <w:pPr>
        <w:pStyle w:val="1-MainHeading"/>
        <w:spacing w:before="0" w:after="0"/>
        <w:ind w:firstLine="0"/>
      </w:pPr>
      <w:bookmarkStart w:id="4" w:name="_Toc177472446"/>
      <w:bookmarkStart w:id="5" w:name="_Toc177475537"/>
      <w:r w:rsidRPr="00DB3D39">
        <w:t>NOVARTIS PHARMACEUTICALS AUSTRALIA PTY LIMITED</w:t>
      </w:r>
      <w:bookmarkEnd w:id="4"/>
      <w:bookmarkEnd w:id="5"/>
    </w:p>
    <w:p w14:paraId="7FDD96FB" w14:textId="77777777" w:rsidR="00B50DB8" w:rsidRPr="00382ED3" w:rsidRDefault="00B50DB8" w:rsidP="002A7480">
      <w:pPr>
        <w:pStyle w:val="2-SectionHeading"/>
      </w:pPr>
      <w:bookmarkStart w:id="6" w:name="_Toc177475539"/>
      <w:r w:rsidRPr="00382ED3">
        <w:t xml:space="preserve">Purpose of </w:t>
      </w:r>
      <w:r w:rsidR="00CD7193" w:rsidRPr="00382ED3">
        <w:t>s</w:t>
      </w:r>
      <w:r w:rsidR="00BB3A45" w:rsidRPr="00382ED3">
        <w:t>ubmission</w:t>
      </w:r>
      <w:bookmarkEnd w:id="6"/>
    </w:p>
    <w:p w14:paraId="72F61E15" w14:textId="40895A66" w:rsidR="004F0E49" w:rsidRPr="007C073C" w:rsidRDefault="004F0E49" w:rsidP="007C073C">
      <w:pPr>
        <w:pStyle w:val="3-BodyText"/>
      </w:pPr>
      <w:r w:rsidRPr="007C073C">
        <w:t>The</w:t>
      </w:r>
      <w:r w:rsidR="00A80E01" w:rsidRPr="007C073C">
        <w:t xml:space="preserve"> Category 2</w:t>
      </w:r>
      <w:r w:rsidRPr="007C073C">
        <w:t xml:space="preserve"> submission requested a General Schedule Authority Required</w:t>
      </w:r>
      <w:r w:rsidR="00805824" w:rsidRPr="007C073C">
        <w:t xml:space="preserve"> (telephone/online)</w:t>
      </w:r>
      <w:r w:rsidRPr="007C073C">
        <w:t xml:space="preserve"> listing for ribociclib in combination with adjuvant endocrine therapy (ET) for the treatment of hormone receptor positive (HR+), human epidermal growth factor receptor 2</w:t>
      </w:r>
      <w:r w:rsidR="00E91068" w:rsidRPr="007C073C">
        <w:t xml:space="preserve"> </w:t>
      </w:r>
      <w:r w:rsidRPr="007C073C">
        <w:t>negative</w:t>
      </w:r>
      <w:r w:rsidR="00E8450A" w:rsidRPr="007C073C">
        <w:t xml:space="preserve"> (HER2-)</w:t>
      </w:r>
      <w:r w:rsidRPr="007C073C">
        <w:t xml:space="preserve">, </w:t>
      </w:r>
      <w:r w:rsidR="001D4B9A" w:rsidRPr="007C073C">
        <w:t>axi</w:t>
      </w:r>
      <w:r w:rsidR="00352D0A" w:rsidRPr="007C073C">
        <w:t xml:space="preserve">llary </w:t>
      </w:r>
      <w:r w:rsidRPr="007C073C">
        <w:t>lymph node positive, invasive, resected early breast cancer (eBC) at high risk of disease recurrence.</w:t>
      </w:r>
    </w:p>
    <w:p w14:paraId="66ECF20E" w14:textId="49537D1C" w:rsidR="00C2778B" w:rsidRPr="00DB3D39" w:rsidRDefault="00304ABD" w:rsidP="007C073C">
      <w:pPr>
        <w:pStyle w:val="3-BodyText"/>
      </w:pPr>
      <w:r w:rsidRPr="00DB3D39">
        <w:t xml:space="preserve">The </w:t>
      </w:r>
      <w:r w:rsidR="00E42685" w:rsidRPr="00DB3D39">
        <w:t>submission</w:t>
      </w:r>
      <w:r w:rsidRPr="00DB3D39">
        <w:t xml:space="preserve"> claim</w:t>
      </w:r>
      <w:r w:rsidR="009A5743" w:rsidRPr="00DB3D39">
        <w:t>ed</w:t>
      </w:r>
      <w:r w:rsidRPr="00DB3D39" w:rsidDel="00410E17">
        <w:t xml:space="preserve"> </w:t>
      </w:r>
      <w:r w:rsidRPr="00DB3D39">
        <w:t>non-inferior</w:t>
      </w:r>
      <w:r w:rsidR="00410E17" w:rsidRPr="00DB3D39">
        <w:t xml:space="preserve"> efficacy and safety </w:t>
      </w:r>
      <w:r w:rsidRPr="00DB3D39">
        <w:t xml:space="preserve">against abemaciclib </w:t>
      </w:r>
      <w:r w:rsidR="0084706D" w:rsidRPr="00DB3D39">
        <w:t xml:space="preserve">plus adjuvant </w:t>
      </w:r>
      <w:r w:rsidR="003A13C6" w:rsidRPr="00DB3D39">
        <w:t>ET and</w:t>
      </w:r>
      <w:r w:rsidR="004F0E49" w:rsidRPr="00DB3D39">
        <w:t xml:space="preserve"> </w:t>
      </w:r>
      <w:r w:rsidR="00CB5A38" w:rsidRPr="00DB3D39">
        <w:t>presented a</w:t>
      </w:r>
      <w:r w:rsidR="005750C5" w:rsidRPr="00DB3D39">
        <w:t xml:space="preserve"> cost-minimisation</w:t>
      </w:r>
      <w:r w:rsidR="001D71F4" w:rsidRPr="00DB3D39">
        <w:t xml:space="preserve"> approach</w:t>
      </w:r>
      <w:r w:rsidR="00CB5A38" w:rsidRPr="00DB3D39">
        <w:t xml:space="preserve"> </w:t>
      </w:r>
      <w:r w:rsidR="00E42685" w:rsidRPr="00DB3D39">
        <w:t xml:space="preserve">(CMA) </w:t>
      </w:r>
      <w:r w:rsidR="005750C5" w:rsidRPr="00DB3D39">
        <w:t xml:space="preserve">versus </w:t>
      </w:r>
      <w:r w:rsidR="00134829" w:rsidRPr="00DB3D39">
        <w:t xml:space="preserve">abemaciclib </w:t>
      </w:r>
      <w:r w:rsidR="0084706D" w:rsidRPr="00DB3D39">
        <w:t>plus adjuvant ET</w:t>
      </w:r>
      <w:r w:rsidR="004F0E49" w:rsidRPr="00DB3D39">
        <w:t xml:space="preserve"> in support of its claim.</w:t>
      </w:r>
      <w:r w:rsidR="00E42685" w:rsidRPr="00DB3D39">
        <w:t xml:space="preserve"> The key components of the clinical issue addressed by the submission are presented in</w:t>
      </w:r>
      <w:r w:rsidR="00B37B07">
        <w:t xml:space="preserve"> </w:t>
      </w:r>
      <w:r w:rsidR="00B37B07">
        <w:fldChar w:fldCharType="begin" w:fldLock="1"/>
      </w:r>
      <w:r w:rsidR="00B37B07">
        <w:instrText xml:space="preserve"> REF _Ref177558994 \h </w:instrText>
      </w:r>
      <w:r w:rsidR="00B37B07">
        <w:fldChar w:fldCharType="separate"/>
      </w:r>
      <w:r w:rsidR="00FF083B" w:rsidRPr="00DB3D39">
        <w:t xml:space="preserve">Table </w:t>
      </w:r>
      <w:r w:rsidR="00FF083B">
        <w:rPr>
          <w:noProof/>
        </w:rPr>
        <w:t>1</w:t>
      </w:r>
      <w:r w:rsidR="00B37B07">
        <w:fldChar w:fldCharType="end"/>
      </w:r>
      <w:r w:rsidR="00E42685" w:rsidRPr="00DB3D39">
        <w:t>.</w:t>
      </w:r>
    </w:p>
    <w:p w14:paraId="2B0EE89E" w14:textId="3921268B" w:rsidR="008B1757" w:rsidRPr="00DB3D39" w:rsidRDefault="00696EF9" w:rsidP="000E68A8">
      <w:pPr>
        <w:pStyle w:val="TableHeading"/>
        <w:rPr>
          <w:rStyle w:val="CommentReference"/>
          <w:b w:val="0"/>
        </w:rPr>
      </w:pPr>
      <w:bookmarkStart w:id="7" w:name="_Ref177558994"/>
      <w:r w:rsidRPr="00DB3D39">
        <w:t xml:space="preserve">Table </w:t>
      </w:r>
      <w:r w:rsidR="00FF083B">
        <w:fldChar w:fldCharType="begin" w:fldLock="1"/>
      </w:r>
      <w:r w:rsidR="00FF083B">
        <w:instrText xml:space="preserve"> SEQ Table \* ARABIC </w:instrText>
      </w:r>
      <w:r w:rsidR="00FF083B">
        <w:fldChar w:fldCharType="separate"/>
      </w:r>
      <w:r w:rsidR="00FF083B">
        <w:rPr>
          <w:noProof/>
        </w:rPr>
        <w:t>1</w:t>
      </w:r>
      <w:r w:rsidR="00FF083B">
        <w:rPr>
          <w:noProof/>
        </w:rPr>
        <w:fldChar w:fldCharType="end"/>
      </w:r>
      <w:bookmarkEnd w:id="7"/>
      <w:r w:rsidRPr="00DB3D39">
        <w:t>:</w:t>
      </w:r>
      <w:r w:rsidR="00BC591F" w:rsidRPr="00DB3D39">
        <w:rPr>
          <w:rStyle w:val="CommentReference"/>
        </w:rPr>
        <w:t xml:space="preserve"> </w:t>
      </w:r>
      <w:r w:rsidR="008B1757" w:rsidRPr="00DB3D39">
        <w:rPr>
          <w:rStyle w:val="CommentReference"/>
        </w:rPr>
        <w:t>Key components of the clinical issue addressed by the submission</w:t>
      </w:r>
      <w:r w:rsidR="007170DA" w:rsidRPr="00DB3D39">
        <w:rPr>
          <w:rStyle w:val="CommentReference"/>
        </w:rPr>
        <w:t xml:space="preserve">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666"/>
        <w:gridCol w:w="7350"/>
      </w:tblGrid>
      <w:tr w:rsidR="004F0E49" w:rsidRPr="00DB3D39" w14:paraId="7FE893EF" w14:textId="77777777" w:rsidTr="002A2ADE">
        <w:trPr>
          <w:cantSplit/>
          <w:tblHeader/>
        </w:trPr>
        <w:tc>
          <w:tcPr>
            <w:tcW w:w="924" w:type="pct"/>
            <w:shd w:val="clear" w:color="auto" w:fill="auto"/>
          </w:tcPr>
          <w:p w14:paraId="75FEAD97" w14:textId="77777777" w:rsidR="004F0E49" w:rsidRPr="00DB3D39" w:rsidRDefault="004F0E49" w:rsidP="000E68A8">
            <w:pPr>
              <w:pStyle w:val="In-tableHeading"/>
              <w:rPr>
                <w:lang w:val="en-AU"/>
              </w:rPr>
            </w:pPr>
            <w:r w:rsidRPr="00DB3D39">
              <w:rPr>
                <w:lang w:val="en-AU"/>
              </w:rPr>
              <w:t>Component</w:t>
            </w:r>
          </w:p>
        </w:tc>
        <w:tc>
          <w:tcPr>
            <w:tcW w:w="4076" w:type="pct"/>
            <w:shd w:val="clear" w:color="auto" w:fill="auto"/>
          </w:tcPr>
          <w:p w14:paraId="465682E6" w14:textId="77777777" w:rsidR="004F0E49" w:rsidRPr="00DB3D39" w:rsidRDefault="004F0E49" w:rsidP="000E68A8">
            <w:pPr>
              <w:pStyle w:val="In-tableHeading"/>
              <w:rPr>
                <w:lang w:val="en-AU"/>
              </w:rPr>
            </w:pPr>
            <w:r w:rsidRPr="00DB3D39">
              <w:rPr>
                <w:lang w:val="en-AU"/>
              </w:rPr>
              <w:t>Description</w:t>
            </w:r>
          </w:p>
        </w:tc>
      </w:tr>
      <w:tr w:rsidR="004F0E49" w:rsidRPr="00DB3D39" w14:paraId="1AD993B1" w14:textId="77777777">
        <w:trPr>
          <w:cantSplit/>
        </w:trPr>
        <w:tc>
          <w:tcPr>
            <w:tcW w:w="924" w:type="pct"/>
            <w:shd w:val="clear" w:color="auto" w:fill="auto"/>
          </w:tcPr>
          <w:p w14:paraId="1880249F" w14:textId="77777777" w:rsidR="004F0E49" w:rsidRPr="00DB3D39" w:rsidRDefault="004F0E49" w:rsidP="001B634A">
            <w:pPr>
              <w:pStyle w:val="TableText0"/>
            </w:pPr>
            <w:r w:rsidRPr="00DB3D39">
              <w:t>Population</w:t>
            </w:r>
          </w:p>
        </w:tc>
        <w:tc>
          <w:tcPr>
            <w:tcW w:w="4076" w:type="pct"/>
          </w:tcPr>
          <w:p w14:paraId="0709B7B7" w14:textId="77777777" w:rsidR="004F0E49" w:rsidRPr="00DB3D39" w:rsidRDefault="004F0E49" w:rsidP="001B634A">
            <w:pPr>
              <w:pStyle w:val="TableText0"/>
            </w:pPr>
            <w:r w:rsidRPr="00DB3D39">
              <w:rPr>
                <w:iCs/>
                <w:szCs w:val="20"/>
              </w:rPr>
              <w:t xml:space="preserve">Adult patients with HR-positive, HER2-negative, stage II and III eBC with 1-3 positive ALNs and a tumour size </w:t>
            </w:r>
            <w:r w:rsidRPr="00DB3D39">
              <w:rPr>
                <w:rFonts w:cstheme="minorHAnsi"/>
                <w:iCs/>
                <w:szCs w:val="20"/>
              </w:rPr>
              <w:t>≥</w:t>
            </w:r>
            <w:r w:rsidRPr="00DB3D39">
              <w:rPr>
                <w:iCs/>
                <w:szCs w:val="20"/>
              </w:rPr>
              <w:t xml:space="preserve"> 5 cm or histological grade 3 (on the Nottingham grading system), or </w:t>
            </w:r>
            <w:r w:rsidRPr="00DB3D39">
              <w:rPr>
                <w:rFonts w:cstheme="minorHAnsi"/>
                <w:iCs/>
                <w:szCs w:val="20"/>
              </w:rPr>
              <w:t>≥</w:t>
            </w:r>
            <w:r w:rsidRPr="00DB3D39">
              <w:rPr>
                <w:iCs/>
                <w:szCs w:val="20"/>
              </w:rPr>
              <w:t xml:space="preserve"> least 4 positive ALNs</w:t>
            </w:r>
          </w:p>
        </w:tc>
      </w:tr>
      <w:tr w:rsidR="004F0E49" w:rsidRPr="00DB3D39" w14:paraId="518146B7" w14:textId="77777777">
        <w:trPr>
          <w:cantSplit/>
        </w:trPr>
        <w:tc>
          <w:tcPr>
            <w:tcW w:w="924" w:type="pct"/>
            <w:shd w:val="clear" w:color="auto" w:fill="auto"/>
          </w:tcPr>
          <w:p w14:paraId="2803A739" w14:textId="77777777" w:rsidR="004F0E49" w:rsidRPr="00DB3D39" w:rsidRDefault="004F0E49" w:rsidP="001B634A">
            <w:pPr>
              <w:pStyle w:val="TableText0"/>
            </w:pPr>
            <w:r w:rsidRPr="00DB3D39">
              <w:t>Intervention</w:t>
            </w:r>
          </w:p>
        </w:tc>
        <w:tc>
          <w:tcPr>
            <w:tcW w:w="4076" w:type="pct"/>
          </w:tcPr>
          <w:p w14:paraId="2F32F8D8" w14:textId="02BB0105" w:rsidR="004F0E49" w:rsidRPr="00DB3D39" w:rsidRDefault="004F0E49" w:rsidP="001B634A">
            <w:pPr>
              <w:pStyle w:val="TableText0"/>
            </w:pPr>
            <w:r w:rsidRPr="00DB3D39">
              <w:t>Ribociclib, 400 mg orally once daily on days 1-21 of each 28-day cycle for up to 3 years, + adjuvant ET</w:t>
            </w:r>
          </w:p>
        </w:tc>
      </w:tr>
      <w:tr w:rsidR="004F0E49" w:rsidRPr="00DB3D39" w14:paraId="33666B31" w14:textId="77777777">
        <w:trPr>
          <w:cantSplit/>
        </w:trPr>
        <w:tc>
          <w:tcPr>
            <w:tcW w:w="924" w:type="pct"/>
            <w:shd w:val="clear" w:color="auto" w:fill="auto"/>
          </w:tcPr>
          <w:p w14:paraId="6782C8EC" w14:textId="77777777" w:rsidR="004F0E49" w:rsidRPr="00DB3D39" w:rsidRDefault="004F0E49" w:rsidP="001B634A">
            <w:pPr>
              <w:pStyle w:val="TableText0"/>
            </w:pPr>
            <w:r w:rsidRPr="00DB3D39">
              <w:t>Comparator</w:t>
            </w:r>
          </w:p>
        </w:tc>
        <w:tc>
          <w:tcPr>
            <w:tcW w:w="4076" w:type="pct"/>
          </w:tcPr>
          <w:p w14:paraId="1F62FBE6" w14:textId="77777777" w:rsidR="004F0E49" w:rsidRPr="00DB3D39" w:rsidRDefault="004F0E49" w:rsidP="001B634A">
            <w:pPr>
              <w:pStyle w:val="TableText0"/>
            </w:pPr>
            <w:r w:rsidRPr="00DB3D39">
              <w:rPr>
                <w:iCs/>
                <w:szCs w:val="20"/>
              </w:rPr>
              <w:t>Abemaciclib, 150 mg orally twice daily for up to 2 years, + adjuvant ET</w:t>
            </w:r>
          </w:p>
        </w:tc>
      </w:tr>
      <w:tr w:rsidR="004F0E49" w:rsidRPr="00DB3D39" w14:paraId="555EFC57" w14:textId="77777777">
        <w:trPr>
          <w:cantSplit/>
        </w:trPr>
        <w:tc>
          <w:tcPr>
            <w:tcW w:w="924" w:type="pct"/>
            <w:shd w:val="clear" w:color="auto" w:fill="auto"/>
          </w:tcPr>
          <w:p w14:paraId="7B2AF8F6" w14:textId="77777777" w:rsidR="004F0E49" w:rsidRPr="00DB3D39" w:rsidRDefault="004F0E49" w:rsidP="001B634A">
            <w:pPr>
              <w:pStyle w:val="TableText0"/>
            </w:pPr>
            <w:r w:rsidRPr="00DB3D39">
              <w:t>Outcomes</w:t>
            </w:r>
          </w:p>
        </w:tc>
        <w:tc>
          <w:tcPr>
            <w:tcW w:w="4076" w:type="pct"/>
          </w:tcPr>
          <w:p w14:paraId="3A9DDE1E" w14:textId="77777777" w:rsidR="004F0E49" w:rsidRPr="00DB3D39" w:rsidRDefault="004F0E49" w:rsidP="001B634A">
            <w:pPr>
              <w:pStyle w:val="TableText0"/>
              <w:rPr>
                <w:snapToGrid w:val="0"/>
              </w:rPr>
            </w:pPr>
            <w:r w:rsidRPr="00DB3D39">
              <w:rPr>
                <w:iCs/>
                <w:szCs w:val="20"/>
              </w:rPr>
              <w:t xml:space="preserve">iDFS, DRFS and OS </w:t>
            </w:r>
          </w:p>
        </w:tc>
      </w:tr>
      <w:tr w:rsidR="004F0E49" w:rsidRPr="00DB3D39" w14:paraId="2048D6CE" w14:textId="77777777">
        <w:trPr>
          <w:cantSplit/>
        </w:trPr>
        <w:tc>
          <w:tcPr>
            <w:tcW w:w="924" w:type="pct"/>
            <w:shd w:val="clear" w:color="auto" w:fill="auto"/>
          </w:tcPr>
          <w:p w14:paraId="38036E79" w14:textId="77777777" w:rsidR="004F0E49" w:rsidRPr="00DB3D39" w:rsidRDefault="004F0E49" w:rsidP="001B634A">
            <w:pPr>
              <w:pStyle w:val="TableText0"/>
            </w:pPr>
            <w:r w:rsidRPr="00DB3D39">
              <w:t>Clinical claim</w:t>
            </w:r>
          </w:p>
        </w:tc>
        <w:tc>
          <w:tcPr>
            <w:tcW w:w="4076" w:type="pct"/>
          </w:tcPr>
          <w:p w14:paraId="76B1DBC4" w14:textId="77777777" w:rsidR="004F0E49" w:rsidRPr="00DB3D39" w:rsidRDefault="004F0E49" w:rsidP="001B634A">
            <w:pPr>
              <w:pStyle w:val="TableText0"/>
              <w:rPr>
                <w:snapToGrid w:val="0"/>
              </w:rPr>
            </w:pPr>
            <w:r w:rsidRPr="00DB3D39">
              <w:rPr>
                <w:iCs/>
                <w:szCs w:val="20"/>
              </w:rPr>
              <w:t>Ribociclib + adjuvant ET is noninferior to abemaciclib + adjuvant ET with respect to efficacy and safety</w:t>
            </w:r>
          </w:p>
        </w:tc>
      </w:tr>
    </w:tbl>
    <w:p w14:paraId="25656631" w14:textId="77777777" w:rsidR="001B634A" w:rsidRPr="00DB3D39" w:rsidRDefault="001B634A" w:rsidP="001058D3">
      <w:pPr>
        <w:pStyle w:val="TableFigureFooter"/>
      </w:pPr>
      <w:r w:rsidRPr="00DB3D39">
        <w:t>Source: Table 1.1-1, p2 of the submission.</w:t>
      </w:r>
    </w:p>
    <w:p w14:paraId="3E0E38F9" w14:textId="18B3BC31" w:rsidR="001B634A" w:rsidRPr="00DB3D39" w:rsidRDefault="001B634A" w:rsidP="001058D3">
      <w:pPr>
        <w:pStyle w:val="TableFigureFooter"/>
      </w:pPr>
      <w:r w:rsidRPr="00DB3D39">
        <w:t xml:space="preserve">ALN = axillary lymph node; DRFS = </w:t>
      </w:r>
      <w:r w:rsidR="00777C6B" w:rsidRPr="00DB3D39">
        <w:t>d</w:t>
      </w:r>
      <w:r w:rsidR="004F0E49" w:rsidRPr="00DB3D39">
        <w:t xml:space="preserve">istant </w:t>
      </w:r>
      <w:r w:rsidR="00777C6B" w:rsidRPr="00DB3D39">
        <w:t>r</w:t>
      </w:r>
      <w:r w:rsidR="004F0E49" w:rsidRPr="00DB3D39">
        <w:t>ecurrence-</w:t>
      </w:r>
      <w:r w:rsidR="00777C6B" w:rsidRPr="00DB3D39">
        <w:t>f</w:t>
      </w:r>
      <w:r w:rsidR="004F0E49" w:rsidRPr="00DB3D39">
        <w:t xml:space="preserve">ree </w:t>
      </w:r>
      <w:r w:rsidR="00777C6B" w:rsidRPr="00DB3D39">
        <w:t>s</w:t>
      </w:r>
      <w:r w:rsidR="004F0E49" w:rsidRPr="00DB3D39">
        <w:t>urvival</w:t>
      </w:r>
      <w:r w:rsidRPr="00DB3D39">
        <w:t xml:space="preserve">; eBC = early breast cancer; ET = endocrine therapy; HER2 = </w:t>
      </w:r>
      <w:r w:rsidR="00777C6B" w:rsidRPr="00DB3D39">
        <w:t>h</w:t>
      </w:r>
      <w:r w:rsidR="004F0E49" w:rsidRPr="00DB3D39">
        <w:t xml:space="preserve">uman </w:t>
      </w:r>
      <w:r w:rsidR="00777C6B" w:rsidRPr="00DB3D39">
        <w:t>e</w:t>
      </w:r>
      <w:r w:rsidR="004F0E49" w:rsidRPr="00DB3D39">
        <w:t xml:space="preserve">pidermal </w:t>
      </w:r>
      <w:r w:rsidR="00777C6B" w:rsidRPr="00DB3D39">
        <w:t>g</w:t>
      </w:r>
      <w:r w:rsidR="004F0E49" w:rsidRPr="00DB3D39">
        <w:t xml:space="preserve">rowth </w:t>
      </w:r>
      <w:r w:rsidR="00777C6B" w:rsidRPr="00DB3D39">
        <w:t>f</w:t>
      </w:r>
      <w:r w:rsidR="004F0E49" w:rsidRPr="00DB3D39">
        <w:t xml:space="preserve">actor </w:t>
      </w:r>
      <w:r w:rsidR="00777C6B" w:rsidRPr="00DB3D39">
        <w:t>r</w:t>
      </w:r>
      <w:r w:rsidR="004F0E49" w:rsidRPr="00DB3D39">
        <w:t>eceptor</w:t>
      </w:r>
      <w:r w:rsidRPr="00DB3D39">
        <w:t xml:space="preserve"> 2; HR = hormone receptor; iDFS = </w:t>
      </w:r>
      <w:r w:rsidR="00777C6B" w:rsidRPr="00DB3D39">
        <w:t>i</w:t>
      </w:r>
      <w:r w:rsidR="004F0E49" w:rsidRPr="00DB3D39">
        <w:t xml:space="preserve">nvasive </w:t>
      </w:r>
      <w:r w:rsidR="00777C6B" w:rsidRPr="00DB3D39">
        <w:t>d</w:t>
      </w:r>
      <w:r w:rsidR="004F0E49" w:rsidRPr="00DB3D39">
        <w:t>isease-</w:t>
      </w:r>
      <w:r w:rsidR="00777C6B" w:rsidRPr="00DB3D39">
        <w:t>f</w:t>
      </w:r>
      <w:r w:rsidR="004F0E49" w:rsidRPr="00DB3D39">
        <w:t xml:space="preserve">ree </w:t>
      </w:r>
      <w:r w:rsidR="00777C6B" w:rsidRPr="00DB3D39">
        <w:t>s</w:t>
      </w:r>
      <w:r w:rsidRPr="00DB3D39">
        <w:t>urvival; OS = overall survival.</w:t>
      </w:r>
    </w:p>
    <w:p w14:paraId="42AC73C3" w14:textId="77777777" w:rsidR="005C25FF" w:rsidRPr="00DB3D39" w:rsidRDefault="005C25FF" w:rsidP="004A6040">
      <w:pPr>
        <w:pStyle w:val="2-SectionHeading"/>
      </w:pPr>
      <w:bookmarkStart w:id="8" w:name="_Toc177475540"/>
      <w:r w:rsidRPr="00DB3D39">
        <w:t>Background</w:t>
      </w:r>
      <w:bookmarkEnd w:id="8"/>
    </w:p>
    <w:p w14:paraId="6CE1C85E" w14:textId="77777777" w:rsidR="005C25FF" w:rsidRPr="00DB3D39" w:rsidRDefault="005C25FF" w:rsidP="004A6040">
      <w:pPr>
        <w:pStyle w:val="4-SubsectionHeading"/>
      </w:pPr>
      <w:bookmarkStart w:id="9" w:name="_Toc177475541"/>
      <w:r w:rsidRPr="00DB3D39">
        <w:t>Registration status</w:t>
      </w:r>
      <w:bookmarkEnd w:id="9"/>
    </w:p>
    <w:p w14:paraId="64F10BB2" w14:textId="0DA0C5BB" w:rsidR="004D5F3C" w:rsidRPr="00231923" w:rsidRDefault="004F0E49" w:rsidP="007C073C">
      <w:pPr>
        <w:pStyle w:val="3-BodyText"/>
        <w:rPr>
          <w:iCs/>
        </w:rPr>
      </w:pPr>
      <w:r w:rsidRPr="00544DD8">
        <w:t>The submission was made under the Therapeutic Goods Administration/ Pharmaceutical Benefits Advisory Committee (TGA/PBAC) Parallel Process.</w:t>
      </w:r>
      <w:r w:rsidR="00544DD8">
        <w:t xml:space="preserve"> </w:t>
      </w:r>
      <w:r w:rsidR="00E8450A">
        <w:t>A positive</w:t>
      </w:r>
      <w:r w:rsidR="00E8450A" w:rsidRPr="00544DD8" w:rsidDel="004D088A">
        <w:t xml:space="preserve"> </w:t>
      </w:r>
      <w:r w:rsidR="00544DD8" w:rsidRPr="00544DD8">
        <w:t>TGA Delegate's Overview</w:t>
      </w:r>
      <w:r w:rsidR="00231923">
        <w:t xml:space="preserve"> was </w:t>
      </w:r>
      <w:r w:rsidR="003A13C6">
        <w:t>received</w:t>
      </w:r>
      <w:r w:rsidR="003A13C6" w:rsidRPr="00544DD8">
        <w:t xml:space="preserve"> on</w:t>
      </w:r>
      <w:r w:rsidR="00544DD8" w:rsidRPr="00544DD8">
        <w:t xml:space="preserve"> 5 November 2024</w:t>
      </w:r>
      <w:r w:rsidR="00E8450A">
        <w:t>;</w:t>
      </w:r>
      <w:r w:rsidR="00544DD8" w:rsidRPr="00544DD8">
        <w:t xml:space="preserve"> the Delegate</w:t>
      </w:r>
      <w:r w:rsidR="00E8450A">
        <w:t xml:space="preserve"> </w:t>
      </w:r>
      <w:r w:rsidR="004021ED">
        <w:t>proposed</w:t>
      </w:r>
      <w:r w:rsidR="00E8450A">
        <w:t xml:space="preserve"> to approve ribociclib for registration in early breast cancer.</w:t>
      </w:r>
    </w:p>
    <w:p w14:paraId="2CD0B7C2" w14:textId="617D2467" w:rsidR="004F0E49" w:rsidRPr="00544DD8" w:rsidRDefault="003A2278" w:rsidP="007C073C">
      <w:pPr>
        <w:pStyle w:val="3-BodyText"/>
        <w:rPr>
          <w:iCs/>
        </w:rPr>
      </w:pPr>
      <w:r w:rsidRPr="00544DD8">
        <w:t xml:space="preserve">The </w:t>
      </w:r>
      <w:r w:rsidR="00E71463" w:rsidRPr="00544DD8">
        <w:t>indication proposed</w:t>
      </w:r>
      <w:r w:rsidR="00CA336D" w:rsidRPr="00544DD8">
        <w:t xml:space="preserve"> for</w:t>
      </w:r>
      <w:r w:rsidR="00A47AD1" w:rsidRPr="00544DD8">
        <w:t xml:space="preserve"> ribociclib in</w:t>
      </w:r>
      <w:r w:rsidR="00CA336D" w:rsidRPr="00544DD8">
        <w:t xml:space="preserve"> </w:t>
      </w:r>
      <w:r w:rsidR="000F47BA" w:rsidRPr="00544DD8">
        <w:t>eBC</w:t>
      </w:r>
      <w:r w:rsidR="00E71463" w:rsidRPr="00544DD8">
        <w:t xml:space="preserve"> in the</w:t>
      </w:r>
      <w:r w:rsidR="006534D1" w:rsidRPr="00544DD8">
        <w:t xml:space="preserve"> draft </w:t>
      </w:r>
      <w:r w:rsidR="00C26FFB" w:rsidRPr="00544DD8">
        <w:t>P</w:t>
      </w:r>
      <w:r w:rsidR="006534D1" w:rsidRPr="00544DD8">
        <w:t xml:space="preserve">roduct </w:t>
      </w:r>
      <w:r w:rsidR="00C26FFB" w:rsidRPr="00544DD8">
        <w:t>I</w:t>
      </w:r>
      <w:r w:rsidR="006534D1" w:rsidRPr="00544DD8">
        <w:t xml:space="preserve">nformation </w:t>
      </w:r>
      <w:r w:rsidR="00A15935" w:rsidRPr="00544DD8">
        <w:t>(PI)</w:t>
      </w:r>
      <w:r w:rsidR="00E8450A">
        <w:t>, and considered in the Delegate’s Overview,</w:t>
      </w:r>
      <w:r w:rsidR="006534D1" w:rsidRPr="00544DD8">
        <w:t xml:space="preserve"> </w:t>
      </w:r>
      <w:r w:rsidR="003A13C6">
        <w:t>wa</w:t>
      </w:r>
      <w:r w:rsidR="0013399C" w:rsidRPr="00544DD8">
        <w:t>s ‘</w:t>
      </w:r>
      <w:r w:rsidR="001D6098" w:rsidRPr="00544DD8">
        <w:t xml:space="preserve">… </w:t>
      </w:r>
      <w:r w:rsidR="00AA6E49" w:rsidRPr="00544DD8">
        <w:t xml:space="preserve">for </w:t>
      </w:r>
      <w:r w:rsidR="00972193" w:rsidRPr="00544DD8">
        <w:t>the adjuvant treatment of patients wit</w:t>
      </w:r>
      <w:r w:rsidR="00182859" w:rsidRPr="00544DD8">
        <w:t>h</w:t>
      </w:r>
      <w:r w:rsidR="00FC797F" w:rsidRPr="00544DD8">
        <w:t xml:space="preserve"> hormone receptor</w:t>
      </w:r>
      <w:r w:rsidR="00182859" w:rsidRPr="00544DD8">
        <w:t xml:space="preserve"> </w:t>
      </w:r>
      <w:r w:rsidR="00FC797F" w:rsidRPr="00544DD8">
        <w:t>(</w:t>
      </w:r>
      <w:r w:rsidR="00972193" w:rsidRPr="00544DD8">
        <w:t>HR</w:t>
      </w:r>
      <w:r w:rsidR="00FC797F" w:rsidRPr="00544DD8">
        <w:t>)</w:t>
      </w:r>
      <w:r w:rsidR="00972193" w:rsidRPr="00544DD8">
        <w:t xml:space="preserve">-positive, </w:t>
      </w:r>
      <w:r w:rsidR="007861C9" w:rsidRPr="00544DD8">
        <w:t xml:space="preserve">human epidermal growth factor receptor 2 </w:t>
      </w:r>
      <w:r w:rsidR="007861C9" w:rsidRPr="00544DD8">
        <w:lastRenderedPageBreak/>
        <w:t>(</w:t>
      </w:r>
      <w:r w:rsidR="00972193" w:rsidRPr="00544DD8">
        <w:t>HER2</w:t>
      </w:r>
      <w:r w:rsidR="007861C9" w:rsidRPr="00544DD8">
        <w:t>)</w:t>
      </w:r>
      <w:r w:rsidR="00972193" w:rsidRPr="00544DD8">
        <w:t xml:space="preserve">-negative stage II and III </w:t>
      </w:r>
      <w:r w:rsidR="007861C9" w:rsidRPr="00544DD8">
        <w:t>early breast cancer</w:t>
      </w:r>
      <w:r w:rsidR="00972193" w:rsidRPr="00544DD8">
        <w:t>, in combination with an aromatase inhibitor</w:t>
      </w:r>
      <w:r w:rsidR="0013399C" w:rsidRPr="00544DD8">
        <w:t>’</w:t>
      </w:r>
      <w:r w:rsidR="00972193" w:rsidRPr="00544DD8">
        <w:t>.</w:t>
      </w:r>
    </w:p>
    <w:p w14:paraId="0136ED09" w14:textId="77777777" w:rsidR="005C25FF" w:rsidRPr="00DB3D39" w:rsidRDefault="005C25FF" w:rsidP="004E18E9">
      <w:pPr>
        <w:pStyle w:val="4-SubsectionHeading"/>
      </w:pPr>
      <w:bookmarkStart w:id="10" w:name="_Toc177475542"/>
      <w:r w:rsidRPr="00DB3D39">
        <w:t>Previous PBAC consideration</w:t>
      </w:r>
      <w:bookmarkEnd w:id="10"/>
    </w:p>
    <w:p w14:paraId="33301B68" w14:textId="2353BA67" w:rsidR="00354456" w:rsidRPr="00112EE5" w:rsidRDefault="00354456" w:rsidP="007C073C">
      <w:pPr>
        <w:pStyle w:val="3-BodyText"/>
      </w:pPr>
      <w:r w:rsidRPr="00112EE5">
        <w:t xml:space="preserve">Abemaciclib </w:t>
      </w:r>
      <w:r w:rsidR="004C57AE" w:rsidRPr="00112EE5">
        <w:t xml:space="preserve">is currently subsidised on the PBS for the </w:t>
      </w:r>
      <w:r w:rsidRPr="00112EE5">
        <w:t>treatment of HR+, HER2</w:t>
      </w:r>
      <w:r w:rsidR="00CC6EFD" w:rsidRPr="00112EE5">
        <w:t>-</w:t>
      </w:r>
      <w:r w:rsidRPr="00112EE5">
        <w:t xml:space="preserve">, lymph node positive, invasive, resected </w:t>
      </w:r>
      <w:r w:rsidR="0026070B" w:rsidRPr="00112EE5">
        <w:t>eBC</w:t>
      </w:r>
      <w:r w:rsidRPr="00112EE5">
        <w:t xml:space="preserve"> at high risk of disease recurrence</w:t>
      </w:r>
      <w:r w:rsidR="004F0E49" w:rsidRPr="00112EE5">
        <w:t xml:space="preserve">. </w:t>
      </w:r>
      <w:r w:rsidR="00A849F5" w:rsidRPr="00112EE5">
        <w:t>The listing was recommended</w:t>
      </w:r>
      <w:r w:rsidRPr="00112EE5">
        <w:t xml:space="preserve"> by the PBAC based on a cost-effectiveness </w:t>
      </w:r>
      <w:r w:rsidR="002E0CFD" w:rsidRPr="00112EE5">
        <w:t>analysis compar</w:t>
      </w:r>
      <w:r w:rsidR="00F112C9" w:rsidRPr="00112EE5">
        <w:t>ing abemaciclib plus</w:t>
      </w:r>
      <w:r w:rsidR="00716BF0" w:rsidRPr="00112EE5">
        <w:t xml:space="preserve"> </w:t>
      </w:r>
      <w:r w:rsidR="007034E3" w:rsidRPr="00112EE5">
        <w:t xml:space="preserve">adjuvant </w:t>
      </w:r>
      <w:r w:rsidR="00716BF0" w:rsidRPr="00112EE5">
        <w:t xml:space="preserve">ET versus </w:t>
      </w:r>
      <w:r w:rsidRPr="00112EE5">
        <w:t>ET alone (para</w:t>
      </w:r>
      <w:r w:rsidR="009B7E5B">
        <w:t>graph</w:t>
      </w:r>
      <w:r w:rsidRPr="00112EE5">
        <w:t xml:space="preserve"> 7.1, abemaciclib </w:t>
      </w:r>
      <w:r w:rsidR="00C860E0" w:rsidRPr="00112EE5">
        <w:t>Public Summary Document (</w:t>
      </w:r>
      <w:r w:rsidRPr="00112EE5">
        <w:t>PSD</w:t>
      </w:r>
      <w:r w:rsidR="00C860E0" w:rsidRPr="00112EE5">
        <w:t>)</w:t>
      </w:r>
      <w:r w:rsidRPr="00112EE5">
        <w:t xml:space="preserve">, </w:t>
      </w:r>
      <w:r w:rsidR="00502B55" w:rsidRPr="00112EE5">
        <w:t xml:space="preserve">March </w:t>
      </w:r>
      <w:r w:rsidRPr="00112EE5">
        <w:t>2023).</w:t>
      </w:r>
    </w:p>
    <w:p w14:paraId="579833E8" w14:textId="0A1E3E7B" w:rsidR="004F0E49" w:rsidRDefault="004F0E49" w:rsidP="007C073C">
      <w:pPr>
        <w:pStyle w:val="3-BodyText"/>
      </w:pPr>
      <w:r w:rsidRPr="00112EE5">
        <w:t>Ribociclib is currently PBS listed for use in combination with</w:t>
      </w:r>
      <w:r w:rsidR="00524987" w:rsidRPr="00112EE5">
        <w:t xml:space="preserve"> either a non-steroidal aromatase inhibitor</w:t>
      </w:r>
      <w:r w:rsidR="007405C7" w:rsidRPr="00112EE5">
        <w:t xml:space="preserve"> (AI)</w:t>
      </w:r>
      <w:r w:rsidR="00524987" w:rsidRPr="00112EE5">
        <w:t xml:space="preserve"> (if never treated with prior endocrine therapy) or</w:t>
      </w:r>
      <w:r w:rsidRPr="00112EE5">
        <w:t xml:space="preserve"> fulvestrant (250</w:t>
      </w:r>
      <w:r w:rsidR="00661A53" w:rsidRPr="00112EE5">
        <w:t> </w:t>
      </w:r>
      <w:r w:rsidRPr="00112EE5">
        <w:t>mg/5</w:t>
      </w:r>
      <w:r w:rsidR="00472DC2" w:rsidRPr="00112EE5">
        <w:t xml:space="preserve"> </w:t>
      </w:r>
      <w:r w:rsidRPr="00112EE5">
        <w:t>mL injection) for the treatment of patients with HR+, HER2- advanced or metastatic breast cancer.</w:t>
      </w:r>
    </w:p>
    <w:p w14:paraId="53F76B06" w14:textId="32027E0E" w:rsidR="000C6752" w:rsidRPr="006F30A2" w:rsidRDefault="00B50DB8" w:rsidP="00321FF2">
      <w:pPr>
        <w:pStyle w:val="2-SectionHeading"/>
      </w:pPr>
      <w:bookmarkStart w:id="11" w:name="_Toc177475543"/>
      <w:r w:rsidRPr="00DB3D39">
        <w:t>Requested listing</w:t>
      </w:r>
      <w:bookmarkEnd w:id="11"/>
    </w:p>
    <w:tbl>
      <w:tblPr>
        <w:tblW w:w="512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2171"/>
        <w:gridCol w:w="832"/>
        <w:gridCol w:w="831"/>
        <w:gridCol w:w="832"/>
        <w:gridCol w:w="1875"/>
      </w:tblGrid>
      <w:tr w:rsidR="0052780E" w:rsidRPr="00DB3D39" w14:paraId="12515D75" w14:textId="4734F0DD" w:rsidTr="000C5F73">
        <w:trPr>
          <w:cantSplit/>
          <w:trHeight w:val="20"/>
        </w:trPr>
        <w:tc>
          <w:tcPr>
            <w:tcW w:w="2693" w:type="dxa"/>
            <w:vAlign w:val="center"/>
          </w:tcPr>
          <w:p w14:paraId="3E9E3089" w14:textId="1D06E930" w:rsidR="0052780E" w:rsidRPr="00DB3D39" w:rsidRDefault="0052780E" w:rsidP="0014327E">
            <w:pPr>
              <w:pStyle w:val="In-tableHeading"/>
              <w:rPr>
                <w:lang w:val="en-AU"/>
              </w:rPr>
            </w:pPr>
            <w:r w:rsidRPr="00DB3D39">
              <w:rPr>
                <w:lang w:val="en-AU"/>
              </w:rPr>
              <w:t>MEDICINAL PRODUCT</w:t>
            </w:r>
          </w:p>
          <w:p w14:paraId="55B8CDDC" w14:textId="21C4BB65" w:rsidR="0052780E" w:rsidRPr="00DB3D39" w:rsidRDefault="0052780E" w:rsidP="0014327E">
            <w:pPr>
              <w:pStyle w:val="In-tableHeading"/>
              <w:rPr>
                <w:lang w:val="en-AU"/>
              </w:rPr>
            </w:pPr>
            <w:r w:rsidRPr="00DB3D39">
              <w:rPr>
                <w:lang w:val="en-AU"/>
              </w:rPr>
              <w:t>medicinal product pack</w:t>
            </w:r>
          </w:p>
        </w:tc>
        <w:tc>
          <w:tcPr>
            <w:tcW w:w="2171" w:type="dxa"/>
            <w:vAlign w:val="center"/>
          </w:tcPr>
          <w:p w14:paraId="2DBE65D0" w14:textId="60FA806E" w:rsidR="0052780E" w:rsidRPr="00DB3D39" w:rsidRDefault="0052780E" w:rsidP="0014327E">
            <w:pPr>
              <w:pStyle w:val="In-tableHeading"/>
              <w:rPr>
                <w:rFonts w:cstheme="majorBidi"/>
                <w:lang w:val="en-AU"/>
              </w:rPr>
            </w:pPr>
            <w:r w:rsidRPr="00DB3D39">
              <w:rPr>
                <w:rFonts w:cstheme="majorBidi"/>
                <w:snapToGrid w:val="0"/>
                <w:lang w:val="en-AU"/>
              </w:rPr>
              <w:t xml:space="preserve">Dispensed Price for Max. Qty </w:t>
            </w:r>
          </w:p>
        </w:tc>
        <w:tc>
          <w:tcPr>
            <w:tcW w:w="832" w:type="dxa"/>
            <w:vAlign w:val="center"/>
          </w:tcPr>
          <w:p w14:paraId="7C549DD2" w14:textId="69DE4EBF" w:rsidR="0052780E" w:rsidRPr="00DB3D39" w:rsidRDefault="0052780E" w:rsidP="0014327E">
            <w:pPr>
              <w:pStyle w:val="In-tableHeading"/>
              <w:rPr>
                <w:lang w:val="en-AU"/>
              </w:rPr>
            </w:pPr>
            <w:r w:rsidRPr="00DB3D39">
              <w:rPr>
                <w:lang w:val="en-AU"/>
              </w:rPr>
              <w:t>Max. qty packs</w:t>
            </w:r>
          </w:p>
        </w:tc>
        <w:tc>
          <w:tcPr>
            <w:tcW w:w="831" w:type="dxa"/>
            <w:vAlign w:val="center"/>
          </w:tcPr>
          <w:p w14:paraId="55378982" w14:textId="16F7DF4C" w:rsidR="0052780E" w:rsidRPr="00DB3D39" w:rsidRDefault="0052780E" w:rsidP="0014327E">
            <w:pPr>
              <w:pStyle w:val="In-tableHeading"/>
              <w:rPr>
                <w:lang w:val="en-AU"/>
              </w:rPr>
            </w:pPr>
            <w:r w:rsidRPr="00DB3D39">
              <w:rPr>
                <w:lang w:val="en-AU"/>
              </w:rPr>
              <w:t>Max. qty units</w:t>
            </w:r>
          </w:p>
        </w:tc>
        <w:tc>
          <w:tcPr>
            <w:tcW w:w="832" w:type="dxa"/>
            <w:vAlign w:val="center"/>
          </w:tcPr>
          <w:p w14:paraId="4EA322C2" w14:textId="73DF7D18" w:rsidR="0052780E" w:rsidRPr="00DB3D39" w:rsidRDefault="0052780E" w:rsidP="0014327E">
            <w:pPr>
              <w:pStyle w:val="In-tableHeading"/>
              <w:rPr>
                <w:lang w:val="en-AU"/>
              </w:rPr>
            </w:pPr>
            <w:r w:rsidRPr="00DB3D39">
              <w:rPr>
                <w:lang w:val="en-AU"/>
              </w:rPr>
              <w:t>№.of</w:t>
            </w:r>
          </w:p>
          <w:p w14:paraId="637940D8" w14:textId="23756D50" w:rsidR="0052780E" w:rsidRPr="00DB3D39" w:rsidRDefault="0052780E" w:rsidP="0014327E">
            <w:pPr>
              <w:pStyle w:val="In-tableHeading"/>
              <w:rPr>
                <w:lang w:val="en-AU"/>
              </w:rPr>
            </w:pPr>
            <w:r w:rsidRPr="00DB3D39">
              <w:rPr>
                <w:lang w:val="en-AU"/>
              </w:rPr>
              <w:t>Rpts</w:t>
            </w:r>
          </w:p>
        </w:tc>
        <w:tc>
          <w:tcPr>
            <w:tcW w:w="1875" w:type="dxa"/>
            <w:vAlign w:val="center"/>
          </w:tcPr>
          <w:p w14:paraId="3DB98C8A" w14:textId="7D2673C9" w:rsidR="0052780E" w:rsidRPr="00DB3D39" w:rsidRDefault="0052780E" w:rsidP="0014327E">
            <w:pPr>
              <w:pStyle w:val="In-tableHeading"/>
              <w:rPr>
                <w:lang w:val="en-AU"/>
              </w:rPr>
            </w:pPr>
            <w:r w:rsidRPr="00DB3D39">
              <w:rPr>
                <w:lang w:val="en-AU"/>
              </w:rPr>
              <w:t>Available brands</w:t>
            </w:r>
          </w:p>
        </w:tc>
      </w:tr>
      <w:tr w:rsidR="0052780E" w:rsidRPr="00DB3D39" w14:paraId="4863E3E4" w14:textId="3DA82966" w:rsidTr="000C5F73">
        <w:trPr>
          <w:cantSplit/>
          <w:trHeight w:val="20"/>
        </w:trPr>
        <w:tc>
          <w:tcPr>
            <w:tcW w:w="9234" w:type="dxa"/>
            <w:gridSpan w:val="6"/>
            <w:vAlign w:val="center"/>
          </w:tcPr>
          <w:p w14:paraId="567B0461" w14:textId="58EE00F9" w:rsidR="0052780E" w:rsidRPr="00DB3D39" w:rsidRDefault="0052780E" w:rsidP="0052780E">
            <w:pPr>
              <w:keepNext/>
              <w:keepLines/>
              <w:jc w:val="left"/>
              <w:rPr>
                <w:rFonts w:ascii="Arial Narrow" w:eastAsiaTheme="majorEastAsia" w:hAnsi="Arial Narrow"/>
                <w:bCs/>
                <w:sz w:val="20"/>
                <w:szCs w:val="20"/>
              </w:rPr>
            </w:pPr>
            <w:r w:rsidRPr="00DB3D39">
              <w:rPr>
                <w:rFonts w:ascii="Arial Narrow" w:eastAsiaTheme="majorEastAsia" w:hAnsi="Arial Narrow" w:cstheme="majorBidi"/>
                <w:bCs/>
                <w:sz w:val="20"/>
              </w:rPr>
              <w:t>RIBOCICLIB</w:t>
            </w:r>
          </w:p>
        </w:tc>
      </w:tr>
      <w:tr w:rsidR="0052780E" w:rsidRPr="00D14295" w14:paraId="433FCEE3" w14:textId="0274462E" w:rsidTr="000C5F73">
        <w:trPr>
          <w:cantSplit/>
          <w:trHeight w:val="20"/>
        </w:trPr>
        <w:tc>
          <w:tcPr>
            <w:tcW w:w="2693" w:type="dxa"/>
            <w:vAlign w:val="center"/>
          </w:tcPr>
          <w:p w14:paraId="3B2A75D3" w14:textId="3091ACBA" w:rsidR="0052780E" w:rsidRPr="00DB3D39" w:rsidRDefault="0052780E" w:rsidP="0014327E">
            <w:pPr>
              <w:pStyle w:val="TableText0"/>
              <w:rPr>
                <w:color w:val="0066FF"/>
                <w:szCs w:val="20"/>
              </w:rPr>
            </w:pPr>
            <w:r w:rsidRPr="00DB3D39">
              <w:t>Ribociclib 200 mg, tablet, 21</w:t>
            </w:r>
            <w:r w:rsidRPr="00DB3D39">
              <w:rPr>
                <w:color w:val="0066FF"/>
                <w:szCs w:val="20"/>
              </w:rPr>
              <w:t xml:space="preserve"> </w:t>
            </w:r>
          </w:p>
        </w:tc>
        <w:tc>
          <w:tcPr>
            <w:tcW w:w="2171" w:type="dxa"/>
          </w:tcPr>
          <w:p w14:paraId="66F6EAE1" w14:textId="6563463C" w:rsidR="0052780E" w:rsidRPr="00DB3D39" w:rsidRDefault="0052780E" w:rsidP="0014327E">
            <w:pPr>
              <w:pStyle w:val="TableText0"/>
            </w:pPr>
            <w:r w:rsidRPr="00DB3D39">
              <w:t>$</w:t>
            </w:r>
            <w:r w:rsidR="00C61E4E" w:rsidRPr="00112EE5">
              <w:rPr>
                <w:iCs/>
              </w:rPr>
              <w:t>2,016.02</w:t>
            </w:r>
            <w:r w:rsidR="00C3024E" w:rsidRPr="00112EE5">
              <w:rPr>
                <w:iCs/>
                <w:vertAlign w:val="superscript"/>
              </w:rPr>
              <w:t>a</w:t>
            </w:r>
            <w:r w:rsidR="00C3024E" w:rsidRPr="00112EE5">
              <w:rPr>
                <w:iCs/>
              </w:rPr>
              <w:t xml:space="preserve"> </w:t>
            </w:r>
            <w:r w:rsidRPr="00DB3D39">
              <w:t>published price</w:t>
            </w:r>
          </w:p>
          <w:p w14:paraId="299DA1AA" w14:textId="5019EA53" w:rsidR="0052780E" w:rsidRPr="00DB3D39" w:rsidRDefault="0052780E" w:rsidP="0014327E">
            <w:pPr>
              <w:pStyle w:val="TableText0"/>
              <w:rPr>
                <w:szCs w:val="20"/>
              </w:rPr>
            </w:pPr>
            <w:r w:rsidRPr="00DB3D39">
              <w:t>$TBD effective price</w:t>
            </w:r>
          </w:p>
        </w:tc>
        <w:tc>
          <w:tcPr>
            <w:tcW w:w="832" w:type="dxa"/>
            <w:vAlign w:val="center"/>
          </w:tcPr>
          <w:p w14:paraId="1F4FCE20" w14:textId="52726880" w:rsidR="0052780E" w:rsidRPr="00DB3D39" w:rsidRDefault="0052780E" w:rsidP="0014327E">
            <w:pPr>
              <w:pStyle w:val="TableText0"/>
              <w:rPr>
                <w:szCs w:val="20"/>
              </w:rPr>
            </w:pPr>
            <w:r w:rsidRPr="00DB3D39">
              <w:t>1</w:t>
            </w:r>
          </w:p>
        </w:tc>
        <w:tc>
          <w:tcPr>
            <w:tcW w:w="831" w:type="dxa"/>
            <w:vAlign w:val="center"/>
          </w:tcPr>
          <w:p w14:paraId="53A37385" w14:textId="05795DE3" w:rsidR="0052780E" w:rsidRPr="00DB3D39" w:rsidRDefault="0052780E" w:rsidP="0014327E">
            <w:pPr>
              <w:pStyle w:val="TableText0"/>
              <w:rPr>
                <w:szCs w:val="20"/>
              </w:rPr>
            </w:pPr>
            <w:r w:rsidRPr="00DB3D39">
              <w:t>21</w:t>
            </w:r>
          </w:p>
        </w:tc>
        <w:tc>
          <w:tcPr>
            <w:tcW w:w="832" w:type="dxa"/>
            <w:vAlign w:val="center"/>
          </w:tcPr>
          <w:p w14:paraId="4093A39C" w14:textId="34E73C79" w:rsidR="0052780E" w:rsidRPr="00DB3D39" w:rsidRDefault="0052780E" w:rsidP="0014327E">
            <w:pPr>
              <w:pStyle w:val="TableText0"/>
              <w:rPr>
                <w:szCs w:val="20"/>
              </w:rPr>
            </w:pPr>
            <w:r w:rsidRPr="00DB3D39">
              <w:t>5</w:t>
            </w:r>
          </w:p>
        </w:tc>
        <w:tc>
          <w:tcPr>
            <w:tcW w:w="1875" w:type="dxa"/>
            <w:vMerge w:val="restart"/>
            <w:vAlign w:val="center"/>
          </w:tcPr>
          <w:p w14:paraId="7AF87FE5" w14:textId="102775B6" w:rsidR="0052780E" w:rsidRPr="00D14295" w:rsidRDefault="0052780E" w:rsidP="0014327E">
            <w:pPr>
              <w:pStyle w:val="TableText0"/>
              <w:rPr>
                <w:szCs w:val="20"/>
                <w:lang w:val="es-CL"/>
              </w:rPr>
            </w:pPr>
            <w:r w:rsidRPr="00D14295">
              <w:rPr>
                <w:szCs w:val="20"/>
                <w:lang w:val="es-CL"/>
              </w:rPr>
              <w:t>Kisqali</w:t>
            </w:r>
          </w:p>
          <w:p w14:paraId="2A4F676F" w14:textId="04D5358E" w:rsidR="0052780E" w:rsidRPr="00D14295" w:rsidRDefault="0052780E" w:rsidP="0014327E">
            <w:pPr>
              <w:pStyle w:val="TableText0"/>
              <w:rPr>
                <w:szCs w:val="20"/>
                <w:lang w:val="es-CL"/>
              </w:rPr>
            </w:pPr>
            <w:r w:rsidRPr="00D14295">
              <w:rPr>
                <w:szCs w:val="20"/>
                <w:lang w:val="es-CL"/>
              </w:rPr>
              <w:t>Novartis Pharmaceuticals Australia Pty Ltd</w:t>
            </w:r>
          </w:p>
        </w:tc>
      </w:tr>
      <w:tr w:rsidR="0052780E" w:rsidRPr="00DB3D39" w14:paraId="631F4CA0" w14:textId="2DDEC6BB" w:rsidTr="000C5F73">
        <w:trPr>
          <w:cantSplit/>
          <w:trHeight w:val="20"/>
        </w:trPr>
        <w:tc>
          <w:tcPr>
            <w:tcW w:w="2693" w:type="dxa"/>
            <w:vAlign w:val="center"/>
          </w:tcPr>
          <w:p w14:paraId="01F0B1D6" w14:textId="5A815CAD" w:rsidR="0052780E" w:rsidRPr="00DB3D39" w:rsidRDefault="0052780E" w:rsidP="0014327E">
            <w:pPr>
              <w:pStyle w:val="TableText0"/>
              <w:rPr>
                <w:color w:val="0066FF"/>
                <w:szCs w:val="20"/>
              </w:rPr>
            </w:pPr>
            <w:r w:rsidRPr="00DB3D39">
              <w:rPr>
                <w:szCs w:val="20"/>
              </w:rPr>
              <w:t>Ribociclib 200 mg, tablet, 42</w:t>
            </w:r>
          </w:p>
        </w:tc>
        <w:tc>
          <w:tcPr>
            <w:tcW w:w="2171" w:type="dxa"/>
          </w:tcPr>
          <w:p w14:paraId="09E30A47" w14:textId="0901757A" w:rsidR="0052780E" w:rsidRPr="00DB3D39" w:rsidRDefault="0052780E" w:rsidP="0014327E">
            <w:pPr>
              <w:pStyle w:val="TableText0"/>
            </w:pPr>
            <w:r w:rsidRPr="00DB3D39">
              <w:t>$</w:t>
            </w:r>
            <w:r w:rsidR="00300645" w:rsidRPr="00112EE5">
              <w:rPr>
                <w:iCs/>
              </w:rPr>
              <w:t>3,878,24</w:t>
            </w:r>
            <w:r w:rsidR="00300645" w:rsidRPr="00112EE5">
              <w:rPr>
                <w:iCs/>
                <w:vertAlign w:val="superscript"/>
              </w:rPr>
              <w:t>a</w:t>
            </w:r>
            <w:r w:rsidRPr="00112EE5">
              <w:rPr>
                <w:iCs/>
              </w:rPr>
              <w:t xml:space="preserve"> </w:t>
            </w:r>
            <w:r w:rsidRPr="00DB3D39">
              <w:t>published price</w:t>
            </w:r>
          </w:p>
          <w:p w14:paraId="660E0DB9" w14:textId="7CB36C9E" w:rsidR="0052780E" w:rsidRPr="00DB3D39" w:rsidRDefault="0052780E" w:rsidP="0014327E">
            <w:pPr>
              <w:pStyle w:val="TableText0"/>
              <w:rPr>
                <w:szCs w:val="20"/>
              </w:rPr>
            </w:pPr>
            <w:r w:rsidRPr="00DB3D39">
              <w:t>$TBD effective price</w:t>
            </w:r>
          </w:p>
        </w:tc>
        <w:tc>
          <w:tcPr>
            <w:tcW w:w="832" w:type="dxa"/>
            <w:vAlign w:val="center"/>
          </w:tcPr>
          <w:p w14:paraId="4431716D" w14:textId="5C6D2E84" w:rsidR="0052780E" w:rsidRPr="00DB3D39" w:rsidRDefault="0052780E" w:rsidP="0014327E">
            <w:pPr>
              <w:pStyle w:val="TableText0"/>
              <w:rPr>
                <w:szCs w:val="20"/>
              </w:rPr>
            </w:pPr>
            <w:r w:rsidRPr="00DB3D39">
              <w:rPr>
                <w:szCs w:val="20"/>
              </w:rPr>
              <w:t>1</w:t>
            </w:r>
          </w:p>
        </w:tc>
        <w:tc>
          <w:tcPr>
            <w:tcW w:w="831" w:type="dxa"/>
            <w:vAlign w:val="center"/>
          </w:tcPr>
          <w:p w14:paraId="37D93D7D" w14:textId="4F49D982" w:rsidR="0052780E" w:rsidRPr="00DB3D39" w:rsidRDefault="0052780E" w:rsidP="0014327E">
            <w:pPr>
              <w:pStyle w:val="TableText0"/>
              <w:rPr>
                <w:szCs w:val="20"/>
              </w:rPr>
            </w:pPr>
            <w:r w:rsidRPr="00DB3D39">
              <w:rPr>
                <w:szCs w:val="20"/>
              </w:rPr>
              <w:t>42</w:t>
            </w:r>
          </w:p>
        </w:tc>
        <w:tc>
          <w:tcPr>
            <w:tcW w:w="832" w:type="dxa"/>
            <w:vAlign w:val="center"/>
          </w:tcPr>
          <w:p w14:paraId="2418A48D" w14:textId="716B6B06" w:rsidR="0052780E" w:rsidRPr="00DB3D39" w:rsidRDefault="0052780E" w:rsidP="0014327E">
            <w:pPr>
              <w:pStyle w:val="TableText0"/>
              <w:rPr>
                <w:szCs w:val="20"/>
              </w:rPr>
            </w:pPr>
            <w:r w:rsidRPr="00DB3D39">
              <w:rPr>
                <w:szCs w:val="20"/>
              </w:rPr>
              <w:t>5</w:t>
            </w:r>
          </w:p>
        </w:tc>
        <w:tc>
          <w:tcPr>
            <w:tcW w:w="1875" w:type="dxa"/>
            <w:vMerge/>
            <w:vAlign w:val="center"/>
          </w:tcPr>
          <w:p w14:paraId="606D7B47" w14:textId="40F5B99E" w:rsidR="0052780E" w:rsidRPr="00DB3D39" w:rsidRDefault="0052780E" w:rsidP="0014327E">
            <w:pPr>
              <w:pStyle w:val="TableText0"/>
              <w:rPr>
                <w:color w:val="0066FF"/>
                <w:szCs w:val="20"/>
              </w:rPr>
            </w:pPr>
          </w:p>
        </w:tc>
      </w:tr>
    </w:tbl>
    <w:p w14:paraId="42CB7D4D" w14:textId="5CF82A5A" w:rsidR="00DC17C1" w:rsidRPr="00DB3D39" w:rsidRDefault="00B25A2E" w:rsidP="00747720">
      <w:pPr>
        <w:pStyle w:val="TableFigureFooter"/>
      </w:pPr>
      <w:r w:rsidRPr="00DB3D39">
        <w:t xml:space="preserve">AEMP = Approved ex-manufacturer price; </w:t>
      </w:r>
      <w:r>
        <w:t xml:space="preserve">CMA= cost minimisation approach; </w:t>
      </w:r>
      <w:r w:rsidR="00EA5BD7" w:rsidRPr="00DB3D39">
        <w:t>TBD = to be determined.</w:t>
      </w:r>
    </w:p>
    <w:p w14:paraId="2F7C52D9" w14:textId="2DDA0204" w:rsidR="00266CDC" w:rsidRDefault="00001217" w:rsidP="00B30E6E">
      <w:pPr>
        <w:pStyle w:val="TableFigureFooter"/>
        <w:rPr>
          <w:iCs/>
        </w:rPr>
      </w:pPr>
      <w:r w:rsidRPr="00112EE5">
        <w:rPr>
          <w:iCs/>
          <w:vertAlign w:val="superscript"/>
        </w:rPr>
        <w:t>a</w:t>
      </w:r>
      <w:r w:rsidRPr="00112EE5">
        <w:rPr>
          <w:iCs/>
        </w:rPr>
        <w:t xml:space="preserve"> </w:t>
      </w:r>
      <w:r w:rsidR="00E50180" w:rsidRPr="00112EE5">
        <w:rPr>
          <w:iCs/>
        </w:rPr>
        <w:t xml:space="preserve">DPMQ </w:t>
      </w:r>
      <w:r w:rsidR="00FE28C8" w:rsidRPr="00112EE5">
        <w:rPr>
          <w:iCs/>
        </w:rPr>
        <w:t xml:space="preserve">were corrected during the evaluation </w:t>
      </w:r>
      <w:r w:rsidR="001F4DC5" w:rsidRPr="00112EE5">
        <w:rPr>
          <w:iCs/>
        </w:rPr>
        <w:t xml:space="preserve">based on </w:t>
      </w:r>
      <w:r w:rsidR="00E50180" w:rsidRPr="00112EE5">
        <w:rPr>
          <w:iCs/>
        </w:rPr>
        <w:t xml:space="preserve">the AEMP </w:t>
      </w:r>
      <w:r w:rsidR="008F5CEC" w:rsidRPr="00112EE5">
        <w:rPr>
          <w:iCs/>
        </w:rPr>
        <w:t xml:space="preserve">derived in </w:t>
      </w:r>
      <w:r w:rsidR="00B25A2E" w:rsidRPr="00112EE5">
        <w:rPr>
          <w:iCs/>
        </w:rPr>
        <w:t xml:space="preserve">the </w:t>
      </w:r>
      <w:r w:rsidR="00B30E6E" w:rsidRPr="00112EE5">
        <w:rPr>
          <w:iCs/>
        </w:rPr>
        <w:t>CMA</w:t>
      </w:r>
      <w:r w:rsidR="00C15691">
        <w:rPr>
          <w:iCs/>
        </w:rPr>
        <w:t>.</w:t>
      </w:r>
    </w:p>
    <w:tbl>
      <w:tblPr>
        <w:tblW w:w="51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9209"/>
      </w:tblGrid>
      <w:tr w:rsidR="004F0E49" w:rsidRPr="00DB3D39" w14:paraId="02777159" w14:textId="14593E21" w:rsidTr="00EA48D9">
        <w:trPr>
          <w:cantSplit/>
          <w:trHeight w:val="20"/>
        </w:trPr>
        <w:tc>
          <w:tcPr>
            <w:tcW w:w="5000" w:type="pct"/>
          </w:tcPr>
          <w:p w14:paraId="1392D163" w14:textId="20CA84E6" w:rsidR="004F0E49" w:rsidRPr="00DB3D39" w:rsidRDefault="004F0E49" w:rsidP="00E865D9">
            <w:pPr>
              <w:pStyle w:val="TableText0"/>
              <w:keepNext w:val="0"/>
              <w:keepLines w:val="0"/>
              <w:widowControl w:val="0"/>
              <w:rPr>
                <w:szCs w:val="20"/>
              </w:rPr>
            </w:pPr>
            <w:r w:rsidRPr="00DB3D39">
              <w:rPr>
                <w:b/>
                <w:szCs w:val="20"/>
              </w:rPr>
              <w:t xml:space="preserve">Category / Program: </w:t>
            </w:r>
            <w:r w:rsidRPr="00DB3D39">
              <w:rPr>
                <w:szCs w:val="20"/>
              </w:rPr>
              <w:t>General Schedule (Code GE)</w:t>
            </w:r>
          </w:p>
        </w:tc>
      </w:tr>
      <w:tr w:rsidR="004F0E49" w:rsidRPr="00DB3D39" w14:paraId="40ACD809" w14:textId="10040516" w:rsidTr="00EA48D9">
        <w:trPr>
          <w:cantSplit/>
          <w:trHeight w:val="20"/>
        </w:trPr>
        <w:tc>
          <w:tcPr>
            <w:tcW w:w="5000" w:type="pct"/>
          </w:tcPr>
          <w:p w14:paraId="3B442784" w14:textId="1AECF873" w:rsidR="004F0E49" w:rsidRPr="00DB3D39" w:rsidRDefault="004F0E49" w:rsidP="00E865D9">
            <w:pPr>
              <w:pStyle w:val="TableText0"/>
              <w:keepNext w:val="0"/>
              <w:keepLines w:val="0"/>
              <w:widowControl w:val="0"/>
              <w:rPr>
                <w:b/>
                <w:szCs w:val="20"/>
              </w:rPr>
            </w:pPr>
            <w:r w:rsidRPr="00DB3D39">
              <w:rPr>
                <w:b/>
                <w:szCs w:val="20"/>
              </w:rPr>
              <w:t xml:space="preserve">Prescriber type: </w:t>
            </w:r>
            <w:r w:rsidRPr="00DB3D39">
              <w:rPr>
                <w:szCs w:val="20"/>
              </w:rPr>
              <w:fldChar w:fldCharType="begin" w:fldLock="1">
                <w:ffData>
                  <w:name w:val=""/>
                  <w:enabled/>
                  <w:calcOnExit w:val="0"/>
                  <w:checkBox>
                    <w:sizeAuto/>
                    <w:default w:val="1"/>
                  </w:checkBox>
                </w:ffData>
              </w:fldChar>
            </w:r>
            <w:r w:rsidRPr="00DB3D39">
              <w:rPr>
                <w:szCs w:val="20"/>
              </w:rPr>
              <w:instrText xml:space="preserve"> FORMCHECKBOX </w:instrText>
            </w:r>
            <w:r w:rsidRPr="00DB3D39">
              <w:rPr>
                <w:szCs w:val="20"/>
              </w:rPr>
            </w:r>
            <w:r w:rsidRPr="00DB3D39">
              <w:rPr>
                <w:szCs w:val="20"/>
              </w:rPr>
              <w:fldChar w:fldCharType="separate"/>
            </w:r>
            <w:r w:rsidRPr="00DB3D39">
              <w:rPr>
                <w:szCs w:val="20"/>
              </w:rPr>
              <w:fldChar w:fldCharType="end"/>
            </w:r>
            <w:r w:rsidRPr="00DB3D39">
              <w:rPr>
                <w:szCs w:val="20"/>
              </w:rPr>
              <w:t xml:space="preserve">Medical Practitioners </w:t>
            </w:r>
          </w:p>
        </w:tc>
      </w:tr>
      <w:tr w:rsidR="004F0E49" w:rsidRPr="00DB3D39" w14:paraId="13DCBB29" w14:textId="6913A77C" w:rsidTr="00EA48D9">
        <w:trPr>
          <w:cantSplit/>
          <w:trHeight w:val="20"/>
        </w:trPr>
        <w:tc>
          <w:tcPr>
            <w:tcW w:w="5000" w:type="pct"/>
          </w:tcPr>
          <w:p w14:paraId="41E89D06" w14:textId="53B886AE" w:rsidR="004F0E49" w:rsidRPr="00DB3D39" w:rsidRDefault="004F0E49" w:rsidP="00E865D9">
            <w:pPr>
              <w:pStyle w:val="TableText0"/>
              <w:keepNext w:val="0"/>
              <w:keepLines w:val="0"/>
              <w:widowControl w:val="0"/>
              <w:rPr>
                <w:szCs w:val="20"/>
              </w:rPr>
            </w:pPr>
            <w:r w:rsidRPr="00DB3D39">
              <w:rPr>
                <w:b/>
                <w:szCs w:val="20"/>
              </w:rPr>
              <w:t xml:space="preserve">Restriction type: </w:t>
            </w:r>
            <w:r w:rsidRPr="00DB3D39">
              <w:rPr>
                <w:szCs w:val="20"/>
              </w:rPr>
              <w:br/>
            </w:r>
            <w:r w:rsidR="00737DC3" w:rsidRPr="00DB3D39">
              <w:rPr>
                <w:szCs w:val="20"/>
              </w:rPr>
              <w:fldChar w:fldCharType="begin" w:fldLock="1">
                <w:ffData>
                  <w:name w:val=""/>
                  <w:enabled/>
                  <w:calcOnExit w:val="0"/>
                  <w:checkBox>
                    <w:sizeAuto/>
                    <w:default w:val="1"/>
                  </w:checkBox>
                </w:ffData>
              </w:fldChar>
            </w:r>
            <w:r w:rsidR="00737DC3" w:rsidRPr="00DB3D39">
              <w:rPr>
                <w:szCs w:val="20"/>
              </w:rPr>
              <w:instrText xml:space="preserve"> FORMCHECKBOX </w:instrText>
            </w:r>
            <w:r w:rsidR="00737DC3" w:rsidRPr="00DB3D39">
              <w:rPr>
                <w:szCs w:val="20"/>
              </w:rPr>
            </w:r>
            <w:r w:rsidR="00737DC3" w:rsidRPr="00DB3D39">
              <w:rPr>
                <w:szCs w:val="20"/>
              </w:rPr>
              <w:fldChar w:fldCharType="separate"/>
            </w:r>
            <w:r w:rsidR="00737DC3" w:rsidRPr="00DB3D39">
              <w:rPr>
                <w:szCs w:val="20"/>
              </w:rPr>
              <w:fldChar w:fldCharType="end"/>
            </w:r>
            <w:r w:rsidRPr="00DB3D39">
              <w:rPr>
                <w:szCs w:val="20"/>
              </w:rPr>
              <w:t xml:space="preserve">Authority Required (telephone/online PBS Authorities system) </w:t>
            </w:r>
          </w:p>
        </w:tc>
      </w:tr>
      <w:tr w:rsidR="004F0E49" w:rsidRPr="00DB3D39" w14:paraId="516F8D07" w14:textId="3923C691" w:rsidTr="00EA48D9">
        <w:trPr>
          <w:cantSplit/>
          <w:trHeight w:val="20"/>
        </w:trPr>
        <w:tc>
          <w:tcPr>
            <w:tcW w:w="5000" w:type="pct"/>
            <w:vAlign w:val="center"/>
            <w:hideMark/>
          </w:tcPr>
          <w:p w14:paraId="1604CE6B" w14:textId="3FE46C83" w:rsidR="004F0E49" w:rsidRPr="00DB3D39" w:rsidRDefault="004F0E49" w:rsidP="00E865D9">
            <w:pPr>
              <w:pStyle w:val="TableText0"/>
              <w:keepNext w:val="0"/>
              <w:keepLines w:val="0"/>
              <w:widowControl w:val="0"/>
              <w:rPr>
                <w:szCs w:val="20"/>
              </w:rPr>
            </w:pPr>
            <w:r w:rsidRPr="00DB3D39">
              <w:rPr>
                <w:b/>
                <w:szCs w:val="20"/>
              </w:rPr>
              <w:t>Indication:</w:t>
            </w:r>
            <w:r w:rsidRPr="00DB3D39">
              <w:rPr>
                <w:szCs w:val="20"/>
              </w:rPr>
              <w:t xml:space="preserve"> Early breast cancer</w:t>
            </w:r>
          </w:p>
        </w:tc>
      </w:tr>
      <w:tr w:rsidR="004F0E49" w:rsidRPr="00DB3D39" w14:paraId="7D59CB83" w14:textId="4D0F09B5" w:rsidTr="00EA48D9">
        <w:trPr>
          <w:cantSplit/>
          <w:trHeight w:val="20"/>
        </w:trPr>
        <w:tc>
          <w:tcPr>
            <w:tcW w:w="5000" w:type="pct"/>
            <w:vAlign w:val="center"/>
            <w:hideMark/>
          </w:tcPr>
          <w:p w14:paraId="3F821B30" w14:textId="15ED5628" w:rsidR="004F0E49" w:rsidRPr="00DB3D39" w:rsidRDefault="004F0E49" w:rsidP="00E865D9">
            <w:pPr>
              <w:pStyle w:val="TableText0"/>
              <w:keepNext w:val="0"/>
              <w:keepLines w:val="0"/>
              <w:widowControl w:val="0"/>
              <w:rPr>
                <w:szCs w:val="20"/>
              </w:rPr>
            </w:pPr>
            <w:r w:rsidRPr="00DB3D39">
              <w:rPr>
                <w:b/>
                <w:szCs w:val="20"/>
              </w:rPr>
              <w:t>Clinical criteria</w:t>
            </w:r>
          </w:p>
        </w:tc>
      </w:tr>
      <w:tr w:rsidR="004F0E49" w:rsidRPr="00DB3D39" w14:paraId="7950DD3B" w14:textId="57DEF130" w:rsidTr="00EA48D9">
        <w:trPr>
          <w:cantSplit/>
          <w:trHeight w:val="20"/>
        </w:trPr>
        <w:tc>
          <w:tcPr>
            <w:tcW w:w="5000" w:type="pct"/>
            <w:vAlign w:val="center"/>
            <w:hideMark/>
          </w:tcPr>
          <w:p w14:paraId="78E160F0" w14:textId="399658F1" w:rsidR="004F0E49" w:rsidRPr="00DB3D39" w:rsidRDefault="004F0E49" w:rsidP="00E865D9">
            <w:pPr>
              <w:pStyle w:val="TableText0"/>
              <w:keepNext w:val="0"/>
              <w:keepLines w:val="0"/>
              <w:widowControl w:val="0"/>
              <w:rPr>
                <w:szCs w:val="20"/>
              </w:rPr>
            </w:pPr>
            <w:r w:rsidRPr="00DB3D39">
              <w:rPr>
                <w:szCs w:val="20"/>
              </w:rPr>
              <w:t>The treatment must be adjuvant to surgical resection</w:t>
            </w:r>
          </w:p>
        </w:tc>
      </w:tr>
      <w:tr w:rsidR="004F0E49" w:rsidRPr="00DB3D39" w14:paraId="0665A1D0" w14:textId="07218D6C" w:rsidTr="00EA48D9">
        <w:trPr>
          <w:cantSplit/>
          <w:trHeight w:val="20"/>
        </w:trPr>
        <w:tc>
          <w:tcPr>
            <w:tcW w:w="5000" w:type="pct"/>
            <w:vAlign w:val="center"/>
          </w:tcPr>
          <w:p w14:paraId="2E441EFD" w14:textId="50D143C4" w:rsidR="004F0E49" w:rsidRPr="00DB3D39" w:rsidRDefault="004F0E49" w:rsidP="00E865D9">
            <w:pPr>
              <w:pStyle w:val="TableText0"/>
              <w:keepNext w:val="0"/>
              <w:keepLines w:val="0"/>
              <w:widowControl w:val="0"/>
              <w:rPr>
                <w:szCs w:val="20"/>
              </w:rPr>
            </w:pPr>
            <w:r w:rsidRPr="00DB3D39">
              <w:rPr>
                <w:szCs w:val="20"/>
              </w:rPr>
              <w:t>AND</w:t>
            </w:r>
          </w:p>
        </w:tc>
      </w:tr>
      <w:tr w:rsidR="004F0E49" w:rsidRPr="00DB3D39" w14:paraId="2711BC37" w14:textId="1A91E2C4" w:rsidTr="00EA48D9">
        <w:trPr>
          <w:cantSplit/>
          <w:trHeight w:val="20"/>
        </w:trPr>
        <w:tc>
          <w:tcPr>
            <w:tcW w:w="5000" w:type="pct"/>
            <w:vAlign w:val="center"/>
            <w:hideMark/>
          </w:tcPr>
          <w:p w14:paraId="03FD4A22" w14:textId="7BFFACB7" w:rsidR="004F0E49" w:rsidRPr="00DB3D39" w:rsidRDefault="004F0E49" w:rsidP="00E865D9">
            <w:pPr>
              <w:pStyle w:val="TableText0"/>
              <w:keepNext w:val="0"/>
              <w:keepLines w:val="0"/>
              <w:widowControl w:val="0"/>
              <w:rPr>
                <w:szCs w:val="20"/>
              </w:rPr>
            </w:pPr>
            <w:r w:rsidRPr="00DB3D39">
              <w:rPr>
                <w:rFonts w:cstheme="minorBidi"/>
                <w:color w:val="333333"/>
                <w:szCs w:val="20"/>
              </w:rPr>
              <w:t>The condition must not have been treated with adjuvant endocrine therapy for more than 12 months prior to commencing this drug</w:t>
            </w:r>
          </w:p>
        </w:tc>
      </w:tr>
      <w:tr w:rsidR="004F0E49" w:rsidRPr="00DB3D39" w14:paraId="1A06F756" w14:textId="507FBF00" w:rsidTr="00EA48D9">
        <w:trPr>
          <w:cantSplit/>
          <w:trHeight w:val="20"/>
        </w:trPr>
        <w:tc>
          <w:tcPr>
            <w:tcW w:w="5000" w:type="pct"/>
            <w:vAlign w:val="center"/>
          </w:tcPr>
          <w:p w14:paraId="6E6E56DB" w14:textId="6903C3E9" w:rsidR="004F0E49" w:rsidRPr="00DB3D39" w:rsidRDefault="004F0E49" w:rsidP="00E865D9">
            <w:pPr>
              <w:pStyle w:val="TableText0"/>
              <w:keepNext w:val="0"/>
              <w:keepLines w:val="0"/>
              <w:widowControl w:val="0"/>
              <w:rPr>
                <w:szCs w:val="20"/>
              </w:rPr>
            </w:pPr>
            <w:r w:rsidRPr="00DB3D39">
              <w:rPr>
                <w:szCs w:val="20"/>
              </w:rPr>
              <w:t>AND</w:t>
            </w:r>
          </w:p>
        </w:tc>
      </w:tr>
      <w:tr w:rsidR="004F0E49" w:rsidRPr="00DB3D39" w14:paraId="1FD7EB7F" w14:textId="2CA4A523" w:rsidTr="00EA48D9">
        <w:trPr>
          <w:cantSplit/>
          <w:trHeight w:val="20"/>
        </w:trPr>
        <w:tc>
          <w:tcPr>
            <w:tcW w:w="5000" w:type="pct"/>
            <w:vAlign w:val="center"/>
          </w:tcPr>
          <w:p w14:paraId="184B67C0" w14:textId="5BB43D68" w:rsidR="004F0E49" w:rsidRPr="00DB3D39" w:rsidRDefault="004F0E49" w:rsidP="00E865D9">
            <w:pPr>
              <w:pStyle w:val="TableText0"/>
              <w:keepNext w:val="0"/>
              <w:keepLines w:val="0"/>
              <w:widowControl w:val="0"/>
              <w:rPr>
                <w:szCs w:val="20"/>
              </w:rPr>
            </w:pPr>
            <w:r w:rsidRPr="00DB3D39">
              <w:rPr>
                <w:rFonts w:cstheme="minorBidi"/>
                <w:color w:val="333333"/>
                <w:szCs w:val="20"/>
              </w:rPr>
              <w:t>The condition must be human epidermal growth factor receptor 2 (HER2) negative</w:t>
            </w:r>
          </w:p>
        </w:tc>
      </w:tr>
      <w:tr w:rsidR="004F0E49" w:rsidRPr="00DB3D39" w14:paraId="6BC9AFCE" w14:textId="3275C092" w:rsidTr="00EA48D9">
        <w:trPr>
          <w:cantSplit/>
          <w:trHeight w:val="20"/>
        </w:trPr>
        <w:tc>
          <w:tcPr>
            <w:tcW w:w="5000" w:type="pct"/>
            <w:vAlign w:val="center"/>
          </w:tcPr>
          <w:p w14:paraId="39722A33" w14:textId="514DD874" w:rsidR="004F0E49" w:rsidRPr="00DB3D39" w:rsidRDefault="004F0E49" w:rsidP="00E865D9">
            <w:pPr>
              <w:pStyle w:val="TableText0"/>
              <w:keepNext w:val="0"/>
              <w:keepLines w:val="0"/>
              <w:widowControl w:val="0"/>
              <w:rPr>
                <w:szCs w:val="20"/>
              </w:rPr>
            </w:pPr>
            <w:r w:rsidRPr="00DB3D39">
              <w:rPr>
                <w:szCs w:val="20"/>
              </w:rPr>
              <w:t>AND</w:t>
            </w:r>
          </w:p>
        </w:tc>
      </w:tr>
      <w:tr w:rsidR="004F0E49" w:rsidRPr="00DB3D39" w14:paraId="139A92EC" w14:textId="0D0B7992" w:rsidTr="00EA48D9">
        <w:trPr>
          <w:cantSplit/>
          <w:trHeight w:val="20"/>
        </w:trPr>
        <w:tc>
          <w:tcPr>
            <w:tcW w:w="5000" w:type="pct"/>
            <w:vAlign w:val="center"/>
          </w:tcPr>
          <w:p w14:paraId="336A6467" w14:textId="6799A994" w:rsidR="004F0E49" w:rsidRPr="00DB3D39" w:rsidRDefault="004F0E49" w:rsidP="00E865D9">
            <w:pPr>
              <w:pStyle w:val="TableText0"/>
              <w:keepNext w:val="0"/>
              <w:keepLines w:val="0"/>
              <w:widowControl w:val="0"/>
              <w:rPr>
                <w:szCs w:val="20"/>
              </w:rPr>
            </w:pPr>
            <w:r w:rsidRPr="00DB3D39">
              <w:rPr>
                <w:rFonts w:cstheme="minorBidi"/>
                <w:color w:val="333333"/>
                <w:szCs w:val="20"/>
              </w:rPr>
              <w:t>The condition must be hormone receptor positive</w:t>
            </w:r>
          </w:p>
        </w:tc>
      </w:tr>
      <w:tr w:rsidR="004F0E49" w:rsidRPr="00DB3D39" w14:paraId="0C9CAAC9" w14:textId="0692A5B6" w:rsidTr="00EA48D9">
        <w:trPr>
          <w:cantSplit/>
          <w:trHeight w:val="20"/>
        </w:trPr>
        <w:tc>
          <w:tcPr>
            <w:tcW w:w="5000" w:type="pct"/>
            <w:vAlign w:val="center"/>
          </w:tcPr>
          <w:p w14:paraId="2C03107F" w14:textId="1735D0A9" w:rsidR="004F0E49" w:rsidRPr="00DB3D39" w:rsidRDefault="004F0E49" w:rsidP="00E865D9">
            <w:pPr>
              <w:pStyle w:val="TableText0"/>
              <w:keepNext w:val="0"/>
              <w:keepLines w:val="0"/>
              <w:widowControl w:val="0"/>
              <w:rPr>
                <w:szCs w:val="20"/>
              </w:rPr>
            </w:pPr>
            <w:r w:rsidRPr="00DB3D39">
              <w:rPr>
                <w:szCs w:val="20"/>
              </w:rPr>
              <w:t>AND</w:t>
            </w:r>
          </w:p>
        </w:tc>
      </w:tr>
      <w:tr w:rsidR="004F0E49" w:rsidRPr="00DB3D39" w14:paraId="3D6026A9" w14:textId="4C7BC6F8" w:rsidTr="00EA48D9">
        <w:trPr>
          <w:cantSplit/>
          <w:trHeight w:val="20"/>
        </w:trPr>
        <w:tc>
          <w:tcPr>
            <w:tcW w:w="5000" w:type="pct"/>
            <w:vAlign w:val="center"/>
          </w:tcPr>
          <w:p w14:paraId="7150A1E8" w14:textId="57BB6E1A" w:rsidR="004F0E49" w:rsidRPr="00DB3D39" w:rsidRDefault="004F0E49" w:rsidP="00E865D9">
            <w:pPr>
              <w:pStyle w:val="TableText0"/>
              <w:keepNext w:val="0"/>
              <w:keepLines w:val="0"/>
              <w:widowControl w:val="0"/>
              <w:rPr>
                <w:szCs w:val="20"/>
              </w:rPr>
            </w:pPr>
            <w:r w:rsidRPr="00DB3D39">
              <w:rPr>
                <w:rFonts w:cstheme="minorBidi"/>
                <w:color w:val="333333"/>
                <w:szCs w:val="20"/>
              </w:rPr>
              <w:t>The condition must be at high risk of recurrence at treatment initiation with this drug, with high risk being any of: (a) cancer cells in at least 4 positive axillary lymph nodes, (b) cancer cells in 1 to 3 positive axillary lymph nodes plus at least one of: (i) tumour size of at least 5 cm in size, (ii) grade 3 tumour histology (on the Nottingham grading system)</w:t>
            </w:r>
          </w:p>
        </w:tc>
      </w:tr>
      <w:tr w:rsidR="004F0E49" w:rsidRPr="00DB3D39" w14:paraId="27CF4E40" w14:textId="5BBDBDE1" w:rsidTr="00EA48D9">
        <w:trPr>
          <w:cantSplit/>
          <w:trHeight w:val="20"/>
        </w:trPr>
        <w:tc>
          <w:tcPr>
            <w:tcW w:w="5000" w:type="pct"/>
            <w:vAlign w:val="center"/>
          </w:tcPr>
          <w:p w14:paraId="2CB7F218" w14:textId="0F2D6664" w:rsidR="004F0E49" w:rsidRPr="00DB3D39" w:rsidRDefault="004F0E49" w:rsidP="00E865D9">
            <w:pPr>
              <w:pStyle w:val="TableText0"/>
              <w:keepNext w:val="0"/>
              <w:keepLines w:val="0"/>
              <w:widowControl w:val="0"/>
              <w:rPr>
                <w:szCs w:val="20"/>
              </w:rPr>
            </w:pPr>
            <w:r w:rsidRPr="00DB3D39">
              <w:rPr>
                <w:szCs w:val="20"/>
              </w:rPr>
              <w:t>AND</w:t>
            </w:r>
          </w:p>
        </w:tc>
      </w:tr>
      <w:tr w:rsidR="004F0E49" w:rsidRPr="00DB3D39" w14:paraId="4221CB09" w14:textId="794130D3" w:rsidTr="00EA48D9">
        <w:trPr>
          <w:cantSplit/>
          <w:trHeight w:val="20"/>
        </w:trPr>
        <w:tc>
          <w:tcPr>
            <w:tcW w:w="5000" w:type="pct"/>
            <w:vAlign w:val="center"/>
          </w:tcPr>
          <w:p w14:paraId="56F9A452" w14:textId="03E81383" w:rsidR="004F0E49" w:rsidRPr="00DB3D39" w:rsidRDefault="004F0E49" w:rsidP="00E865D9">
            <w:pPr>
              <w:pStyle w:val="TableText0"/>
              <w:keepNext w:val="0"/>
              <w:keepLines w:val="0"/>
              <w:widowControl w:val="0"/>
              <w:rPr>
                <w:szCs w:val="20"/>
              </w:rPr>
            </w:pPr>
            <w:r w:rsidRPr="00DB3D39">
              <w:rPr>
                <w:rFonts w:cstheme="minorBidi"/>
                <w:color w:val="333333"/>
                <w:szCs w:val="20"/>
              </w:rPr>
              <w:t>The treatment must not be a PBS-subsidised benefit beyond whichever comes first: (i) a total of 3.00 years of active treatment (this includes any non-PBS subsidised supply if applicable), (ii) disease recurrence/progression</w:t>
            </w:r>
          </w:p>
        </w:tc>
      </w:tr>
      <w:tr w:rsidR="004F0E49" w:rsidRPr="00DB3D39" w14:paraId="5E3BB8F7" w14:textId="0AACB185" w:rsidTr="00EA48D9">
        <w:trPr>
          <w:cantSplit/>
          <w:trHeight w:val="20"/>
        </w:trPr>
        <w:tc>
          <w:tcPr>
            <w:tcW w:w="5000" w:type="pct"/>
            <w:vAlign w:val="center"/>
          </w:tcPr>
          <w:p w14:paraId="2576EBAB" w14:textId="3BD2379F" w:rsidR="004F0E49" w:rsidRPr="00DB3D39" w:rsidRDefault="004F0E49" w:rsidP="00E865D9">
            <w:pPr>
              <w:pStyle w:val="TableText0"/>
              <w:keepNext w:val="0"/>
              <w:keepLines w:val="0"/>
              <w:widowControl w:val="0"/>
              <w:rPr>
                <w:szCs w:val="20"/>
              </w:rPr>
            </w:pPr>
            <w:r w:rsidRPr="00DB3D39">
              <w:rPr>
                <w:szCs w:val="20"/>
              </w:rPr>
              <w:lastRenderedPageBreak/>
              <w:t>AND</w:t>
            </w:r>
          </w:p>
        </w:tc>
      </w:tr>
      <w:tr w:rsidR="004F0E49" w:rsidRPr="00DB3D39" w14:paraId="4016E4B6" w14:textId="0FD22473" w:rsidTr="00EA48D9">
        <w:trPr>
          <w:cantSplit/>
          <w:trHeight w:val="20"/>
        </w:trPr>
        <w:tc>
          <w:tcPr>
            <w:tcW w:w="5000" w:type="pct"/>
            <w:vAlign w:val="center"/>
          </w:tcPr>
          <w:p w14:paraId="3433BE43" w14:textId="699B8F37" w:rsidR="004F0E49" w:rsidRPr="00DB3D39" w:rsidRDefault="004F0E49" w:rsidP="00E865D9">
            <w:pPr>
              <w:pStyle w:val="TableText0"/>
              <w:keepNext w:val="0"/>
              <w:keepLines w:val="0"/>
              <w:widowControl w:val="0"/>
              <w:rPr>
                <w:szCs w:val="20"/>
              </w:rPr>
            </w:pPr>
            <w:r w:rsidRPr="00DB3D39">
              <w:rPr>
                <w:rFonts w:cstheme="minorBidi"/>
                <w:color w:val="333333"/>
                <w:szCs w:val="20"/>
              </w:rPr>
              <w:t>The treatment must not be in combination with (i)</w:t>
            </w:r>
            <w:r w:rsidR="00E25D3B" w:rsidRPr="00DB3D39">
              <w:rPr>
                <w:rFonts w:cstheme="minorBidi"/>
                <w:color w:val="333333"/>
                <w:szCs w:val="20"/>
              </w:rPr>
              <w:t xml:space="preserve"> </w:t>
            </w:r>
            <w:r w:rsidRPr="00DB3D39">
              <w:rPr>
                <w:rFonts w:cstheme="minorBidi"/>
                <w:color w:val="333333"/>
                <w:szCs w:val="20"/>
              </w:rPr>
              <w:t>abemaciclib, (ii)</w:t>
            </w:r>
            <w:r w:rsidR="00E25D3B" w:rsidRPr="00DB3D39">
              <w:rPr>
                <w:rFonts w:cstheme="minorBidi"/>
                <w:color w:val="333333"/>
                <w:szCs w:val="20"/>
              </w:rPr>
              <w:t xml:space="preserve"> </w:t>
            </w:r>
            <w:r w:rsidRPr="00DB3D39">
              <w:rPr>
                <w:rFonts w:cstheme="minorBidi"/>
                <w:color w:val="333333"/>
                <w:szCs w:val="20"/>
              </w:rPr>
              <w:t>olaparib, (iii)</w:t>
            </w:r>
            <w:r w:rsidR="00E25D3B" w:rsidRPr="00DB3D39">
              <w:rPr>
                <w:rFonts w:cstheme="minorBidi"/>
                <w:color w:val="333333"/>
                <w:szCs w:val="20"/>
              </w:rPr>
              <w:t xml:space="preserve"> </w:t>
            </w:r>
            <w:r w:rsidRPr="00DB3D39">
              <w:rPr>
                <w:rFonts w:cstheme="minorBidi"/>
                <w:color w:val="333333"/>
                <w:szCs w:val="20"/>
              </w:rPr>
              <w:t>pembrolizumab</w:t>
            </w:r>
          </w:p>
        </w:tc>
      </w:tr>
      <w:tr w:rsidR="004F0E49" w:rsidRPr="00DB3D39" w14:paraId="3EF42EF9" w14:textId="68C4A70C" w:rsidTr="00EA48D9">
        <w:trPr>
          <w:cantSplit/>
          <w:trHeight w:val="20"/>
        </w:trPr>
        <w:tc>
          <w:tcPr>
            <w:tcW w:w="5000" w:type="pct"/>
            <w:vAlign w:val="center"/>
          </w:tcPr>
          <w:p w14:paraId="4950E1D3" w14:textId="527B8C5D" w:rsidR="004F0E49" w:rsidRPr="00DB3D39" w:rsidRDefault="004F0E49" w:rsidP="00E865D9">
            <w:pPr>
              <w:pStyle w:val="TableText0"/>
              <w:keepNext w:val="0"/>
              <w:keepLines w:val="0"/>
              <w:widowControl w:val="0"/>
              <w:rPr>
                <w:szCs w:val="20"/>
              </w:rPr>
            </w:pPr>
            <w:r w:rsidRPr="00DB3D39">
              <w:rPr>
                <w:szCs w:val="20"/>
              </w:rPr>
              <w:t>AND</w:t>
            </w:r>
          </w:p>
        </w:tc>
      </w:tr>
      <w:tr w:rsidR="004F0E49" w:rsidRPr="00DB3D39" w14:paraId="74249650" w14:textId="44F36B94" w:rsidTr="00EA48D9">
        <w:trPr>
          <w:cantSplit/>
          <w:trHeight w:val="20"/>
        </w:trPr>
        <w:tc>
          <w:tcPr>
            <w:tcW w:w="5000" w:type="pct"/>
            <w:vAlign w:val="center"/>
          </w:tcPr>
          <w:p w14:paraId="38BADFB3" w14:textId="281B936C" w:rsidR="004F0E49" w:rsidRPr="00DB3D39" w:rsidRDefault="004F0E49" w:rsidP="00E865D9">
            <w:pPr>
              <w:pStyle w:val="TableText0"/>
              <w:keepNext w:val="0"/>
              <w:keepLines w:val="0"/>
              <w:widowControl w:val="0"/>
              <w:rPr>
                <w:b/>
                <w:bCs w:val="0"/>
                <w:szCs w:val="20"/>
              </w:rPr>
            </w:pPr>
            <w:r w:rsidRPr="00DB3D39">
              <w:rPr>
                <w:b/>
                <w:bCs w:val="0"/>
                <w:szCs w:val="20"/>
              </w:rPr>
              <w:t>Treatment criteria:</w:t>
            </w:r>
          </w:p>
        </w:tc>
      </w:tr>
      <w:tr w:rsidR="004F0E49" w:rsidRPr="00DB3D39" w14:paraId="45507B8A" w14:textId="2357F912" w:rsidTr="00EA48D9">
        <w:trPr>
          <w:cantSplit/>
          <w:trHeight w:val="20"/>
        </w:trPr>
        <w:tc>
          <w:tcPr>
            <w:tcW w:w="5000" w:type="pct"/>
            <w:vAlign w:val="center"/>
            <w:hideMark/>
          </w:tcPr>
          <w:p w14:paraId="3AA7756C" w14:textId="5C4377CE" w:rsidR="004F0E49" w:rsidRPr="00DB3D39" w:rsidRDefault="004F0E49" w:rsidP="00E865D9">
            <w:pPr>
              <w:pStyle w:val="TableText0"/>
              <w:keepNext w:val="0"/>
              <w:keepLines w:val="0"/>
              <w:widowControl w:val="0"/>
              <w:rPr>
                <w:szCs w:val="20"/>
              </w:rPr>
            </w:pPr>
            <w:r w:rsidRPr="00DB3D39">
              <w:rPr>
                <w:rFonts w:eastAsiaTheme="minorHAnsi" w:cs="Arial Narrow"/>
                <w:szCs w:val="20"/>
                <w:lang w:eastAsia="en-US"/>
              </w:rPr>
              <w:t>Patient must be undergoing concurrent treatment with a non-steroidal aromatase inhibitor where this drug is being prescribed as a PBS-benefit</w:t>
            </w:r>
          </w:p>
        </w:tc>
      </w:tr>
      <w:tr w:rsidR="004F0E49" w:rsidRPr="00DB3D39" w14:paraId="09D1BE02" w14:textId="3F8977F8" w:rsidTr="00EA48D9">
        <w:trPr>
          <w:cantSplit/>
          <w:trHeight w:val="20"/>
        </w:trPr>
        <w:tc>
          <w:tcPr>
            <w:tcW w:w="5000" w:type="pct"/>
            <w:vAlign w:val="center"/>
            <w:hideMark/>
          </w:tcPr>
          <w:p w14:paraId="3BA025AA" w14:textId="1E51B495" w:rsidR="004F0E49" w:rsidRPr="00DB3D39" w:rsidRDefault="004F0E49" w:rsidP="00E865D9">
            <w:pPr>
              <w:pStyle w:val="TableText0"/>
              <w:keepNext w:val="0"/>
              <w:keepLines w:val="0"/>
              <w:widowControl w:val="0"/>
              <w:rPr>
                <w:szCs w:val="20"/>
              </w:rPr>
            </w:pPr>
            <w:r w:rsidRPr="00DB3D39">
              <w:rPr>
                <w:b/>
                <w:szCs w:val="20"/>
              </w:rPr>
              <w:t xml:space="preserve">Prescribing Instructions: </w:t>
            </w:r>
            <w:r w:rsidRPr="00DB3D39">
              <w:rPr>
                <w:rFonts w:cstheme="minorBidi"/>
                <w:color w:val="333333"/>
                <w:szCs w:val="20"/>
              </w:rPr>
              <w:t>Retain all pathology imaging and investigative test results in the patient’s medical records.</w:t>
            </w:r>
          </w:p>
        </w:tc>
      </w:tr>
      <w:tr w:rsidR="004F0E49" w:rsidRPr="00DB3D39" w14:paraId="7B055622" w14:textId="3805558C" w:rsidTr="00EA48D9">
        <w:trPr>
          <w:cantSplit/>
          <w:trHeight w:val="20"/>
        </w:trPr>
        <w:tc>
          <w:tcPr>
            <w:tcW w:w="5000" w:type="pct"/>
            <w:vAlign w:val="center"/>
          </w:tcPr>
          <w:p w14:paraId="7CBD08BE" w14:textId="7A054A6E" w:rsidR="004F0E49" w:rsidRPr="00DB3D39" w:rsidRDefault="004F0E49" w:rsidP="00E865D9">
            <w:pPr>
              <w:pStyle w:val="TableText0"/>
              <w:keepNext w:val="0"/>
              <w:keepLines w:val="0"/>
              <w:widowControl w:val="0"/>
              <w:rPr>
                <w:b/>
                <w:szCs w:val="20"/>
              </w:rPr>
            </w:pPr>
            <w:r w:rsidRPr="00DB3D39">
              <w:rPr>
                <w:rFonts w:cstheme="minorBidi"/>
                <w:b/>
                <w:color w:val="333333"/>
                <w:szCs w:val="20"/>
              </w:rPr>
              <w:t xml:space="preserve">Administrative Advice: </w:t>
            </w:r>
            <w:r w:rsidRPr="00DB3D39">
              <w:rPr>
                <w:rFonts w:cstheme="minorBidi"/>
                <w:color w:val="333333"/>
                <w:szCs w:val="20"/>
              </w:rPr>
              <w:t>Non-steroidal aromatase inhibitors for the purposes of this restriction are anastrozole and letrozole.</w:t>
            </w:r>
          </w:p>
        </w:tc>
      </w:tr>
      <w:tr w:rsidR="004F0E49" w:rsidRPr="00DB3D39" w14:paraId="51695D8A" w14:textId="5598558D" w:rsidTr="00EA48D9">
        <w:trPr>
          <w:cantSplit/>
          <w:trHeight w:val="20"/>
        </w:trPr>
        <w:tc>
          <w:tcPr>
            <w:tcW w:w="5000" w:type="pct"/>
            <w:vAlign w:val="center"/>
          </w:tcPr>
          <w:p w14:paraId="16C652F6" w14:textId="392EDB1A" w:rsidR="004F0E49" w:rsidRPr="00DB3D39" w:rsidRDefault="004F0E49" w:rsidP="00E865D9">
            <w:pPr>
              <w:pStyle w:val="TableText0"/>
              <w:keepNext w:val="0"/>
              <w:keepLines w:val="0"/>
              <w:widowControl w:val="0"/>
              <w:rPr>
                <w:b/>
                <w:szCs w:val="20"/>
              </w:rPr>
            </w:pPr>
            <w:r w:rsidRPr="00DB3D39">
              <w:rPr>
                <w:rFonts w:cstheme="minorBidi"/>
                <w:b/>
                <w:color w:val="333333"/>
                <w:szCs w:val="20"/>
              </w:rPr>
              <w:t xml:space="preserve">Administrative Advice: </w:t>
            </w:r>
            <w:r w:rsidRPr="00DB3D39">
              <w:rPr>
                <w:rFonts w:cstheme="minorBidi"/>
                <w:color w:val="333333"/>
                <w:szCs w:val="20"/>
              </w:rPr>
              <w:t>No increase in the maximum quantity or number of units may be authorised.</w:t>
            </w:r>
          </w:p>
        </w:tc>
      </w:tr>
      <w:tr w:rsidR="004F0E49" w:rsidRPr="00DB3D39" w14:paraId="0AAD3C89" w14:textId="11BD3217" w:rsidTr="00EA48D9">
        <w:trPr>
          <w:cantSplit/>
          <w:trHeight w:val="20"/>
        </w:trPr>
        <w:tc>
          <w:tcPr>
            <w:tcW w:w="5000" w:type="pct"/>
            <w:vAlign w:val="center"/>
          </w:tcPr>
          <w:p w14:paraId="52365D7C" w14:textId="31652EB2" w:rsidR="004F0E49" w:rsidRPr="00DB3D39" w:rsidRDefault="004F0E49" w:rsidP="00E865D9">
            <w:pPr>
              <w:pStyle w:val="TableText0"/>
              <w:keepNext w:val="0"/>
              <w:keepLines w:val="0"/>
              <w:widowControl w:val="0"/>
              <w:rPr>
                <w:b/>
                <w:szCs w:val="20"/>
              </w:rPr>
            </w:pPr>
            <w:r w:rsidRPr="00DB3D39">
              <w:rPr>
                <w:rFonts w:cstheme="minorBidi"/>
                <w:b/>
                <w:color w:val="333333"/>
                <w:szCs w:val="20"/>
              </w:rPr>
              <w:t>Administrative Advice:</w:t>
            </w:r>
            <w:r w:rsidRPr="00DB3D39">
              <w:rPr>
                <w:rFonts w:cstheme="minorBidi"/>
                <w:color w:val="333333"/>
                <w:szCs w:val="20"/>
              </w:rPr>
              <w:t xml:space="preserve"> No increase in the maximum number of repeats may be authorised.</w:t>
            </w:r>
          </w:p>
        </w:tc>
      </w:tr>
      <w:tr w:rsidR="004F0E49" w:rsidRPr="00DB3D39" w14:paraId="7082AA53" w14:textId="0E75AABA" w:rsidTr="00EA48D9">
        <w:trPr>
          <w:cantSplit/>
          <w:trHeight w:val="20"/>
        </w:trPr>
        <w:tc>
          <w:tcPr>
            <w:tcW w:w="5000" w:type="pct"/>
            <w:vAlign w:val="center"/>
          </w:tcPr>
          <w:p w14:paraId="32F8091F" w14:textId="2607A5F0" w:rsidR="004F0E49" w:rsidRPr="00DB3D39" w:rsidRDefault="004F0E49" w:rsidP="00E865D9">
            <w:pPr>
              <w:pStyle w:val="TableText0"/>
              <w:keepNext w:val="0"/>
              <w:keepLines w:val="0"/>
              <w:widowControl w:val="0"/>
              <w:rPr>
                <w:b/>
                <w:szCs w:val="20"/>
              </w:rPr>
            </w:pPr>
            <w:r w:rsidRPr="00DB3D39">
              <w:rPr>
                <w:rFonts w:cstheme="minorBidi"/>
                <w:b/>
                <w:color w:val="333333"/>
                <w:szCs w:val="20"/>
              </w:rPr>
              <w:t>Administrative Advice:</w:t>
            </w:r>
            <w:r w:rsidRPr="00DB3D39">
              <w:rPr>
                <w:rFonts w:cstheme="minorBidi"/>
                <w:color w:val="333333"/>
                <w:szCs w:val="20"/>
              </w:rPr>
              <w:t xml:space="preserve"> Special Pricing Arrangements apply.</w:t>
            </w:r>
          </w:p>
        </w:tc>
      </w:tr>
      <w:tr w:rsidR="004F0E49" w:rsidRPr="00DB3D39" w14:paraId="5A0F6D0C" w14:textId="6E647194" w:rsidTr="00EA48D9">
        <w:trPr>
          <w:cantSplit/>
          <w:trHeight w:val="20"/>
        </w:trPr>
        <w:tc>
          <w:tcPr>
            <w:tcW w:w="5000" w:type="pct"/>
            <w:vAlign w:val="center"/>
          </w:tcPr>
          <w:p w14:paraId="5FCD179B" w14:textId="2E82E3A8" w:rsidR="004F0E49" w:rsidRPr="00DB3D39" w:rsidRDefault="004F0E49" w:rsidP="00E865D9">
            <w:pPr>
              <w:pStyle w:val="TableText0"/>
              <w:keepNext w:val="0"/>
              <w:keepLines w:val="0"/>
              <w:widowControl w:val="0"/>
              <w:rPr>
                <w:b/>
                <w:szCs w:val="20"/>
              </w:rPr>
            </w:pPr>
            <w:r w:rsidRPr="00DB3D39">
              <w:rPr>
                <w:rFonts w:cstheme="minorBidi"/>
                <w:b/>
                <w:color w:val="333333"/>
                <w:szCs w:val="20"/>
              </w:rPr>
              <w:t xml:space="preserve">Administrative Advice: </w:t>
            </w:r>
            <w:r w:rsidRPr="00DB3D39">
              <w:rPr>
                <w:rFonts w:cstheme="minorBidi"/>
                <w:color w:val="333333"/>
                <w:szCs w:val="20"/>
              </w:rPr>
              <w:t>Applications for authorisation under this restriction may be made in real time using the Online PBS Authorities system (see www.servicesaustralia.gov.au/HPOS) or by telephone by contacting Services Australia on 1800 888 333.</w:t>
            </w:r>
          </w:p>
        </w:tc>
      </w:tr>
      <w:tr w:rsidR="004F0E49" w:rsidRPr="00DB3D39" w14:paraId="0CA84AC6" w14:textId="5FE6A605" w:rsidTr="00EA48D9">
        <w:trPr>
          <w:cantSplit/>
          <w:trHeight w:val="20"/>
        </w:trPr>
        <w:tc>
          <w:tcPr>
            <w:tcW w:w="5000" w:type="pct"/>
            <w:vAlign w:val="center"/>
            <w:hideMark/>
          </w:tcPr>
          <w:p w14:paraId="1CD75A1A" w14:textId="16694772" w:rsidR="004F0E49" w:rsidRPr="00DB3D39" w:rsidRDefault="004F0E49" w:rsidP="00E865D9">
            <w:pPr>
              <w:pStyle w:val="TableText0"/>
              <w:keepNext w:val="0"/>
              <w:keepLines w:val="0"/>
              <w:widowControl w:val="0"/>
              <w:rPr>
                <w:szCs w:val="20"/>
              </w:rPr>
            </w:pPr>
            <w:r w:rsidRPr="00DB3D39">
              <w:rPr>
                <w:b/>
                <w:szCs w:val="20"/>
              </w:rPr>
              <w:t>Caution:</w:t>
            </w:r>
            <w:r w:rsidRPr="00DB3D39">
              <w:rPr>
                <w:szCs w:val="20"/>
              </w:rPr>
              <w:t xml:space="preserve"> QT interval monitoring is required for patients treated with this drug.</w:t>
            </w:r>
          </w:p>
        </w:tc>
      </w:tr>
    </w:tbl>
    <w:p w14:paraId="2F4951AB" w14:textId="66BA186E" w:rsidR="003E308C" w:rsidRPr="00DB3D39" w:rsidRDefault="003E308C" w:rsidP="003E308C">
      <w:pPr>
        <w:pStyle w:val="TableFigureFooter"/>
      </w:pPr>
      <w:r w:rsidRPr="00DB3D39">
        <w:t>Source table 1.4-2, pp43-44 of the submission.</w:t>
      </w:r>
    </w:p>
    <w:p w14:paraId="2ACEC864" w14:textId="439F5F23" w:rsidR="003E308C" w:rsidRPr="00DB3D39" w:rsidRDefault="003E308C" w:rsidP="003E308C">
      <w:pPr>
        <w:pStyle w:val="TableFigureFooter"/>
      </w:pPr>
      <w:r w:rsidRPr="00DB3D39">
        <w:t>cm = centimetre, HER2 = human epidermal growth factor receptor 2, PBS = Pharmaceutical Benefits Scheme.</w:t>
      </w:r>
    </w:p>
    <w:p w14:paraId="59EA71CD" w14:textId="1D256BEB" w:rsidR="00D30D5B" w:rsidRPr="008A6A81" w:rsidRDefault="00460B36" w:rsidP="00B54695">
      <w:pPr>
        <w:pStyle w:val="3-BodyText"/>
        <w:rPr>
          <w:rFonts w:cs="Calibri"/>
          <w:bCs/>
        </w:rPr>
      </w:pPr>
      <w:r>
        <w:t>In addition to the requested listing, t</w:t>
      </w:r>
      <w:r w:rsidR="00607FB9" w:rsidRPr="00112EE5">
        <w:t>he submission proposed an amended listing</w:t>
      </w:r>
      <w:r w:rsidR="0009544D" w:rsidRPr="00112EE5">
        <w:t xml:space="preserve"> </w:t>
      </w:r>
      <w:r w:rsidR="00C5144D" w:rsidRPr="00112EE5">
        <w:t xml:space="preserve">for </w:t>
      </w:r>
      <w:r w:rsidR="00D433F2" w:rsidRPr="00112EE5">
        <w:t>ribociclib for HR</w:t>
      </w:r>
      <w:r>
        <w:t>+</w:t>
      </w:r>
      <w:r w:rsidR="00D433F2" w:rsidRPr="00112EE5">
        <w:t>, HER2-, inoperable, locally advanced or metastatic breast cancer</w:t>
      </w:r>
      <w:r w:rsidR="00F85529" w:rsidRPr="00112EE5">
        <w:t xml:space="preserve"> (not shown here). </w:t>
      </w:r>
      <w:r w:rsidR="00604BED" w:rsidRPr="00112EE5">
        <w:t xml:space="preserve">The amended listing is </w:t>
      </w:r>
      <w:r w:rsidR="00450E64" w:rsidRPr="00112EE5">
        <w:t>discussed below (</w:t>
      </w:r>
      <w:r w:rsidR="003A13C6">
        <w:t xml:space="preserve">see </w:t>
      </w:r>
      <w:r w:rsidR="00002B5D" w:rsidRPr="003A13C6">
        <w:t xml:space="preserve">paragraph </w:t>
      </w:r>
      <w:r w:rsidR="002F3BA6" w:rsidRPr="003A13C6">
        <w:fldChar w:fldCharType="begin" w:fldLock="1"/>
      </w:r>
      <w:r w:rsidR="002F3BA6" w:rsidRPr="003A13C6">
        <w:instrText xml:space="preserve"> REF _Ref176872648 \r \h </w:instrText>
      </w:r>
      <w:r w:rsidR="003A13C6">
        <w:instrText xml:space="preserve"> \* MERGEFORMAT </w:instrText>
      </w:r>
      <w:r w:rsidR="002F3BA6" w:rsidRPr="003A13C6">
        <w:fldChar w:fldCharType="separate"/>
      </w:r>
      <w:r w:rsidR="002F3BA6" w:rsidRPr="003A13C6">
        <w:t>3.</w:t>
      </w:r>
      <w:r w:rsidR="003A13C6" w:rsidRPr="003A13C6">
        <w:t>6</w:t>
      </w:r>
      <w:r w:rsidR="002F3BA6" w:rsidRPr="003A13C6">
        <w:fldChar w:fldCharType="end"/>
      </w:r>
      <w:r w:rsidR="00450E64" w:rsidRPr="008A6A81">
        <w:t>)</w:t>
      </w:r>
      <w:r w:rsidR="00604BED" w:rsidRPr="008A6A81">
        <w:t>.</w:t>
      </w:r>
    </w:p>
    <w:p w14:paraId="121CBEA3" w14:textId="36E088BC" w:rsidR="00D32331" w:rsidRPr="00DB3D39" w:rsidRDefault="00D32331" w:rsidP="007C073C">
      <w:pPr>
        <w:pStyle w:val="3-BodyText"/>
      </w:pPr>
      <w:r w:rsidRPr="00DB3D39">
        <w:t xml:space="preserve">The </w:t>
      </w:r>
      <w:r w:rsidR="009517BA" w:rsidRPr="00DB3D39">
        <w:t>evaluation</w:t>
      </w:r>
      <w:r w:rsidR="00895EE3" w:rsidRPr="00DB3D39">
        <w:t xml:space="preserve"> corrected the </w:t>
      </w:r>
      <w:r w:rsidRPr="00DB3D39">
        <w:t>submission</w:t>
      </w:r>
      <w:r w:rsidR="006E7FEA" w:rsidRPr="00DB3D39">
        <w:t>’s</w:t>
      </w:r>
      <w:r w:rsidRPr="00DB3D39">
        <w:t xml:space="preserve"> proposed published</w:t>
      </w:r>
      <w:r w:rsidR="00F800A7" w:rsidRPr="00DB3D39">
        <w:t xml:space="preserve"> dispensed </w:t>
      </w:r>
      <w:r w:rsidR="00CD3D41" w:rsidRPr="00DB3D39">
        <w:t xml:space="preserve">price for </w:t>
      </w:r>
      <w:r w:rsidR="00F800A7" w:rsidRPr="00DB3D39">
        <w:t>maximum quantity</w:t>
      </w:r>
      <w:r w:rsidRPr="00DB3D39">
        <w:t xml:space="preserve"> (DPMQ) </w:t>
      </w:r>
      <w:r w:rsidR="006E7FEA" w:rsidRPr="00DB3D39">
        <w:t xml:space="preserve">based on the </w:t>
      </w:r>
      <w:r w:rsidR="00633D27" w:rsidRPr="00DB3D39">
        <w:t>AEMP</w:t>
      </w:r>
      <w:r w:rsidR="009517BA" w:rsidRPr="00DB3D39">
        <w:t xml:space="preserve">. The corrected DPMQ </w:t>
      </w:r>
      <w:r w:rsidR="004F40A7" w:rsidRPr="00DB3D39">
        <w:t>is</w:t>
      </w:r>
      <w:r w:rsidRPr="00DB3D39">
        <w:t xml:space="preserve"> $</w:t>
      </w:r>
      <w:r w:rsidR="003B7595" w:rsidRPr="00DB3D39">
        <w:t>2,016.02</w:t>
      </w:r>
      <w:r w:rsidRPr="00DB3D39">
        <w:t xml:space="preserve"> per pack of 21 tablets, and $</w:t>
      </w:r>
      <w:r w:rsidR="003B7595" w:rsidRPr="00DB3D39">
        <w:t>3,878.24</w:t>
      </w:r>
      <w:r w:rsidRPr="00DB3D39">
        <w:t xml:space="preserve"> for the pack of 42 tablets. </w:t>
      </w:r>
      <w:r w:rsidR="004F0E49" w:rsidRPr="00DB3D39">
        <w:t>The submission did not propose an effective price,</w:t>
      </w:r>
      <w:r w:rsidR="00E1707F" w:rsidRPr="00DB3D39">
        <w:t xml:space="preserve"> noting that the comparator abemaciclib has a Special Pricing Arrangement (SPA)</w:t>
      </w:r>
      <w:r w:rsidR="00AE3DFE" w:rsidRPr="00DB3D39">
        <w:t>;</w:t>
      </w:r>
      <w:r w:rsidR="004F0E49" w:rsidRPr="00DB3D39">
        <w:t xml:space="preserve"> the sponsor indicated their intent </w:t>
      </w:r>
      <w:r w:rsidR="00D340F7">
        <w:t>for the SPA for ribociclib to be based on the CMA</w:t>
      </w:r>
      <w:r w:rsidRPr="00DB3D39">
        <w:t>.</w:t>
      </w:r>
    </w:p>
    <w:p w14:paraId="16606EFD" w14:textId="77090BFD" w:rsidR="00941E13" w:rsidRPr="00941E13" w:rsidRDefault="004F0E49" w:rsidP="007C073C">
      <w:pPr>
        <w:pStyle w:val="3-BodyText"/>
        <w:rPr>
          <w:iCs/>
        </w:rPr>
      </w:pPr>
      <w:bookmarkStart w:id="12" w:name="_Hlk177463576"/>
      <w:r w:rsidRPr="00DB3D39">
        <w:t>The requested restriction was consistent with the evidence presented in</w:t>
      </w:r>
      <w:r w:rsidR="00C07E4A" w:rsidRPr="00DB3D39">
        <w:t xml:space="preserve"> the submission</w:t>
      </w:r>
      <w:r w:rsidRPr="00DB3D39">
        <w:t xml:space="preserve"> and the existing PBS listing for abemaciclib, with the exception</w:t>
      </w:r>
      <w:r w:rsidR="00266CDC">
        <w:t xml:space="preserve"> that</w:t>
      </w:r>
      <w:r w:rsidRPr="00DB3D39">
        <w:t xml:space="preserve">: </w:t>
      </w:r>
    </w:p>
    <w:p w14:paraId="63A4648C" w14:textId="40DF054F" w:rsidR="00941E13" w:rsidRPr="00B54695" w:rsidRDefault="004F0E49" w:rsidP="00F43B37">
      <w:pPr>
        <w:pStyle w:val="ListParagraph"/>
      </w:pPr>
      <w:r w:rsidRPr="00B54695">
        <w:rPr>
          <w:rStyle w:val="ListParagraphChar"/>
        </w:rPr>
        <w:t>it exclude</w:t>
      </w:r>
      <w:r w:rsidR="003A13C6" w:rsidRPr="00B54695">
        <w:rPr>
          <w:rStyle w:val="ListParagraphChar"/>
        </w:rPr>
        <w:t>d</w:t>
      </w:r>
      <w:r w:rsidRPr="00B54695">
        <w:rPr>
          <w:rStyle w:val="ListParagraphChar"/>
        </w:rPr>
        <w:t xml:space="preserve"> tamoxifen (</w:t>
      </w:r>
      <w:r w:rsidR="00F434AE" w:rsidRPr="00B54695">
        <w:rPr>
          <w:rStyle w:val="ListParagraphChar"/>
        </w:rPr>
        <w:t xml:space="preserve">an </w:t>
      </w:r>
      <w:r w:rsidRPr="00B54695">
        <w:rPr>
          <w:rStyle w:val="ListParagraphChar"/>
        </w:rPr>
        <w:t>anti-oestrogen</w:t>
      </w:r>
      <w:r w:rsidR="00F434AE" w:rsidRPr="00B54695">
        <w:rPr>
          <w:rStyle w:val="ListParagraphChar"/>
        </w:rPr>
        <w:t xml:space="preserve"> </w:t>
      </w:r>
      <w:r w:rsidR="00375640" w:rsidRPr="00B54695">
        <w:rPr>
          <w:rStyle w:val="ListParagraphChar"/>
        </w:rPr>
        <w:t>that</w:t>
      </w:r>
      <w:r w:rsidR="00F434AE" w:rsidRPr="00B54695">
        <w:rPr>
          <w:rStyle w:val="ListParagraphChar"/>
        </w:rPr>
        <w:t xml:space="preserve"> may be used in men and </w:t>
      </w:r>
      <w:r w:rsidR="00DE43BE" w:rsidRPr="00B54695">
        <w:rPr>
          <w:rStyle w:val="ListParagraphChar"/>
        </w:rPr>
        <w:t xml:space="preserve">both </w:t>
      </w:r>
      <w:r w:rsidR="00F434AE" w:rsidRPr="00B54695">
        <w:rPr>
          <w:rStyle w:val="ListParagraphChar"/>
        </w:rPr>
        <w:t>pre-</w:t>
      </w:r>
      <w:r w:rsidR="00DE43BE" w:rsidRPr="00B54695">
        <w:rPr>
          <w:rStyle w:val="ListParagraphChar"/>
        </w:rPr>
        <w:t xml:space="preserve"> and post-</w:t>
      </w:r>
      <w:r w:rsidR="00F434AE" w:rsidRPr="00B54695">
        <w:rPr>
          <w:rStyle w:val="ListParagraphChar"/>
        </w:rPr>
        <w:t>menopausal women</w:t>
      </w:r>
      <w:r w:rsidRPr="00B54695">
        <w:rPr>
          <w:rStyle w:val="ListParagraphChar"/>
        </w:rPr>
        <w:t xml:space="preserve">) as a possible ET, due to a potential increased risk of QT prolongation </w:t>
      </w:r>
      <w:r w:rsidR="002809A9" w:rsidRPr="00B54695">
        <w:rPr>
          <w:rStyle w:val="ListParagraphChar"/>
        </w:rPr>
        <w:t>when co-administered with ribociclib</w:t>
      </w:r>
      <w:r w:rsidRPr="00B54695">
        <w:t xml:space="preserve">; </w:t>
      </w:r>
    </w:p>
    <w:p w14:paraId="64171F93" w14:textId="2B72ADDB" w:rsidR="00941E13" w:rsidRDefault="00153F17" w:rsidP="00F43B37">
      <w:pPr>
        <w:pStyle w:val="ListParagraph"/>
      </w:pPr>
      <w:r w:rsidRPr="00DB3D39">
        <w:t xml:space="preserve">it </w:t>
      </w:r>
      <w:r w:rsidR="004F0E49" w:rsidRPr="00DB3D39">
        <w:t>request</w:t>
      </w:r>
      <w:r w:rsidR="003A13C6">
        <w:t>ed</w:t>
      </w:r>
      <w:r w:rsidR="004F0E49" w:rsidRPr="00DB3D39">
        <w:t xml:space="preserve"> a longer </w:t>
      </w:r>
      <w:r w:rsidR="00266CDC" w:rsidRPr="00DB3D39">
        <w:t>time</w:t>
      </w:r>
      <w:r w:rsidR="004F0E49" w:rsidRPr="00DB3D39">
        <w:t xml:space="preserve"> (12 months compared to 6 months) between initiation of adjuvant ET and ribociclib</w:t>
      </w:r>
      <w:r w:rsidR="005343FD" w:rsidRPr="00DB3D39">
        <w:t xml:space="preserve">; and </w:t>
      </w:r>
    </w:p>
    <w:p w14:paraId="3F5A04A4" w14:textId="18B612D0" w:rsidR="00941E13" w:rsidRDefault="001A6FA5" w:rsidP="00F43B37">
      <w:pPr>
        <w:pStyle w:val="ListParagraph"/>
      </w:pPr>
      <w:r w:rsidRPr="00DB3D39">
        <w:t xml:space="preserve">it </w:t>
      </w:r>
      <w:r w:rsidR="00B96903" w:rsidRPr="00DB3D39">
        <w:t>d</w:t>
      </w:r>
      <w:r w:rsidR="003A13C6">
        <w:t>id</w:t>
      </w:r>
      <w:r w:rsidR="00B96903" w:rsidRPr="00DB3D39">
        <w:t xml:space="preserve"> not</w:t>
      </w:r>
      <w:r w:rsidR="00C07E4A" w:rsidRPr="00DB3D39">
        <w:t xml:space="preserve"> include</w:t>
      </w:r>
      <w:r w:rsidR="003255A7" w:rsidRPr="00DB3D39">
        <w:t xml:space="preserve"> </w:t>
      </w:r>
      <w:r w:rsidR="00696324">
        <w:t>a</w:t>
      </w:r>
      <w:r w:rsidR="003255A7" w:rsidRPr="00DB3D39">
        <w:t xml:space="preserve"> </w:t>
      </w:r>
      <w:r w:rsidR="000E4EA9" w:rsidRPr="00DB3D39">
        <w:t xml:space="preserve">requirement for </w:t>
      </w:r>
      <w:r w:rsidR="00050018" w:rsidRPr="00DB3D39">
        <w:t>treatment with CDK4/6 inhibitors to be restricted to one line of therapy at any disease staging for breast cancer</w:t>
      </w:r>
      <w:r w:rsidR="002F3BA6">
        <w:t xml:space="preserve"> (</w:t>
      </w:r>
      <w:r w:rsidR="002F3BA6" w:rsidRPr="003A13C6">
        <w:t xml:space="preserve">see paragraph </w:t>
      </w:r>
      <w:r w:rsidR="002F3BA6" w:rsidRPr="003A13C6">
        <w:fldChar w:fldCharType="begin" w:fldLock="1"/>
      </w:r>
      <w:r w:rsidR="002F3BA6" w:rsidRPr="003A13C6">
        <w:instrText xml:space="preserve"> REF _Ref176872648 \r \h  \* MERGEFORMAT </w:instrText>
      </w:r>
      <w:r w:rsidR="002F3BA6" w:rsidRPr="003A13C6">
        <w:fldChar w:fldCharType="separate"/>
      </w:r>
      <w:r w:rsidR="002F3BA6" w:rsidRPr="003A13C6">
        <w:t>3.</w:t>
      </w:r>
      <w:r w:rsidR="003A13C6" w:rsidRPr="003A13C6">
        <w:t>6</w:t>
      </w:r>
      <w:r w:rsidR="002F3BA6" w:rsidRPr="003A13C6">
        <w:fldChar w:fldCharType="end"/>
      </w:r>
      <w:r w:rsidR="002F3BA6">
        <w:t xml:space="preserve"> below)</w:t>
      </w:r>
      <w:r w:rsidR="004F0E49" w:rsidRPr="00DB3D39">
        <w:t>.</w:t>
      </w:r>
    </w:p>
    <w:p w14:paraId="62B10803" w14:textId="159B9068" w:rsidR="0013637E" w:rsidRPr="00112EE5" w:rsidRDefault="004F0E49" w:rsidP="007C073C">
      <w:pPr>
        <w:pStyle w:val="3-BodyText"/>
      </w:pPr>
      <w:r w:rsidRPr="000C077E">
        <w:t>The</w:t>
      </w:r>
      <w:r w:rsidR="00C5624C" w:rsidRPr="000C077E">
        <w:t xml:space="preserve"> evaluation noted that the</w:t>
      </w:r>
      <w:r w:rsidRPr="00112EE5">
        <w:t xml:space="preserve"> proposed PBS listing </w:t>
      </w:r>
      <w:r w:rsidR="00375640">
        <w:t>wa</w:t>
      </w:r>
      <w:r w:rsidRPr="00112EE5">
        <w:t>s narrower than the requested TGA indication</w:t>
      </w:r>
      <w:r w:rsidR="000F1755" w:rsidRPr="00112EE5">
        <w:t xml:space="preserve">, which does not </w:t>
      </w:r>
      <w:r w:rsidR="003C7B4C" w:rsidRPr="00112EE5">
        <w:t xml:space="preserve">refer </w:t>
      </w:r>
      <w:r w:rsidR="00852D87" w:rsidRPr="00112EE5">
        <w:t xml:space="preserve">to </w:t>
      </w:r>
      <w:r w:rsidR="000626C2" w:rsidRPr="00112EE5">
        <w:t xml:space="preserve">lymph node </w:t>
      </w:r>
      <w:r w:rsidR="005876A9" w:rsidRPr="00112EE5">
        <w:t xml:space="preserve">or </w:t>
      </w:r>
      <w:r w:rsidR="008F4E27" w:rsidRPr="00112EE5">
        <w:t>high-risk</w:t>
      </w:r>
      <w:r w:rsidR="005876A9" w:rsidRPr="00112EE5">
        <w:t xml:space="preserve"> status of the disease</w:t>
      </w:r>
      <w:r w:rsidRPr="00112EE5">
        <w:t>.</w:t>
      </w:r>
      <w:bookmarkEnd w:id="12"/>
    </w:p>
    <w:p w14:paraId="5FD7A6B4" w14:textId="564EBC12" w:rsidR="00485FBD" w:rsidRPr="00865925" w:rsidRDefault="004F0E49" w:rsidP="007C073C">
      <w:pPr>
        <w:pStyle w:val="3-BodyText"/>
        <w:rPr>
          <w:iCs/>
        </w:rPr>
      </w:pPr>
      <w:bookmarkStart w:id="13" w:name="_Ref182842396"/>
      <w:r w:rsidRPr="00DB3D39">
        <w:t xml:space="preserve">In requesting a 12-month window between commencement of ET and ribociclib on the PBS, the submission argued that the NATALEE trial allowed randomisation to ribociclib within 12 months of prior ET. The submission stated this longer window, </w:t>
      </w:r>
      <w:r w:rsidRPr="00DB3D39">
        <w:lastRenderedPageBreak/>
        <w:t>compared with the 6</w:t>
      </w:r>
      <w:r w:rsidR="004E382B">
        <w:t>-</w:t>
      </w:r>
      <w:r w:rsidRPr="00DB3D39">
        <w:t xml:space="preserve">month window applied to abemaciclib, allows clinicians more flexibility in planning and adjusting treatment schedules based on the patient’s initial response to ET, their overall health status, and potential side effects. </w:t>
      </w:r>
      <w:r w:rsidR="00F71385" w:rsidRPr="00865925">
        <w:rPr>
          <w:iCs/>
        </w:rPr>
        <w:t>The</w:t>
      </w:r>
      <w:r w:rsidR="00C5624C" w:rsidRPr="00865925">
        <w:rPr>
          <w:iCs/>
        </w:rPr>
        <w:t xml:space="preserve"> evaluation noted that</w:t>
      </w:r>
      <w:r w:rsidR="00485FBD" w:rsidRPr="00865925">
        <w:rPr>
          <w:iCs/>
        </w:rPr>
        <w:t>:</w:t>
      </w:r>
      <w:bookmarkEnd w:id="13"/>
      <w:r w:rsidR="00F71385" w:rsidRPr="00865925">
        <w:rPr>
          <w:iCs/>
        </w:rPr>
        <w:t xml:space="preserve"> </w:t>
      </w:r>
    </w:p>
    <w:p w14:paraId="2122C867" w14:textId="2591E857" w:rsidR="006338F3" w:rsidRDefault="00763A93" w:rsidP="00F43B37">
      <w:pPr>
        <w:pStyle w:val="ListParagraph"/>
      </w:pPr>
      <w:r w:rsidRPr="002809A9">
        <w:t xml:space="preserve">the </w:t>
      </w:r>
      <w:r w:rsidR="00F71385" w:rsidRPr="002809A9">
        <w:t>mean time to initiate treatment in the intention to treat (ITT) population in the NATALEE trial was</w:t>
      </w:r>
      <w:r w:rsidR="00C5624C" w:rsidRPr="002809A9">
        <w:t xml:space="preserve"> only</w:t>
      </w:r>
      <w:r w:rsidR="00F71385" w:rsidRPr="00112EE5">
        <w:t xml:space="preserve"> 3.5 months (SD: 2.84 months)</w:t>
      </w:r>
      <w:r w:rsidR="006338F3">
        <w:t>;</w:t>
      </w:r>
      <w:r w:rsidR="004F0E49" w:rsidRPr="00112EE5">
        <w:t xml:space="preserve"> </w:t>
      </w:r>
    </w:p>
    <w:p w14:paraId="75E46BC3" w14:textId="7588DA9D" w:rsidR="006338F3" w:rsidRDefault="004F0E49" w:rsidP="00F43B37">
      <w:pPr>
        <w:pStyle w:val="ListParagraph"/>
      </w:pPr>
      <w:r w:rsidRPr="00112EE5">
        <w:t>the ESC previously noted that the requirement for patients to have been treated with ET for no longer than 6 months prior to the initiation of abemaciclib was to minimise the risk of use of abemaciclib in a population for which the cost-effectiveness had not been determined (para</w:t>
      </w:r>
      <w:r w:rsidR="00547542">
        <w:t xml:space="preserve">graph </w:t>
      </w:r>
      <w:r w:rsidRPr="00112EE5">
        <w:t xml:space="preserve">3.3, abemaciclib PSD, November 2023). </w:t>
      </w:r>
    </w:p>
    <w:p w14:paraId="2B9498FC" w14:textId="48900BAF" w:rsidR="004F0E49" w:rsidRPr="00865925" w:rsidRDefault="00485FBD" w:rsidP="007C073C">
      <w:pPr>
        <w:pStyle w:val="3-BodyText"/>
        <w:numPr>
          <w:ilvl w:val="0"/>
          <w:numId w:val="0"/>
        </w:numPr>
        <w:ind w:left="709"/>
      </w:pPr>
      <w:r w:rsidRPr="00865925">
        <w:t xml:space="preserve">The </w:t>
      </w:r>
      <w:r w:rsidR="00375640">
        <w:t>Pre-Sub-Committee Response (</w:t>
      </w:r>
      <w:r w:rsidRPr="00865925">
        <w:t>PSCR</w:t>
      </w:r>
      <w:r w:rsidR="00375640">
        <w:t>)</w:t>
      </w:r>
      <w:r w:rsidRPr="00865925">
        <w:t xml:space="preserve"> stated that aligning the ribociclib restriction with that for abemaciclib does not align with the clinical evidence for ribociclib, as 21.5% of patients in the NATALEE trial commenced ET </w:t>
      </w:r>
      <w:r w:rsidR="009D6723" w:rsidRPr="00865925">
        <w:t>&gt;</w:t>
      </w:r>
      <w:r w:rsidR="007F03CC">
        <w:t> </w:t>
      </w:r>
      <w:r w:rsidRPr="00865925">
        <w:t>6 months prior to randomisation.</w:t>
      </w:r>
      <w:r w:rsidR="00223834">
        <w:t xml:space="preserve"> The pre-PBAC response further stated that ribociclib patients in NATALEE had similar outcomes whether they started ribociclib &lt;</w:t>
      </w:r>
      <w:r w:rsidR="004B6358">
        <w:t> </w:t>
      </w:r>
      <w:r w:rsidR="00223834">
        <w:t>6 months or &gt;</w:t>
      </w:r>
      <w:r w:rsidR="004B6358">
        <w:t> </w:t>
      </w:r>
      <w:r w:rsidR="00223834">
        <w:t xml:space="preserve">6 months after </w:t>
      </w:r>
      <w:r w:rsidR="005571A8">
        <w:t>starting ET</w:t>
      </w:r>
      <w:r w:rsidR="00223834">
        <w:t xml:space="preserve"> and flexibility of timing is important for patients who have had breast reconstruction or have experienced complications following surgery.</w:t>
      </w:r>
      <w:r w:rsidRPr="00865925">
        <w:t xml:space="preserve"> However, the ESC</w:t>
      </w:r>
      <w:r w:rsidR="0045524F">
        <w:t xml:space="preserve"> and the PBAC</w:t>
      </w:r>
      <w:r w:rsidRPr="00865925">
        <w:t xml:space="preserve"> did not consider the clinical evidence supported waiting more than 6 months to start ribociclib as an adjuvant </w:t>
      </w:r>
      <w:r w:rsidR="0078669F" w:rsidRPr="00865925">
        <w:t>therapy and</w:t>
      </w:r>
      <w:r w:rsidR="009D6723" w:rsidRPr="00865925">
        <w:t xml:space="preserve"> noted that 49.4% of patients in the NATALEE trial commenced ET </w:t>
      </w:r>
      <w:bookmarkStart w:id="14" w:name="_Hlk180482588"/>
      <w:r w:rsidR="009D6723" w:rsidRPr="00865925">
        <w:rPr>
          <w:rFonts w:cstheme="minorHAnsi"/>
        </w:rPr>
        <w:t>≤</w:t>
      </w:r>
      <w:r w:rsidR="004B6358">
        <w:rPr>
          <w:rFonts w:cstheme="minorHAnsi"/>
        </w:rPr>
        <w:t> </w:t>
      </w:r>
      <w:r w:rsidR="009D6723" w:rsidRPr="00865925">
        <w:t xml:space="preserve">6 months </w:t>
      </w:r>
      <w:bookmarkEnd w:id="14"/>
      <w:r w:rsidR="009D6723" w:rsidRPr="00865925">
        <w:t>prior to randomisation</w:t>
      </w:r>
      <w:r w:rsidRPr="00865925">
        <w:t xml:space="preserve">. </w:t>
      </w:r>
      <w:r w:rsidR="0045524F">
        <w:t xml:space="preserve">Further, the PBAC </w:t>
      </w:r>
      <w:r w:rsidR="00D631D8">
        <w:t>considered</w:t>
      </w:r>
      <w:r w:rsidR="0045524F">
        <w:t xml:space="preserve"> that in the context of eBC at high risk of recurrence, there is a </w:t>
      </w:r>
      <w:r w:rsidR="00223834">
        <w:t>clinical</w:t>
      </w:r>
      <w:r w:rsidR="0045524F">
        <w:t xml:space="preserve"> imperativ</w:t>
      </w:r>
      <w:r w:rsidR="00223834">
        <w:t>e to start therapy with a CDK4/6 inhibitor</w:t>
      </w:r>
      <w:r w:rsidR="00D631D8">
        <w:t xml:space="preserve"> within 6 months of starting ET. The PBAC noted that an interval of 12 months may have been appropriate in the context of recruiting patients for a clinical trial, but it would not be appropriate in a real-world setting.</w:t>
      </w:r>
    </w:p>
    <w:p w14:paraId="7EBDCCFE" w14:textId="22426DC5" w:rsidR="002349C3" w:rsidRPr="006B4BE1" w:rsidRDefault="00226EF1" w:rsidP="007C073C">
      <w:pPr>
        <w:pStyle w:val="3-BodyText"/>
        <w:rPr>
          <w:b/>
          <w:bCs/>
        </w:rPr>
      </w:pPr>
      <w:bookmarkStart w:id="15" w:name="_Ref176872648"/>
      <w:r>
        <w:t>The PBS restriction for abemaciclib in eBC states: “</w:t>
      </w:r>
      <w:r w:rsidRPr="00226EF1">
        <w:t>PBS-subsidised treatment with CDK 4/6 inhibitors is restricted to one line of therapy at any disease staging for breast cancer (i.e. if therapy has been prescribed for early disease, subsidy under locally advanced or metastatic disease is no longer available).</w:t>
      </w:r>
      <w:r>
        <w:t>”</w:t>
      </w:r>
      <w:r w:rsidRPr="00226EF1">
        <w:t xml:space="preserve"> </w:t>
      </w:r>
      <w:r>
        <w:t>The PB</w:t>
      </w:r>
      <w:r w:rsidR="00815CFB">
        <w:t>S</w:t>
      </w:r>
      <w:r>
        <w:t xml:space="preserve"> restrictions for abemaciclib and ribociclib</w:t>
      </w:r>
      <w:r w:rsidR="00382C08">
        <w:t xml:space="preserve"> in l</w:t>
      </w:r>
      <w:r w:rsidR="00382C08" w:rsidRPr="00382C08">
        <w:t>ocally advanced or metastatic</w:t>
      </w:r>
      <w:r w:rsidR="00382C08">
        <w:t xml:space="preserve"> BC have the same</w:t>
      </w:r>
      <w:r>
        <w:t xml:space="preserve"> state</w:t>
      </w:r>
      <w:r w:rsidR="00382C08">
        <w:t>ment.</w:t>
      </w:r>
      <w:r>
        <w:t xml:space="preserve"> T</w:t>
      </w:r>
      <w:r w:rsidR="004F0E49" w:rsidRPr="000A6023">
        <w:t>he submission</w:t>
      </w:r>
      <w:r>
        <w:t xml:space="preserve"> </w:t>
      </w:r>
      <w:r w:rsidR="000D6F8E">
        <w:t xml:space="preserve">omitted </w:t>
      </w:r>
      <w:r w:rsidR="003A13C6">
        <w:t xml:space="preserve">including </w:t>
      </w:r>
      <w:r w:rsidR="000D6F8E">
        <w:t>this requirement</w:t>
      </w:r>
      <w:r w:rsidR="00815CFB">
        <w:t xml:space="preserve"> in the requested restriction</w:t>
      </w:r>
      <w:r>
        <w:t xml:space="preserve"> for ribociclib in eBC, and</w:t>
      </w:r>
      <w:r w:rsidR="000D6F8E">
        <w:t xml:space="preserve"> furthermore</w:t>
      </w:r>
      <w:r w:rsidR="004F0E49" w:rsidRPr="000A6023">
        <w:t xml:space="preserve"> proposed removing</w:t>
      </w:r>
      <w:r w:rsidR="009A20F5">
        <w:t xml:space="preserve"> </w:t>
      </w:r>
      <w:r w:rsidR="00AA3253">
        <w:t>it</w:t>
      </w:r>
      <w:r w:rsidR="00AA3253" w:rsidRPr="000A6023">
        <w:t xml:space="preserve"> in</w:t>
      </w:r>
      <w:r w:rsidR="00C5196D" w:rsidRPr="000A6023">
        <w:t xml:space="preserve"> the advanced/metastatic setting to allow re</w:t>
      </w:r>
      <w:r w:rsidR="00C14974">
        <w:t>-</w:t>
      </w:r>
      <w:r w:rsidR="00C5196D" w:rsidRPr="000A6023">
        <w:t>treatment with ribociclib.</w:t>
      </w:r>
      <w:r w:rsidR="00C5196D" w:rsidRPr="00DB3D39">
        <w:t xml:space="preserve"> </w:t>
      </w:r>
      <w:r w:rsidR="002349C3" w:rsidRPr="00DB3D39">
        <w:t xml:space="preserve">The </w:t>
      </w:r>
      <w:r w:rsidR="00241124" w:rsidRPr="00DB3D39">
        <w:t xml:space="preserve">submission provided the </w:t>
      </w:r>
      <w:r w:rsidR="002349C3" w:rsidRPr="00DB3D39">
        <w:t>following arguments</w:t>
      </w:r>
      <w:r w:rsidR="006120A7" w:rsidRPr="00DB3D39">
        <w:t xml:space="preserve"> to justify this change</w:t>
      </w:r>
      <w:r w:rsidR="002349C3" w:rsidRPr="00DB3D39">
        <w:t>:</w:t>
      </w:r>
      <w:bookmarkEnd w:id="15"/>
    </w:p>
    <w:p w14:paraId="526E171F" w14:textId="29DF062A" w:rsidR="00241124" w:rsidRPr="00A8747B" w:rsidRDefault="00241124" w:rsidP="00F43B37">
      <w:pPr>
        <w:pStyle w:val="ListParagraph"/>
        <w:rPr>
          <w:i/>
          <w:iCs/>
        </w:rPr>
      </w:pPr>
      <w:r w:rsidRPr="00DB3D39">
        <w:t>Evidence from the</w:t>
      </w:r>
      <w:r w:rsidR="00C5196D" w:rsidRPr="00DB3D39">
        <w:t xml:space="preserve"> postMONARCH trial (Kalinsky et al</w:t>
      </w:r>
      <w:r w:rsidR="00434AA4">
        <w:t>.</w:t>
      </w:r>
      <w:r w:rsidR="00C5196D" w:rsidRPr="00DB3D39">
        <w:t>, 2024)</w:t>
      </w:r>
      <w:r w:rsidR="000F2049" w:rsidRPr="0050176F">
        <w:rPr>
          <w:rStyle w:val="FootnoteReference"/>
          <w:rFonts w:asciiTheme="minorHAnsi" w:hAnsiTheme="minorHAnsi" w:cstheme="minorHAnsi"/>
          <w:sz w:val="24"/>
        </w:rPr>
        <w:footnoteReference w:id="2"/>
      </w:r>
      <w:r w:rsidR="00C5196D" w:rsidRPr="00DB3D39">
        <w:t xml:space="preserve">, a double-blind, placebo-controlled clinical trial that enrolled patients who either relapsed on a </w:t>
      </w:r>
      <w:r w:rsidR="00C5196D" w:rsidRPr="00DB3D39">
        <w:lastRenderedPageBreak/>
        <w:t>CDK4/6 inhibitor plus adjuvant ET for eBC, or who had disease progression on a CDK4/6 inhibitor plus</w:t>
      </w:r>
      <w:r w:rsidR="00AC5FD4">
        <w:t xml:space="preserve"> an aromatase inhibitor</w:t>
      </w:r>
      <w:r w:rsidR="00B74617" w:rsidRPr="00DB3D39">
        <w:t xml:space="preserve"> </w:t>
      </w:r>
      <w:r w:rsidR="00AC5FD4">
        <w:t>(</w:t>
      </w:r>
      <w:r w:rsidR="00C5196D" w:rsidRPr="00DB3D39">
        <w:t>AI</w:t>
      </w:r>
      <w:r w:rsidR="00AC5FD4">
        <w:t>)</w:t>
      </w:r>
      <w:r w:rsidR="00C5196D" w:rsidRPr="00DB3D39">
        <w:t xml:space="preserve"> as first</w:t>
      </w:r>
      <w:r w:rsidR="00A05824">
        <w:t>-</w:t>
      </w:r>
      <w:r w:rsidR="00C5196D" w:rsidRPr="00DB3D39">
        <w:t xml:space="preserve">line treatment for advanced </w:t>
      </w:r>
      <w:r w:rsidR="00B05B83">
        <w:t>breast cancer</w:t>
      </w:r>
      <w:r w:rsidR="00C5196D" w:rsidRPr="00DB3D39">
        <w:t>, showed that patients who received abemaciclib plus fulvestrant</w:t>
      </w:r>
      <w:r w:rsidR="00B04059" w:rsidRPr="00DB3D39">
        <w:t xml:space="preserve"> following disease progression on prior CDK4/6</w:t>
      </w:r>
      <w:r w:rsidR="00FB0D0E" w:rsidRPr="00DB3D39">
        <w:t xml:space="preserve"> </w:t>
      </w:r>
      <w:r w:rsidR="00B04059" w:rsidRPr="00DB3D39">
        <w:t>i</w:t>
      </w:r>
      <w:r w:rsidR="00FB0D0E" w:rsidRPr="00DB3D39">
        <w:t>nhibitor</w:t>
      </w:r>
      <w:r w:rsidR="00B04059" w:rsidRPr="00DB3D39">
        <w:t xml:space="preserve"> </w:t>
      </w:r>
      <w:r w:rsidR="00CB3E05" w:rsidRPr="00DB3D39">
        <w:t>plus adjuvant</w:t>
      </w:r>
      <w:r w:rsidR="00B04059" w:rsidRPr="00DB3D39">
        <w:t xml:space="preserve"> ET</w:t>
      </w:r>
      <w:r w:rsidR="00C5196D" w:rsidRPr="00DB3D39">
        <w:t xml:space="preserve"> had a statistically significant 34% lower risk of disease progression or death compared to those treated with placebo plus fulvestrant</w:t>
      </w:r>
      <w:r w:rsidR="004F0E49" w:rsidRPr="00DB3D39">
        <w:t xml:space="preserve"> (p = 0.01). </w:t>
      </w:r>
      <w:r w:rsidR="00547542" w:rsidRPr="00865925">
        <w:t>The evaluation noted that</w:t>
      </w:r>
      <w:r w:rsidR="003C103C" w:rsidRPr="00865925">
        <w:t xml:space="preserve"> results from the postMONARCH trial do not support removing the</w:t>
      </w:r>
      <w:r w:rsidR="002F3BA6">
        <w:t xml:space="preserve"> </w:t>
      </w:r>
      <w:r w:rsidR="002F3BA6" w:rsidRPr="00815CFB">
        <w:t>one</w:t>
      </w:r>
      <w:r w:rsidR="00C14974">
        <w:t xml:space="preserve"> </w:t>
      </w:r>
      <w:r w:rsidR="002F3BA6" w:rsidRPr="00815CFB">
        <w:t>line</w:t>
      </w:r>
      <w:r w:rsidR="00C14974">
        <w:t xml:space="preserve"> </w:t>
      </w:r>
      <w:r w:rsidR="002F3BA6" w:rsidRPr="00815CFB">
        <w:t>of</w:t>
      </w:r>
      <w:r w:rsidR="00C14974">
        <w:t xml:space="preserve"> </w:t>
      </w:r>
      <w:r w:rsidR="002F3BA6" w:rsidRPr="00815CFB">
        <w:t>therapy</w:t>
      </w:r>
      <w:r w:rsidR="003C103C" w:rsidRPr="00865925">
        <w:t xml:space="preserve"> restriction</w:t>
      </w:r>
      <w:r w:rsidR="000A6023">
        <w:t xml:space="preserve"> because patients in both the abemaciclib and placebo arms had</w:t>
      </w:r>
      <w:r w:rsidR="009924B9">
        <w:t xml:space="preserve"> already received treatment with a </w:t>
      </w:r>
      <w:r w:rsidR="009924B9" w:rsidRPr="00815CFB">
        <w:t>CDK4/6 inhibitor</w:t>
      </w:r>
      <w:r w:rsidR="003C103C" w:rsidRPr="00815CFB">
        <w:t>.</w:t>
      </w:r>
    </w:p>
    <w:p w14:paraId="6479DAFF" w14:textId="6B5A583B" w:rsidR="00166BBE" w:rsidRPr="00112EE5" w:rsidRDefault="00241124" w:rsidP="00F43B37">
      <w:pPr>
        <w:pStyle w:val="ListParagraph"/>
        <w:rPr>
          <w:iCs/>
        </w:rPr>
      </w:pPr>
      <w:r w:rsidRPr="00DB3D39">
        <w:t>T</w:t>
      </w:r>
      <w:r w:rsidR="00C5196D" w:rsidRPr="00DB3D39">
        <w:t>he ESMO and NCCN guidelines recommend re</w:t>
      </w:r>
      <w:r w:rsidR="00D60782">
        <w:t>-</w:t>
      </w:r>
      <w:r w:rsidR="00C5196D" w:rsidRPr="00DB3D39">
        <w:t>treatment with CDK4/6 inhibitors in the advanced setting</w:t>
      </w:r>
      <w:r w:rsidR="00E9274F" w:rsidRPr="00DB3D39">
        <w:t>,</w:t>
      </w:r>
      <w:r w:rsidR="00C5196D" w:rsidRPr="00DB3D39">
        <w:t xml:space="preserve"> given enough time has elapsed since disease progression (ESMO, 2023; NCCN, 2023). In particular, the ESMO (2021) guidelines state that ‘Although there is little data on use of CDK4/6 inhibitors after progression on CDK4/6 inhibitors, rechallenge may be possible after a treatment-free interval of ≥</w:t>
      </w:r>
      <w:r w:rsidR="0037677D">
        <w:t> </w:t>
      </w:r>
      <w:r w:rsidR="00C5196D" w:rsidRPr="00DB3D39">
        <w:t>12 months based on evidence regarding rechallenge with other therapies’ (Gennari et al., 2021).</w:t>
      </w:r>
    </w:p>
    <w:p w14:paraId="31D36791" w14:textId="2D3EB806" w:rsidR="00166BBE" w:rsidRPr="00112EE5" w:rsidRDefault="00E24E2A" w:rsidP="00F43B37">
      <w:pPr>
        <w:pStyle w:val="ListParagraph"/>
        <w:rPr>
          <w:iCs/>
        </w:rPr>
      </w:pPr>
      <w:r w:rsidRPr="00E24E2A">
        <w:t>According to advice provided from Australian clinicians experienced in the treatment of breast cancer, it is appropriate for patients with HR</w:t>
      </w:r>
      <w:r w:rsidR="00460B36">
        <w:t>+</w:t>
      </w:r>
      <w:r w:rsidRPr="00E24E2A">
        <w:t>, HER2- breast cancer who relapsed after adjuvant treatment with ribociclib plus adjuvant ET, to be re</w:t>
      </w:r>
      <w:r w:rsidR="00C14974">
        <w:t>-</w:t>
      </w:r>
      <w:r w:rsidRPr="00E24E2A">
        <w:t xml:space="preserve">treated with ribociclib (or another CDK4/6 inhibitor) in the advanced setting </w:t>
      </w:r>
      <w:r w:rsidR="00696324">
        <w:t>(</w:t>
      </w:r>
      <w:r w:rsidRPr="00E24E2A">
        <w:t>for patients who relapsed at least 12 months after completing adjuvant treatment</w:t>
      </w:r>
      <w:r w:rsidR="00696324">
        <w:t>)</w:t>
      </w:r>
      <w:r w:rsidRPr="00E24E2A">
        <w:t xml:space="preserve">. </w:t>
      </w:r>
      <w:r w:rsidR="00166BBE" w:rsidRPr="00865925">
        <w:rPr>
          <w:iCs/>
        </w:rPr>
        <w:t>The</w:t>
      </w:r>
      <w:r w:rsidR="00415769" w:rsidRPr="00865925">
        <w:rPr>
          <w:iCs/>
        </w:rPr>
        <w:t xml:space="preserve"> evaluation noted that the</w:t>
      </w:r>
      <w:r w:rsidR="00166BBE" w:rsidRPr="00112EE5">
        <w:rPr>
          <w:iCs/>
        </w:rPr>
        <w:t xml:space="preserve"> submission did not provide any </w:t>
      </w:r>
      <w:r w:rsidR="00BC0533" w:rsidRPr="00112EE5">
        <w:rPr>
          <w:iCs/>
        </w:rPr>
        <w:t>additional details or</w:t>
      </w:r>
      <w:r w:rsidR="00166BBE" w:rsidRPr="00112EE5">
        <w:rPr>
          <w:iCs/>
        </w:rPr>
        <w:t xml:space="preserve"> evidence regarding this advice to support the change in restriction in the advanced setting</w:t>
      </w:r>
      <w:r w:rsidR="004F0E49" w:rsidRPr="00112EE5">
        <w:rPr>
          <w:iCs/>
        </w:rPr>
        <w:t>.</w:t>
      </w:r>
      <w:r w:rsidR="00166BBE" w:rsidRPr="00112EE5">
        <w:rPr>
          <w:iCs/>
        </w:rPr>
        <w:t xml:space="preserve"> </w:t>
      </w:r>
    </w:p>
    <w:p w14:paraId="54231AC1" w14:textId="4508382D" w:rsidR="003C103C" w:rsidRPr="00865925" w:rsidRDefault="00AC5FD4" w:rsidP="007C073C">
      <w:pPr>
        <w:pStyle w:val="3-BodyText"/>
      </w:pPr>
      <w:r w:rsidRPr="00865925">
        <w:t xml:space="preserve">The </w:t>
      </w:r>
      <w:r w:rsidR="00885E98" w:rsidRPr="00865925">
        <w:t>ESC did not support removal of the</w:t>
      </w:r>
      <w:r w:rsidR="009A20F5">
        <w:t xml:space="preserve"> </w:t>
      </w:r>
      <w:r w:rsidR="009A20F5" w:rsidRPr="00815CFB">
        <w:t>one</w:t>
      </w:r>
      <w:r w:rsidR="00C14974">
        <w:t xml:space="preserve"> </w:t>
      </w:r>
      <w:r w:rsidR="009A20F5" w:rsidRPr="00815CFB">
        <w:t>line</w:t>
      </w:r>
      <w:r w:rsidR="00C14974">
        <w:t xml:space="preserve"> </w:t>
      </w:r>
      <w:r w:rsidR="009A20F5" w:rsidRPr="00815CFB">
        <w:t>of</w:t>
      </w:r>
      <w:r w:rsidR="00C14974">
        <w:t xml:space="preserve"> </w:t>
      </w:r>
      <w:r w:rsidR="009A20F5" w:rsidRPr="00815CFB">
        <w:t>therapy</w:t>
      </w:r>
      <w:r w:rsidR="00885E98" w:rsidRPr="00865925">
        <w:t xml:space="preserve"> restriction criterion for CDK4/6 inhibitors</w:t>
      </w:r>
      <w:r w:rsidR="003C103C" w:rsidRPr="00865925">
        <w:t>. The ESC</w:t>
      </w:r>
      <w:r w:rsidRPr="00865925">
        <w:t xml:space="preserve"> noted that</w:t>
      </w:r>
      <w:r w:rsidR="003C103C" w:rsidRPr="00865925">
        <w:t>:</w:t>
      </w:r>
      <w:r w:rsidRPr="00865925">
        <w:t xml:space="preserve"> </w:t>
      </w:r>
    </w:p>
    <w:p w14:paraId="3E7243A8" w14:textId="6915690A" w:rsidR="003C103C" w:rsidRDefault="00D60782" w:rsidP="00F43B37">
      <w:pPr>
        <w:pStyle w:val="ListParagraph"/>
      </w:pPr>
      <w:r>
        <w:t>I</w:t>
      </w:r>
      <w:r w:rsidR="00D32331" w:rsidRPr="00112EE5">
        <w:t xml:space="preserve">n the NATALEE trial, </w:t>
      </w:r>
      <w:r w:rsidR="001438BB" w:rsidRPr="00112EE5">
        <w:t xml:space="preserve">only </w:t>
      </w:r>
      <w:r w:rsidR="00D32331" w:rsidRPr="00112EE5">
        <w:t xml:space="preserve">37/2,524 (1.5%) patients received a CDK4/6 </w:t>
      </w:r>
      <w:r w:rsidR="00870F86" w:rsidRPr="00112EE5">
        <w:t xml:space="preserve">inhibitor </w:t>
      </w:r>
      <w:r w:rsidR="00D32331" w:rsidRPr="00112EE5">
        <w:t>as a post-treatment anti-cancer therapy: abemaciclib (0.8%), palbociclib (0.5%), ribociclib (0.3%), ribociclib succinate (only 1 patient)</w:t>
      </w:r>
      <w:r w:rsidR="008E0697" w:rsidRPr="00112EE5">
        <w:t xml:space="preserve">. </w:t>
      </w:r>
    </w:p>
    <w:p w14:paraId="0CFD109E" w14:textId="561E70E8" w:rsidR="00AF7096" w:rsidRDefault="00E847B7" w:rsidP="00F43B37">
      <w:pPr>
        <w:pStyle w:val="ListParagraph"/>
      </w:pPr>
      <w:r w:rsidRPr="00112EE5">
        <w:t>T</w:t>
      </w:r>
      <w:r w:rsidR="00D32331" w:rsidRPr="00112EE5">
        <w:t xml:space="preserve">he </w:t>
      </w:r>
      <w:r w:rsidR="003C103C">
        <w:t>NATALEE</w:t>
      </w:r>
      <w:r w:rsidR="00F3435F">
        <w:t xml:space="preserve"> Clinical Study Report</w:t>
      </w:r>
      <w:r w:rsidR="003C103C">
        <w:t xml:space="preserve"> </w:t>
      </w:r>
      <w:r w:rsidR="00F3435F">
        <w:t>(</w:t>
      </w:r>
      <w:r w:rsidR="00D32331" w:rsidRPr="00112EE5">
        <w:t>CSR</w:t>
      </w:r>
      <w:r w:rsidR="00F3435F">
        <w:t>)</w:t>
      </w:r>
      <w:r w:rsidR="00D32331" w:rsidRPr="00112EE5">
        <w:t xml:space="preserve"> d</w:t>
      </w:r>
      <w:r w:rsidR="004E382B" w:rsidRPr="00112EE5">
        <w:t>id</w:t>
      </w:r>
      <w:r w:rsidR="00D32331" w:rsidRPr="00112EE5">
        <w:t xml:space="preserve"> not specify if these patients were metastatic at the time they received subsequent treatment with a CDK4/6</w:t>
      </w:r>
      <w:r w:rsidR="00870F86" w:rsidRPr="00112EE5">
        <w:t xml:space="preserve"> inhibitor</w:t>
      </w:r>
      <w:r w:rsidR="00AF7096" w:rsidRPr="00112EE5">
        <w:t>.</w:t>
      </w:r>
    </w:p>
    <w:p w14:paraId="50BBFD2A" w14:textId="4A973BBF" w:rsidR="003C103C" w:rsidRDefault="003C103C" w:rsidP="00F43B37">
      <w:pPr>
        <w:pStyle w:val="ListParagraph"/>
      </w:pPr>
      <w:r w:rsidRPr="00865925">
        <w:t xml:space="preserve">The PBAC previously stated there were no safety or efficacy data for sequential use of CDK4/6 inhibitors (see </w:t>
      </w:r>
      <w:r w:rsidRPr="00471E7E">
        <w:t xml:space="preserve">paragraph </w:t>
      </w:r>
      <w:r w:rsidRPr="00471E7E">
        <w:fldChar w:fldCharType="begin" w:fldLock="1"/>
      </w:r>
      <w:r w:rsidRPr="00471E7E">
        <w:instrText xml:space="preserve"> REF _Ref179992304 \r \h  \* MERGEFORMAT </w:instrText>
      </w:r>
      <w:r w:rsidRPr="00471E7E">
        <w:fldChar w:fldCharType="separate"/>
      </w:r>
      <w:r w:rsidRPr="00471E7E">
        <w:t>5.3</w:t>
      </w:r>
      <w:r w:rsidRPr="00471E7E">
        <w:fldChar w:fldCharType="end"/>
      </w:r>
      <w:r w:rsidRPr="00865925">
        <w:t xml:space="preserve"> below)</w:t>
      </w:r>
      <w:r w:rsidR="00B110A9">
        <w:t>,</w:t>
      </w:r>
      <w:r w:rsidRPr="00865925">
        <w:t xml:space="preserve"> and no further evidence </w:t>
      </w:r>
      <w:r w:rsidR="00B110A9">
        <w:t>was</w:t>
      </w:r>
      <w:r w:rsidRPr="00865925">
        <w:t xml:space="preserve"> provided.</w:t>
      </w:r>
    </w:p>
    <w:p w14:paraId="19E01DE7" w14:textId="5B08EC50" w:rsidR="009A20F5" w:rsidRDefault="009A20F5" w:rsidP="007C073C">
      <w:pPr>
        <w:pStyle w:val="3-BodyText"/>
        <w:numPr>
          <w:ilvl w:val="0"/>
          <w:numId w:val="0"/>
        </w:numPr>
        <w:ind w:left="709"/>
      </w:pPr>
      <w:r>
        <w:lastRenderedPageBreak/>
        <w:t xml:space="preserve">The PBAC further noted that </w:t>
      </w:r>
      <w:r w:rsidRPr="00815CFB">
        <w:t>only 1% of the patients in the postMONARCH study had</w:t>
      </w:r>
      <w:r>
        <w:t xml:space="preserve"> received prior adjuvant CDK4/6 inhibitor treatment (as opposed to prior CDK4/6 inhibitor treatment for metastatic BC)</w:t>
      </w:r>
      <w:r w:rsidR="00E8719D" w:rsidRPr="007B1C5D">
        <w:rPr>
          <w:rStyle w:val="FootnoteReference"/>
          <w:rFonts w:asciiTheme="minorHAnsi" w:hAnsiTheme="minorHAnsi" w:cstheme="minorHAnsi"/>
          <w:sz w:val="24"/>
          <w:szCs w:val="24"/>
        </w:rPr>
        <w:footnoteReference w:id="3"/>
      </w:r>
      <w:r w:rsidR="00E8719D">
        <w:t>.</w:t>
      </w:r>
    </w:p>
    <w:p w14:paraId="1F45552D" w14:textId="6EDDEF58" w:rsidR="002F3BA6" w:rsidRPr="002F3BA6" w:rsidRDefault="002F3BA6" w:rsidP="007C073C">
      <w:pPr>
        <w:pStyle w:val="3-BodyText"/>
      </w:pPr>
      <w:r w:rsidRPr="002F3BA6">
        <w:t>The</w:t>
      </w:r>
      <w:r>
        <w:t xml:space="preserve"> PBAC noted that the</w:t>
      </w:r>
      <w:r w:rsidRPr="002F3BA6">
        <w:t xml:space="preserve"> requested restriction would allow patients to switch to ribociclib after being treated for early breast cancer with </w:t>
      </w:r>
      <w:r w:rsidR="005319DC">
        <w:t>another CDK4/6 inhibitor</w:t>
      </w:r>
      <w:r w:rsidR="00F10DC5">
        <w:t xml:space="preserve"> (and vice versa). The PBAC considered that patients should be </w:t>
      </w:r>
      <w:r w:rsidR="00F10DC5" w:rsidRPr="002A358A">
        <w:t>able to switch between the CDK4/6 inhibitors for eBC before disease progression</w:t>
      </w:r>
      <w:r w:rsidR="00B701A5">
        <w:t>,</w:t>
      </w:r>
      <w:r w:rsidR="00B701A5" w:rsidRPr="00B701A5">
        <w:t xml:space="preserve"> </w:t>
      </w:r>
      <w:r w:rsidR="00B701A5">
        <w:t xml:space="preserve">noting the alternative </w:t>
      </w:r>
      <w:r w:rsidR="00B701A5" w:rsidRPr="00276A8E">
        <w:t>ribociclib and abemaciclib</w:t>
      </w:r>
      <w:r w:rsidR="00B701A5">
        <w:t xml:space="preserve"> safety profiles (see </w:t>
      </w:r>
      <w:r w:rsidR="00B701A5" w:rsidRPr="00C14974">
        <w:t xml:space="preserve">paragraph </w:t>
      </w:r>
      <w:r w:rsidR="00B701A5" w:rsidRPr="00C14974">
        <w:fldChar w:fldCharType="begin" w:fldLock="1"/>
      </w:r>
      <w:r w:rsidR="00B701A5" w:rsidRPr="00C14974">
        <w:instrText xml:space="preserve"> REF _Ref182839424 \r \h  \* MERGEFORMAT </w:instrText>
      </w:r>
      <w:r w:rsidR="00B701A5" w:rsidRPr="00C14974">
        <w:fldChar w:fldCharType="separate"/>
      </w:r>
      <w:r w:rsidR="00B701A5" w:rsidRPr="00C14974">
        <w:t>6.4</w:t>
      </w:r>
      <w:r w:rsidR="003923BE">
        <w:t>5</w:t>
      </w:r>
      <w:r w:rsidR="00B701A5" w:rsidRPr="00C14974">
        <w:fldChar w:fldCharType="end"/>
      </w:r>
      <w:r w:rsidR="00B701A5">
        <w:t xml:space="preserve"> below), and that this should be permitted only if patients experience intolerance </w:t>
      </w:r>
      <w:r w:rsidR="00B701A5" w:rsidRPr="00B701A5">
        <w:t>of a severity necessitating permanent treatment withdrawal</w:t>
      </w:r>
      <w:r w:rsidR="002A358A">
        <w:t>.</w:t>
      </w:r>
    </w:p>
    <w:p w14:paraId="382A3FF2" w14:textId="47E3F909" w:rsidR="001B3C28" w:rsidRPr="00865925" w:rsidRDefault="001B3C28" w:rsidP="007C073C">
      <w:pPr>
        <w:pStyle w:val="3-BodyText"/>
        <w:numPr>
          <w:ilvl w:val="0"/>
          <w:numId w:val="0"/>
        </w:numPr>
        <w:ind w:left="720"/>
      </w:pPr>
      <w:r w:rsidRPr="00591F67">
        <w:rPr>
          <w:i/>
          <w:iCs/>
        </w:rPr>
        <w:t>For more detail on PBAC’s view, see section 7 PBAC outcome</w:t>
      </w:r>
      <w:r w:rsidRPr="00C33D30">
        <w:t>.</w:t>
      </w:r>
    </w:p>
    <w:p w14:paraId="3E59EC5A" w14:textId="6471F57D" w:rsidR="00B50DB8" w:rsidRPr="00DB3D39" w:rsidDel="00195452" w:rsidRDefault="00203181" w:rsidP="004E18E9">
      <w:pPr>
        <w:pStyle w:val="2-SectionHeading"/>
      </w:pPr>
      <w:bookmarkStart w:id="17" w:name="_Toc177475544"/>
      <w:r w:rsidRPr="00DB3D39" w:rsidDel="00195452">
        <w:t xml:space="preserve">Population and </w:t>
      </w:r>
      <w:r w:rsidR="008E0D3C" w:rsidRPr="00DB3D39" w:rsidDel="00195452">
        <w:t>d</w:t>
      </w:r>
      <w:r w:rsidRPr="00DB3D39" w:rsidDel="00195452">
        <w:t>isease</w:t>
      </w:r>
      <w:bookmarkEnd w:id="17"/>
    </w:p>
    <w:p w14:paraId="1ACD19F4" w14:textId="7858F2EA" w:rsidR="004F0E49" w:rsidRPr="00DB3D39" w:rsidRDefault="004F0E49" w:rsidP="007C073C">
      <w:pPr>
        <w:pStyle w:val="3-BodyText"/>
        <w:rPr>
          <w:color w:val="0066FF"/>
        </w:rPr>
      </w:pPr>
      <w:r w:rsidRPr="00DB3D39">
        <w:t xml:space="preserve">Ribociclib was proposed to be considered as an alternative CDK4/6 </w:t>
      </w:r>
      <w:r w:rsidR="00870F86" w:rsidRPr="00DB3D39">
        <w:t xml:space="preserve">inhibitor </w:t>
      </w:r>
      <w:r w:rsidRPr="00DB3D39">
        <w:t>to abemaciclib in adult patients with HR+, HER2</w:t>
      </w:r>
      <w:r w:rsidR="002E0A26" w:rsidRPr="00DB3D39">
        <w:t>-</w:t>
      </w:r>
      <w:r w:rsidRPr="00DB3D39">
        <w:t xml:space="preserve">, lymph node positive, invasive, resected, eBC </w:t>
      </w:r>
      <w:r w:rsidR="000E10C2" w:rsidRPr="00DB3D39">
        <w:t xml:space="preserve">at </w:t>
      </w:r>
      <w:r w:rsidRPr="00DB3D39">
        <w:t>high risk of recurrence.</w:t>
      </w:r>
      <w:r w:rsidRPr="00DB3D39">
        <w:rPr>
          <w:color w:val="0066FF"/>
        </w:rPr>
        <w:t xml:space="preserve"> </w:t>
      </w:r>
    </w:p>
    <w:p w14:paraId="496976A3" w14:textId="67B9E856" w:rsidR="004F0E49" w:rsidRPr="00DB3D39" w:rsidRDefault="000B45A3" w:rsidP="007C073C">
      <w:pPr>
        <w:pStyle w:val="3-BodyText"/>
      </w:pPr>
      <w:r w:rsidRPr="00DB3D39">
        <w:t>The most common ca</w:t>
      </w:r>
      <w:r w:rsidR="00E85828" w:rsidRPr="00DB3D39">
        <w:t xml:space="preserve">ncer type </w:t>
      </w:r>
      <w:r w:rsidR="00917908" w:rsidRPr="00DB3D39">
        <w:t xml:space="preserve">in women </w:t>
      </w:r>
      <w:r w:rsidR="00E85828" w:rsidRPr="00DB3D39">
        <w:t>in Australia is</w:t>
      </w:r>
      <w:r w:rsidR="00917908" w:rsidRPr="00DB3D39">
        <w:t xml:space="preserve"> breast cancer</w:t>
      </w:r>
      <w:r w:rsidR="00D60782">
        <w:t>,</w:t>
      </w:r>
      <w:r w:rsidR="004D43EB" w:rsidRPr="00DB3D39">
        <w:t xml:space="preserve"> which also accounts for the second most common cause of cancer related death.</w:t>
      </w:r>
      <w:r w:rsidR="00E85828" w:rsidRPr="00DB3D39">
        <w:t xml:space="preserve"> </w:t>
      </w:r>
      <w:r w:rsidR="004F0E49" w:rsidRPr="00DB3D39">
        <w:t xml:space="preserve">In 2019, there were 18,659 newly diagnosed breast cancer patients, equivalent to an age-standardised incidence rate of 76.7 cases per 100,000 people (AIHW, 2023). </w:t>
      </w:r>
      <w:r w:rsidR="00E80738" w:rsidRPr="00DB3D39">
        <w:t>Most of these cancer</w:t>
      </w:r>
      <w:r w:rsidR="00142577" w:rsidRPr="00DB3D39">
        <w:t>s are</w:t>
      </w:r>
      <w:r w:rsidR="00E80738" w:rsidRPr="00DB3D39">
        <w:t xml:space="preserve"> diagnosed at an early stage (95%) and m</w:t>
      </w:r>
      <w:r w:rsidR="004F0E49" w:rsidRPr="00DB3D39">
        <w:t>ost are HR</w:t>
      </w:r>
      <w:r w:rsidR="00460B36">
        <w:t>+</w:t>
      </w:r>
      <w:r w:rsidR="004F0E49" w:rsidRPr="00DB3D39">
        <w:t xml:space="preserve"> and HER2</w:t>
      </w:r>
      <w:r w:rsidR="002E0A26" w:rsidRPr="00DB3D39">
        <w:t>-</w:t>
      </w:r>
      <w:r w:rsidR="004F0E49" w:rsidRPr="00DB3D39">
        <w:t xml:space="preserve"> accounting for about 70% of cases</w:t>
      </w:r>
      <w:r w:rsidR="00210397" w:rsidRPr="00DB3D39">
        <w:t xml:space="preserve">. </w:t>
      </w:r>
      <w:r w:rsidR="00BB470C" w:rsidRPr="00DB3D39">
        <w:t>Evidence suggests the annuali</w:t>
      </w:r>
      <w:r w:rsidR="00150F2E">
        <w:t>s</w:t>
      </w:r>
      <w:r w:rsidR="00BB470C" w:rsidRPr="00DB3D39">
        <w:t>ed hazard of recurrence was highest during the first 5 years (10.4%), with a peak between years 1 and 2 (15.2%)</w:t>
      </w:r>
      <w:r w:rsidR="00281852" w:rsidRPr="007B1C5D">
        <w:rPr>
          <w:rStyle w:val="FootnoteReference"/>
          <w:rFonts w:asciiTheme="minorHAnsi" w:hAnsiTheme="minorHAnsi" w:cstheme="minorHAnsi"/>
          <w:sz w:val="24"/>
          <w:szCs w:val="24"/>
        </w:rPr>
        <w:footnoteReference w:id="4"/>
      </w:r>
      <w:r w:rsidR="00BB470C" w:rsidRPr="00DB3D39">
        <w:t>.</w:t>
      </w:r>
    </w:p>
    <w:p w14:paraId="6DF9329D" w14:textId="77777777" w:rsidR="004C6C51" w:rsidRPr="00DB3D39" w:rsidRDefault="00F456FF" w:rsidP="007C073C">
      <w:pPr>
        <w:pStyle w:val="3-BodyText"/>
      </w:pPr>
      <w:r w:rsidRPr="00DB3D39">
        <w:t xml:space="preserve">Ribociclib is </w:t>
      </w:r>
      <w:r w:rsidR="009F1000" w:rsidRPr="00DB3D39">
        <w:t xml:space="preserve">an orally </w:t>
      </w:r>
      <w:r w:rsidRPr="00DB3D39">
        <w:t>bioavailable and highly selective small molecule inhibitor of the CDK 4</w:t>
      </w:r>
      <w:r w:rsidR="001761C4" w:rsidRPr="00DB3D39">
        <w:t>/</w:t>
      </w:r>
      <w:r w:rsidRPr="00DB3D39">
        <w:t>6 enzyme complex, which directly targets the retinoblastoma protein to block cell cycle progression and cancer cell proliferation.</w:t>
      </w:r>
    </w:p>
    <w:p w14:paraId="0C17A45A" w14:textId="5CAE39E0" w:rsidR="00384A96" w:rsidRPr="001B3C28" w:rsidRDefault="00515BD7" w:rsidP="007C073C">
      <w:pPr>
        <w:pStyle w:val="3-BodyText"/>
        <w:rPr>
          <w:iCs/>
        </w:rPr>
      </w:pPr>
      <w:r w:rsidRPr="00DB3D39">
        <w:t>The proposed use of ribociclib is in combination with ET</w:t>
      </w:r>
      <w:r w:rsidR="00E76D8E" w:rsidRPr="00DB3D39">
        <w:t xml:space="preserve"> (letrozole or anastr</w:t>
      </w:r>
      <w:r w:rsidR="00EA00AC" w:rsidRPr="00DB3D39">
        <w:t>o</w:t>
      </w:r>
      <w:r w:rsidR="00E76D8E" w:rsidRPr="00DB3D39">
        <w:t xml:space="preserve">zole). </w:t>
      </w:r>
      <w:r w:rsidR="00D302C6" w:rsidRPr="00DB3D39">
        <w:t xml:space="preserve">In men and pre-menopausal women, ET is ineffective unless administered with </w:t>
      </w:r>
      <w:r w:rsidR="006A7484" w:rsidRPr="00DB3D39">
        <w:t>ovarian suppression</w:t>
      </w:r>
      <w:r w:rsidR="00E673E7" w:rsidRPr="00DB3D39">
        <w:t xml:space="preserve"> (e.g.</w:t>
      </w:r>
      <w:r w:rsidR="00434AA4">
        <w:t>,</w:t>
      </w:r>
      <w:r w:rsidR="00E673E7" w:rsidRPr="00DB3D39">
        <w:t xml:space="preserve"> goserelin or triptorelin)</w:t>
      </w:r>
      <w:r w:rsidR="006A7484" w:rsidRPr="00DB3D39">
        <w:t>; in</w:t>
      </w:r>
      <w:r w:rsidR="00A957D0" w:rsidRPr="00DB3D39">
        <w:t xml:space="preserve"> the NATALEE trial, patients were </w:t>
      </w:r>
      <w:r w:rsidR="00B14339" w:rsidRPr="00DB3D39">
        <w:t>given goserelin, administered as a 3.6 mg subcutaneous implant once every 28</w:t>
      </w:r>
      <w:r w:rsidR="00942316">
        <w:t> </w:t>
      </w:r>
      <w:r w:rsidR="00B14339" w:rsidRPr="00DB3D39">
        <w:t>days.</w:t>
      </w:r>
      <w:r w:rsidR="006A7484" w:rsidRPr="00DB3D39">
        <w:t xml:space="preserve"> </w:t>
      </w:r>
      <w:r w:rsidR="00EA00AC" w:rsidRPr="00DB3D39">
        <w:t xml:space="preserve">Patients may have had neoadjuvant or adjuvant radiotherapy and/or chemotherapy prior to ribociclib </w:t>
      </w:r>
      <w:r w:rsidR="0084706D" w:rsidRPr="00DB3D39">
        <w:t>plus adjuvant ET</w:t>
      </w:r>
      <w:r w:rsidR="00EA00AC" w:rsidRPr="00DB3D39">
        <w:t xml:space="preserve">. </w:t>
      </w:r>
    </w:p>
    <w:p w14:paraId="4378144A" w14:textId="70AF4235" w:rsidR="001B3C28" w:rsidRPr="00942316" w:rsidRDefault="001B3C28" w:rsidP="007C073C">
      <w:pPr>
        <w:pStyle w:val="3-BodyText"/>
        <w:numPr>
          <w:ilvl w:val="0"/>
          <w:numId w:val="0"/>
        </w:numPr>
        <w:ind w:left="720"/>
        <w:rPr>
          <w:i/>
          <w:iCs/>
        </w:rPr>
      </w:pPr>
      <w:r w:rsidRPr="00942316">
        <w:rPr>
          <w:i/>
          <w:iCs/>
        </w:rPr>
        <w:t>For more detail on PBAC’s view, see section 7 PBAC outcome.</w:t>
      </w:r>
    </w:p>
    <w:p w14:paraId="0208D928" w14:textId="77777777" w:rsidR="00B50DB8" w:rsidRPr="00DB3D39" w:rsidRDefault="00B50DB8" w:rsidP="004E18E9">
      <w:pPr>
        <w:pStyle w:val="2-SectionHeading"/>
      </w:pPr>
      <w:bookmarkStart w:id="18" w:name="_Toc177475545"/>
      <w:r w:rsidRPr="00DB3D39">
        <w:lastRenderedPageBreak/>
        <w:t>Comparator</w:t>
      </w:r>
      <w:bookmarkEnd w:id="18"/>
    </w:p>
    <w:p w14:paraId="287F7972" w14:textId="1487C550" w:rsidR="008522DB" w:rsidRPr="00112EE5" w:rsidRDefault="00E466FA" w:rsidP="007C073C">
      <w:pPr>
        <w:pStyle w:val="3-BodyText"/>
      </w:pPr>
      <w:r w:rsidRPr="00DB3D39">
        <w:t xml:space="preserve">The submission nominated abemaciclib </w:t>
      </w:r>
      <w:r w:rsidR="0084706D" w:rsidRPr="00DB3D39">
        <w:t>plus adjuvant ET</w:t>
      </w:r>
      <w:r w:rsidRPr="00DB3D39">
        <w:t xml:space="preserve"> as the comparator. </w:t>
      </w:r>
      <w:r w:rsidR="00400582" w:rsidRPr="00112EE5">
        <w:t xml:space="preserve">The ET component in the comparator consists of </w:t>
      </w:r>
      <w:r w:rsidR="00470306" w:rsidRPr="00112EE5">
        <w:t>AI</w:t>
      </w:r>
      <w:r w:rsidR="00045BA8" w:rsidRPr="00112EE5">
        <w:t>s</w:t>
      </w:r>
      <w:r w:rsidR="00400582" w:rsidRPr="00112EE5">
        <w:t xml:space="preserve"> (</w:t>
      </w:r>
      <w:r w:rsidR="00470306" w:rsidRPr="00112EE5">
        <w:t xml:space="preserve">i.e., </w:t>
      </w:r>
      <w:r w:rsidR="00400582" w:rsidRPr="00112EE5">
        <w:t xml:space="preserve">letrozole, anastrozole or exemestane) or </w:t>
      </w:r>
      <w:r w:rsidR="00327240" w:rsidRPr="00112EE5">
        <w:t>oestrogen receptor modulator (tamoxifen).</w:t>
      </w:r>
      <w:r w:rsidR="00C06CFD" w:rsidRPr="00112EE5">
        <w:t xml:space="preserve"> </w:t>
      </w:r>
      <w:r w:rsidR="00C06CFD" w:rsidRPr="00865925">
        <w:t>The</w:t>
      </w:r>
      <w:r w:rsidR="00150F2E">
        <w:t xml:space="preserve"> PBAC agreed with the</w:t>
      </w:r>
      <w:r w:rsidR="00D454B1" w:rsidRPr="00865925">
        <w:t xml:space="preserve"> evaluation </w:t>
      </w:r>
      <w:r w:rsidR="00D60782" w:rsidRPr="00865925">
        <w:t xml:space="preserve">and the ESC </w:t>
      </w:r>
      <w:r w:rsidR="00D454B1" w:rsidRPr="00D60782">
        <w:t>that the</w:t>
      </w:r>
      <w:r w:rsidR="00C06CFD" w:rsidRPr="00D60782">
        <w:t xml:space="preserve"> choice of comparator was appropriate.</w:t>
      </w:r>
    </w:p>
    <w:p w14:paraId="3D62E0CF" w14:textId="11057D87" w:rsidR="00806E0E" w:rsidRPr="00DB3D39" w:rsidRDefault="009D3ADC" w:rsidP="007C073C">
      <w:pPr>
        <w:pStyle w:val="3-BodyText"/>
      </w:pPr>
      <w:r w:rsidRPr="00112EE5">
        <w:t xml:space="preserve">Ribociclib will replace some </w:t>
      </w:r>
      <w:r w:rsidR="006142B7" w:rsidRPr="00112EE5">
        <w:t xml:space="preserve">of </w:t>
      </w:r>
      <w:r w:rsidRPr="00112EE5">
        <w:t>the use of abemaciclib in the eBC setting</w:t>
      </w:r>
      <w:r w:rsidR="00C31AA1" w:rsidRPr="00112EE5">
        <w:t xml:space="preserve">. </w:t>
      </w:r>
      <w:r w:rsidR="00B36741" w:rsidRPr="00112EE5">
        <w:t>In contrast to the proposed restriction</w:t>
      </w:r>
      <w:r w:rsidR="00275887" w:rsidRPr="00112EE5">
        <w:t xml:space="preserve"> for ribociclib</w:t>
      </w:r>
      <w:r w:rsidR="007B4F57" w:rsidRPr="00112EE5">
        <w:t xml:space="preserve"> in eBC</w:t>
      </w:r>
      <w:r w:rsidR="00C31AA1" w:rsidRPr="00112EE5">
        <w:t xml:space="preserve">, </w:t>
      </w:r>
      <w:r w:rsidR="00806E0E" w:rsidRPr="00112EE5">
        <w:t xml:space="preserve">the </w:t>
      </w:r>
      <w:r w:rsidR="00C31AA1" w:rsidRPr="00112EE5">
        <w:t xml:space="preserve">current </w:t>
      </w:r>
      <w:r w:rsidR="00806E0E" w:rsidRPr="00112EE5">
        <w:t>restriction</w:t>
      </w:r>
      <w:r w:rsidR="00C31AA1" w:rsidRPr="00112EE5">
        <w:t xml:space="preserve"> of abemaciclib</w:t>
      </w:r>
      <w:r w:rsidR="007B4F57" w:rsidRPr="00112EE5">
        <w:t xml:space="preserve"> in </w:t>
      </w:r>
      <w:r w:rsidR="007B4F57" w:rsidRPr="00D454B1">
        <w:t>eBC</w:t>
      </w:r>
      <w:r w:rsidR="00E8719D">
        <w:t xml:space="preserve"> does not allow for sequential use</w:t>
      </w:r>
      <w:r w:rsidR="00896B69" w:rsidRPr="00D454B1">
        <w:t xml:space="preserve"> (</w:t>
      </w:r>
      <w:r w:rsidR="0078669F">
        <w:t xml:space="preserve">see </w:t>
      </w:r>
      <w:r w:rsidR="00896B69" w:rsidRPr="0078669F">
        <w:t>paragraph</w:t>
      </w:r>
      <w:r w:rsidR="00D454B1" w:rsidRPr="0078669F">
        <w:t xml:space="preserve"> </w:t>
      </w:r>
      <w:r w:rsidR="00D454B1" w:rsidRPr="0078669F">
        <w:fldChar w:fldCharType="begin" w:fldLock="1"/>
      </w:r>
      <w:r w:rsidR="00D454B1" w:rsidRPr="0078669F">
        <w:instrText xml:space="preserve"> REF _Hlk177463576 \r \h  \* MERGEFORMAT </w:instrText>
      </w:r>
      <w:r w:rsidR="00D454B1" w:rsidRPr="0078669F">
        <w:fldChar w:fldCharType="separate"/>
      </w:r>
      <w:r w:rsidR="00D454B1" w:rsidRPr="0078669F">
        <w:t>3.</w:t>
      </w:r>
      <w:r w:rsidR="0078669F" w:rsidRPr="0078669F">
        <w:t>3</w:t>
      </w:r>
      <w:r w:rsidR="00D454B1" w:rsidRPr="0078669F">
        <w:fldChar w:fldCharType="end"/>
      </w:r>
      <w:r w:rsidR="00896B69" w:rsidRPr="00D454B1">
        <w:t>)</w:t>
      </w:r>
      <w:r w:rsidR="000621BB" w:rsidRPr="00D454B1">
        <w:t>.</w:t>
      </w:r>
      <w:r w:rsidR="000621BB" w:rsidRPr="00112EE5">
        <w:t xml:space="preserve"> </w:t>
      </w:r>
      <w:r w:rsidR="00D454B1" w:rsidRPr="00865925">
        <w:t>Sequential use of CDK4/6 inhibitors</w:t>
      </w:r>
      <w:r w:rsidR="00D454B1" w:rsidRPr="00112EE5">
        <w:t xml:space="preserve"> </w:t>
      </w:r>
      <w:r w:rsidR="001C42F7" w:rsidRPr="00112EE5">
        <w:t>was</w:t>
      </w:r>
      <w:r w:rsidR="00D454B1">
        <w:t xml:space="preserve"> </w:t>
      </w:r>
      <w:r w:rsidR="001C42F7" w:rsidRPr="00112EE5">
        <w:t>n</w:t>
      </w:r>
      <w:r w:rsidR="00D454B1">
        <w:t>o</w:t>
      </w:r>
      <w:r w:rsidR="00161FF2" w:rsidRPr="00112EE5">
        <w:t>t</w:t>
      </w:r>
      <w:r w:rsidR="001C42F7" w:rsidRPr="00112EE5">
        <w:t xml:space="preserve"> captured in the </w:t>
      </w:r>
      <w:r w:rsidR="00161FF2" w:rsidRPr="00112EE5">
        <w:t xml:space="preserve">NATALEE </w:t>
      </w:r>
      <w:r w:rsidR="001C42F7" w:rsidRPr="00112EE5">
        <w:t xml:space="preserve">trial and was </w:t>
      </w:r>
      <w:r w:rsidR="00836124" w:rsidRPr="00112EE5">
        <w:t xml:space="preserve">not </w:t>
      </w:r>
      <w:r w:rsidR="001C42F7" w:rsidRPr="00112EE5">
        <w:t>considered in the economic analysis and financial estimates.</w:t>
      </w:r>
    </w:p>
    <w:p w14:paraId="1557403D" w14:textId="66931296" w:rsidR="002E1071" w:rsidRPr="001B3C28" w:rsidRDefault="00D454B1" w:rsidP="007C073C">
      <w:pPr>
        <w:pStyle w:val="3-BodyText"/>
        <w:rPr>
          <w:color w:val="0066FF"/>
        </w:rPr>
      </w:pPr>
      <w:r w:rsidRPr="00865925">
        <w:t>The evaluation noted that</w:t>
      </w:r>
      <w:r>
        <w:t xml:space="preserve"> w</w:t>
      </w:r>
      <w:r w:rsidR="00197B3C" w:rsidRPr="00112EE5">
        <w:t xml:space="preserve">hen abemaciclib was being considered for PBS listing in the eBC setting, the PBAC stated that flow on changes to all CDK4/6 inhibitors currently PBS listed in the advanced/metastatic treatment setting </w:t>
      </w:r>
      <w:r w:rsidR="00E8719D">
        <w:t>would be</w:t>
      </w:r>
      <w:r w:rsidR="00197B3C" w:rsidRPr="00112EE5">
        <w:t xml:space="preserve"> required to exclude sequential use (i.e.</w:t>
      </w:r>
      <w:r w:rsidR="00E8719D">
        <w:t>,</w:t>
      </w:r>
      <w:r w:rsidR="00197B3C" w:rsidRPr="00112EE5">
        <w:t xml:space="preserve"> use in eBC and then use in advanced/metastatic breast cancer) as there are currently no safety or efficacy data for repeated use of CDK4/6 inhibitors (para</w:t>
      </w:r>
      <w:r>
        <w:t>graph</w:t>
      </w:r>
      <w:r w:rsidR="00197B3C" w:rsidRPr="00112EE5">
        <w:t xml:space="preserve"> 7.4, abemaciclib PSD, November 2023). </w:t>
      </w:r>
      <w:r w:rsidR="001179CD" w:rsidRPr="00865925">
        <w:t xml:space="preserve">The restrictions for abemaciclib, palbociclib and ribociclib were subsequently updated to limit subsidy to </w:t>
      </w:r>
      <w:r w:rsidR="00865F65">
        <w:t xml:space="preserve">one line of therapy for a CDK4/6 </w:t>
      </w:r>
      <w:r w:rsidR="00865F65" w:rsidRPr="00865F65">
        <w:t>inhibitor</w:t>
      </w:r>
      <w:r w:rsidR="001179CD" w:rsidRPr="00865F65">
        <w:t>,</w:t>
      </w:r>
      <w:r w:rsidR="001179CD" w:rsidRPr="00865925">
        <w:t xml:space="preserve"> irrespective </w:t>
      </w:r>
      <w:r w:rsidR="00CE3C28">
        <w:t>of whether</w:t>
      </w:r>
      <w:r w:rsidR="001179CD" w:rsidRPr="00865925">
        <w:t xml:space="preserve"> prescribed for early or </w:t>
      </w:r>
      <w:r w:rsidR="008A6A81" w:rsidRPr="00865925">
        <w:t>late-stage</w:t>
      </w:r>
      <w:r w:rsidR="001179CD" w:rsidRPr="00865925">
        <w:t xml:space="preserve"> disease</w:t>
      </w:r>
      <w:r w:rsidR="00865F65">
        <w:t xml:space="preserve"> (as discussed in paragraph </w:t>
      </w:r>
      <w:r w:rsidR="00865F65">
        <w:fldChar w:fldCharType="begin" w:fldLock="1"/>
      </w:r>
      <w:r w:rsidR="00865F65">
        <w:instrText xml:space="preserve"> REF _Ref176872648 \r \h </w:instrText>
      </w:r>
      <w:r w:rsidR="00865F65">
        <w:fldChar w:fldCharType="separate"/>
      </w:r>
      <w:r w:rsidR="00865F65">
        <w:t>3.</w:t>
      </w:r>
      <w:r w:rsidR="00B110A9">
        <w:t>6</w:t>
      </w:r>
      <w:r w:rsidR="00865F65">
        <w:fldChar w:fldCharType="end"/>
      </w:r>
      <w:r w:rsidR="00865F65">
        <w:t xml:space="preserve"> with respect to the requested restriction)</w:t>
      </w:r>
      <w:r w:rsidR="001179CD" w:rsidRPr="00865925">
        <w:t>.</w:t>
      </w:r>
    </w:p>
    <w:p w14:paraId="482B625D" w14:textId="43696965" w:rsidR="001B3C28" w:rsidRPr="00B0167F" w:rsidRDefault="001B3C28" w:rsidP="007C073C">
      <w:pPr>
        <w:pStyle w:val="3-BodyText"/>
        <w:numPr>
          <w:ilvl w:val="0"/>
          <w:numId w:val="0"/>
        </w:numPr>
        <w:ind w:left="720"/>
        <w:rPr>
          <w:i/>
          <w:iCs/>
          <w:color w:val="0066FF"/>
        </w:rPr>
      </w:pPr>
      <w:r w:rsidRPr="00B0167F">
        <w:rPr>
          <w:i/>
          <w:iCs/>
        </w:rPr>
        <w:t>For more detail on PBAC’s view, see section 7 PBAC outcome.</w:t>
      </w:r>
    </w:p>
    <w:p w14:paraId="4F48323C" w14:textId="77777777" w:rsidR="00223D5A" w:rsidRDefault="00223D5A" w:rsidP="00223D5A">
      <w:pPr>
        <w:pStyle w:val="2-SectionHeading"/>
        <w:numPr>
          <w:ilvl w:val="0"/>
          <w:numId w:val="1"/>
        </w:numPr>
      </w:pPr>
      <w:bookmarkStart w:id="19" w:name="_Toc177475546"/>
      <w:r w:rsidRPr="00DB3D39">
        <w:t>Consideration of the evidence</w:t>
      </w:r>
      <w:bookmarkEnd w:id="19"/>
    </w:p>
    <w:p w14:paraId="41655105" w14:textId="77777777" w:rsidR="00792DA6" w:rsidRPr="006E1229" w:rsidRDefault="00792DA6" w:rsidP="009A6FA8">
      <w:pPr>
        <w:pStyle w:val="4-SubsectionHeading"/>
      </w:pPr>
      <w:bookmarkStart w:id="20" w:name="_Hlk76375935"/>
      <w:r w:rsidRPr="006E1229">
        <w:t>Sponsor hearing</w:t>
      </w:r>
    </w:p>
    <w:p w14:paraId="4D4764E4" w14:textId="1746FE22" w:rsidR="00792DA6" w:rsidRPr="00520EA5" w:rsidRDefault="00FB1DD3" w:rsidP="00520EA5">
      <w:pPr>
        <w:widowControl w:val="0"/>
        <w:numPr>
          <w:ilvl w:val="1"/>
          <w:numId w:val="1"/>
        </w:numPr>
        <w:spacing w:after="120"/>
        <w:ind w:left="720"/>
        <w:rPr>
          <w:rFonts w:asciiTheme="minorHAnsi" w:hAnsiTheme="minorHAnsi"/>
          <w:bCs/>
          <w:snapToGrid w:val="0"/>
        </w:rPr>
      </w:pPr>
      <w:bookmarkStart w:id="21" w:name="_Hlk76382586"/>
      <w:r w:rsidRPr="00520EA5">
        <w:rPr>
          <w:rFonts w:asciiTheme="minorHAnsi" w:hAnsiTheme="minorHAnsi"/>
          <w:bCs/>
          <w:snapToGrid w:val="0"/>
        </w:rPr>
        <w:t>The sponsor requested a hearing for this item. The clinician</w:t>
      </w:r>
      <w:r w:rsidR="00520EA5" w:rsidRPr="00520EA5">
        <w:rPr>
          <w:rFonts w:asciiTheme="minorHAnsi" w:hAnsiTheme="minorHAnsi"/>
          <w:bCs/>
          <w:snapToGrid w:val="0"/>
        </w:rPr>
        <w:t xml:space="preserve"> discussed the benefits of having an alternative CDK4/6 inhibitor as a treatment option for eBC patients. The clinician advocated allowing a 12</w:t>
      </w:r>
      <w:r w:rsidR="00B110A9">
        <w:rPr>
          <w:rFonts w:asciiTheme="minorHAnsi" w:hAnsiTheme="minorHAnsi"/>
          <w:bCs/>
          <w:snapToGrid w:val="0"/>
        </w:rPr>
        <w:t>-</w:t>
      </w:r>
      <w:r w:rsidR="00520EA5" w:rsidRPr="00520EA5">
        <w:rPr>
          <w:rFonts w:asciiTheme="minorHAnsi" w:hAnsiTheme="minorHAnsi"/>
          <w:bCs/>
          <w:snapToGrid w:val="0"/>
        </w:rPr>
        <w:t xml:space="preserve">month window after starting ET to initiate </w:t>
      </w:r>
      <w:r w:rsidR="00B110A9" w:rsidRPr="00520EA5">
        <w:rPr>
          <w:rFonts w:asciiTheme="minorHAnsi" w:hAnsiTheme="minorHAnsi"/>
          <w:bCs/>
          <w:snapToGrid w:val="0"/>
        </w:rPr>
        <w:t>ribociclib and</w:t>
      </w:r>
      <w:r w:rsidR="00520EA5" w:rsidRPr="00520EA5">
        <w:rPr>
          <w:rFonts w:asciiTheme="minorHAnsi" w:hAnsiTheme="minorHAnsi"/>
          <w:bCs/>
          <w:snapToGrid w:val="0"/>
        </w:rPr>
        <w:t xml:space="preserve"> claimed that prior exposure with CDK4/6 inhibitors</w:t>
      </w:r>
      <w:r w:rsidR="00F74EC2">
        <w:rPr>
          <w:rFonts w:asciiTheme="minorHAnsi" w:hAnsiTheme="minorHAnsi"/>
          <w:bCs/>
          <w:snapToGrid w:val="0"/>
        </w:rPr>
        <w:t xml:space="preserve"> in eBC</w:t>
      </w:r>
      <w:r w:rsidR="00520EA5" w:rsidRPr="00520EA5">
        <w:rPr>
          <w:rFonts w:asciiTheme="minorHAnsi" w:hAnsiTheme="minorHAnsi"/>
          <w:bCs/>
          <w:snapToGrid w:val="0"/>
        </w:rPr>
        <w:t xml:space="preserve"> is favourable to treating </w:t>
      </w:r>
      <w:r w:rsidR="00F74EC2">
        <w:rPr>
          <w:rFonts w:asciiTheme="minorHAnsi" w:hAnsiTheme="minorHAnsi"/>
          <w:bCs/>
          <w:snapToGrid w:val="0"/>
        </w:rPr>
        <w:t>advanced/</w:t>
      </w:r>
      <w:r w:rsidR="00520EA5" w:rsidRPr="00520EA5">
        <w:rPr>
          <w:rFonts w:asciiTheme="minorHAnsi" w:hAnsiTheme="minorHAnsi"/>
          <w:bCs/>
          <w:snapToGrid w:val="0"/>
        </w:rPr>
        <w:t>metastatic disease with CDK4/6 inhibitors.</w:t>
      </w:r>
      <w:r w:rsidR="00520EA5">
        <w:rPr>
          <w:rFonts w:asciiTheme="minorHAnsi" w:hAnsiTheme="minorHAnsi"/>
          <w:bCs/>
          <w:snapToGrid w:val="0"/>
        </w:rPr>
        <w:t xml:space="preserve"> </w:t>
      </w:r>
      <w:bookmarkEnd w:id="21"/>
    </w:p>
    <w:p w14:paraId="46F64CAE" w14:textId="77777777" w:rsidR="00792DA6" w:rsidRPr="00580457" w:rsidRDefault="00792DA6" w:rsidP="009A6FA8">
      <w:pPr>
        <w:pStyle w:val="4-SubsectionHeading"/>
      </w:pPr>
      <w:r w:rsidRPr="00580457">
        <w:t>Consumer comments</w:t>
      </w:r>
    </w:p>
    <w:p w14:paraId="7F493BA0" w14:textId="1C87FA1B" w:rsidR="00792DA6" w:rsidRPr="00580457" w:rsidRDefault="002F6A31" w:rsidP="00A764AF">
      <w:pPr>
        <w:widowControl w:val="0"/>
        <w:numPr>
          <w:ilvl w:val="1"/>
          <w:numId w:val="1"/>
        </w:numPr>
        <w:spacing w:after="120"/>
        <w:ind w:left="720"/>
        <w:rPr>
          <w:rFonts w:asciiTheme="minorHAnsi" w:hAnsiTheme="minorHAnsi"/>
          <w:bCs/>
          <w:snapToGrid w:val="0"/>
        </w:rPr>
      </w:pPr>
      <w:bookmarkStart w:id="22" w:name="_Hlk76382618"/>
      <w:r w:rsidRPr="00580457">
        <w:rPr>
          <w:rFonts w:asciiTheme="minorHAnsi" w:hAnsiTheme="minorHAnsi"/>
          <w:bCs/>
          <w:snapToGrid w:val="0"/>
        </w:rPr>
        <w:t>The PBAC noted and welcomed the input from 5 organisations via the Consumer Comments facility on the PBS website.</w:t>
      </w:r>
      <w:r w:rsidR="00A764AF" w:rsidRPr="00580457">
        <w:rPr>
          <w:rFonts w:asciiTheme="minorHAnsi" w:hAnsiTheme="minorHAnsi"/>
          <w:bCs/>
          <w:snapToGrid w:val="0"/>
        </w:rPr>
        <w:t xml:space="preserve"> The organisations (Medical Oncology Group of Australia [MOGA], Rare Cancers Australia, Inherited Cancers Australia [formerly Pink Hope], Can Assist, and Breast Cancer Network Australia [BCNA]) supported the PBS listing of ribociclib for the treatment of HR+, HER2- lymph node positive, invasive resected eBC. The organisations outlined the clinical benefits associated with ribociclib treatment as an alternative CDK4/6 inhibitor</w:t>
      </w:r>
      <w:r w:rsidR="00580457" w:rsidRPr="00580457">
        <w:rPr>
          <w:rFonts w:asciiTheme="minorHAnsi" w:hAnsiTheme="minorHAnsi"/>
          <w:bCs/>
          <w:snapToGrid w:val="0"/>
        </w:rPr>
        <w:t>, especially for patients unable to tolerate currently listed medicines</w:t>
      </w:r>
      <w:r w:rsidR="00A764AF" w:rsidRPr="00580457">
        <w:rPr>
          <w:rFonts w:asciiTheme="minorHAnsi" w:hAnsiTheme="minorHAnsi"/>
          <w:bCs/>
          <w:snapToGrid w:val="0"/>
        </w:rPr>
        <w:t>, and emphasised the psycho-social benefits associated with reducing the fear of recurrence.</w:t>
      </w:r>
    </w:p>
    <w:bookmarkEnd w:id="20"/>
    <w:bookmarkEnd w:id="22"/>
    <w:p w14:paraId="766CC611" w14:textId="3BADECBD" w:rsidR="00792DA6" w:rsidRPr="00240C3C" w:rsidRDefault="00240C3C" w:rsidP="00240C3C">
      <w:pPr>
        <w:widowControl w:val="0"/>
        <w:numPr>
          <w:ilvl w:val="1"/>
          <w:numId w:val="1"/>
        </w:numPr>
        <w:spacing w:after="120"/>
        <w:ind w:left="720"/>
        <w:rPr>
          <w:rFonts w:asciiTheme="minorHAnsi" w:hAnsiTheme="minorHAnsi"/>
          <w:bCs/>
          <w:snapToGrid w:val="0"/>
        </w:rPr>
      </w:pPr>
      <w:r w:rsidRPr="00240C3C">
        <w:rPr>
          <w:bCs/>
          <w:snapToGrid w:val="0"/>
        </w:rPr>
        <w:lastRenderedPageBreak/>
        <w:t xml:space="preserve">The Medical Oncology Group of Australia (MOGA) also expressed its strong support for the </w:t>
      </w:r>
      <w:r w:rsidR="00F74EC2">
        <w:rPr>
          <w:bCs/>
          <w:snapToGrid w:val="0"/>
        </w:rPr>
        <w:t>ribociclib</w:t>
      </w:r>
      <w:r w:rsidRPr="00240C3C">
        <w:rPr>
          <w:bCs/>
          <w:snapToGrid w:val="0"/>
        </w:rPr>
        <w:t xml:space="preserve"> submission, categorising it as one of the therapies of “high priority for PBS listing” on the basis of the </w:t>
      </w:r>
      <w:r w:rsidR="004E52B6">
        <w:rPr>
          <w:bCs/>
          <w:snapToGrid w:val="0"/>
        </w:rPr>
        <w:t>NATALEE</w:t>
      </w:r>
      <w:r w:rsidRPr="00240C3C">
        <w:rPr>
          <w:bCs/>
          <w:snapToGrid w:val="0"/>
        </w:rPr>
        <w:t xml:space="preserve"> trial. </w:t>
      </w:r>
      <w:r w:rsidR="004E52B6" w:rsidRPr="009548C3">
        <w:rPr>
          <w:rFonts w:asciiTheme="minorHAnsi" w:hAnsiTheme="minorHAnsi"/>
          <w:bCs/>
          <w:snapToGrid w:val="0"/>
        </w:rPr>
        <w:t xml:space="preserve">The PBAC noted that the MOGA </w:t>
      </w:r>
      <w:r w:rsidR="004E52B6">
        <w:rPr>
          <w:rFonts w:asciiTheme="minorHAnsi" w:hAnsiTheme="minorHAnsi"/>
          <w:bCs/>
          <w:snapToGrid w:val="0"/>
        </w:rPr>
        <w:t>classified ribociclib with</w:t>
      </w:r>
      <w:r w:rsidR="004E52B6" w:rsidRPr="009548C3">
        <w:rPr>
          <w:rFonts w:asciiTheme="minorHAnsi" w:hAnsiTheme="minorHAnsi"/>
          <w:bCs/>
          <w:snapToGrid w:val="0"/>
        </w:rPr>
        <w:t xml:space="preserve"> a European Society for Medical Oncology Magnitude of Clinical Benefit Scale (ESMO-MCBS)</w:t>
      </w:r>
      <w:r w:rsidR="004E52B6">
        <w:rPr>
          <w:rFonts w:asciiTheme="minorHAnsi" w:hAnsiTheme="minorHAnsi"/>
          <w:bCs/>
          <w:snapToGrid w:val="0"/>
        </w:rPr>
        <w:t xml:space="preserve"> </w:t>
      </w:r>
      <w:r w:rsidR="004E52B6" w:rsidRPr="00B36DD0">
        <w:t>grade ‘</w:t>
      </w:r>
      <w:r w:rsidR="004E52B6">
        <w:t>B</w:t>
      </w:r>
      <w:r w:rsidR="004E52B6" w:rsidRPr="00B36DD0">
        <w:t xml:space="preserve">’, categorising it as a treatment with </w:t>
      </w:r>
      <w:r w:rsidR="004E52B6" w:rsidRPr="004E52B6">
        <w:t>substantial benefit</w:t>
      </w:r>
      <w:r w:rsidR="004E52B6" w:rsidRPr="00B36DD0">
        <w:t xml:space="preserve"> in the curative setting</w:t>
      </w:r>
      <w:r w:rsidR="004E52B6">
        <w:t>.</w:t>
      </w:r>
      <w:r w:rsidR="004E52B6" w:rsidRPr="00644836">
        <w:rPr>
          <w:rStyle w:val="FootnoteReference"/>
          <w:rFonts w:asciiTheme="minorHAnsi" w:hAnsiTheme="minorHAnsi" w:cstheme="minorHAnsi"/>
          <w:sz w:val="24"/>
        </w:rPr>
        <w:footnoteReference w:id="5"/>
      </w:r>
    </w:p>
    <w:p w14:paraId="1FBC0BFA" w14:textId="77777777" w:rsidR="00B60939" w:rsidRPr="00DB3D39" w:rsidRDefault="00B60939" w:rsidP="002E4F02">
      <w:pPr>
        <w:pStyle w:val="4-SubsectionHeading"/>
      </w:pPr>
      <w:bookmarkStart w:id="23" w:name="_Toc177475547"/>
      <w:r w:rsidRPr="00DB3D39">
        <w:t>Clinical trials</w:t>
      </w:r>
      <w:bookmarkEnd w:id="23"/>
    </w:p>
    <w:p w14:paraId="0C244A0B" w14:textId="784340D6" w:rsidR="007F1017" w:rsidRPr="00DB3D39" w:rsidRDefault="00136313" w:rsidP="007C073C">
      <w:pPr>
        <w:pStyle w:val="3-BodyText"/>
        <w:rPr>
          <w:color w:val="0066FF"/>
        </w:rPr>
      </w:pPr>
      <w:r w:rsidRPr="00DB3D39">
        <w:t xml:space="preserve">The </w:t>
      </w:r>
      <w:r w:rsidR="003A0C44" w:rsidRPr="00DB3D39">
        <w:t>submission</w:t>
      </w:r>
      <w:r w:rsidRPr="00DB3D39">
        <w:t xml:space="preserve"> was based on an </w:t>
      </w:r>
      <w:r w:rsidR="004F0E49" w:rsidRPr="00DB3D39">
        <w:t>anchored</w:t>
      </w:r>
      <w:r w:rsidR="00D340F7">
        <w:t xml:space="preserve"> </w:t>
      </w:r>
      <w:r w:rsidR="008C353F" w:rsidRPr="00DB3D39">
        <w:t>indirect treatment comparison (</w:t>
      </w:r>
      <w:r w:rsidRPr="00DB3D39">
        <w:t>ITC</w:t>
      </w:r>
      <w:r w:rsidR="008C353F" w:rsidRPr="00DB3D39">
        <w:t>)</w:t>
      </w:r>
      <w:r w:rsidRPr="00DB3D39">
        <w:t xml:space="preserve"> </w:t>
      </w:r>
      <w:r w:rsidR="003A0C44" w:rsidRPr="00DB3D39">
        <w:t>of</w:t>
      </w:r>
      <w:r w:rsidRPr="00DB3D39">
        <w:t xml:space="preserve"> ribociclib </w:t>
      </w:r>
      <w:r w:rsidR="0084706D" w:rsidRPr="00DB3D39">
        <w:t>plus adjuvant ET</w:t>
      </w:r>
      <w:r w:rsidR="003D2ABA" w:rsidRPr="00DB3D39">
        <w:t xml:space="preserve"> and abemaciclib </w:t>
      </w:r>
      <w:r w:rsidR="0084706D" w:rsidRPr="00DB3D39">
        <w:t>plus adjuvant ET</w:t>
      </w:r>
      <w:r w:rsidR="003D2ABA" w:rsidRPr="00DB3D39">
        <w:t xml:space="preserve">, using ET alone as the </w:t>
      </w:r>
      <w:r w:rsidR="003A0C44" w:rsidRPr="00DB3D39">
        <w:t xml:space="preserve">common </w:t>
      </w:r>
      <w:r w:rsidR="00893D13">
        <w:t>reference</w:t>
      </w:r>
      <w:r w:rsidR="003D2ABA" w:rsidRPr="00DB3D39">
        <w:t xml:space="preserve">. </w:t>
      </w:r>
      <w:r w:rsidR="00A73134" w:rsidRPr="00DB3D39">
        <w:t>The submission</w:t>
      </w:r>
      <w:r w:rsidR="006B2376" w:rsidRPr="00DB3D39">
        <w:t>’s ITC</w:t>
      </w:r>
      <w:r w:rsidR="00A73134" w:rsidRPr="00DB3D39">
        <w:t xml:space="preserve"> </w:t>
      </w:r>
      <w:r w:rsidR="00D5243B" w:rsidRPr="00DB3D39">
        <w:t>wa</w:t>
      </w:r>
      <w:r w:rsidR="00A73134" w:rsidRPr="00DB3D39">
        <w:t xml:space="preserve">s based on </w:t>
      </w:r>
      <w:r w:rsidR="006B2376" w:rsidRPr="00DB3D39">
        <w:t xml:space="preserve">two </w:t>
      </w:r>
      <w:r w:rsidR="003F4186" w:rsidRPr="00DB3D39">
        <w:t xml:space="preserve">randomised trials: NATALEE </w:t>
      </w:r>
      <w:r w:rsidR="00A73134" w:rsidRPr="00DB3D39">
        <w:t xml:space="preserve">comparing </w:t>
      </w:r>
      <w:r w:rsidR="00EA7785" w:rsidRPr="00DB3D39">
        <w:t xml:space="preserve">ribociclib </w:t>
      </w:r>
      <w:r w:rsidR="0084706D" w:rsidRPr="00DB3D39">
        <w:t>plus adjuvant ET</w:t>
      </w:r>
      <w:r w:rsidR="00A73134" w:rsidRPr="00DB3D39">
        <w:t xml:space="preserve"> to </w:t>
      </w:r>
      <w:r w:rsidR="00EA7785" w:rsidRPr="00DB3D39">
        <w:t>ET alone</w:t>
      </w:r>
      <w:r w:rsidR="00A73134" w:rsidRPr="00DB3D39">
        <w:t xml:space="preserve"> (</w:t>
      </w:r>
      <w:r w:rsidR="00755D8B" w:rsidRPr="00DB3D39">
        <w:t>N</w:t>
      </w:r>
      <w:r w:rsidR="00A73134" w:rsidRPr="00DB3D39">
        <w:t>=</w:t>
      </w:r>
      <w:r w:rsidR="00EA7785" w:rsidRPr="00DB3D39">
        <w:t>5</w:t>
      </w:r>
      <w:r w:rsidR="00411977" w:rsidRPr="00DB3D39">
        <w:t>,</w:t>
      </w:r>
      <w:r w:rsidR="00EA7785" w:rsidRPr="00DB3D39">
        <w:t>101</w:t>
      </w:r>
      <w:r w:rsidR="00EA7785" w:rsidRPr="00DB3D39" w:rsidDel="003F4186">
        <w:t>)</w:t>
      </w:r>
      <w:r w:rsidR="00EA7785" w:rsidRPr="00DB3D39">
        <w:t xml:space="preserve">, and </w:t>
      </w:r>
      <w:r w:rsidR="006D5BA2" w:rsidRPr="00DB3D39">
        <w:t xml:space="preserve">monarchE </w:t>
      </w:r>
      <w:r w:rsidR="003A0C44" w:rsidRPr="00DB3D39">
        <w:t xml:space="preserve">comparing abemaciclib </w:t>
      </w:r>
      <w:r w:rsidR="0084706D" w:rsidRPr="00DB3D39">
        <w:t>plus adjuvant ET</w:t>
      </w:r>
      <w:r w:rsidR="003A0C44" w:rsidRPr="00DB3D39">
        <w:t xml:space="preserve"> to ET alone (</w:t>
      </w:r>
      <w:r w:rsidR="00755D8B" w:rsidRPr="00DB3D39">
        <w:t>N</w:t>
      </w:r>
      <w:r w:rsidR="003A0C44" w:rsidRPr="00DB3D39">
        <w:t>=5</w:t>
      </w:r>
      <w:r w:rsidR="00411977" w:rsidRPr="00DB3D39">
        <w:t>,</w:t>
      </w:r>
      <w:r w:rsidR="00655C83" w:rsidRPr="00DB3D39">
        <w:t>637</w:t>
      </w:r>
      <w:r w:rsidR="003A0C44" w:rsidRPr="00DB3D39" w:rsidDel="006D5BA2">
        <w:t>)</w:t>
      </w:r>
      <w:r w:rsidR="003A0C44" w:rsidRPr="00DB3D39">
        <w:t>.</w:t>
      </w:r>
    </w:p>
    <w:p w14:paraId="673941C4" w14:textId="52AF0B5D" w:rsidR="00862502" w:rsidRPr="00DB3D39" w:rsidRDefault="00A73134" w:rsidP="007C073C">
      <w:pPr>
        <w:pStyle w:val="3-BodyText"/>
      </w:pPr>
      <w:r w:rsidRPr="00DB3D39">
        <w:t xml:space="preserve">Details of </w:t>
      </w:r>
      <w:r w:rsidR="00655C83" w:rsidRPr="00DB3D39">
        <w:t xml:space="preserve">the two </w:t>
      </w:r>
      <w:r w:rsidRPr="00DB3D39">
        <w:t>trials presented in the submission are provided in</w:t>
      </w:r>
      <w:r w:rsidR="00E04C7B" w:rsidRPr="00DB3D39">
        <w:t xml:space="preserve"> </w:t>
      </w:r>
      <w:r w:rsidR="00D46017" w:rsidRPr="00DB3D39">
        <w:fldChar w:fldCharType="begin" w:fldLock="1"/>
      </w:r>
      <w:r w:rsidR="00D46017" w:rsidRPr="00DB3D39">
        <w:instrText xml:space="preserve"> REF _Ref176858499 \h </w:instrText>
      </w:r>
      <w:r w:rsidR="00D46017" w:rsidRPr="00DB3D39">
        <w:fldChar w:fldCharType="separate"/>
      </w:r>
      <w:r w:rsidR="00FF083B" w:rsidRPr="00DB3D39">
        <w:t xml:space="preserve">Table </w:t>
      </w:r>
      <w:r w:rsidR="00FF083B">
        <w:rPr>
          <w:noProof/>
        </w:rPr>
        <w:t>2</w:t>
      </w:r>
      <w:r w:rsidR="00D46017" w:rsidRPr="00DB3D39">
        <w:fldChar w:fldCharType="end"/>
      </w:r>
      <w:r w:rsidRPr="00DB3D39">
        <w:t>.</w:t>
      </w:r>
    </w:p>
    <w:p w14:paraId="1A9CD7C5" w14:textId="411D6023" w:rsidR="008E0D3C" w:rsidRPr="00DB3D39" w:rsidRDefault="00696EF9" w:rsidP="00644836">
      <w:pPr>
        <w:pStyle w:val="TableHeading"/>
        <w:keepLines/>
        <w:spacing w:before="0" w:after="0"/>
        <w:rPr>
          <w:rStyle w:val="CommentReference"/>
          <w:b w:val="0"/>
        </w:rPr>
      </w:pPr>
      <w:bookmarkStart w:id="24" w:name="_Ref176858499"/>
      <w:r w:rsidRPr="00DB3D39">
        <w:t xml:space="preserve">Table </w:t>
      </w:r>
      <w:r w:rsidR="00FF083B">
        <w:fldChar w:fldCharType="begin" w:fldLock="1"/>
      </w:r>
      <w:r w:rsidR="00FF083B">
        <w:instrText xml:space="preserve"> SEQ Table \* ARABIC </w:instrText>
      </w:r>
      <w:r w:rsidR="00FF083B">
        <w:fldChar w:fldCharType="separate"/>
      </w:r>
      <w:r w:rsidR="00FF083B">
        <w:rPr>
          <w:noProof/>
        </w:rPr>
        <w:t>2</w:t>
      </w:r>
      <w:r w:rsidR="00FF083B">
        <w:rPr>
          <w:noProof/>
        </w:rPr>
        <w:fldChar w:fldCharType="end"/>
      </w:r>
      <w:bookmarkEnd w:id="24"/>
      <w:r w:rsidRPr="00DB3D39">
        <w:t>:</w:t>
      </w:r>
      <w:r w:rsidR="00BC591F" w:rsidRPr="00DB3D39">
        <w:rPr>
          <w:rStyle w:val="CommentReference"/>
        </w:rPr>
        <w:t xml:space="preserve"> </w:t>
      </w:r>
      <w:r w:rsidR="008E0D3C" w:rsidRPr="00DB3D39">
        <w:rPr>
          <w:rStyle w:val="CommentReference"/>
        </w:rPr>
        <w:t>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71"/>
        <w:gridCol w:w="5954"/>
        <w:gridCol w:w="1791"/>
      </w:tblGrid>
      <w:tr w:rsidR="00AD76F4" w:rsidRPr="00DB3D39" w14:paraId="5BD0D42A" w14:textId="77777777" w:rsidTr="00512B87">
        <w:trPr>
          <w:tblHeader/>
        </w:trPr>
        <w:tc>
          <w:tcPr>
            <w:tcW w:w="705" w:type="pct"/>
            <w:tcBorders>
              <w:bottom w:val="single" w:sz="4" w:space="0" w:color="auto"/>
            </w:tcBorders>
            <w:vAlign w:val="center"/>
          </w:tcPr>
          <w:p w14:paraId="0E0E52B2" w14:textId="77777777" w:rsidR="00AD76F4" w:rsidRPr="00644836" w:rsidRDefault="00AD76F4" w:rsidP="00644836">
            <w:pPr>
              <w:pStyle w:val="In-tableHeading"/>
              <w:rPr>
                <w:szCs w:val="20"/>
                <w:lang w:val="en-AU"/>
              </w:rPr>
            </w:pPr>
            <w:r w:rsidRPr="00644836">
              <w:rPr>
                <w:szCs w:val="20"/>
                <w:lang w:val="en-AU"/>
              </w:rPr>
              <w:t>Trial ID</w:t>
            </w:r>
          </w:p>
        </w:tc>
        <w:tc>
          <w:tcPr>
            <w:tcW w:w="3301" w:type="pct"/>
            <w:tcBorders>
              <w:bottom w:val="single" w:sz="4" w:space="0" w:color="auto"/>
            </w:tcBorders>
            <w:vAlign w:val="center"/>
          </w:tcPr>
          <w:p w14:paraId="56873DFF" w14:textId="77777777" w:rsidR="00AD76F4" w:rsidRPr="00644836" w:rsidRDefault="00AD76F4" w:rsidP="00644836">
            <w:pPr>
              <w:pStyle w:val="In-tableHeading"/>
              <w:rPr>
                <w:szCs w:val="20"/>
                <w:lang w:val="en-AU"/>
              </w:rPr>
            </w:pPr>
            <w:r w:rsidRPr="00644836">
              <w:rPr>
                <w:szCs w:val="20"/>
                <w:lang w:val="en-AU"/>
              </w:rPr>
              <w:t>Protocol title/ Publication title</w:t>
            </w:r>
          </w:p>
        </w:tc>
        <w:tc>
          <w:tcPr>
            <w:tcW w:w="993" w:type="pct"/>
            <w:tcBorders>
              <w:bottom w:val="single" w:sz="4" w:space="0" w:color="auto"/>
            </w:tcBorders>
            <w:vAlign w:val="center"/>
          </w:tcPr>
          <w:p w14:paraId="1D62367B" w14:textId="77777777" w:rsidR="00AD76F4" w:rsidRPr="00644836" w:rsidRDefault="00AD76F4" w:rsidP="00644836">
            <w:pPr>
              <w:pStyle w:val="In-tableHeading"/>
              <w:rPr>
                <w:szCs w:val="20"/>
                <w:lang w:val="en-AU"/>
              </w:rPr>
            </w:pPr>
            <w:r w:rsidRPr="00644836">
              <w:rPr>
                <w:szCs w:val="20"/>
                <w:lang w:val="en-AU"/>
              </w:rPr>
              <w:t>Publication citation</w:t>
            </w:r>
          </w:p>
        </w:tc>
      </w:tr>
      <w:tr w:rsidR="00AD76F4" w:rsidRPr="00DB3D39" w14:paraId="18C5A5E4" w14:textId="77777777" w:rsidTr="00512B87">
        <w:tc>
          <w:tcPr>
            <w:tcW w:w="705" w:type="pct"/>
            <w:tcBorders>
              <w:bottom w:val="nil"/>
            </w:tcBorders>
            <w:vAlign w:val="center"/>
          </w:tcPr>
          <w:p w14:paraId="75683409" w14:textId="77777777" w:rsidR="00AD76F4" w:rsidRPr="00644836" w:rsidRDefault="00AD76F4" w:rsidP="00644836">
            <w:pPr>
              <w:pStyle w:val="TableText0"/>
              <w:rPr>
                <w:szCs w:val="20"/>
              </w:rPr>
            </w:pPr>
          </w:p>
        </w:tc>
        <w:tc>
          <w:tcPr>
            <w:tcW w:w="3301" w:type="pct"/>
            <w:tcBorders>
              <w:bottom w:val="nil"/>
            </w:tcBorders>
          </w:tcPr>
          <w:p w14:paraId="39A122DF" w14:textId="77777777" w:rsidR="00AD76F4" w:rsidRPr="00644836" w:rsidRDefault="00AD76F4" w:rsidP="00644836">
            <w:pPr>
              <w:pStyle w:val="TableText0"/>
              <w:spacing w:after="120"/>
              <w:rPr>
                <w:szCs w:val="20"/>
              </w:rPr>
            </w:pPr>
            <w:r w:rsidRPr="00644836">
              <w:rPr>
                <w:szCs w:val="20"/>
              </w:rPr>
              <w:t>A phase III, multicenter, randomised, open-label trial to evaluate efficacy and safety of Ribociclib with endocrine therapy as an adjuvant treatment in patients with hormone receptor-positive, HER2-negative, early breast cancer (New Adjuvant TriAl with Ribociclib [LEE011])</w:t>
            </w:r>
          </w:p>
        </w:tc>
        <w:tc>
          <w:tcPr>
            <w:tcW w:w="993" w:type="pct"/>
            <w:tcBorders>
              <w:bottom w:val="nil"/>
            </w:tcBorders>
          </w:tcPr>
          <w:p w14:paraId="75C3AA89" w14:textId="77777777" w:rsidR="00AD76F4" w:rsidRPr="00644836" w:rsidRDefault="00AD76F4" w:rsidP="00644836">
            <w:pPr>
              <w:pStyle w:val="TableText0"/>
              <w:rPr>
                <w:szCs w:val="20"/>
              </w:rPr>
            </w:pPr>
            <w:r w:rsidRPr="00644836">
              <w:rPr>
                <w:szCs w:val="20"/>
              </w:rPr>
              <w:t xml:space="preserve">CSR; </w:t>
            </w:r>
          </w:p>
          <w:p w14:paraId="6E724EB1" w14:textId="77777777" w:rsidR="00AD76F4" w:rsidRPr="00644836" w:rsidRDefault="00AD76F4" w:rsidP="00644836">
            <w:pPr>
              <w:pStyle w:val="TableText0"/>
              <w:rPr>
                <w:szCs w:val="20"/>
              </w:rPr>
            </w:pPr>
            <w:r w:rsidRPr="00644836">
              <w:rPr>
                <w:szCs w:val="20"/>
              </w:rPr>
              <w:t>DCO: 11 January 2023</w:t>
            </w:r>
          </w:p>
          <w:p w14:paraId="1F4E454F" w14:textId="497D0731" w:rsidR="00AD76F4" w:rsidRPr="00644836" w:rsidRDefault="00AD76F4" w:rsidP="00644836">
            <w:pPr>
              <w:pStyle w:val="TableText0"/>
              <w:rPr>
                <w:szCs w:val="20"/>
              </w:rPr>
            </w:pPr>
            <w:r w:rsidRPr="00644836">
              <w:rPr>
                <w:szCs w:val="20"/>
              </w:rPr>
              <w:t>Report: 2 August 2023</w:t>
            </w:r>
          </w:p>
        </w:tc>
      </w:tr>
      <w:tr w:rsidR="00AD76F4" w:rsidRPr="00DB3D39" w14:paraId="1996B34E" w14:textId="77777777" w:rsidTr="00512B87">
        <w:tc>
          <w:tcPr>
            <w:tcW w:w="705" w:type="pct"/>
            <w:tcBorders>
              <w:top w:val="nil"/>
              <w:bottom w:val="nil"/>
            </w:tcBorders>
            <w:vAlign w:val="center"/>
          </w:tcPr>
          <w:p w14:paraId="7179EC86" w14:textId="77777777" w:rsidR="00AD76F4" w:rsidRPr="00644836" w:rsidRDefault="00AD76F4" w:rsidP="00644836">
            <w:pPr>
              <w:pStyle w:val="TableText0"/>
              <w:rPr>
                <w:szCs w:val="20"/>
              </w:rPr>
            </w:pPr>
            <w:r w:rsidRPr="00644836">
              <w:rPr>
                <w:szCs w:val="20"/>
              </w:rPr>
              <w:t>NATALEE</w:t>
            </w:r>
          </w:p>
          <w:p w14:paraId="6D73C291" w14:textId="77777777" w:rsidR="00AD76F4" w:rsidRPr="00644836" w:rsidRDefault="00AD76F4" w:rsidP="00644836">
            <w:pPr>
              <w:pStyle w:val="TableText0"/>
              <w:rPr>
                <w:szCs w:val="20"/>
              </w:rPr>
            </w:pPr>
            <w:r w:rsidRPr="00644836">
              <w:rPr>
                <w:szCs w:val="20"/>
              </w:rPr>
              <w:t>(</w:t>
            </w:r>
            <w:r w:rsidRPr="00644836">
              <w:rPr>
                <w:rFonts w:cs="Arial"/>
                <w:szCs w:val="20"/>
              </w:rPr>
              <w:t>NCT03701334)</w:t>
            </w:r>
          </w:p>
        </w:tc>
        <w:tc>
          <w:tcPr>
            <w:tcW w:w="3301" w:type="pct"/>
            <w:tcBorders>
              <w:top w:val="nil"/>
              <w:bottom w:val="nil"/>
            </w:tcBorders>
          </w:tcPr>
          <w:p w14:paraId="0CFC387A" w14:textId="77777777" w:rsidR="00AD76F4" w:rsidRPr="00644836" w:rsidRDefault="00AD76F4" w:rsidP="00644836">
            <w:pPr>
              <w:keepNext/>
              <w:keepLines/>
              <w:spacing w:after="120"/>
              <w:rPr>
                <w:rFonts w:ascii="Arial Narrow" w:eastAsiaTheme="minorHAnsi" w:hAnsi="Arial Narrow"/>
                <w:sz w:val="20"/>
                <w:szCs w:val="20"/>
                <w:lang w:eastAsia="en-US"/>
              </w:rPr>
            </w:pPr>
            <w:r w:rsidRPr="00644836">
              <w:rPr>
                <w:rFonts w:ascii="Arial Narrow" w:hAnsi="Arial Narrow"/>
                <w:sz w:val="20"/>
                <w:szCs w:val="20"/>
              </w:rPr>
              <w:t xml:space="preserve">A phase III, multicenter, randomised, open-label trial to evaluate efficacy and safety of Ribociclib with endocrine therapy as an adjuvant treatment in patients with hormone receptor-positive, HER2-negative, early breast cancer: efficacy analysis and safety update Final iDFS Analysis </w:t>
            </w:r>
          </w:p>
        </w:tc>
        <w:tc>
          <w:tcPr>
            <w:tcW w:w="993" w:type="pct"/>
            <w:tcBorders>
              <w:top w:val="nil"/>
              <w:bottom w:val="nil"/>
            </w:tcBorders>
          </w:tcPr>
          <w:p w14:paraId="430F6747" w14:textId="77777777" w:rsidR="00AD76F4" w:rsidRPr="00644836" w:rsidRDefault="00AD76F4" w:rsidP="00644836">
            <w:pPr>
              <w:pStyle w:val="TableText0"/>
              <w:rPr>
                <w:szCs w:val="20"/>
              </w:rPr>
            </w:pPr>
            <w:r w:rsidRPr="00644836">
              <w:rPr>
                <w:szCs w:val="20"/>
              </w:rPr>
              <w:t>Clinical Trial Protocol</w:t>
            </w:r>
          </w:p>
          <w:p w14:paraId="40F9E928" w14:textId="77777777" w:rsidR="00AD76F4" w:rsidRPr="00644836" w:rsidRDefault="00AD76F4" w:rsidP="00644836">
            <w:pPr>
              <w:pStyle w:val="TableText0"/>
              <w:rPr>
                <w:szCs w:val="20"/>
              </w:rPr>
            </w:pPr>
            <w:r w:rsidRPr="00644836">
              <w:rPr>
                <w:szCs w:val="20"/>
              </w:rPr>
              <w:t>DCO: 21 July 2023</w:t>
            </w:r>
          </w:p>
          <w:p w14:paraId="4E727F9E" w14:textId="77777777" w:rsidR="00AD76F4" w:rsidRPr="00644836" w:rsidRDefault="00AD76F4" w:rsidP="00644836">
            <w:pPr>
              <w:pStyle w:val="TableText0"/>
              <w:rPr>
                <w:szCs w:val="20"/>
              </w:rPr>
            </w:pPr>
            <w:r w:rsidRPr="00644836">
              <w:rPr>
                <w:szCs w:val="20"/>
              </w:rPr>
              <w:t>Report: 23 November 2023</w:t>
            </w:r>
          </w:p>
        </w:tc>
      </w:tr>
      <w:tr w:rsidR="00AD76F4" w:rsidRPr="00DB3D39" w14:paraId="1DAADB08" w14:textId="77777777" w:rsidTr="00512B87">
        <w:tc>
          <w:tcPr>
            <w:tcW w:w="705" w:type="pct"/>
            <w:tcBorders>
              <w:top w:val="nil"/>
              <w:bottom w:val="nil"/>
            </w:tcBorders>
            <w:vAlign w:val="center"/>
          </w:tcPr>
          <w:p w14:paraId="4569882F" w14:textId="77777777" w:rsidR="00AD76F4" w:rsidRPr="00644836" w:rsidRDefault="00AD76F4" w:rsidP="00644836">
            <w:pPr>
              <w:pStyle w:val="TableText0"/>
              <w:rPr>
                <w:szCs w:val="20"/>
              </w:rPr>
            </w:pPr>
          </w:p>
        </w:tc>
        <w:tc>
          <w:tcPr>
            <w:tcW w:w="3301" w:type="pct"/>
            <w:tcBorders>
              <w:top w:val="nil"/>
              <w:bottom w:val="nil"/>
            </w:tcBorders>
          </w:tcPr>
          <w:p w14:paraId="7C9A4C89" w14:textId="77777777" w:rsidR="00AD76F4" w:rsidRPr="00644836" w:rsidRDefault="00AD76F4" w:rsidP="00644836">
            <w:pPr>
              <w:keepNext/>
              <w:keepLines/>
              <w:contextualSpacing/>
              <w:rPr>
                <w:rFonts w:ascii="Arial Narrow" w:hAnsi="Arial Narrow"/>
                <w:sz w:val="20"/>
                <w:szCs w:val="20"/>
              </w:rPr>
            </w:pPr>
            <w:r w:rsidRPr="00644836">
              <w:rPr>
                <w:rFonts w:ascii="Arial Narrow" w:hAnsi="Arial Narrow"/>
                <w:sz w:val="20"/>
                <w:szCs w:val="20"/>
              </w:rPr>
              <w:t xml:space="preserve">Slamon et al. Ribociclib plus Endocrine Therapy in Early Breast Cancer. </w:t>
            </w:r>
          </w:p>
        </w:tc>
        <w:tc>
          <w:tcPr>
            <w:tcW w:w="993" w:type="pct"/>
            <w:tcBorders>
              <w:top w:val="nil"/>
              <w:bottom w:val="nil"/>
            </w:tcBorders>
          </w:tcPr>
          <w:p w14:paraId="62F9A138" w14:textId="3FFF0BC4" w:rsidR="00AD76F4" w:rsidRPr="00644836" w:rsidRDefault="00AD76F4" w:rsidP="00644836">
            <w:pPr>
              <w:pStyle w:val="TableText0"/>
              <w:spacing w:after="120"/>
              <w:rPr>
                <w:szCs w:val="20"/>
              </w:rPr>
            </w:pPr>
            <w:r w:rsidRPr="00644836">
              <w:rPr>
                <w:i/>
                <w:szCs w:val="20"/>
              </w:rPr>
              <w:t>NEJM 2024; 390:1080-1091</w:t>
            </w:r>
          </w:p>
        </w:tc>
      </w:tr>
      <w:tr w:rsidR="00AD76F4" w:rsidRPr="00DB3D39" w14:paraId="706C94E4" w14:textId="77777777" w:rsidTr="00512B87">
        <w:tc>
          <w:tcPr>
            <w:tcW w:w="705" w:type="pct"/>
            <w:tcBorders>
              <w:top w:val="nil"/>
              <w:bottom w:val="nil"/>
            </w:tcBorders>
            <w:vAlign w:val="center"/>
          </w:tcPr>
          <w:p w14:paraId="3EA174C8" w14:textId="77777777" w:rsidR="00AD76F4" w:rsidRPr="00644836" w:rsidRDefault="00AD76F4" w:rsidP="00644836">
            <w:pPr>
              <w:pStyle w:val="TableText0"/>
              <w:rPr>
                <w:szCs w:val="20"/>
              </w:rPr>
            </w:pPr>
          </w:p>
        </w:tc>
        <w:tc>
          <w:tcPr>
            <w:tcW w:w="3301" w:type="pct"/>
            <w:tcBorders>
              <w:top w:val="nil"/>
              <w:bottom w:val="nil"/>
            </w:tcBorders>
          </w:tcPr>
          <w:p w14:paraId="530A034F" w14:textId="77777777" w:rsidR="00AD76F4" w:rsidRPr="00644836" w:rsidRDefault="00AD76F4" w:rsidP="00644836">
            <w:pPr>
              <w:keepNext/>
              <w:keepLines/>
              <w:contextualSpacing/>
              <w:rPr>
                <w:rFonts w:ascii="Arial Narrow" w:hAnsi="Arial Narrow"/>
                <w:sz w:val="20"/>
                <w:szCs w:val="20"/>
              </w:rPr>
            </w:pPr>
            <w:r w:rsidRPr="00644836">
              <w:rPr>
                <w:rFonts w:ascii="Arial Narrow" w:hAnsi="Arial Narrow"/>
                <w:sz w:val="20"/>
                <w:szCs w:val="20"/>
              </w:rPr>
              <w:t>Slamon et al. Rationale and trial design of NATALEE: a Phase III trial of adjuvant ribociclib</w:t>
            </w:r>
            <w:r w:rsidRPr="00644836">
              <w:rPr>
                <w:rFonts w:ascii="Arial" w:hAnsi="Arial"/>
                <w:sz w:val="20"/>
                <w:szCs w:val="20"/>
              </w:rPr>
              <w:t> </w:t>
            </w:r>
            <w:r w:rsidRPr="00644836">
              <w:rPr>
                <w:rFonts w:ascii="Arial Narrow" w:hAnsi="Arial Narrow"/>
                <w:sz w:val="20"/>
                <w:szCs w:val="20"/>
              </w:rPr>
              <w:t>+</w:t>
            </w:r>
            <w:r w:rsidRPr="00644836">
              <w:rPr>
                <w:rFonts w:ascii="Arial" w:hAnsi="Arial"/>
                <w:sz w:val="20"/>
                <w:szCs w:val="20"/>
              </w:rPr>
              <w:t> </w:t>
            </w:r>
            <w:r w:rsidRPr="00644836">
              <w:rPr>
                <w:rFonts w:ascii="Arial Narrow" w:hAnsi="Arial Narrow"/>
                <w:sz w:val="20"/>
                <w:szCs w:val="20"/>
              </w:rPr>
              <w:t xml:space="preserve">endocrine therapy versus endocrine therapy alone in patients with HR+/HER2- early breast cancer. </w:t>
            </w:r>
          </w:p>
        </w:tc>
        <w:tc>
          <w:tcPr>
            <w:tcW w:w="993" w:type="pct"/>
            <w:tcBorders>
              <w:top w:val="nil"/>
              <w:bottom w:val="nil"/>
            </w:tcBorders>
          </w:tcPr>
          <w:p w14:paraId="422DC1B2" w14:textId="77777777" w:rsidR="00AD76F4" w:rsidRPr="00644836" w:rsidRDefault="00AD76F4" w:rsidP="00644836">
            <w:pPr>
              <w:pStyle w:val="TableText0"/>
              <w:rPr>
                <w:i/>
                <w:iCs/>
                <w:szCs w:val="20"/>
              </w:rPr>
            </w:pPr>
            <w:r w:rsidRPr="00644836">
              <w:rPr>
                <w:i/>
                <w:iCs/>
                <w:szCs w:val="20"/>
              </w:rPr>
              <w:t>Ther Adv Med Oncol, 15</w:t>
            </w:r>
          </w:p>
        </w:tc>
      </w:tr>
      <w:tr w:rsidR="00AD76F4" w:rsidRPr="00DB3D39" w14:paraId="49310EF3" w14:textId="77777777" w:rsidTr="00512B87">
        <w:tc>
          <w:tcPr>
            <w:tcW w:w="705" w:type="pct"/>
            <w:tcBorders>
              <w:bottom w:val="nil"/>
            </w:tcBorders>
            <w:vAlign w:val="center"/>
          </w:tcPr>
          <w:p w14:paraId="1098D6C2" w14:textId="77777777" w:rsidR="00AD76F4" w:rsidRPr="00644836" w:rsidRDefault="00AD76F4" w:rsidP="00644836">
            <w:pPr>
              <w:pStyle w:val="TableText0"/>
              <w:rPr>
                <w:szCs w:val="20"/>
              </w:rPr>
            </w:pPr>
          </w:p>
        </w:tc>
        <w:tc>
          <w:tcPr>
            <w:tcW w:w="3301" w:type="pct"/>
            <w:tcBorders>
              <w:bottom w:val="nil"/>
            </w:tcBorders>
          </w:tcPr>
          <w:p w14:paraId="5273818E" w14:textId="77777777" w:rsidR="00AD76F4" w:rsidRPr="00644836" w:rsidRDefault="00AD76F4" w:rsidP="00644836">
            <w:pPr>
              <w:keepNext/>
              <w:keepLines/>
              <w:spacing w:after="120"/>
              <w:rPr>
                <w:rFonts w:ascii="Arial Narrow" w:hAnsi="Arial Narrow" w:cstheme="minorHAnsi"/>
                <w:sz w:val="20"/>
                <w:szCs w:val="20"/>
              </w:rPr>
            </w:pPr>
            <w:r w:rsidRPr="00644836">
              <w:rPr>
                <w:rFonts w:ascii="Arial Narrow" w:hAnsi="Arial Narrow" w:cstheme="minorHAnsi"/>
                <w:sz w:val="20"/>
                <w:szCs w:val="20"/>
              </w:rPr>
              <w:t xml:space="preserve">Johnston et al. Abemaciclib Combined With Endocrine Therapy for the Adjuvant Treatment of HR+, HER2-, Node-Positive, High-Risk, Early Breast Cancer (monarchE). </w:t>
            </w:r>
          </w:p>
        </w:tc>
        <w:tc>
          <w:tcPr>
            <w:tcW w:w="993" w:type="pct"/>
            <w:tcBorders>
              <w:bottom w:val="nil"/>
            </w:tcBorders>
          </w:tcPr>
          <w:p w14:paraId="343DFD74" w14:textId="77777777" w:rsidR="00AD76F4" w:rsidRPr="00644836" w:rsidRDefault="00AD76F4" w:rsidP="00644836">
            <w:pPr>
              <w:pStyle w:val="TableText0"/>
              <w:rPr>
                <w:i/>
                <w:iCs/>
                <w:szCs w:val="20"/>
              </w:rPr>
            </w:pPr>
            <w:r w:rsidRPr="00644836">
              <w:rPr>
                <w:rFonts w:cstheme="minorHAnsi"/>
                <w:i/>
                <w:iCs/>
                <w:szCs w:val="20"/>
              </w:rPr>
              <w:t>Journal of clinical oncology 2020; 38:3987</w:t>
            </w:r>
            <w:r w:rsidRPr="00644836">
              <w:rPr>
                <w:rFonts w:ascii="Cambria Math" w:hAnsi="Cambria Math" w:cs="Cambria Math"/>
                <w:i/>
                <w:iCs/>
                <w:szCs w:val="20"/>
              </w:rPr>
              <w:t>‐</w:t>
            </w:r>
            <w:r w:rsidRPr="00644836">
              <w:rPr>
                <w:rFonts w:cstheme="minorHAnsi"/>
                <w:i/>
                <w:iCs/>
                <w:szCs w:val="20"/>
              </w:rPr>
              <w:t>3998.</w:t>
            </w:r>
          </w:p>
        </w:tc>
      </w:tr>
      <w:tr w:rsidR="00AD76F4" w:rsidRPr="00DB3D39" w14:paraId="5D75F8A4" w14:textId="77777777" w:rsidTr="00512B87">
        <w:tc>
          <w:tcPr>
            <w:tcW w:w="705" w:type="pct"/>
            <w:tcBorders>
              <w:top w:val="nil"/>
              <w:bottom w:val="nil"/>
            </w:tcBorders>
            <w:vAlign w:val="center"/>
          </w:tcPr>
          <w:p w14:paraId="7A1768E0" w14:textId="77777777" w:rsidR="00AD76F4" w:rsidRPr="00644836" w:rsidRDefault="00AD76F4" w:rsidP="00644836">
            <w:pPr>
              <w:pStyle w:val="TableText0"/>
              <w:rPr>
                <w:szCs w:val="20"/>
              </w:rPr>
            </w:pPr>
            <w:r w:rsidRPr="00644836">
              <w:rPr>
                <w:szCs w:val="20"/>
              </w:rPr>
              <w:t>monarchE</w:t>
            </w:r>
          </w:p>
          <w:p w14:paraId="6F1F4917" w14:textId="77777777" w:rsidR="00AD76F4" w:rsidRPr="00644836" w:rsidRDefault="00AD76F4" w:rsidP="00644836">
            <w:pPr>
              <w:pStyle w:val="TableText0"/>
              <w:rPr>
                <w:szCs w:val="20"/>
              </w:rPr>
            </w:pPr>
            <w:r w:rsidRPr="00644836">
              <w:rPr>
                <w:szCs w:val="20"/>
              </w:rPr>
              <w:t>(</w:t>
            </w:r>
            <w:r w:rsidRPr="00644836">
              <w:rPr>
                <w:rFonts w:cs="Arial"/>
                <w:szCs w:val="20"/>
              </w:rPr>
              <w:t>NCT03155997)</w:t>
            </w:r>
          </w:p>
        </w:tc>
        <w:tc>
          <w:tcPr>
            <w:tcW w:w="3301" w:type="pct"/>
            <w:tcBorders>
              <w:top w:val="nil"/>
              <w:bottom w:val="nil"/>
            </w:tcBorders>
          </w:tcPr>
          <w:p w14:paraId="1E43F0F7" w14:textId="77777777" w:rsidR="00AD76F4" w:rsidRPr="00644836" w:rsidRDefault="00AD76F4" w:rsidP="00644836">
            <w:pPr>
              <w:keepNext/>
              <w:keepLines/>
              <w:spacing w:after="120"/>
              <w:rPr>
                <w:rFonts w:ascii="Arial Narrow" w:hAnsi="Arial Narrow" w:cstheme="minorHAnsi"/>
                <w:sz w:val="20"/>
                <w:szCs w:val="20"/>
              </w:rPr>
            </w:pPr>
            <w:r w:rsidRPr="00644836">
              <w:rPr>
                <w:rFonts w:ascii="Arial Narrow" w:hAnsi="Arial Narrow" w:cstheme="minorHAnsi"/>
                <w:sz w:val="20"/>
                <w:szCs w:val="20"/>
              </w:rPr>
              <w:t xml:space="preserve">Harbeck et al. Adjuvant abemaciclib combined with endocrine therapy for high-risk early breast cancer: updated efficacy and Ki-67 analysis from the monarchE study. </w:t>
            </w:r>
          </w:p>
        </w:tc>
        <w:tc>
          <w:tcPr>
            <w:tcW w:w="993" w:type="pct"/>
            <w:tcBorders>
              <w:top w:val="nil"/>
              <w:bottom w:val="nil"/>
            </w:tcBorders>
          </w:tcPr>
          <w:p w14:paraId="2F800614" w14:textId="77777777" w:rsidR="00AD76F4" w:rsidRPr="00644836" w:rsidRDefault="00AD76F4" w:rsidP="00644836">
            <w:pPr>
              <w:pStyle w:val="TableText0"/>
              <w:rPr>
                <w:i/>
                <w:iCs/>
                <w:szCs w:val="20"/>
              </w:rPr>
            </w:pPr>
            <w:r w:rsidRPr="00644836">
              <w:rPr>
                <w:rFonts w:cstheme="minorHAnsi"/>
                <w:i/>
                <w:iCs/>
                <w:szCs w:val="20"/>
              </w:rPr>
              <w:t>Annals of Oncology 2012; 32:1571-1581.</w:t>
            </w:r>
          </w:p>
        </w:tc>
      </w:tr>
      <w:tr w:rsidR="00AD76F4" w:rsidRPr="00DB3D39" w14:paraId="64299A86" w14:textId="77777777" w:rsidTr="00512B87">
        <w:tc>
          <w:tcPr>
            <w:tcW w:w="705" w:type="pct"/>
            <w:tcBorders>
              <w:top w:val="nil"/>
              <w:bottom w:val="nil"/>
            </w:tcBorders>
            <w:vAlign w:val="center"/>
          </w:tcPr>
          <w:p w14:paraId="11D0A172" w14:textId="77777777" w:rsidR="00AD76F4" w:rsidRPr="00644836" w:rsidRDefault="00AD76F4" w:rsidP="00644836">
            <w:pPr>
              <w:pStyle w:val="TableText0"/>
              <w:rPr>
                <w:szCs w:val="20"/>
              </w:rPr>
            </w:pPr>
          </w:p>
        </w:tc>
        <w:tc>
          <w:tcPr>
            <w:tcW w:w="3301" w:type="pct"/>
            <w:tcBorders>
              <w:top w:val="nil"/>
              <w:bottom w:val="nil"/>
            </w:tcBorders>
          </w:tcPr>
          <w:p w14:paraId="0BCE3B2E" w14:textId="77777777" w:rsidR="00AD76F4" w:rsidRPr="00644836" w:rsidRDefault="00AD76F4" w:rsidP="00644836">
            <w:pPr>
              <w:keepNext/>
              <w:keepLines/>
              <w:spacing w:after="120"/>
              <w:rPr>
                <w:rFonts w:ascii="Arial Narrow" w:hAnsi="Arial Narrow" w:cstheme="minorHAnsi"/>
                <w:sz w:val="20"/>
                <w:szCs w:val="20"/>
              </w:rPr>
            </w:pPr>
            <w:r w:rsidRPr="00644836">
              <w:rPr>
                <w:rFonts w:ascii="Arial Narrow" w:hAnsi="Arial Narrow" w:cstheme="minorHAnsi"/>
                <w:sz w:val="20"/>
                <w:szCs w:val="20"/>
              </w:rPr>
              <w:t>Johnston et al. Abemaciclib plus endocrine therapy for hormone receptor-positive, HER2-negative, node-positive, high-risk early breast cancer (monarchE): results from a preplanned interim analysis of a randomised, open-label, phase 3 trial.</w:t>
            </w:r>
          </w:p>
        </w:tc>
        <w:tc>
          <w:tcPr>
            <w:tcW w:w="993" w:type="pct"/>
            <w:tcBorders>
              <w:top w:val="nil"/>
              <w:bottom w:val="nil"/>
            </w:tcBorders>
          </w:tcPr>
          <w:p w14:paraId="01C0FFFF" w14:textId="77777777" w:rsidR="00AD76F4" w:rsidRPr="00644836" w:rsidRDefault="00AD76F4" w:rsidP="00644836">
            <w:pPr>
              <w:pStyle w:val="TableText0"/>
              <w:rPr>
                <w:i/>
                <w:iCs/>
                <w:szCs w:val="20"/>
              </w:rPr>
            </w:pPr>
            <w:r w:rsidRPr="00644836">
              <w:rPr>
                <w:rFonts w:cstheme="minorHAnsi"/>
                <w:i/>
                <w:iCs/>
                <w:szCs w:val="20"/>
              </w:rPr>
              <w:t>The Lancet Oncology 2023; 24:77-90.</w:t>
            </w:r>
          </w:p>
        </w:tc>
      </w:tr>
      <w:tr w:rsidR="00AD76F4" w:rsidRPr="00DB3D39" w14:paraId="762FDB5A" w14:textId="77777777" w:rsidTr="00512B87">
        <w:tc>
          <w:tcPr>
            <w:tcW w:w="705" w:type="pct"/>
            <w:tcBorders>
              <w:top w:val="nil"/>
              <w:bottom w:val="single" w:sz="4" w:space="0" w:color="auto"/>
            </w:tcBorders>
            <w:vAlign w:val="center"/>
          </w:tcPr>
          <w:p w14:paraId="2B19EC10" w14:textId="77777777" w:rsidR="00AD76F4" w:rsidRPr="00644836" w:rsidRDefault="00AD76F4" w:rsidP="00644836">
            <w:pPr>
              <w:pStyle w:val="TableText0"/>
              <w:rPr>
                <w:szCs w:val="20"/>
              </w:rPr>
            </w:pPr>
          </w:p>
        </w:tc>
        <w:tc>
          <w:tcPr>
            <w:tcW w:w="3301" w:type="pct"/>
            <w:tcBorders>
              <w:top w:val="nil"/>
              <w:bottom w:val="single" w:sz="4" w:space="0" w:color="auto"/>
            </w:tcBorders>
          </w:tcPr>
          <w:p w14:paraId="1C81E314" w14:textId="77777777" w:rsidR="00AD76F4" w:rsidRPr="00644836" w:rsidRDefault="00AD76F4" w:rsidP="00644836">
            <w:pPr>
              <w:keepNext/>
              <w:keepLines/>
              <w:contextualSpacing/>
              <w:rPr>
                <w:rFonts w:ascii="Arial Narrow" w:hAnsi="Arial Narrow" w:cstheme="minorHAnsi"/>
                <w:sz w:val="20"/>
                <w:szCs w:val="20"/>
              </w:rPr>
            </w:pPr>
            <w:r w:rsidRPr="00644836">
              <w:rPr>
                <w:rFonts w:ascii="Arial Narrow" w:hAnsi="Arial Narrow" w:cstheme="minorHAnsi"/>
                <w:sz w:val="20"/>
                <w:szCs w:val="20"/>
              </w:rPr>
              <w:t>A Randomized, Open-Label, Phase 3 Study of Abemaciclib Combined with Standard Adjuvant Endocrine Therapy versus Standard Adjuvant Endocrine Therapy Alone in Patients with High Risk, Node Positive, Early Stage, Hormone Receptor Positive, Human Epidermal Receptor 2 Negative Breast Cancer</w:t>
            </w:r>
          </w:p>
        </w:tc>
        <w:tc>
          <w:tcPr>
            <w:tcW w:w="993" w:type="pct"/>
            <w:tcBorders>
              <w:top w:val="nil"/>
              <w:bottom w:val="single" w:sz="4" w:space="0" w:color="auto"/>
            </w:tcBorders>
          </w:tcPr>
          <w:p w14:paraId="3DF131C2" w14:textId="77777777" w:rsidR="00AD76F4" w:rsidRPr="00644836" w:rsidRDefault="00AD76F4" w:rsidP="00644836">
            <w:pPr>
              <w:pStyle w:val="TableText0"/>
              <w:rPr>
                <w:iCs/>
                <w:szCs w:val="20"/>
              </w:rPr>
            </w:pPr>
            <w:r w:rsidRPr="00644836">
              <w:rPr>
                <w:iCs/>
                <w:szCs w:val="20"/>
              </w:rPr>
              <w:t>Clinical trial protocol.</w:t>
            </w:r>
          </w:p>
          <w:p w14:paraId="690EC1DB" w14:textId="77777777" w:rsidR="00AD76F4" w:rsidRPr="00644836" w:rsidRDefault="00AD76F4" w:rsidP="00644836">
            <w:pPr>
              <w:pStyle w:val="TableText0"/>
              <w:rPr>
                <w:szCs w:val="20"/>
              </w:rPr>
            </w:pPr>
            <w:r w:rsidRPr="00644836">
              <w:rPr>
                <w:iCs/>
                <w:szCs w:val="20"/>
              </w:rPr>
              <w:t>Amendment 18 September 2019</w:t>
            </w:r>
          </w:p>
        </w:tc>
      </w:tr>
    </w:tbl>
    <w:p w14:paraId="24FF0202" w14:textId="77777777" w:rsidR="00AD76F4" w:rsidRPr="00DB3D39" w:rsidRDefault="00AD76F4" w:rsidP="00AD76F4">
      <w:pPr>
        <w:pStyle w:val="FooterTableFigure"/>
        <w:rPr>
          <w:sz w:val="20"/>
        </w:rPr>
      </w:pPr>
      <w:r w:rsidRPr="00DB3D39">
        <w:t>Source: Table 2.2-1, pp60-61 of the submission.</w:t>
      </w:r>
    </w:p>
    <w:p w14:paraId="47A737AD" w14:textId="22EF2503" w:rsidR="00512B87" w:rsidRDefault="00512B87">
      <w:pPr>
        <w:jc w:val="left"/>
        <w:rPr>
          <w:rFonts w:asciiTheme="minorHAnsi" w:eastAsiaTheme="minorHAnsi" w:hAnsiTheme="minorHAnsi" w:cstheme="minorBidi"/>
          <w:szCs w:val="22"/>
        </w:rPr>
      </w:pPr>
    </w:p>
    <w:p w14:paraId="302BF8C4" w14:textId="62E2BC68" w:rsidR="007F1017" w:rsidRPr="00DB3D39" w:rsidRDefault="001360CF" w:rsidP="00644836">
      <w:pPr>
        <w:pStyle w:val="3-BodyText"/>
      </w:pPr>
      <w:r w:rsidRPr="00DB3D39">
        <w:t>The</w:t>
      </w:r>
      <w:r w:rsidRPr="00DB3D39" w:rsidDel="00727292">
        <w:t xml:space="preserve"> </w:t>
      </w:r>
      <w:r w:rsidR="00727292" w:rsidRPr="00DB3D39">
        <w:t xml:space="preserve">key </w:t>
      </w:r>
      <w:r w:rsidR="0040322C" w:rsidRPr="00DB3D39">
        <w:t>features</w:t>
      </w:r>
      <w:r w:rsidR="00727292" w:rsidRPr="00DB3D39">
        <w:t xml:space="preserve"> </w:t>
      </w:r>
      <w:r w:rsidRPr="00DB3D39">
        <w:t xml:space="preserve">of the two </w:t>
      </w:r>
      <w:r w:rsidR="007167B9" w:rsidRPr="00DB3D39">
        <w:t xml:space="preserve">randomised trials used in the ITC </w:t>
      </w:r>
      <w:r w:rsidR="008F120A" w:rsidRPr="00DB3D39">
        <w:t>are summarised in</w:t>
      </w:r>
      <w:r w:rsidR="00787E8A" w:rsidRPr="00DB3D39">
        <w:t xml:space="preserve"> </w:t>
      </w:r>
      <w:r w:rsidR="00D46017" w:rsidRPr="00DB3D39">
        <w:fldChar w:fldCharType="begin" w:fldLock="1"/>
      </w:r>
      <w:r w:rsidR="00D46017" w:rsidRPr="00DB3D39">
        <w:instrText xml:space="preserve"> REF _Ref176858514 \h  \* MERGEFORMAT </w:instrText>
      </w:r>
      <w:r w:rsidR="00D46017" w:rsidRPr="00DB3D39">
        <w:fldChar w:fldCharType="separate"/>
      </w:r>
      <w:r w:rsidR="00FF083B" w:rsidRPr="00FF083B">
        <w:t>Table</w:t>
      </w:r>
      <w:r w:rsidR="00FF083B" w:rsidRPr="00644836">
        <w:rPr>
          <w:rStyle w:val="CommentReference"/>
          <w:rFonts w:cstheme="minorHAnsi"/>
          <w:szCs w:val="24"/>
        </w:rPr>
        <w:t xml:space="preserve"> </w:t>
      </w:r>
      <w:r w:rsidR="00FF083B" w:rsidRPr="00644836">
        <w:rPr>
          <w:rStyle w:val="CommentReference"/>
          <w:rFonts w:cstheme="minorHAnsi"/>
          <w:noProof/>
          <w:szCs w:val="24"/>
        </w:rPr>
        <w:t>3</w:t>
      </w:r>
      <w:r w:rsidR="00D46017" w:rsidRPr="00DB3D39">
        <w:fldChar w:fldCharType="end"/>
      </w:r>
      <w:r w:rsidR="008F120A" w:rsidRPr="00DB3D39">
        <w:t>.</w:t>
      </w:r>
      <w:r w:rsidR="00BC591F" w:rsidRPr="00DB3D39">
        <w:t xml:space="preserve"> </w:t>
      </w:r>
    </w:p>
    <w:p w14:paraId="21F33638" w14:textId="70176CA3" w:rsidR="007F1017" w:rsidRPr="00D1088C" w:rsidRDefault="00696EF9" w:rsidP="00D1088C">
      <w:pPr>
        <w:pStyle w:val="TableHeading"/>
        <w:keepLines/>
        <w:spacing w:before="0" w:after="0"/>
        <w:rPr>
          <w:rStyle w:val="CommentReference"/>
        </w:rPr>
      </w:pPr>
      <w:bookmarkStart w:id="25" w:name="_Ref176858514"/>
      <w:r w:rsidRPr="00D1088C">
        <w:rPr>
          <w:rStyle w:val="CommentReference"/>
        </w:rPr>
        <w:t xml:space="preserve">Table </w:t>
      </w:r>
      <w:r w:rsidRPr="00D1088C">
        <w:rPr>
          <w:rStyle w:val="CommentReference"/>
        </w:rPr>
        <w:fldChar w:fldCharType="begin" w:fldLock="1"/>
      </w:r>
      <w:r w:rsidRPr="00D1088C">
        <w:rPr>
          <w:rStyle w:val="CommentReference"/>
        </w:rPr>
        <w:instrText xml:space="preserve"> SEQ Table \* ARABIC </w:instrText>
      </w:r>
      <w:r w:rsidRPr="00D1088C">
        <w:rPr>
          <w:rStyle w:val="CommentReference"/>
        </w:rPr>
        <w:fldChar w:fldCharType="separate"/>
      </w:r>
      <w:r w:rsidR="00FF083B" w:rsidRPr="00D1088C">
        <w:rPr>
          <w:rStyle w:val="CommentReference"/>
        </w:rPr>
        <w:t>3</w:t>
      </w:r>
      <w:r w:rsidRPr="00D1088C">
        <w:rPr>
          <w:rStyle w:val="CommentReference"/>
        </w:rPr>
        <w:fldChar w:fldCharType="end"/>
      </w:r>
      <w:bookmarkEnd w:id="25"/>
      <w:r w:rsidR="00D6076E" w:rsidRPr="00D1088C">
        <w:rPr>
          <w:rStyle w:val="CommentReference"/>
        </w:rPr>
        <w:t xml:space="preserve">: </w:t>
      </w:r>
      <w:r w:rsidR="007F1017" w:rsidRPr="00D1088C">
        <w:rPr>
          <w:rStyle w:val="CommentReference"/>
        </w:rPr>
        <w:t>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86"/>
        <w:gridCol w:w="840"/>
        <w:gridCol w:w="1410"/>
        <w:gridCol w:w="1120"/>
        <w:gridCol w:w="2539"/>
        <w:gridCol w:w="1821"/>
      </w:tblGrid>
      <w:tr w:rsidR="004F0E49" w:rsidRPr="00DB3D39" w14:paraId="097C65D7" w14:textId="77777777" w:rsidTr="00B60035">
        <w:trPr>
          <w:cantSplit/>
          <w:tblHeader/>
        </w:trPr>
        <w:tc>
          <w:tcPr>
            <w:tcW w:w="713" w:type="pct"/>
            <w:shd w:val="clear" w:color="auto" w:fill="auto"/>
            <w:vAlign w:val="center"/>
          </w:tcPr>
          <w:p w14:paraId="0A73D2F8" w14:textId="77777777" w:rsidR="004F0E49" w:rsidRPr="00DB3D39" w:rsidRDefault="004F0E49" w:rsidP="00D1088C">
            <w:pPr>
              <w:pStyle w:val="In-tableHeading"/>
              <w:rPr>
                <w:lang w:val="en-AU"/>
              </w:rPr>
            </w:pPr>
            <w:r w:rsidRPr="00DB3D39">
              <w:rPr>
                <w:lang w:val="en-AU"/>
              </w:rPr>
              <w:t>Trial</w:t>
            </w:r>
          </w:p>
        </w:tc>
        <w:tc>
          <w:tcPr>
            <w:tcW w:w="466" w:type="pct"/>
            <w:shd w:val="clear" w:color="auto" w:fill="auto"/>
            <w:vAlign w:val="center"/>
          </w:tcPr>
          <w:p w14:paraId="187138A8" w14:textId="77777777" w:rsidR="004F0E49" w:rsidRPr="00DB3D39" w:rsidRDefault="004F0E49" w:rsidP="00D1088C">
            <w:pPr>
              <w:pStyle w:val="In-tableHeading"/>
              <w:rPr>
                <w:lang w:val="en-AU"/>
              </w:rPr>
            </w:pPr>
            <w:r w:rsidRPr="00DB3D39">
              <w:rPr>
                <w:lang w:val="en-AU"/>
              </w:rPr>
              <w:t>N</w:t>
            </w:r>
          </w:p>
        </w:tc>
        <w:tc>
          <w:tcPr>
            <w:tcW w:w="782" w:type="pct"/>
            <w:shd w:val="clear" w:color="auto" w:fill="auto"/>
            <w:vAlign w:val="center"/>
          </w:tcPr>
          <w:p w14:paraId="4A974039" w14:textId="77777777" w:rsidR="004F0E49" w:rsidRPr="00DB3D39" w:rsidRDefault="004F0E49" w:rsidP="00D1088C">
            <w:pPr>
              <w:pStyle w:val="In-tableHeading"/>
              <w:rPr>
                <w:lang w:val="en-AU"/>
              </w:rPr>
            </w:pPr>
            <w:r w:rsidRPr="00DB3D39">
              <w:rPr>
                <w:lang w:val="en-AU"/>
              </w:rPr>
              <w:t>Design/ duration</w:t>
            </w:r>
          </w:p>
        </w:tc>
        <w:tc>
          <w:tcPr>
            <w:tcW w:w="621" w:type="pct"/>
            <w:shd w:val="clear" w:color="auto" w:fill="auto"/>
            <w:vAlign w:val="center"/>
          </w:tcPr>
          <w:p w14:paraId="2787B794" w14:textId="77777777" w:rsidR="004F0E49" w:rsidRPr="00DB3D39" w:rsidRDefault="004F0E49" w:rsidP="00D1088C">
            <w:pPr>
              <w:pStyle w:val="In-tableHeading"/>
              <w:rPr>
                <w:lang w:val="en-AU"/>
              </w:rPr>
            </w:pPr>
            <w:r w:rsidRPr="00DB3D39">
              <w:rPr>
                <w:lang w:val="en-AU"/>
              </w:rPr>
              <w:t>Risk of bias</w:t>
            </w:r>
          </w:p>
        </w:tc>
        <w:tc>
          <w:tcPr>
            <w:tcW w:w="1408" w:type="pct"/>
            <w:shd w:val="clear" w:color="auto" w:fill="auto"/>
            <w:vAlign w:val="center"/>
          </w:tcPr>
          <w:p w14:paraId="1C9A7FAF" w14:textId="77777777" w:rsidR="004F0E49" w:rsidRPr="00DB3D39" w:rsidRDefault="004F0E49" w:rsidP="00D1088C">
            <w:pPr>
              <w:pStyle w:val="In-tableHeading"/>
              <w:rPr>
                <w:lang w:val="en-AU"/>
              </w:rPr>
            </w:pPr>
            <w:r w:rsidRPr="00DB3D39">
              <w:rPr>
                <w:lang w:val="en-AU"/>
              </w:rPr>
              <w:t>Patient population</w:t>
            </w:r>
          </w:p>
        </w:tc>
        <w:tc>
          <w:tcPr>
            <w:tcW w:w="1010" w:type="pct"/>
            <w:shd w:val="clear" w:color="auto" w:fill="auto"/>
            <w:vAlign w:val="center"/>
          </w:tcPr>
          <w:p w14:paraId="6E212B06" w14:textId="77777777" w:rsidR="004F0E49" w:rsidRPr="00DB3D39" w:rsidRDefault="004F0E49" w:rsidP="00D1088C">
            <w:pPr>
              <w:pStyle w:val="In-tableHeading"/>
              <w:rPr>
                <w:lang w:val="en-AU"/>
              </w:rPr>
            </w:pPr>
            <w:r w:rsidRPr="00DB3D39">
              <w:rPr>
                <w:lang w:val="en-AU"/>
              </w:rPr>
              <w:t>Outcomes</w:t>
            </w:r>
          </w:p>
        </w:tc>
      </w:tr>
      <w:tr w:rsidR="004F0E49" w:rsidRPr="00DB3D39" w14:paraId="4B6A3C97" w14:textId="77777777" w:rsidTr="00682BA6">
        <w:trPr>
          <w:cantSplit/>
        </w:trPr>
        <w:tc>
          <w:tcPr>
            <w:tcW w:w="5000" w:type="pct"/>
            <w:gridSpan w:val="6"/>
            <w:shd w:val="clear" w:color="auto" w:fill="auto"/>
            <w:vAlign w:val="center"/>
          </w:tcPr>
          <w:p w14:paraId="045BA8E0" w14:textId="77777777" w:rsidR="004F0E49" w:rsidRPr="00DB3D39" w:rsidRDefault="004F0E49" w:rsidP="00D1088C">
            <w:pPr>
              <w:pStyle w:val="In-tableHeading"/>
              <w:rPr>
                <w:lang w:val="en-AU"/>
              </w:rPr>
            </w:pPr>
            <w:r w:rsidRPr="00DB3D39">
              <w:rPr>
                <w:lang w:val="en-AU"/>
              </w:rPr>
              <w:t>Ribociclib plus adjuvant ET vs ET alone</w:t>
            </w:r>
          </w:p>
        </w:tc>
      </w:tr>
      <w:tr w:rsidR="004F0E49" w:rsidRPr="00112EE5" w14:paraId="7A1DFB6E" w14:textId="77777777" w:rsidTr="00B60035">
        <w:trPr>
          <w:cantSplit/>
        </w:trPr>
        <w:tc>
          <w:tcPr>
            <w:tcW w:w="713" w:type="pct"/>
            <w:shd w:val="clear" w:color="auto" w:fill="auto"/>
            <w:vAlign w:val="center"/>
          </w:tcPr>
          <w:p w14:paraId="45A354EE" w14:textId="77777777" w:rsidR="004F0E49" w:rsidRPr="00112EE5" w:rsidRDefault="004F0E49" w:rsidP="00D1088C">
            <w:pPr>
              <w:pStyle w:val="TableText0"/>
            </w:pPr>
            <w:r w:rsidRPr="00112EE5">
              <w:t>NATALEE</w:t>
            </w:r>
          </w:p>
        </w:tc>
        <w:tc>
          <w:tcPr>
            <w:tcW w:w="466" w:type="pct"/>
            <w:shd w:val="clear" w:color="auto" w:fill="auto"/>
            <w:vAlign w:val="center"/>
          </w:tcPr>
          <w:p w14:paraId="25FE13C4" w14:textId="77777777" w:rsidR="004F0E49" w:rsidRPr="00112EE5" w:rsidRDefault="004F0E49" w:rsidP="00D1088C">
            <w:pPr>
              <w:pStyle w:val="TableText0"/>
            </w:pPr>
            <w:r w:rsidRPr="00112EE5">
              <w:t>ITT:5101</w:t>
            </w:r>
          </w:p>
        </w:tc>
        <w:tc>
          <w:tcPr>
            <w:tcW w:w="782" w:type="pct"/>
            <w:shd w:val="clear" w:color="auto" w:fill="auto"/>
            <w:vAlign w:val="center"/>
          </w:tcPr>
          <w:p w14:paraId="1F490FDC" w14:textId="77777777" w:rsidR="004F0E49" w:rsidRPr="00112EE5" w:rsidRDefault="004F0E49" w:rsidP="00D1088C">
            <w:pPr>
              <w:pStyle w:val="TableText0"/>
            </w:pPr>
            <w:r w:rsidRPr="00112EE5">
              <w:t>R, OL, MC</w:t>
            </w:r>
          </w:p>
          <w:p w14:paraId="50F2339A" w14:textId="77777777" w:rsidR="004F0E49" w:rsidRPr="00112EE5" w:rsidRDefault="004F0E49" w:rsidP="00D1088C">
            <w:pPr>
              <w:pStyle w:val="TableText0"/>
            </w:pPr>
          </w:p>
          <w:p w14:paraId="76B27C20" w14:textId="09B79362" w:rsidR="004F0E49" w:rsidRPr="00112EE5" w:rsidRDefault="004F0E49" w:rsidP="00D1088C">
            <w:pPr>
              <w:pStyle w:val="TableText0"/>
            </w:pPr>
            <w:r w:rsidRPr="00112EE5">
              <w:t>DCO Jan 2023: 34 m</w:t>
            </w:r>
            <w:r w:rsidR="00667BB5" w:rsidRPr="00112EE5">
              <w:t>on</w:t>
            </w:r>
            <w:r w:rsidRPr="00112EE5">
              <w:t>ths</w:t>
            </w:r>
          </w:p>
          <w:p w14:paraId="3850C805" w14:textId="58D74486" w:rsidR="004F0E49" w:rsidRPr="00112EE5" w:rsidRDefault="004F0E49" w:rsidP="00D1088C">
            <w:pPr>
              <w:pStyle w:val="TableText0"/>
            </w:pPr>
            <w:r w:rsidRPr="00112EE5">
              <w:t>DCO July 2023: 40.3 m</w:t>
            </w:r>
            <w:r w:rsidR="00667BB5" w:rsidRPr="00112EE5">
              <w:t>on</w:t>
            </w:r>
            <w:r w:rsidRPr="00112EE5">
              <w:t>ths</w:t>
            </w:r>
          </w:p>
        </w:tc>
        <w:tc>
          <w:tcPr>
            <w:tcW w:w="621" w:type="pct"/>
            <w:shd w:val="clear" w:color="auto" w:fill="auto"/>
            <w:vAlign w:val="center"/>
          </w:tcPr>
          <w:p w14:paraId="0E162CFB" w14:textId="77777777" w:rsidR="004F0E49" w:rsidRPr="00112EE5" w:rsidRDefault="004F0E49" w:rsidP="00D1088C">
            <w:pPr>
              <w:pStyle w:val="TableText0"/>
            </w:pPr>
            <w:r w:rsidRPr="00112EE5">
              <w:t>Low</w:t>
            </w:r>
          </w:p>
        </w:tc>
        <w:tc>
          <w:tcPr>
            <w:tcW w:w="1408" w:type="pct"/>
            <w:shd w:val="clear" w:color="auto" w:fill="auto"/>
            <w:vAlign w:val="center"/>
          </w:tcPr>
          <w:p w14:paraId="03C83F67" w14:textId="25940095" w:rsidR="004F0E49" w:rsidRPr="00112EE5" w:rsidRDefault="004F0E49" w:rsidP="00D1088C">
            <w:pPr>
              <w:pStyle w:val="Default"/>
              <w:keepNext/>
              <w:keepLines/>
              <w:rPr>
                <w:rFonts w:ascii="Arial Narrow" w:hAnsi="Arial Narrow"/>
                <w:sz w:val="20"/>
                <w:szCs w:val="20"/>
              </w:rPr>
            </w:pPr>
            <w:r w:rsidRPr="00112EE5">
              <w:rPr>
                <w:rFonts w:ascii="Arial Narrow" w:hAnsi="Arial Narrow"/>
                <w:sz w:val="20"/>
                <w:szCs w:val="20"/>
              </w:rPr>
              <w:t>HR+, HER2</w:t>
            </w:r>
            <w:r w:rsidR="002E0A26" w:rsidRPr="00112EE5">
              <w:rPr>
                <w:rFonts w:ascii="Arial Narrow" w:hAnsi="Arial Narrow"/>
                <w:sz w:val="20"/>
                <w:szCs w:val="20"/>
              </w:rPr>
              <w:t>-</w:t>
            </w:r>
            <w:r w:rsidRPr="00112EE5">
              <w:rPr>
                <w:rFonts w:ascii="Arial Narrow" w:hAnsi="Arial Narrow"/>
                <w:sz w:val="20"/>
                <w:szCs w:val="20"/>
              </w:rPr>
              <w:t xml:space="preserve"> resected eBC,</w:t>
            </w:r>
          </w:p>
          <w:p w14:paraId="0CFD76BB" w14:textId="69421C26" w:rsidR="004F0E49" w:rsidRPr="00112EE5" w:rsidRDefault="004F0E49" w:rsidP="00D1088C">
            <w:pPr>
              <w:pStyle w:val="Default"/>
              <w:keepNext/>
              <w:keepLines/>
              <w:rPr>
                <w:rFonts w:ascii="Arial Narrow" w:hAnsi="Arial Narrow"/>
                <w:sz w:val="20"/>
                <w:szCs w:val="20"/>
              </w:rPr>
            </w:pPr>
            <w:r w:rsidRPr="00112EE5">
              <w:rPr>
                <w:rFonts w:ascii="Arial Narrow" w:hAnsi="Arial Narrow"/>
                <w:sz w:val="20"/>
                <w:szCs w:val="20"/>
              </w:rPr>
              <w:t>Stage II or III</w:t>
            </w:r>
          </w:p>
          <w:p w14:paraId="6F194BEA" w14:textId="64CB1F0E" w:rsidR="004F0E49" w:rsidRPr="00112EE5" w:rsidRDefault="00A91F5A" w:rsidP="00D1088C">
            <w:pPr>
              <w:pStyle w:val="TableText0"/>
            </w:pPr>
            <w:r w:rsidRPr="00112EE5">
              <w:t>Regardless of nodal</w:t>
            </w:r>
            <w:r w:rsidR="009266A8" w:rsidRPr="00112EE5">
              <w:t xml:space="preserve"> disease</w:t>
            </w:r>
          </w:p>
        </w:tc>
        <w:tc>
          <w:tcPr>
            <w:tcW w:w="1010" w:type="pct"/>
            <w:shd w:val="clear" w:color="auto" w:fill="auto"/>
            <w:vAlign w:val="center"/>
          </w:tcPr>
          <w:p w14:paraId="38824F03" w14:textId="77777777" w:rsidR="004F0E49" w:rsidRPr="00112EE5" w:rsidRDefault="004F0E49" w:rsidP="00D1088C">
            <w:pPr>
              <w:pStyle w:val="TableText0"/>
            </w:pPr>
            <w:r w:rsidRPr="00112EE5">
              <w:t>iDFS, DRFS, OS, DDFS, RFS, PROs, safety</w:t>
            </w:r>
          </w:p>
        </w:tc>
      </w:tr>
      <w:tr w:rsidR="004F0E49" w:rsidRPr="00DB3D39" w14:paraId="1D666374" w14:textId="77777777" w:rsidTr="001360CF">
        <w:trPr>
          <w:cantSplit/>
        </w:trPr>
        <w:tc>
          <w:tcPr>
            <w:tcW w:w="5000" w:type="pct"/>
            <w:gridSpan w:val="6"/>
            <w:shd w:val="clear" w:color="auto" w:fill="auto"/>
            <w:vAlign w:val="center"/>
          </w:tcPr>
          <w:p w14:paraId="6B43A6E4" w14:textId="77777777" w:rsidR="004F0E49" w:rsidRPr="00DB3D39" w:rsidRDefault="004F0E49" w:rsidP="00D1088C">
            <w:pPr>
              <w:pStyle w:val="In-tableHeading"/>
              <w:rPr>
                <w:bCs/>
                <w:lang w:val="en-AU"/>
              </w:rPr>
            </w:pPr>
            <w:r w:rsidRPr="00DB3D39">
              <w:rPr>
                <w:lang w:val="en-AU"/>
              </w:rPr>
              <w:t>Abemaciclib plus adjuvant ET vs ET alone</w:t>
            </w:r>
          </w:p>
        </w:tc>
      </w:tr>
      <w:tr w:rsidR="004F0E49" w:rsidRPr="00112EE5" w14:paraId="1FB5FBC2" w14:textId="77777777" w:rsidTr="00B60035">
        <w:trPr>
          <w:cantSplit/>
        </w:trPr>
        <w:tc>
          <w:tcPr>
            <w:tcW w:w="713" w:type="pct"/>
            <w:shd w:val="clear" w:color="auto" w:fill="auto"/>
            <w:vAlign w:val="center"/>
          </w:tcPr>
          <w:p w14:paraId="7C021EE5" w14:textId="77777777" w:rsidR="004F0E49" w:rsidRPr="00112EE5" w:rsidRDefault="004F0E49" w:rsidP="00D1088C">
            <w:pPr>
              <w:pStyle w:val="TableText0"/>
            </w:pPr>
            <w:r w:rsidRPr="00112EE5">
              <w:t>monarchE</w:t>
            </w:r>
          </w:p>
        </w:tc>
        <w:tc>
          <w:tcPr>
            <w:tcW w:w="466" w:type="pct"/>
            <w:shd w:val="clear" w:color="auto" w:fill="auto"/>
            <w:vAlign w:val="center"/>
          </w:tcPr>
          <w:p w14:paraId="78683B83" w14:textId="77777777" w:rsidR="004F0E49" w:rsidRPr="00112EE5" w:rsidRDefault="004F0E49" w:rsidP="00D1088C">
            <w:pPr>
              <w:pStyle w:val="TableText0"/>
            </w:pPr>
            <w:r w:rsidRPr="00112EE5">
              <w:t>ITT: 5637</w:t>
            </w:r>
          </w:p>
          <w:p w14:paraId="51C00866" w14:textId="77777777" w:rsidR="004F0E49" w:rsidRPr="00112EE5" w:rsidRDefault="004F0E49" w:rsidP="00D1088C">
            <w:pPr>
              <w:pStyle w:val="TableText0"/>
            </w:pPr>
          </w:p>
          <w:p w14:paraId="4F0F1BFA" w14:textId="77777777" w:rsidR="004F0E49" w:rsidRPr="00112EE5" w:rsidRDefault="004F0E49" w:rsidP="00D1088C">
            <w:pPr>
              <w:pStyle w:val="TableText0"/>
            </w:pPr>
            <w:r w:rsidRPr="00112EE5">
              <w:t>Cohort 1: 5120</w:t>
            </w:r>
          </w:p>
        </w:tc>
        <w:tc>
          <w:tcPr>
            <w:tcW w:w="782" w:type="pct"/>
            <w:shd w:val="clear" w:color="auto" w:fill="auto"/>
            <w:vAlign w:val="center"/>
          </w:tcPr>
          <w:p w14:paraId="11B12761" w14:textId="77777777" w:rsidR="004F0E49" w:rsidRPr="00112EE5" w:rsidRDefault="004F0E49" w:rsidP="00D1088C">
            <w:pPr>
              <w:pStyle w:val="TableText0"/>
            </w:pPr>
            <w:r w:rsidRPr="00112EE5">
              <w:t>R, OL, MC</w:t>
            </w:r>
          </w:p>
          <w:p w14:paraId="54407ABF" w14:textId="77777777" w:rsidR="004F0E49" w:rsidRPr="00112EE5" w:rsidRDefault="004F0E49" w:rsidP="00D1088C">
            <w:pPr>
              <w:pStyle w:val="TableText0"/>
            </w:pPr>
          </w:p>
          <w:p w14:paraId="48B1C84E" w14:textId="556CB972" w:rsidR="004F0E49" w:rsidRPr="00112EE5" w:rsidRDefault="004F0E49" w:rsidP="00D1088C">
            <w:pPr>
              <w:pStyle w:val="TableText0"/>
            </w:pPr>
            <w:r w:rsidRPr="00112EE5">
              <w:t>DCO July 2023: 54 month</w:t>
            </w:r>
            <w:r w:rsidR="00667BB5" w:rsidRPr="00112EE5">
              <w:t>s</w:t>
            </w:r>
          </w:p>
        </w:tc>
        <w:tc>
          <w:tcPr>
            <w:tcW w:w="621" w:type="pct"/>
            <w:shd w:val="clear" w:color="auto" w:fill="auto"/>
            <w:vAlign w:val="center"/>
          </w:tcPr>
          <w:p w14:paraId="675E26C9" w14:textId="77777777" w:rsidR="004F0E49" w:rsidRPr="00112EE5" w:rsidRDefault="004F0E49" w:rsidP="00D1088C">
            <w:pPr>
              <w:pStyle w:val="TableText0"/>
            </w:pPr>
            <w:r w:rsidRPr="00112EE5">
              <w:t>Low</w:t>
            </w:r>
          </w:p>
        </w:tc>
        <w:tc>
          <w:tcPr>
            <w:tcW w:w="1408" w:type="pct"/>
            <w:shd w:val="clear" w:color="auto" w:fill="auto"/>
            <w:vAlign w:val="center"/>
          </w:tcPr>
          <w:p w14:paraId="2202CDAE" w14:textId="77777777" w:rsidR="004F0E49" w:rsidRPr="00112EE5" w:rsidRDefault="004F0E49" w:rsidP="00D1088C">
            <w:pPr>
              <w:pStyle w:val="TableText0"/>
            </w:pPr>
            <w:r w:rsidRPr="00112EE5">
              <w:t xml:space="preserve">ITT: </w:t>
            </w:r>
          </w:p>
          <w:p w14:paraId="6C49C487" w14:textId="51D09013" w:rsidR="00CE1D37" w:rsidRPr="00112EE5" w:rsidRDefault="004F0E49" w:rsidP="00D1088C">
            <w:pPr>
              <w:pStyle w:val="Default"/>
              <w:keepNext/>
              <w:keepLines/>
              <w:rPr>
                <w:rFonts w:ascii="Arial Narrow" w:hAnsi="Arial Narrow"/>
                <w:sz w:val="20"/>
                <w:szCs w:val="20"/>
              </w:rPr>
            </w:pPr>
            <w:r w:rsidRPr="00112EE5">
              <w:rPr>
                <w:rFonts w:ascii="Arial Narrow" w:hAnsi="Arial Narrow"/>
                <w:sz w:val="20"/>
                <w:szCs w:val="20"/>
              </w:rPr>
              <w:t>HR+, HER2- resected eBC,</w:t>
            </w:r>
          </w:p>
          <w:p w14:paraId="69D60765" w14:textId="50F11F7C" w:rsidR="00F56F4F" w:rsidRPr="00112EE5" w:rsidRDefault="00CE1D37" w:rsidP="00D1088C">
            <w:pPr>
              <w:pStyle w:val="Default"/>
              <w:keepNext/>
              <w:keepLines/>
              <w:rPr>
                <w:rFonts w:ascii="Arial Narrow" w:hAnsi="Arial Narrow"/>
                <w:sz w:val="20"/>
                <w:szCs w:val="20"/>
              </w:rPr>
            </w:pPr>
            <w:r w:rsidRPr="00112EE5">
              <w:rPr>
                <w:rFonts w:ascii="Arial Narrow" w:hAnsi="Arial Narrow"/>
                <w:sz w:val="20"/>
                <w:szCs w:val="20"/>
              </w:rPr>
              <w:t>St</w:t>
            </w:r>
            <w:r w:rsidR="000077A5" w:rsidRPr="00112EE5">
              <w:rPr>
                <w:rFonts w:ascii="Arial Narrow" w:hAnsi="Arial Narrow"/>
                <w:sz w:val="20"/>
                <w:szCs w:val="20"/>
              </w:rPr>
              <w:t>age</w:t>
            </w:r>
            <w:r w:rsidR="005C00ED" w:rsidRPr="00112EE5">
              <w:rPr>
                <w:rFonts w:ascii="Arial Narrow" w:hAnsi="Arial Narrow"/>
                <w:sz w:val="20"/>
                <w:szCs w:val="20"/>
              </w:rPr>
              <w:t xml:space="preserve"> II or</w:t>
            </w:r>
            <w:r w:rsidRPr="00112EE5">
              <w:rPr>
                <w:rFonts w:ascii="Arial Narrow" w:hAnsi="Arial Narrow"/>
                <w:sz w:val="20"/>
                <w:szCs w:val="20"/>
              </w:rPr>
              <w:t xml:space="preserve"> III</w:t>
            </w:r>
            <w:r w:rsidR="00F557D3" w:rsidRPr="00112EE5">
              <w:rPr>
                <w:rFonts w:ascii="Arial Narrow" w:hAnsi="Arial Narrow"/>
                <w:sz w:val="20"/>
                <w:szCs w:val="20"/>
              </w:rPr>
              <w:t>,</w:t>
            </w:r>
            <w:r w:rsidR="004F0E49" w:rsidRPr="00112EE5">
              <w:rPr>
                <w:rFonts w:ascii="Arial Narrow" w:hAnsi="Arial Narrow"/>
                <w:sz w:val="20"/>
                <w:szCs w:val="20"/>
              </w:rPr>
              <w:t xml:space="preserve"> </w:t>
            </w:r>
          </w:p>
          <w:p w14:paraId="44E8E05C" w14:textId="0053B9D0" w:rsidR="00EE5FEF" w:rsidRPr="00112EE5" w:rsidRDefault="00EE5FEF" w:rsidP="00D1088C">
            <w:pPr>
              <w:pStyle w:val="Default"/>
              <w:keepNext/>
              <w:keepLines/>
              <w:rPr>
                <w:rFonts w:ascii="Arial Narrow" w:hAnsi="Arial Narrow"/>
                <w:sz w:val="20"/>
                <w:szCs w:val="20"/>
              </w:rPr>
            </w:pPr>
            <w:r w:rsidRPr="00112EE5">
              <w:rPr>
                <w:rFonts w:ascii="Arial Narrow" w:hAnsi="Arial Narrow"/>
                <w:sz w:val="20"/>
                <w:szCs w:val="20"/>
              </w:rPr>
              <w:t>Node 1 was allowed if:</w:t>
            </w:r>
          </w:p>
          <w:p w14:paraId="60994BD3" w14:textId="2BFED249" w:rsidR="004F0E49" w:rsidRPr="00112EE5" w:rsidRDefault="004F0E49" w:rsidP="00D1088C">
            <w:pPr>
              <w:pStyle w:val="Default"/>
              <w:keepNext/>
              <w:keepLines/>
              <w:rPr>
                <w:rFonts w:ascii="Arial Narrow" w:hAnsi="Arial Narrow"/>
                <w:sz w:val="20"/>
                <w:szCs w:val="20"/>
              </w:rPr>
            </w:pPr>
            <w:r w:rsidRPr="00112EE5">
              <w:rPr>
                <w:rFonts w:ascii="Arial Narrow" w:hAnsi="Arial Narrow"/>
                <w:sz w:val="20"/>
                <w:szCs w:val="20"/>
              </w:rPr>
              <w:t>4 ALN+ or 1 to 3 ALN+ with at least one of the following:</w:t>
            </w:r>
          </w:p>
          <w:p w14:paraId="73FEBFA8" w14:textId="77777777" w:rsidR="004F0E49" w:rsidRPr="00112EE5" w:rsidRDefault="004F0E49" w:rsidP="00D1088C">
            <w:pPr>
              <w:pStyle w:val="Default"/>
              <w:keepNext/>
              <w:keepLines/>
              <w:rPr>
                <w:rFonts w:ascii="Arial Narrow" w:hAnsi="Arial Narrow"/>
                <w:sz w:val="20"/>
                <w:szCs w:val="20"/>
              </w:rPr>
            </w:pPr>
            <w:r w:rsidRPr="00112EE5">
              <w:rPr>
                <w:rFonts w:ascii="Arial Narrow" w:hAnsi="Arial Narrow"/>
                <w:sz w:val="20"/>
                <w:szCs w:val="20"/>
              </w:rPr>
              <w:t>Grade 3 disease</w:t>
            </w:r>
          </w:p>
          <w:p w14:paraId="0F0B805A" w14:textId="77777777" w:rsidR="004F0E49" w:rsidRPr="00112EE5" w:rsidRDefault="004F0E49" w:rsidP="00D1088C">
            <w:pPr>
              <w:pStyle w:val="Default"/>
              <w:keepNext/>
              <w:keepLines/>
              <w:rPr>
                <w:rFonts w:ascii="Arial Narrow" w:hAnsi="Arial Narrow"/>
                <w:sz w:val="20"/>
                <w:szCs w:val="20"/>
              </w:rPr>
            </w:pPr>
            <w:r w:rsidRPr="00112EE5">
              <w:rPr>
                <w:rFonts w:ascii="Arial Narrow" w:hAnsi="Arial Narrow"/>
                <w:sz w:val="20"/>
                <w:szCs w:val="20"/>
              </w:rPr>
              <w:t>Tumour size ≥ 5 cm</w:t>
            </w:r>
          </w:p>
          <w:p w14:paraId="4747BAF6" w14:textId="77777777" w:rsidR="004F0E49" w:rsidRPr="00112EE5" w:rsidRDefault="004F0E49" w:rsidP="00D1088C">
            <w:pPr>
              <w:pStyle w:val="Default"/>
              <w:keepNext/>
              <w:keepLines/>
              <w:rPr>
                <w:rFonts w:ascii="Arial Narrow" w:hAnsi="Arial Narrow"/>
                <w:sz w:val="20"/>
                <w:szCs w:val="20"/>
              </w:rPr>
            </w:pPr>
            <w:r w:rsidRPr="00112EE5">
              <w:rPr>
                <w:rFonts w:ascii="Arial Narrow" w:hAnsi="Arial Narrow"/>
                <w:sz w:val="20"/>
                <w:szCs w:val="20"/>
              </w:rPr>
              <w:t>Ki-67 index of ≥ 20%</w:t>
            </w:r>
          </w:p>
          <w:p w14:paraId="396B2C2E" w14:textId="77777777" w:rsidR="003E3521" w:rsidRPr="00112EE5" w:rsidRDefault="003E3521" w:rsidP="00D1088C">
            <w:pPr>
              <w:pStyle w:val="Default"/>
              <w:keepNext/>
              <w:keepLines/>
              <w:rPr>
                <w:rFonts w:ascii="Arial Narrow" w:hAnsi="Arial Narrow"/>
                <w:sz w:val="20"/>
                <w:szCs w:val="20"/>
              </w:rPr>
            </w:pPr>
          </w:p>
          <w:p w14:paraId="4496A96F" w14:textId="50AE7883" w:rsidR="003E3521" w:rsidRPr="00112EE5" w:rsidRDefault="003E3521" w:rsidP="00D1088C">
            <w:pPr>
              <w:pStyle w:val="Default"/>
              <w:keepNext/>
              <w:keepLines/>
              <w:rPr>
                <w:rFonts w:ascii="Arial Narrow" w:hAnsi="Arial Narrow"/>
                <w:sz w:val="20"/>
                <w:szCs w:val="20"/>
              </w:rPr>
            </w:pPr>
            <w:r w:rsidRPr="00112EE5">
              <w:rPr>
                <w:rFonts w:ascii="Arial Narrow" w:hAnsi="Arial Narrow"/>
                <w:sz w:val="20"/>
                <w:szCs w:val="20"/>
              </w:rPr>
              <w:t>Node 0 was not allow</w:t>
            </w:r>
            <w:r w:rsidR="00046B96" w:rsidRPr="00112EE5">
              <w:rPr>
                <w:rFonts w:ascii="Arial Narrow" w:hAnsi="Arial Narrow"/>
                <w:sz w:val="20"/>
                <w:szCs w:val="20"/>
              </w:rPr>
              <w:t>ed.</w:t>
            </w:r>
          </w:p>
          <w:p w14:paraId="25DC4709" w14:textId="77777777" w:rsidR="004F0E49" w:rsidRPr="00112EE5" w:rsidRDefault="004F0E49" w:rsidP="00D1088C">
            <w:pPr>
              <w:pStyle w:val="TableText0"/>
            </w:pPr>
          </w:p>
          <w:p w14:paraId="3F300224" w14:textId="389848A1" w:rsidR="000B3ECF" w:rsidRPr="00112EE5" w:rsidRDefault="004F0E49" w:rsidP="00D1088C">
            <w:pPr>
              <w:pStyle w:val="TableText0"/>
            </w:pPr>
            <w:r w:rsidRPr="00112EE5">
              <w:t xml:space="preserve">Cohort 1: </w:t>
            </w:r>
            <w:r w:rsidR="008D1E18" w:rsidRPr="00112EE5">
              <w:t>as in ITT plus</w:t>
            </w:r>
          </w:p>
          <w:p w14:paraId="54BE706D" w14:textId="77777777" w:rsidR="008D1E18" w:rsidRPr="00112EE5" w:rsidRDefault="004F0E49" w:rsidP="00D1088C">
            <w:pPr>
              <w:pStyle w:val="TableText0"/>
            </w:pPr>
            <w:r w:rsidRPr="00112EE5">
              <w:t xml:space="preserve">high risk of recurrence: </w:t>
            </w:r>
          </w:p>
          <w:p w14:paraId="0E9DEBAE" w14:textId="5A1AE48A" w:rsidR="004F0E49" w:rsidRPr="00112EE5" w:rsidRDefault="004F0E49" w:rsidP="00D1088C">
            <w:pPr>
              <w:pStyle w:val="TableText0"/>
            </w:pPr>
            <w:r w:rsidRPr="00112EE5">
              <w:t>≥ 4 ALNs; or 1-3 ALNs and tumour ≥ 5cm or grade ≥ 3 disease</w:t>
            </w:r>
          </w:p>
        </w:tc>
        <w:tc>
          <w:tcPr>
            <w:tcW w:w="1010" w:type="pct"/>
            <w:shd w:val="clear" w:color="auto" w:fill="auto"/>
            <w:vAlign w:val="center"/>
          </w:tcPr>
          <w:p w14:paraId="5B6729A8" w14:textId="77777777" w:rsidR="004F0E49" w:rsidRPr="00112EE5" w:rsidRDefault="004F0E49" w:rsidP="00D1088C">
            <w:pPr>
              <w:pStyle w:val="TableText0"/>
            </w:pPr>
            <w:r w:rsidRPr="00112EE5">
              <w:t>iDFS, DRFS, OS, safety</w:t>
            </w:r>
          </w:p>
        </w:tc>
      </w:tr>
    </w:tbl>
    <w:p w14:paraId="23880045" w14:textId="40460969" w:rsidR="001E334D" w:rsidRPr="00DB3D39" w:rsidRDefault="001E334D" w:rsidP="00D1088C">
      <w:pPr>
        <w:pStyle w:val="TableFooter"/>
        <w:keepNext/>
        <w:keepLines/>
      </w:pPr>
      <w:r w:rsidRPr="00DB3D39">
        <w:t xml:space="preserve">Source: Compiled during the evaluation; </w:t>
      </w:r>
      <w:r w:rsidR="0031132B" w:rsidRPr="00DB3D39">
        <w:t>Table 2.2-1 pp60-61,</w:t>
      </w:r>
      <w:r w:rsidRPr="00DB3D39">
        <w:t xml:space="preserve"> </w:t>
      </w:r>
      <w:r w:rsidR="006948B4" w:rsidRPr="00DB3D39">
        <w:t>Table 2.2.-2 p63</w:t>
      </w:r>
      <w:r w:rsidR="006001AA" w:rsidRPr="00DB3D39">
        <w:t xml:space="preserve"> and</w:t>
      </w:r>
      <w:r w:rsidR="006948B4" w:rsidRPr="00DB3D39">
        <w:t xml:space="preserve"> </w:t>
      </w:r>
      <w:r w:rsidR="00346DBD" w:rsidRPr="00DB3D39">
        <w:t xml:space="preserve">Table </w:t>
      </w:r>
      <w:r w:rsidR="009E3E28" w:rsidRPr="00DB3D39">
        <w:t xml:space="preserve">2.3-1, pp68-69 </w:t>
      </w:r>
      <w:r w:rsidRPr="00DB3D39">
        <w:t>of the submission.</w:t>
      </w:r>
    </w:p>
    <w:p w14:paraId="337F12C9" w14:textId="2D5911E1" w:rsidR="00620C25" w:rsidRPr="00DB3D39" w:rsidRDefault="00B60035" w:rsidP="00D1088C">
      <w:pPr>
        <w:pStyle w:val="FooterTableFigure"/>
        <w:keepLines/>
        <w:rPr>
          <w:sz w:val="20"/>
        </w:rPr>
      </w:pPr>
      <w:r w:rsidRPr="00DB3D39">
        <w:t xml:space="preserve">ALN = axillary lymph node; DCO = data cut-off; DRFS = </w:t>
      </w:r>
      <w:r w:rsidR="006001AA" w:rsidRPr="00DB3D39">
        <w:t>d</w:t>
      </w:r>
      <w:r w:rsidRPr="00DB3D39">
        <w:t>istant recurrence-free survival; eBC = early breast cancer;</w:t>
      </w:r>
      <w:r w:rsidRPr="00DB3D39" w:rsidDel="00727292">
        <w:t xml:space="preserve"> </w:t>
      </w:r>
      <w:r w:rsidRPr="00DB3D39">
        <w:t>ET = endocrine therapy; HER2</w:t>
      </w:r>
      <w:r w:rsidR="00460B36">
        <w:t>-</w:t>
      </w:r>
      <w:r w:rsidRPr="00DB3D39">
        <w:t xml:space="preserve"> = human epidermal growth factor receptor 2</w:t>
      </w:r>
      <w:r w:rsidR="00460B36">
        <w:t xml:space="preserve"> negative</w:t>
      </w:r>
      <w:r w:rsidR="00D468F0" w:rsidRPr="00DB3D39">
        <w:t>;</w:t>
      </w:r>
      <w:r w:rsidRPr="00DB3D39">
        <w:t xml:space="preserve"> HR+ = hormone receptor positive; iDFS = invasive disease-free survival; ITT = intention to treat; </w:t>
      </w:r>
      <w:r w:rsidR="00620C25" w:rsidRPr="00DB3D39">
        <w:t>MC = multi-centre; OL = open label; OS = overall survival; R = randomised.</w:t>
      </w:r>
      <w:r w:rsidRPr="00DB3D39">
        <w:t xml:space="preserve"> </w:t>
      </w:r>
    </w:p>
    <w:p w14:paraId="70F778F7" w14:textId="4B6BA760" w:rsidR="001223EE" w:rsidRPr="00C67096" w:rsidRDefault="00B60035" w:rsidP="007C073C">
      <w:pPr>
        <w:pStyle w:val="3-BodyText"/>
        <w:rPr>
          <w:iCs/>
        </w:rPr>
      </w:pPr>
      <w:r w:rsidRPr="00DB3D39">
        <w:t xml:space="preserve">The </w:t>
      </w:r>
      <w:r w:rsidR="00C44F08" w:rsidRPr="00DB3D39">
        <w:t>submission</w:t>
      </w:r>
      <w:r w:rsidRPr="00DB3D39">
        <w:t xml:space="preserve"> </w:t>
      </w:r>
      <w:r w:rsidR="00C44F08" w:rsidRPr="00DB3D39">
        <w:t>relied</w:t>
      </w:r>
      <w:r w:rsidRPr="00DB3D39">
        <w:t xml:space="preserve"> on data from the subgroup of patients </w:t>
      </w:r>
      <w:r w:rsidR="00A70F82" w:rsidRPr="00DB3D39">
        <w:t>in the NATALEE trial</w:t>
      </w:r>
      <w:r w:rsidR="004F0E49" w:rsidRPr="00DB3D39">
        <w:t xml:space="preserve"> </w:t>
      </w:r>
      <w:r w:rsidRPr="00DB3D39">
        <w:t>with stage II and III eBC at a high-risk of recurrence defined as ≥4 positive</w:t>
      </w:r>
      <w:r w:rsidR="000161F9" w:rsidRPr="00DB3D39">
        <w:t xml:space="preserve"> axillary lymph node</w:t>
      </w:r>
      <w:r w:rsidR="00C645F4" w:rsidRPr="00DB3D39">
        <w:t>s</w:t>
      </w:r>
      <w:r w:rsidRPr="00DB3D39">
        <w:t xml:space="preserve"> </w:t>
      </w:r>
      <w:r w:rsidR="00C645F4" w:rsidRPr="00DB3D39">
        <w:t>(</w:t>
      </w:r>
      <w:r w:rsidRPr="00DB3D39">
        <w:t>ALNs</w:t>
      </w:r>
      <w:r w:rsidR="00C645F4" w:rsidRPr="00DB3D39">
        <w:t>)</w:t>
      </w:r>
      <w:r w:rsidRPr="00DB3D39">
        <w:t>, or 1-3 positive ALNs and either grade 3 disease or tumour size ≥</w:t>
      </w:r>
      <w:r w:rsidR="00D1088C">
        <w:t> </w:t>
      </w:r>
      <w:r w:rsidRPr="00DB3D39">
        <w:t>5</w:t>
      </w:r>
      <w:r w:rsidR="00D1088C">
        <w:t> </w:t>
      </w:r>
      <w:r w:rsidRPr="00DB3D39">
        <w:t>cm.</w:t>
      </w:r>
      <w:r w:rsidR="00C67096">
        <w:t xml:space="preserve"> </w:t>
      </w:r>
      <w:r w:rsidR="00C67096" w:rsidRPr="00276A8E">
        <w:t>This subgroup (hereafter referred to as ‘PBS subgroup’)</w:t>
      </w:r>
      <w:r w:rsidR="00C67096" w:rsidRPr="00C67096">
        <w:rPr>
          <w:i/>
          <w:iCs/>
        </w:rPr>
        <w:t xml:space="preserve"> </w:t>
      </w:r>
      <w:r w:rsidR="00C67096" w:rsidRPr="00276A8E">
        <w:t>was not pre-specified and comprised 65% of the NATALEE trial ITT population.</w:t>
      </w:r>
      <w:r w:rsidR="00260B68">
        <w:rPr>
          <w:i/>
          <w:iCs/>
        </w:rPr>
        <w:t xml:space="preserve"> </w:t>
      </w:r>
      <w:r w:rsidR="001B0AC9">
        <w:t xml:space="preserve">The </w:t>
      </w:r>
      <w:r w:rsidRPr="00DB3D39">
        <w:t>PBAC previously recommended the listing of abemaciclib on the PBS for th</w:t>
      </w:r>
      <w:r w:rsidR="00CD5070">
        <w:t>e same</w:t>
      </w:r>
      <w:r w:rsidRPr="00DB3D39">
        <w:t xml:space="preserve"> population</w:t>
      </w:r>
      <w:r w:rsidR="00260B68">
        <w:t>,</w:t>
      </w:r>
      <w:r w:rsidRPr="00DB3D39">
        <w:t xml:space="preserve"> based on the clinical efficacy and safety from the evidence presented for</w:t>
      </w:r>
      <w:r w:rsidR="00893D13">
        <w:t xml:space="preserve"> the</w:t>
      </w:r>
      <w:r w:rsidRPr="00DB3D39">
        <w:t xml:space="preserve"> monarchE trial subgroup (Cohort 1)</w:t>
      </w:r>
      <w:r w:rsidR="00A16F3E">
        <w:t xml:space="preserve"> population</w:t>
      </w:r>
      <w:r w:rsidRPr="00DB3D39">
        <w:t xml:space="preserve"> (para</w:t>
      </w:r>
      <w:r w:rsidR="00893D13">
        <w:t>graph</w:t>
      </w:r>
      <w:r w:rsidRPr="00DB3D39">
        <w:t xml:space="preserve"> 6.10, abemaciclib PSD, </w:t>
      </w:r>
      <w:r w:rsidR="0047101F" w:rsidRPr="00DB3D39">
        <w:t>M</w:t>
      </w:r>
      <w:r w:rsidRPr="00DB3D39">
        <w:t xml:space="preserve">arch 2023). </w:t>
      </w:r>
      <w:r w:rsidR="001B0AC9">
        <w:t>The Cohort 1</w:t>
      </w:r>
      <w:r w:rsidR="00CD5070">
        <w:t xml:space="preserve"> subgroup</w:t>
      </w:r>
      <w:r w:rsidR="00C67096">
        <w:t xml:space="preserve"> of the monarchE trial</w:t>
      </w:r>
      <w:r w:rsidR="00CD5070">
        <w:t xml:space="preserve"> was pre-specified and</w:t>
      </w:r>
      <w:r w:rsidR="001B0AC9">
        <w:t xml:space="preserve"> corresponded to 91% of the ITT population.</w:t>
      </w:r>
    </w:p>
    <w:p w14:paraId="0652F2FD" w14:textId="3762A5A9" w:rsidR="00313DA0" w:rsidRPr="00112EE5" w:rsidRDefault="00C0217E" w:rsidP="007C073C">
      <w:pPr>
        <w:pStyle w:val="3-BodyText"/>
      </w:pPr>
      <w:r w:rsidRPr="00276A8E">
        <w:t>The</w:t>
      </w:r>
      <w:r w:rsidR="00893D13" w:rsidRPr="00276A8E">
        <w:t xml:space="preserve"> evaluation noted that</w:t>
      </w:r>
      <w:r w:rsidR="00893D13" w:rsidRPr="00913765">
        <w:t xml:space="preserve"> the</w:t>
      </w:r>
      <w:r w:rsidRPr="00112EE5">
        <w:t xml:space="preserve"> use of tamoxifen differed between the trials</w:t>
      </w:r>
      <w:r w:rsidR="00485611" w:rsidRPr="00112EE5">
        <w:t>.</w:t>
      </w:r>
      <w:r w:rsidR="00EB0B2D" w:rsidRPr="00112EE5">
        <w:t xml:space="preserve"> </w:t>
      </w:r>
      <w:r w:rsidR="00454740" w:rsidRPr="00112EE5">
        <w:t xml:space="preserve">In the NATALEE trial, patients were not allowed to receive ribociclib in combination with tamoxifen as adjuvant ET, as it is contraindicated due to increased risk of prolonged QT. </w:t>
      </w:r>
      <w:r w:rsidR="005B764A" w:rsidRPr="00112EE5">
        <w:t>I</w:t>
      </w:r>
      <w:r w:rsidR="00313DA0" w:rsidRPr="00112EE5">
        <w:t>n the monarchE trial</w:t>
      </w:r>
      <w:r w:rsidR="005B764A" w:rsidRPr="00112EE5">
        <w:t>,</w:t>
      </w:r>
      <w:r w:rsidR="00313DA0" w:rsidRPr="00112EE5">
        <w:t xml:space="preserve"> 31.4% patients in the safety population and 31.1% in the ITT population received tamoxifen as adjuvant ET</w:t>
      </w:r>
      <w:r w:rsidR="004F0E49" w:rsidRPr="00112EE5">
        <w:t>.</w:t>
      </w:r>
      <w:r w:rsidR="00313DA0" w:rsidRPr="00112EE5">
        <w:t xml:space="preserve"> </w:t>
      </w:r>
      <w:r w:rsidR="00C27DDA" w:rsidRPr="00112EE5">
        <w:t xml:space="preserve">To account for this difference between </w:t>
      </w:r>
      <w:r w:rsidR="00C27DDA" w:rsidRPr="00112EE5">
        <w:lastRenderedPageBreak/>
        <w:t>the trials, t</w:t>
      </w:r>
      <w:r w:rsidR="00423689" w:rsidRPr="00112EE5">
        <w:t xml:space="preserve">he submission also presented comparisons using an adjuvant AI subgroup from monarchE that excluded the results from patients </w:t>
      </w:r>
      <w:r w:rsidR="008A3BFC" w:rsidRPr="00112EE5">
        <w:t>receiving tamoxifen</w:t>
      </w:r>
      <w:r w:rsidR="00B71289" w:rsidRPr="00112EE5">
        <w:t xml:space="preserve"> (this subgroup was pre</w:t>
      </w:r>
      <w:r w:rsidR="001B0AC9" w:rsidRPr="00112EE5">
        <w:t>-</w:t>
      </w:r>
      <w:r w:rsidR="00B71289" w:rsidRPr="00112EE5">
        <w:t>specified)</w:t>
      </w:r>
      <w:r w:rsidR="008A3BFC" w:rsidRPr="00112EE5">
        <w:t>.</w:t>
      </w:r>
    </w:p>
    <w:p w14:paraId="38D1F14C" w14:textId="7E1CBFC5" w:rsidR="00AA4D60" w:rsidRPr="00DB3D39" w:rsidRDefault="00AA4D60" w:rsidP="007C073C">
      <w:pPr>
        <w:pStyle w:val="3-BodyText"/>
      </w:pPr>
      <w:r w:rsidRPr="00DB3D39">
        <w:t>Different subgroups of the NATALEE and monarchE trials informed the efficacy results as summarised in</w:t>
      </w:r>
      <w:r w:rsidR="00D46017" w:rsidRPr="00DB3D39">
        <w:t xml:space="preserve"> </w:t>
      </w:r>
      <w:r w:rsidR="00D46017" w:rsidRPr="00DB3D39">
        <w:fldChar w:fldCharType="begin" w:fldLock="1"/>
      </w:r>
      <w:r w:rsidR="00D46017" w:rsidRPr="00DB3D39">
        <w:instrText xml:space="preserve"> REF _Ref176525597 \h </w:instrText>
      </w:r>
      <w:r w:rsidR="00D46017" w:rsidRPr="00DB3D39">
        <w:fldChar w:fldCharType="separate"/>
      </w:r>
      <w:r w:rsidR="00FF083B" w:rsidRPr="00DB3D39">
        <w:t xml:space="preserve">Table </w:t>
      </w:r>
      <w:r w:rsidR="00FF083B">
        <w:rPr>
          <w:noProof/>
        </w:rPr>
        <w:t>4</w:t>
      </w:r>
      <w:r w:rsidR="00D46017" w:rsidRPr="00DB3D39">
        <w:fldChar w:fldCharType="end"/>
      </w:r>
      <w:r w:rsidR="00D46017" w:rsidRPr="00DB3D39">
        <w:t>.</w:t>
      </w:r>
      <w:r w:rsidRPr="00DB3D39">
        <w:t xml:space="preserve"> </w:t>
      </w:r>
    </w:p>
    <w:p w14:paraId="32C0AC98" w14:textId="529E663E" w:rsidR="00543A34" w:rsidRPr="00F75D51" w:rsidRDefault="00543A34" w:rsidP="00F75D51">
      <w:pPr>
        <w:pStyle w:val="TableHeading"/>
        <w:spacing w:before="0" w:after="0"/>
        <w:rPr>
          <w:rStyle w:val="CommentReference"/>
        </w:rPr>
      </w:pPr>
      <w:bookmarkStart w:id="26" w:name="_Ref176525597"/>
      <w:r w:rsidRPr="00F75D51">
        <w:rPr>
          <w:rStyle w:val="CommentReference"/>
        </w:rPr>
        <w:t xml:space="preserve">Table </w:t>
      </w:r>
      <w:r w:rsidR="00FF083B" w:rsidRPr="00F75D51">
        <w:rPr>
          <w:rStyle w:val="CommentReference"/>
        </w:rPr>
        <w:fldChar w:fldCharType="begin" w:fldLock="1"/>
      </w:r>
      <w:r w:rsidR="00FF083B" w:rsidRPr="00F75D51">
        <w:rPr>
          <w:rStyle w:val="CommentReference"/>
        </w:rPr>
        <w:instrText xml:space="preserve"> SEQ Table \* ARABIC </w:instrText>
      </w:r>
      <w:r w:rsidR="00FF083B" w:rsidRPr="00F75D51">
        <w:rPr>
          <w:rStyle w:val="CommentReference"/>
        </w:rPr>
        <w:fldChar w:fldCharType="separate"/>
      </w:r>
      <w:r w:rsidR="00FF083B" w:rsidRPr="00F75D51">
        <w:rPr>
          <w:rStyle w:val="CommentReference"/>
        </w:rPr>
        <w:t>4</w:t>
      </w:r>
      <w:r w:rsidR="00FF083B" w:rsidRPr="00F75D51">
        <w:rPr>
          <w:rStyle w:val="CommentReference"/>
        </w:rPr>
        <w:fldChar w:fldCharType="end"/>
      </w:r>
      <w:bookmarkEnd w:id="26"/>
      <w:r w:rsidR="00D34646" w:rsidRPr="00F75D51">
        <w:rPr>
          <w:rStyle w:val="CommentReference"/>
        </w:rPr>
        <w:t>:</w:t>
      </w:r>
      <w:r w:rsidRPr="00F75D51">
        <w:rPr>
          <w:rStyle w:val="CommentReference"/>
        </w:rPr>
        <w:t xml:space="preserve"> Subgroups of patients that inform the efficacy and safety data in the ITC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96"/>
        <w:gridCol w:w="851"/>
        <w:gridCol w:w="992"/>
        <w:gridCol w:w="1134"/>
        <w:gridCol w:w="722"/>
        <w:gridCol w:w="810"/>
        <w:gridCol w:w="1080"/>
        <w:gridCol w:w="810"/>
        <w:gridCol w:w="921"/>
      </w:tblGrid>
      <w:tr w:rsidR="0078669F" w:rsidRPr="00DB3D39" w14:paraId="51EAB639" w14:textId="77777777" w:rsidTr="00151512">
        <w:tc>
          <w:tcPr>
            <w:tcW w:w="1696" w:type="dxa"/>
            <w:vMerge w:val="restart"/>
            <w:tcMar>
              <w:top w:w="0" w:type="dxa"/>
              <w:left w:w="108" w:type="dxa"/>
              <w:bottom w:w="0" w:type="dxa"/>
              <w:right w:w="108" w:type="dxa"/>
            </w:tcMar>
            <w:vAlign w:val="center"/>
          </w:tcPr>
          <w:p w14:paraId="295E05D6" w14:textId="1AC16588" w:rsidR="0078669F" w:rsidRPr="00DB3D39" w:rsidRDefault="0078669F">
            <w:pPr>
              <w:pStyle w:val="TableText0"/>
              <w:jc w:val="center"/>
              <w:rPr>
                <w:b/>
                <w:szCs w:val="20"/>
              </w:rPr>
            </w:pPr>
          </w:p>
        </w:tc>
        <w:tc>
          <w:tcPr>
            <w:tcW w:w="3699" w:type="dxa"/>
            <w:gridSpan w:val="4"/>
            <w:vAlign w:val="center"/>
          </w:tcPr>
          <w:p w14:paraId="1712A19C" w14:textId="50C67077" w:rsidR="0078669F" w:rsidRPr="00DB3D39" w:rsidRDefault="0078669F">
            <w:pPr>
              <w:pStyle w:val="TableText0"/>
              <w:jc w:val="center"/>
              <w:rPr>
                <w:b/>
                <w:szCs w:val="20"/>
              </w:rPr>
            </w:pPr>
            <w:r w:rsidRPr="00DB3D39">
              <w:rPr>
                <w:b/>
                <w:szCs w:val="20"/>
              </w:rPr>
              <w:t xml:space="preserve"> Abemaci</w:t>
            </w:r>
            <w:r>
              <w:rPr>
                <w:b/>
                <w:szCs w:val="20"/>
              </w:rPr>
              <w:t>c</w:t>
            </w:r>
            <w:r w:rsidRPr="00DB3D39">
              <w:rPr>
                <w:b/>
                <w:szCs w:val="20"/>
              </w:rPr>
              <w:t>lib (mon</w:t>
            </w:r>
            <w:r>
              <w:rPr>
                <w:b/>
                <w:szCs w:val="20"/>
              </w:rPr>
              <w:t>ar</w:t>
            </w:r>
            <w:r w:rsidRPr="00DB3D39">
              <w:rPr>
                <w:b/>
                <w:szCs w:val="20"/>
              </w:rPr>
              <w:t>chE</w:t>
            </w:r>
            <w:r>
              <w:rPr>
                <w:b/>
                <w:szCs w:val="20"/>
              </w:rPr>
              <w:t xml:space="preserve"> trial</w:t>
            </w:r>
            <w:r w:rsidRPr="00DB3D39">
              <w:rPr>
                <w:b/>
                <w:szCs w:val="20"/>
              </w:rPr>
              <w:t>)</w:t>
            </w:r>
          </w:p>
        </w:tc>
        <w:tc>
          <w:tcPr>
            <w:tcW w:w="3621" w:type="dxa"/>
            <w:gridSpan w:val="4"/>
            <w:vAlign w:val="center"/>
          </w:tcPr>
          <w:p w14:paraId="40CEA05C" w14:textId="472F3BF4" w:rsidR="0078669F" w:rsidRPr="00DB3D39" w:rsidRDefault="0078669F">
            <w:pPr>
              <w:pStyle w:val="TableText0"/>
              <w:jc w:val="center"/>
              <w:rPr>
                <w:b/>
                <w:szCs w:val="20"/>
              </w:rPr>
            </w:pPr>
            <w:r w:rsidRPr="00DB3D39">
              <w:rPr>
                <w:b/>
                <w:szCs w:val="20"/>
              </w:rPr>
              <w:t>Ribociclib (NATALEE</w:t>
            </w:r>
            <w:r>
              <w:rPr>
                <w:b/>
                <w:szCs w:val="20"/>
              </w:rPr>
              <w:t xml:space="preserve"> trial</w:t>
            </w:r>
            <w:r w:rsidRPr="00DB3D39">
              <w:rPr>
                <w:b/>
                <w:szCs w:val="20"/>
              </w:rPr>
              <w:t>)</w:t>
            </w:r>
          </w:p>
        </w:tc>
      </w:tr>
      <w:tr w:rsidR="0078669F" w:rsidRPr="00DB3D39" w14:paraId="735F0009" w14:textId="77777777" w:rsidTr="00151512">
        <w:tc>
          <w:tcPr>
            <w:tcW w:w="1696" w:type="dxa"/>
            <w:vMerge/>
            <w:tcMar>
              <w:top w:w="0" w:type="dxa"/>
              <w:left w:w="108" w:type="dxa"/>
              <w:bottom w:w="0" w:type="dxa"/>
              <w:right w:w="108" w:type="dxa"/>
            </w:tcMar>
            <w:vAlign w:val="center"/>
          </w:tcPr>
          <w:p w14:paraId="345D8984" w14:textId="77777777" w:rsidR="0078669F" w:rsidRPr="00DB3D39" w:rsidRDefault="0078669F">
            <w:pPr>
              <w:pStyle w:val="TableText0"/>
              <w:rPr>
                <w:b/>
                <w:szCs w:val="20"/>
              </w:rPr>
            </w:pPr>
          </w:p>
        </w:tc>
        <w:tc>
          <w:tcPr>
            <w:tcW w:w="851" w:type="dxa"/>
            <w:tcMar>
              <w:top w:w="0" w:type="dxa"/>
              <w:left w:w="108" w:type="dxa"/>
              <w:bottom w:w="0" w:type="dxa"/>
              <w:right w:w="108" w:type="dxa"/>
            </w:tcMar>
            <w:vAlign w:val="center"/>
            <w:hideMark/>
          </w:tcPr>
          <w:p w14:paraId="03715A82" w14:textId="77777777" w:rsidR="0078669F" w:rsidRPr="00DB3D39" w:rsidRDefault="0078669F" w:rsidP="00DE7F15">
            <w:pPr>
              <w:pStyle w:val="TableText0"/>
              <w:jc w:val="center"/>
              <w:rPr>
                <w:b/>
                <w:szCs w:val="20"/>
              </w:rPr>
            </w:pPr>
            <w:r w:rsidRPr="00DB3D39">
              <w:rPr>
                <w:b/>
                <w:szCs w:val="20"/>
              </w:rPr>
              <w:t>ITT</w:t>
            </w:r>
          </w:p>
        </w:tc>
        <w:tc>
          <w:tcPr>
            <w:tcW w:w="992" w:type="dxa"/>
            <w:tcMar>
              <w:top w:w="0" w:type="dxa"/>
              <w:left w:w="108" w:type="dxa"/>
              <w:bottom w:w="0" w:type="dxa"/>
              <w:right w:w="108" w:type="dxa"/>
            </w:tcMar>
            <w:vAlign w:val="center"/>
            <w:hideMark/>
          </w:tcPr>
          <w:p w14:paraId="2EA9E0A1" w14:textId="609E0BDE" w:rsidR="0078669F" w:rsidRPr="00DB3D39" w:rsidRDefault="0078669F" w:rsidP="00DE7F15">
            <w:pPr>
              <w:pStyle w:val="TableText0"/>
              <w:jc w:val="center"/>
              <w:rPr>
                <w:b/>
                <w:bCs w:val="0"/>
                <w:szCs w:val="20"/>
              </w:rPr>
            </w:pPr>
            <w:r w:rsidRPr="00DB3D39">
              <w:rPr>
                <w:b/>
                <w:szCs w:val="20"/>
              </w:rPr>
              <w:t>Cohort 1</w:t>
            </w:r>
          </w:p>
          <w:p w14:paraId="093C1F88" w14:textId="2792D3F2" w:rsidR="0078669F" w:rsidRPr="00DB3D39" w:rsidRDefault="0078669F" w:rsidP="00DE7F15">
            <w:pPr>
              <w:pStyle w:val="TableText0"/>
              <w:jc w:val="center"/>
              <w:rPr>
                <w:b/>
                <w:bCs w:val="0"/>
                <w:szCs w:val="20"/>
              </w:rPr>
            </w:pPr>
            <w:r w:rsidRPr="00DB3D39">
              <w:rPr>
                <w:b/>
                <w:szCs w:val="20"/>
              </w:rPr>
              <w:t>(PBS population)</w:t>
            </w:r>
          </w:p>
          <w:p w14:paraId="461B4B31" w14:textId="77777777" w:rsidR="0078669F" w:rsidRPr="00DB3D39" w:rsidRDefault="0078669F" w:rsidP="00DE7F15">
            <w:pPr>
              <w:pStyle w:val="TableText0"/>
              <w:jc w:val="center"/>
              <w:rPr>
                <w:b/>
                <w:szCs w:val="20"/>
              </w:rPr>
            </w:pPr>
            <w:r w:rsidRPr="00DB3D39">
              <w:rPr>
                <w:b/>
                <w:bCs w:val="0"/>
                <w:szCs w:val="20"/>
              </w:rPr>
              <w:t>subgroup</w:t>
            </w:r>
          </w:p>
        </w:tc>
        <w:tc>
          <w:tcPr>
            <w:tcW w:w="1134" w:type="dxa"/>
            <w:tcMar>
              <w:top w:w="0" w:type="dxa"/>
              <w:left w:w="108" w:type="dxa"/>
              <w:bottom w:w="0" w:type="dxa"/>
              <w:right w:w="108" w:type="dxa"/>
            </w:tcMar>
            <w:vAlign w:val="center"/>
            <w:hideMark/>
          </w:tcPr>
          <w:p w14:paraId="20207450" w14:textId="63F7E3A0" w:rsidR="0078669F" w:rsidRPr="00DB3D39" w:rsidRDefault="0078669F" w:rsidP="00DE7F15">
            <w:pPr>
              <w:pStyle w:val="TableText0"/>
              <w:jc w:val="center"/>
              <w:rPr>
                <w:b/>
                <w:szCs w:val="20"/>
              </w:rPr>
            </w:pPr>
            <w:r w:rsidRPr="00DB3D39">
              <w:rPr>
                <w:b/>
                <w:szCs w:val="20"/>
              </w:rPr>
              <w:t>Adjuvant AI subgroup (exclude tamoxifen)</w:t>
            </w:r>
          </w:p>
        </w:tc>
        <w:tc>
          <w:tcPr>
            <w:tcW w:w="722" w:type="dxa"/>
            <w:vAlign w:val="center"/>
          </w:tcPr>
          <w:p w14:paraId="181AEEEA" w14:textId="77777777" w:rsidR="0078669F" w:rsidRPr="00DB3D39" w:rsidRDefault="0078669F" w:rsidP="00DE7F15">
            <w:pPr>
              <w:pStyle w:val="TableText0"/>
              <w:jc w:val="center"/>
              <w:rPr>
                <w:b/>
                <w:szCs w:val="20"/>
              </w:rPr>
            </w:pPr>
            <w:r w:rsidRPr="00DB3D39">
              <w:rPr>
                <w:b/>
                <w:szCs w:val="20"/>
              </w:rPr>
              <w:t>Safety set</w:t>
            </w:r>
          </w:p>
        </w:tc>
        <w:tc>
          <w:tcPr>
            <w:tcW w:w="810" w:type="dxa"/>
            <w:tcMar>
              <w:top w:w="0" w:type="dxa"/>
              <w:left w:w="108" w:type="dxa"/>
              <w:bottom w:w="0" w:type="dxa"/>
              <w:right w:w="108" w:type="dxa"/>
            </w:tcMar>
            <w:vAlign w:val="center"/>
            <w:hideMark/>
          </w:tcPr>
          <w:p w14:paraId="5C4C5648" w14:textId="77777777" w:rsidR="0078669F" w:rsidRPr="00DB3D39" w:rsidRDefault="0078669F" w:rsidP="00DE7F15">
            <w:pPr>
              <w:pStyle w:val="TableText0"/>
              <w:jc w:val="center"/>
              <w:rPr>
                <w:b/>
                <w:szCs w:val="20"/>
              </w:rPr>
            </w:pPr>
            <w:r w:rsidRPr="00DB3D39">
              <w:rPr>
                <w:b/>
                <w:szCs w:val="20"/>
              </w:rPr>
              <w:t>ITT</w:t>
            </w:r>
          </w:p>
        </w:tc>
        <w:tc>
          <w:tcPr>
            <w:tcW w:w="1080" w:type="dxa"/>
            <w:tcMar>
              <w:top w:w="0" w:type="dxa"/>
              <w:left w:w="108" w:type="dxa"/>
              <w:bottom w:w="0" w:type="dxa"/>
              <w:right w:w="108" w:type="dxa"/>
            </w:tcMar>
            <w:vAlign w:val="center"/>
            <w:hideMark/>
          </w:tcPr>
          <w:p w14:paraId="7796E8BC" w14:textId="4B37AE88" w:rsidR="0078669F" w:rsidRPr="00DB3D39" w:rsidRDefault="0078669F" w:rsidP="00DE7F15">
            <w:pPr>
              <w:pStyle w:val="TableText0"/>
              <w:jc w:val="center"/>
              <w:rPr>
                <w:b/>
                <w:szCs w:val="20"/>
              </w:rPr>
            </w:pPr>
            <w:r w:rsidRPr="00DB3D39">
              <w:rPr>
                <w:b/>
                <w:szCs w:val="20"/>
              </w:rPr>
              <w:t>PBS population subgroup</w:t>
            </w:r>
          </w:p>
        </w:tc>
        <w:tc>
          <w:tcPr>
            <w:tcW w:w="810" w:type="dxa"/>
            <w:vAlign w:val="center"/>
          </w:tcPr>
          <w:p w14:paraId="7D277B3F" w14:textId="77777777" w:rsidR="0078669F" w:rsidRPr="00DB3D39" w:rsidRDefault="0078669F" w:rsidP="00DE7F15">
            <w:pPr>
              <w:pStyle w:val="TableText0"/>
              <w:jc w:val="center"/>
              <w:rPr>
                <w:b/>
                <w:szCs w:val="20"/>
              </w:rPr>
            </w:pPr>
            <w:r w:rsidRPr="00DB3D39">
              <w:rPr>
                <w:b/>
                <w:szCs w:val="20"/>
              </w:rPr>
              <w:t>Safety Set</w:t>
            </w:r>
          </w:p>
        </w:tc>
        <w:tc>
          <w:tcPr>
            <w:tcW w:w="921" w:type="dxa"/>
            <w:vAlign w:val="center"/>
          </w:tcPr>
          <w:p w14:paraId="6EB00FE7" w14:textId="77777777" w:rsidR="0078669F" w:rsidRPr="00DB3D39" w:rsidRDefault="0078669F" w:rsidP="00DE7F15">
            <w:pPr>
              <w:pStyle w:val="TableText0"/>
              <w:jc w:val="center"/>
              <w:rPr>
                <w:b/>
                <w:szCs w:val="20"/>
              </w:rPr>
            </w:pPr>
            <w:r w:rsidRPr="00DB3D39">
              <w:rPr>
                <w:b/>
                <w:szCs w:val="20"/>
              </w:rPr>
              <w:t>Safety set (monarchE ITT eligible) subgroup</w:t>
            </w:r>
          </w:p>
        </w:tc>
      </w:tr>
      <w:tr w:rsidR="00543A34" w:rsidRPr="00DB3D39" w14:paraId="1F1A3314" w14:textId="77777777" w:rsidTr="00151512">
        <w:tc>
          <w:tcPr>
            <w:tcW w:w="1696" w:type="dxa"/>
            <w:tcMar>
              <w:top w:w="0" w:type="dxa"/>
              <w:left w:w="108" w:type="dxa"/>
              <w:bottom w:w="0" w:type="dxa"/>
              <w:right w:w="108" w:type="dxa"/>
            </w:tcMar>
            <w:vAlign w:val="center"/>
          </w:tcPr>
          <w:p w14:paraId="1E91417F" w14:textId="69A5F05F" w:rsidR="00543A34" w:rsidRPr="00DB3D39" w:rsidRDefault="00543A34">
            <w:pPr>
              <w:pStyle w:val="TableText0"/>
              <w:rPr>
                <w:szCs w:val="20"/>
              </w:rPr>
            </w:pPr>
            <w:r w:rsidRPr="00DB3D39">
              <w:rPr>
                <w:szCs w:val="20"/>
              </w:rPr>
              <w:t>Patient</w:t>
            </w:r>
            <w:r w:rsidR="00151512">
              <w:rPr>
                <w:szCs w:val="20"/>
              </w:rPr>
              <w:t>’</w:t>
            </w:r>
            <w:r w:rsidRPr="00DB3D39">
              <w:rPr>
                <w:szCs w:val="20"/>
              </w:rPr>
              <w:t>s baseline characteristics available?</w:t>
            </w:r>
          </w:p>
        </w:tc>
        <w:tc>
          <w:tcPr>
            <w:tcW w:w="851" w:type="dxa"/>
            <w:tcMar>
              <w:top w:w="0" w:type="dxa"/>
              <w:left w:w="108" w:type="dxa"/>
              <w:bottom w:w="0" w:type="dxa"/>
              <w:right w:w="108" w:type="dxa"/>
            </w:tcMar>
            <w:vAlign w:val="center"/>
          </w:tcPr>
          <w:p w14:paraId="458A7217" w14:textId="77777777" w:rsidR="00543A34" w:rsidRPr="00DB3D39" w:rsidRDefault="00543A34" w:rsidP="00DE7F15">
            <w:pPr>
              <w:pStyle w:val="TableText0"/>
              <w:jc w:val="center"/>
              <w:rPr>
                <w:szCs w:val="20"/>
              </w:rPr>
            </w:pPr>
            <w:r w:rsidRPr="00DB3D39">
              <w:rPr>
                <w:szCs w:val="20"/>
              </w:rPr>
              <w:t>Yes</w:t>
            </w:r>
          </w:p>
        </w:tc>
        <w:tc>
          <w:tcPr>
            <w:tcW w:w="992" w:type="dxa"/>
            <w:tcMar>
              <w:top w:w="0" w:type="dxa"/>
              <w:left w:w="108" w:type="dxa"/>
              <w:bottom w:w="0" w:type="dxa"/>
              <w:right w:w="108" w:type="dxa"/>
            </w:tcMar>
            <w:vAlign w:val="center"/>
          </w:tcPr>
          <w:p w14:paraId="6B47A4BC" w14:textId="77777777" w:rsidR="00543A34" w:rsidRPr="00DB3D39" w:rsidRDefault="00543A34" w:rsidP="00DE7F15">
            <w:pPr>
              <w:pStyle w:val="TableText0"/>
              <w:jc w:val="center"/>
              <w:rPr>
                <w:szCs w:val="20"/>
              </w:rPr>
            </w:pPr>
            <w:r w:rsidRPr="00DB3D39">
              <w:rPr>
                <w:szCs w:val="20"/>
              </w:rPr>
              <w:t>Yes</w:t>
            </w:r>
          </w:p>
        </w:tc>
        <w:tc>
          <w:tcPr>
            <w:tcW w:w="1134" w:type="dxa"/>
            <w:tcMar>
              <w:top w:w="0" w:type="dxa"/>
              <w:left w:w="108" w:type="dxa"/>
              <w:bottom w:w="0" w:type="dxa"/>
              <w:right w:w="108" w:type="dxa"/>
            </w:tcMar>
            <w:vAlign w:val="center"/>
          </w:tcPr>
          <w:p w14:paraId="3687ABF8" w14:textId="77777777" w:rsidR="00543A34" w:rsidRPr="00DB3D39" w:rsidRDefault="00543A34" w:rsidP="00DE7F15">
            <w:pPr>
              <w:pStyle w:val="TableText0"/>
              <w:jc w:val="center"/>
              <w:rPr>
                <w:szCs w:val="20"/>
              </w:rPr>
            </w:pPr>
            <w:r w:rsidRPr="00DB3D39">
              <w:rPr>
                <w:szCs w:val="20"/>
              </w:rPr>
              <w:t>No</w:t>
            </w:r>
          </w:p>
        </w:tc>
        <w:tc>
          <w:tcPr>
            <w:tcW w:w="722" w:type="dxa"/>
            <w:vAlign w:val="center"/>
          </w:tcPr>
          <w:p w14:paraId="0DDD23AF" w14:textId="2051080A" w:rsidR="00543A34" w:rsidRPr="00DB3D39" w:rsidRDefault="00543A34" w:rsidP="00DE7F15">
            <w:pPr>
              <w:pStyle w:val="TableText0"/>
              <w:jc w:val="center"/>
              <w:rPr>
                <w:szCs w:val="20"/>
              </w:rPr>
            </w:pPr>
            <w:r w:rsidRPr="00DB3D39">
              <w:rPr>
                <w:szCs w:val="20"/>
              </w:rPr>
              <w:t>Yes</w:t>
            </w:r>
          </w:p>
        </w:tc>
        <w:tc>
          <w:tcPr>
            <w:tcW w:w="810" w:type="dxa"/>
            <w:tcMar>
              <w:top w:w="0" w:type="dxa"/>
              <w:left w:w="108" w:type="dxa"/>
              <w:bottom w:w="0" w:type="dxa"/>
              <w:right w:w="108" w:type="dxa"/>
            </w:tcMar>
            <w:vAlign w:val="center"/>
          </w:tcPr>
          <w:p w14:paraId="77AEBB33" w14:textId="77777777" w:rsidR="00543A34" w:rsidRPr="00DB3D39" w:rsidRDefault="00543A34" w:rsidP="00DE7F15">
            <w:pPr>
              <w:pStyle w:val="TableText0"/>
              <w:jc w:val="center"/>
              <w:rPr>
                <w:szCs w:val="20"/>
              </w:rPr>
            </w:pPr>
            <w:r w:rsidRPr="00DB3D39">
              <w:rPr>
                <w:szCs w:val="20"/>
              </w:rPr>
              <w:t>Yes</w:t>
            </w:r>
          </w:p>
        </w:tc>
        <w:tc>
          <w:tcPr>
            <w:tcW w:w="1080" w:type="dxa"/>
            <w:tcMar>
              <w:top w:w="0" w:type="dxa"/>
              <w:left w:w="108" w:type="dxa"/>
              <w:bottom w:w="0" w:type="dxa"/>
              <w:right w:w="108" w:type="dxa"/>
            </w:tcMar>
            <w:vAlign w:val="center"/>
          </w:tcPr>
          <w:p w14:paraId="05509070" w14:textId="77777777" w:rsidR="00543A34" w:rsidRPr="00DB3D39" w:rsidRDefault="00543A34" w:rsidP="00DE7F15">
            <w:pPr>
              <w:pStyle w:val="TableText0"/>
              <w:jc w:val="center"/>
              <w:rPr>
                <w:szCs w:val="20"/>
              </w:rPr>
            </w:pPr>
            <w:r w:rsidRPr="00DB3D39">
              <w:rPr>
                <w:szCs w:val="20"/>
              </w:rPr>
              <w:t>Yes</w:t>
            </w:r>
          </w:p>
        </w:tc>
        <w:tc>
          <w:tcPr>
            <w:tcW w:w="810" w:type="dxa"/>
            <w:vAlign w:val="center"/>
          </w:tcPr>
          <w:p w14:paraId="6A974661" w14:textId="77777777" w:rsidR="00543A34" w:rsidRPr="00DB3D39" w:rsidRDefault="00543A34" w:rsidP="00DE7F15">
            <w:pPr>
              <w:pStyle w:val="TableText0"/>
              <w:jc w:val="center"/>
              <w:rPr>
                <w:szCs w:val="20"/>
              </w:rPr>
            </w:pPr>
            <w:r w:rsidRPr="00DB3D39">
              <w:rPr>
                <w:szCs w:val="20"/>
              </w:rPr>
              <w:t>Yes</w:t>
            </w:r>
          </w:p>
        </w:tc>
        <w:tc>
          <w:tcPr>
            <w:tcW w:w="921" w:type="dxa"/>
            <w:vAlign w:val="center"/>
          </w:tcPr>
          <w:p w14:paraId="4873D75F" w14:textId="77777777" w:rsidR="00543A34" w:rsidRPr="00DB3D39" w:rsidRDefault="00543A34" w:rsidP="00DE7F15">
            <w:pPr>
              <w:pStyle w:val="TableText0"/>
              <w:jc w:val="center"/>
              <w:rPr>
                <w:szCs w:val="20"/>
              </w:rPr>
            </w:pPr>
            <w:r w:rsidRPr="00DB3D39">
              <w:rPr>
                <w:szCs w:val="20"/>
              </w:rPr>
              <w:t>Yes</w:t>
            </w:r>
          </w:p>
        </w:tc>
      </w:tr>
      <w:tr w:rsidR="00543A34" w:rsidRPr="00DB3D39" w14:paraId="2AE7CD43" w14:textId="77777777" w:rsidTr="00151512">
        <w:tc>
          <w:tcPr>
            <w:tcW w:w="1696" w:type="dxa"/>
            <w:tcMar>
              <w:top w:w="0" w:type="dxa"/>
              <w:left w:w="108" w:type="dxa"/>
              <w:bottom w:w="0" w:type="dxa"/>
              <w:right w:w="108" w:type="dxa"/>
            </w:tcMar>
            <w:vAlign w:val="center"/>
          </w:tcPr>
          <w:p w14:paraId="64E52D97" w14:textId="77777777" w:rsidR="00543A34" w:rsidRDefault="00543A34">
            <w:pPr>
              <w:pStyle w:val="TableText0"/>
              <w:rPr>
                <w:szCs w:val="20"/>
              </w:rPr>
            </w:pPr>
            <w:r w:rsidRPr="00DB3D39">
              <w:rPr>
                <w:szCs w:val="20"/>
              </w:rPr>
              <w:t>Number of patients in the intervention arm</w:t>
            </w:r>
          </w:p>
          <w:p w14:paraId="4B263864" w14:textId="3A902E33" w:rsidR="00F51AC4" w:rsidRPr="00DB3D39" w:rsidRDefault="00F51AC4">
            <w:pPr>
              <w:pStyle w:val="TableText0"/>
              <w:rPr>
                <w:szCs w:val="20"/>
              </w:rPr>
            </w:pPr>
            <w:r>
              <w:rPr>
                <w:szCs w:val="20"/>
              </w:rPr>
              <w:t>N (% of ITT)</w:t>
            </w:r>
          </w:p>
        </w:tc>
        <w:tc>
          <w:tcPr>
            <w:tcW w:w="851" w:type="dxa"/>
            <w:tcMar>
              <w:top w:w="0" w:type="dxa"/>
              <w:left w:w="108" w:type="dxa"/>
              <w:bottom w:w="0" w:type="dxa"/>
              <w:right w:w="108" w:type="dxa"/>
            </w:tcMar>
            <w:vAlign w:val="center"/>
          </w:tcPr>
          <w:p w14:paraId="144E4207" w14:textId="77777777" w:rsidR="00543A34" w:rsidRPr="00DB3D39" w:rsidRDefault="00543A34" w:rsidP="00DE7F15">
            <w:pPr>
              <w:pStyle w:val="TableText0"/>
              <w:jc w:val="center"/>
              <w:rPr>
                <w:szCs w:val="20"/>
              </w:rPr>
            </w:pPr>
            <w:r w:rsidRPr="00DB3D39">
              <w:rPr>
                <w:szCs w:val="20"/>
              </w:rPr>
              <w:t>2,808 (100%)</w:t>
            </w:r>
          </w:p>
        </w:tc>
        <w:tc>
          <w:tcPr>
            <w:tcW w:w="992" w:type="dxa"/>
            <w:tcMar>
              <w:top w:w="0" w:type="dxa"/>
              <w:left w:w="108" w:type="dxa"/>
              <w:bottom w:w="0" w:type="dxa"/>
              <w:right w:w="108" w:type="dxa"/>
            </w:tcMar>
            <w:vAlign w:val="center"/>
          </w:tcPr>
          <w:p w14:paraId="0CEF27B2" w14:textId="77777777" w:rsidR="00D91088" w:rsidRDefault="00543A34" w:rsidP="00DE7F15">
            <w:pPr>
              <w:pStyle w:val="TableText0"/>
              <w:jc w:val="center"/>
              <w:rPr>
                <w:szCs w:val="20"/>
              </w:rPr>
            </w:pPr>
            <w:r w:rsidRPr="00DB3D39">
              <w:rPr>
                <w:szCs w:val="20"/>
              </w:rPr>
              <w:t xml:space="preserve">2,555 </w:t>
            </w:r>
          </w:p>
          <w:p w14:paraId="1947B706" w14:textId="2802C292" w:rsidR="00543A34" w:rsidRPr="00DB3D39" w:rsidRDefault="00543A34" w:rsidP="00DE7F15">
            <w:pPr>
              <w:pStyle w:val="TableText0"/>
              <w:jc w:val="center"/>
              <w:rPr>
                <w:szCs w:val="20"/>
              </w:rPr>
            </w:pPr>
            <w:r w:rsidRPr="00DB3D39">
              <w:rPr>
                <w:szCs w:val="20"/>
              </w:rPr>
              <w:t>(91%)</w:t>
            </w:r>
          </w:p>
        </w:tc>
        <w:tc>
          <w:tcPr>
            <w:tcW w:w="1134" w:type="dxa"/>
            <w:tcMar>
              <w:top w:w="0" w:type="dxa"/>
              <w:left w:w="108" w:type="dxa"/>
              <w:bottom w:w="0" w:type="dxa"/>
              <w:right w:w="108" w:type="dxa"/>
            </w:tcMar>
            <w:vAlign w:val="center"/>
          </w:tcPr>
          <w:p w14:paraId="6F4528A9" w14:textId="77777777" w:rsidR="00543A34" w:rsidRPr="00DB3D39" w:rsidRDefault="00543A34" w:rsidP="00DE7F15">
            <w:pPr>
              <w:pStyle w:val="TableText0"/>
              <w:jc w:val="center"/>
              <w:rPr>
                <w:szCs w:val="20"/>
              </w:rPr>
            </w:pPr>
            <w:r w:rsidRPr="00DB3D39">
              <w:rPr>
                <w:szCs w:val="20"/>
              </w:rPr>
              <w:t>1,931 (68.8%)</w:t>
            </w:r>
          </w:p>
        </w:tc>
        <w:tc>
          <w:tcPr>
            <w:tcW w:w="722" w:type="dxa"/>
            <w:vAlign w:val="center"/>
          </w:tcPr>
          <w:p w14:paraId="368E3A20" w14:textId="77777777" w:rsidR="00DE7F15" w:rsidRPr="00DB3D39" w:rsidRDefault="00543A34" w:rsidP="00DE7F15">
            <w:pPr>
              <w:pStyle w:val="TableText0"/>
              <w:jc w:val="center"/>
              <w:rPr>
                <w:szCs w:val="20"/>
              </w:rPr>
            </w:pPr>
            <w:r w:rsidRPr="00DB3D39">
              <w:rPr>
                <w:szCs w:val="20"/>
              </w:rPr>
              <w:t xml:space="preserve">2791 </w:t>
            </w:r>
          </w:p>
          <w:p w14:paraId="4B35C02C" w14:textId="268B0527" w:rsidR="00543A34" w:rsidRPr="00DB3D39" w:rsidRDefault="00543A34" w:rsidP="00DE7F15">
            <w:pPr>
              <w:pStyle w:val="TableText0"/>
              <w:jc w:val="center"/>
              <w:rPr>
                <w:szCs w:val="20"/>
              </w:rPr>
            </w:pPr>
            <w:r w:rsidRPr="00DB3D39">
              <w:rPr>
                <w:szCs w:val="20"/>
              </w:rPr>
              <w:t>(99.4%)</w:t>
            </w:r>
          </w:p>
        </w:tc>
        <w:tc>
          <w:tcPr>
            <w:tcW w:w="810" w:type="dxa"/>
            <w:tcMar>
              <w:top w:w="0" w:type="dxa"/>
              <w:left w:w="108" w:type="dxa"/>
              <w:bottom w:w="0" w:type="dxa"/>
              <w:right w:w="108" w:type="dxa"/>
            </w:tcMar>
            <w:vAlign w:val="center"/>
          </w:tcPr>
          <w:p w14:paraId="681A3DA9" w14:textId="77777777" w:rsidR="00543A34" w:rsidRPr="00DB3D39" w:rsidRDefault="00543A34" w:rsidP="00DE7F15">
            <w:pPr>
              <w:pStyle w:val="TableText0"/>
              <w:jc w:val="center"/>
              <w:rPr>
                <w:szCs w:val="20"/>
              </w:rPr>
            </w:pPr>
            <w:r w:rsidRPr="00DB3D39">
              <w:rPr>
                <w:szCs w:val="20"/>
              </w:rPr>
              <w:t>2,549 (100%)</w:t>
            </w:r>
          </w:p>
        </w:tc>
        <w:tc>
          <w:tcPr>
            <w:tcW w:w="1080" w:type="dxa"/>
            <w:tcMar>
              <w:top w:w="0" w:type="dxa"/>
              <w:left w:w="108" w:type="dxa"/>
              <w:bottom w:w="0" w:type="dxa"/>
              <w:right w:w="108" w:type="dxa"/>
            </w:tcMar>
            <w:vAlign w:val="center"/>
          </w:tcPr>
          <w:p w14:paraId="51BC68E4" w14:textId="77777777" w:rsidR="00543A34" w:rsidRPr="00DB3D39" w:rsidRDefault="00543A34" w:rsidP="00DE7F15">
            <w:pPr>
              <w:pStyle w:val="TableText0"/>
              <w:jc w:val="center"/>
              <w:rPr>
                <w:szCs w:val="20"/>
              </w:rPr>
            </w:pPr>
            <w:r w:rsidRPr="00DB3D39">
              <w:rPr>
                <w:szCs w:val="20"/>
              </w:rPr>
              <w:t>1,659 (65.1%)</w:t>
            </w:r>
          </w:p>
        </w:tc>
        <w:tc>
          <w:tcPr>
            <w:tcW w:w="810" w:type="dxa"/>
            <w:vAlign w:val="center"/>
          </w:tcPr>
          <w:p w14:paraId="4410CD44" w14:textId="77777777" w:rsidR="00543A34" w:rsidRPr="00DB3D39" w:rsidRDefault="00543A34" w:rsidP="00DE7F15">
            <w:pPr>
              <w:pStyle w:val="TableText0"/>
              <w:jc w:val="center"/>
              <w:rPr>
                <w:szCs w:val="20"/>
              </w:rPr>
            </w:pPr>
            <w:r w:rsidRPr="00DB3D39">
              <w:rPr>
                <w:szCs w:val="20"/>
              </w:rPr>
              <w:t>2,525 (99.1%)</w:t>
            </w:r>
          </w:p>
        </w:tc>
        <w:tc>
          <w:tcPr>
            <w:tcW w:w="921" w:type="dxa"/>
            <w:vAlign w:val="center"/>
          </w:tcPr>
          <w:p w14:paraId="539F8CC2" w14:textId="4EC3C72A" w:rsidR="00543A34" w:rsidRPr="00DB3D39" w:rsidRDefault="00543A34" w:rsidP="00DE7F15">
            <w:pPr>
              <w:pStyle w:val="TableText0"/>
              <w:jc w:val="center"/>
              <w:rPr>
                <w:szCs w:val="20"/>
              </w:rPr>
            </w:pPr>
            <w:r w:rsidRPr="00DB3D39">
              <w:rPr>
                <w:szCs w:val="20"/>
              </w:rPr>
              <w:t>1,888 (74.</w:t>
            </w:r>
            <w:r w:rsidR="00D35E6A" w:rsidRPr="00DB3D39">
              <w:rPr>
                <w:szCs w:val="20"/>
              </w:rPr>
              <w:t>2</w:t>
            </w:r>
            <w:r w:rsidRPr="00DB3D39">
              <w:rPr>
                <w:szCs w:val="20"/>
              </w:rPr>
              <w:t>%)</w:t>
            </w:r>
          </w:p>
        </w:tc>
      </w:tr>
      <w:tr w:rsidR="00543A34" w:rsidRPr="00DB3D39" w14:paraId="1C4AEE42" w14:textId="77777777" w:rsidTr="00DE7F15">
        <w:tc>
          <w:tcPr>
            <w:tcW w:w="9016" w:type="dxa"/>
            <w:gridSpan w:val="9"/>
            <w:tcMar>
              <w:top w:w="0" w:type="dxa"/>
              <w:left w:w="108" w:type="dxa"/>
              <w:bottom w:w="0" w:type="dxa"/>
              <w:right w:w="108" w:type="dxa"/>
            </w:tcMar>
            <w:vAlign w:val="center"/>
          </w:tcPr>
          <w:p w14:paraId="19BA5491" w14:textId="77777777" w:rsidR="00543A34" w:rsidRPr="00DB3D39" w:rsidRDefault="00543A34" w:rsidP="0078669F">
            <w:pPr>
              <w:pStyle w:val="In-tableHeading"/>
              <w:rPr>
                <w:szCs w:val="20"/>
                <w:lang w:val="en-AU"/>
              </w:rPr>
            </w:pPr>
            <w:r w:rsidRPr="00DB3D39">
              <w:rPr>
                <w:szCs w:val="20"/>
                <w:lang w:val="en-AU"/>
              </w:rPr>
              <w:t>Indirect treatment comparison</w:t>
            </w:r>
          </w:p>
        </w:tc>
      </w:tr>
      <w:tr w:rsidR="00543A34" w:rsidRPr="00DB3D39" w14:paraId="5C5C6525" w14:textId="77777777" w:rsidTr="00151512">
        <w:tc>
          <w:tcPr>
            <w:tcW w:w="1696" w:type="dxa"/>
            <w:tcMar>
              <w:top w:w="0" w:type="dxa"/>
              <w:left w:w="108" w:type="dxa"/>
              <w:bottom w:w="0" w:type="dxa"/>
              <w:right w:w="108" w:type="dxa"/>
            </w:tcMar>
            <w:vAlign w:val="center"/>
            <w:hideMark/>
          </w:tcPr>
          <w:p w14:paraId="01A31A92" w14:textId="77777777" w:rsidR="00543A34" w:rsidRPr="00DB3D39" w:rsidRDefault="00543A34">
            <w:pPr>
              <w:pStyle w:val="TableText0"/>
              <w:rPr>
                <w:szCs w:val="20"/>
              </w:rPr>
            </w:pPr>
            <w:r w:rsidRPr="00DB3D39">
              <w:rPr>
                <w:szCs w:val="20"/>
              </w:rPr>
              <w:t>Primary analysis</w:t>
            </w:r>
          </w:p>
        </w:tc>
        <w:tc>
          <w:tcPr>
            <w:tcW w:w="851" w:type="dxa"/>
            <w:tcMar>
              <w:top w:w="0" w:type="dxa"/>
              <w:left w:w="108" w:type="dxa"/>
              <w:bottom w:w="0" w:type="dxa"/>
              <w:right w:w="108" w:type="dxa"/>
            </w:tcMar>
            <w:vAlign w:val="center"/>
          </w:tcPr>
          <w:p w14:paraId="693EF62E" w14:textId="77777777" w:rsidR="00543A34" w:rsidRPr="00DB3D39" w:rsidRDefault="00543A34" w:rsidP="00DE7F15">
            <w:pPr>
              <w:pStyle w:val="TableText0"/>
              <w:jc w:val="center"/>
              <w:rPr>
                <w:szCs w:val="20"/>
              </w:rPr>
            </w:pPr>
          </w:p>
        </w:tc>
        <w:tc>
          <w:tcPr>
            <w:tcW w:w="992" w:type="dxa"/>
            <w:tcMar>
              <w:top w:w="0" w:type="dxa"/>
              <w:left w:w="108" w:type="dxa"/>
              <w:bottom w:w="0" w:type="dxa"/>
              <w:right w:w="108" w:type="dxa"/>
            </w:tcMar>
            <w:vAlign w:val="center"/>
          </w:tcPr>
          <w:p w14:paraId="2F7723D2" w14:textId="77777777" w:rsidR="00543A34" w:rsidRPr="00DB3D39" w:rsidRDefault="00543A34" w:rsidP="00DE7F15">
            <w:pPr>
              <w:pStyle w:val="TableText0"/>
              <w:jc w:val="center"/>
              <w:rPr>
                <w:szCs w:val="20"/>
              </w:rPr>
            </w:pPr>
          </w:p>
        </w:tc>
        <w:tc>
          <w:tcPr>
            <w:tcW w:w="1134" w:type="dxa"/>
            <w:tcMar>
              <w:top w:w="0" w:type="dxa"/>
              <w:left w:w="108" w:type="dxa"/>
              <w:bottom w:w="0" w:type="dxa"/>
              <w:right w:w="108" w:type="dxa"/>
            </w:tcMar>
            <w:vAlign w:val="center"/>
            <w:hideMark/>
          </w:tcPr>
          <w:p w14:paraId="08A5FDD1" w14:textId="77777777" w:rsidR="00543A34" w:rsidRPr="00DB3D39" w:rsidRDefault="00543A34" w:rsidP="00DE7F15">
            <w:pPr>
              <w:pStyle w:val="TableText0"/>
              <w:jc w:val="center"/>
              <w:rPr>
                <w:szCs w:val="20"/>
              </w:rPr>
            </w:pPr>
            <w:r w:rsidRPr="00DB3D39">
              <w:rPr>
                <w:szCs w:val="20"/>
              </w:rPr>
              <w:t>X</w:t>
            </w:r>
          </w:p>
        </w:tc>
        <w:tc>
          <w:tcPr>
            <w:tcW w:w="722" w:type="dxa"/>
            <w:vAlign w:val="center"/>
          </w:tcPr>
          <w:p w14:paraId="6306FC30" w14:textId="77777777" w:rsidR="00543A34" w:rsidRPr="00DB3D39" w:rsidRDefault="00543A34" w:rsidP="00DE7F15">
            <w:pPr>
              <w:pStyle w:val="TableText0"/>
              <w:jc w:val="center"/>
              <w:rPr>
                <w:szCs w:val="20"/>
              </w:rPr>
            </w:pPr>
          </w:p>
        </w:tc>
        <w:tc>
          <w:tcPr>
            <w:tcW w:w="810" w:type="dxa"/>
            <w:tcMar>
              <w:top w:w="0" w:type="dxa"/>
              <w:left w:w="108" w:type="dxa"/>
              <w:bottom w:w="0" w:type="dxa"/>
              <w:right w:w="108" w:type="dxa"/>
            </w:tcMar>
            <w:vAlign w:val="center"/>
          </w:tcPr>
          <w:p w14:paraId="1E059F4C" w14:textId="77777777" w:rsidR="00543A34" w:rsidRPr="00DB3D39" w:rsidRDefault="00543A34" w:rsidP="00DE7F15">
            <w:pPr>
              <w:pStyle w:val="TableText0"/>
              <w:jc w:val="center"/>
              <w:rPr>
                <w:szCs w:val="20"/>
              </w:rPr>
            </w:pPr>
          </w:p>
        </w:tc>
        <w:tc>
          <w:tcPr>
            <w:tcW w:w="1080" w:type="dxa"/>
            <w:tcMar>
              <w:top w:w="0" w:type="dxa"/>
              <w:left w:w="108" w:type="dxa"/>
              <w:bottom w:w="0" w:type="dxa"/>
              <w:right w:w="108" w:type="dxa"/>
            </w:tcMar>
            <w:vAlign w:val="center"/>
          </w:tcPr>
          <w:p w14:paraId="58BCE2A0" w14:textId="77777777" w:rsidR="00543A34" w:rsidRPr="00DB3D39" w:rsidRDefault="00543A34" w:rsidP="00DE7F15">
            <w:pPr>
              <w:pStyle w:val="TableText0"/>
              <w:jc w:val="center"/>
              <w:rPr>
                <w:szCs w:val="20"/>
              </w:rPr>
            </w:pPr>
            <w:r w:rsidRPr="00DB3D39">
              <w:rPr>
                <w:szCs w:val="20"/>
              </w:rPr>
              <w:t>X</w:t>
            </w:r>
          </w:p>
        </w:tc>
        <w:tc>
          <w:tcPr>
            <w:tcW w:w="810" w:type="dxa"/>
            <w:vAlign w:val="center"/>
          </w:tcPr>
          <w:p w14:paraId="614F00EB" w14:textId="77777777" w:rsidR="00543A34" w:rsidRPr="00DB3D39" w:rsidRDefault="00543A34" w:rsidP="00DE7F15">
            <w:pPr>
              <w:pStyle w:val="TableText0"/>
              <w:jc w:val="center"/>
              <w:rPr>
                <w:szCs w:val="20"/>
              </w:rPr>
            </w:pPr>
          </w:p>
        </w:tc>
        <w:tc>
          <w:tcPr>
            <w:tcW w:w="921" w:type="dxa"/>
            <w:vAlign w:val="center"/>
          </w:tcPr>
          <w:p w14:paraId="2EE32DAF" w14:textId="77777777" w:rsidR="00543A34" w:rsidRPr="00DB3D39" w:rsidRDefault="00543A34" w:rsidP="00DE7F15">
            <w:pPr>
              <w:pStyle w:val="TableText0"/>
              <w:jc w:val="center"/>
              <w:rPr>
                <w:szCs w:val="20"/>
              </w:rPr>
            </w:pPr>
          </w:p>
        </w:tc>
      </w:tr>
      <w:tr w:rsidR="00543A34" w:rsidRPr="00DB3D39" w14:paraId="4302966C" w14:textId="77777777" w:rsidTr="00151512">
        <w:tc>
          <w:tcPr>
            <w:tcW w:w="1696" w:type="dxa"/>
            <w:tcMar>
              <w:top w:w="0" w:type="dxa"/>
              <w:left w:w="108" w:type="dxa"/>
              <w:bottom w:w="0" w:type="dxa"/>
              <w:right w:w="108" w:type="dxa"/>
            </w:tcMar>
            <w:vAlign w:val="center"/>
            <w:hideMark/>
          </w:tcPr>
          <w:p w14:paraId="5FA11CB9" w14:textId="77777777" w:rsidR="00543A34" w:rsidRPr="00DB3D39" w:rsidRDefault="00543A34">
            <w:pPr>
              <w:pStyle w:val="TableText0"/>
              <w:rPr>
                <w:szCs w:val="20"/>
              </w:rPr>
            </w:pPr>
            <w:r w:rsidRPr="00DB3D39">
              <w:rPr>
                <w:szCs w:val="20"/>
              </w:rPr>
              <w:t>Supportive analysis</w:t>
            </w:r>
          </w:p>
        </w:tc>
        <w:tc>
          <w:tcPr>
            <w:tcW w:w="851" w:type="dxa"/>
            <w:tcMar>
              <w:top w:w="0" w:type="dxa"/>
              <w:left w:w="108" w:type="dxa"/>
              <w:bottom w:w="0" w:type="dxa"/>
              <w:right w:w="108" w:type="dxa"/>
            </w:tcMar>
            <w:vAlign w:val="center"/>
          </w:tcPr>
          <w:p w14:paraId="42D7CEB5" w14:textId="77777777" w:rsidR="00543A34" w:rsidRPr="00DB3D39" w:rsidRDefault="00543A34" w:rsidP="00DE7F15">
            <w:pPr>
              <w:pStyle w:val="TableText0"/>
              <w:jc w:val="center"/>
              <w:rPr>
                <w:szCs w:val="20"/>
              </w:rPr>
            </w:pPr>
          </w:p>
        </w:tc>
        <w:tc>
          <w:tcPr>
            <w:tcW w:w="992" w:type="dxa"/>
            <w:tcMar>
              <w:top w:w="0" w:type="dxa"/>
              <w:left w:w="108" w:type="dxa"/>
              <w:bottom w:w="0" w:type="dxa"/>
              <w:right w:w="108" w:type="dxa"/>
            </w:tcMar>
            <w:vAlign w:val="center"/>
            <w:hideMark/>
          </w:tcPr>
          <w:p w14:paraId="6C21C600" w14:textId="77777777" w:rsidR="00543A34" w:rsidRPr="00DB3D39" w:rsidRDefault="00543A34" w:rsidP="00DE7F15">
            <w:pPr>
              <w:pStyle w:val="TableText0"/>
              <w:jc w:val="center"/>
              <w:rPr>
                <w:szCs w:val="20"/>
              </w:rPr>
            </w:pPr>
            <w:r w:rsidRPr="00DB3D39">
              <w:rPr>
                <w:szCs w:val="20"/>
              </w:rPr>
              <w:t>X</w:t>
            </w:r>
          </w:p>
        </w:tc>
        <w:tc>
          <w:tcPr>
            <w:tcW w:w="1134" w:type="dxa"/>
            <w:tcMar>
              <w:top w:w="0" w:type="dxa"/>
              <w:left w:w="108" w:type="dxa"/>
              <w:bottom w:w="0" w:type="dxa"/>
              <w:right w:w="108" w:type="dxa"/>
            </w:tcMar>
            <w:vAlign w:val="center"/>
          </w:tcPr>
          <w:p w14:paraId="66B5DC71" w14:textId="77777777" w:rsidR="00543A34" w:rsidRPr="00DB3D39" w:rsidRDefault="00543A34" w:rsidP="00DE7F15">
            <w:pPr>
              <w:pStyle w:val="TableText0"/>
              <w:jc w:val="center"/>
              <w:rPr>
                <w:szCs w:val="20"/>
              </w:rPr>
            </w:pPr>
          </w:p>
        </w:tc>
        <w:tc>
          <w:tcPr>
            <w:tcW w:w="722" w:type="dxa"/>
            <w:vAlign w:val="center"/>
          </w:tcPr>
          <w:p w14:paraId="69D6D15C" w14:textId="77777777" w:rsidR="00543A34" w:rsidRPr="00DB3D39" w:rsidRDefault="00543A34" w:rsidP="00DE7F15">
            <w:pPr>
              <w:pStyle w:val="TableText0"/>
              <w:jc w:val="center"/>
              <w:rPr>
                <w:szCs w:val="20"/>
              </w:rPr>
            </w:pPr>
          </w:p>
        </w:tc>
        <w:tc>
          <w:tcPr>
            <w:tcW w:w="810" w:type="dxa"/>
            <w:tcMar>
              <w:top w:w="0" w:type="dxa"/>
              <w:left w:w="108" w:type="dxa"/>
              <w:bottom w:w="0" w:type="dxa"/>
              <w:right w:w="108" w:type="dxa"/>
            </w:tcMar>
            <w:vAlign w:val="center"/>
          </w:tcPr>
          <w:p w14:paraId="712AAF5A" w14:textId="77777777" w:rsidR="00543A34" w:rsidRPr="00DB3D39" w:rsidRDefault="00543A34" w:rsidP="00DE7F15">
            <w:pPr>
              <w:pStyle w:val="TableText0"/>
              <w:jc w:val="center"/>
              <w:rPr>
                <w:szCs w:val="20"/>
              </w:rPr>
            </w:pPr>
          </w:p>
        </w:tc>
        <w:tc>
          <w:tcPr>
            <w:tcW w:w="1080" w:type="dxa"/>
            <w:tcMar>
              <w:top w:w="0" w:type="dxa"/>
              <w:left w:w="108" w:type="dxa"/>
              <w:bottom w:w="0" w:type="dxa"/>
              <w:right w:w="108" w:type="dxa"/>
            </w:tcMar>
            <w:vAlign w:val="center"/>
          </w:tcPr>
          <w:p w14:paraId="0D961658" w14:textId="77777777" w:rsidR="00543A34" w:rsidRPr="00DB3D39" w:rsidRDefault="00543A34" w:rsidP="00DE7F15">
            <w:pPr>
              <w:pStyle w:val="TableText0"/>
              <w:jc w:val="center"/>
              <w:rPr>
                <w:szCs w:val="20"/>
              </w:rPr>
            </w:pPr>
            <w:r w:rsidRPr="00DB3D39">
              <w:rPr>
                <w:szCs w:val="20"/>
              </w:rPr>
              <w:t>X</w:t>
            </w:r>
          </w:p>
        </w:tc>
        <w:tc>
          <w:tcPr>
            <w:tcW w:w="810" w:type="dxa"/>
            <w:vAlign w:val="center"/>
          </w:tcPr>
          <w:p w14:paraId="51E3F12E" w14:textId="77777777" w:rsidR="00543A34" w:rsidRPr="00DB3D39" w:rsidRDefault="00543A34" w:rsidP="00DE7F15">
            <w:pPr>
              <w:pStyle w:val="TableText0"/>
              <w:jc w:val="center"/>
              <w:rPr>
                <w:szCs w:val="20"/>
              </w:rPr>
            </w:pPr>
          </w:p>
        </w:tc>
        <w:tc>
          <w:tcPr>
            <w:tcW w:w="921" w:type="dxa"/>
            <w:vAlign w:val="center"/>
          </w:tcPr>
          <w:p w14:paraId="30A848EE" w14:textId="77777777" w:rsidR="00543A34" w:rsidRPr="00DB3D39" w:rsidRDefault="00543A34" w:rsidP="00DE7F15">
            <w:pPr>
              <w:pStyle w:val="TableText0"/>
              <w:jc w:val="center"/>
              <w:rPr>
                <w:szCs w:val="20"/>
              </w:rPr>
            </w:pPr>
          </w:p>
        </w:tc>
      </w:tr>
      <w:tr w:rsidR="00543A34" w:rsidRPr="00DB3D39" w14:paraId="07BBD7D5" w14:textId="77777777" w:rsidTr="00151512">
        <w:tc>
          <w:tcPr>
            <w:tcW w:w="1696" w:type="dxa"/>
            <w:tcMar>
              <w:top w:w="0" w:type="dxa"/>
              <w:left w:w="108" w:type="dxa"/>
              <w:bottom w:w="0" w:type="dxa"/>
              <w:right w:w="108" w:type="dxa"/>
            </w:tcMar>
            <w:vAlign w:val="center"/>
          </w:tcPr>
          <w:p w14:paraId="55517D68" w14:textId="77777777" w:rsidR="00543A34" w:rsidRPr="00DB3D39" w:rsidRDefault="00543A34">
            <w:pPr>
              <w:pStyle w:val="TableText0"/>
              <w:rPr>
                <w:szCs w:val="20"/>
              </w:rPr>
            </w:pPr>
            <w:r w:rsidRPr="00DB3D39">
              <w:rPr>
                <w:szCs w:val="20"/>
              </w:rPr>
              <w:t>ITC safety</w:t>
            </w:r>
          </w:p>
        </w:tc>
        <w:tc>
          <w:tcPr>
            <w:tcW w:w="851" w:type="dxa"/>
            <w:tcMar>
              <w:top w:w="0" w:type="dxa"/>
              <w:left w:w="108" w:type="dxa"/>
              <w:bottom w:w="0" w:type="dxa"/>
              <w:right w:w="108" w:type="dxa"/>
            </w:tcMar>
            <w:vAlign w:val="center"/>
          </w:tcPr>
          <w:p w14:paraId="3244E642" w14:textId="77777777" w:rsidR="00543A34" w:rsidRPr="00DB3D39" w:rsidRDefault="00543A34" w:rsidP="00DE7F15">
            <w:pPr>
              <w:pStyle w:val="TableText0"/>
              <w:jc w:val="center"/>
              <w:rPr>
                <w:szCs w:val="20"/>
              </w:rPr>
            </w:pPr>
          </w:p>
        </w:tc>
        <w:tc>
          <w:tcPr>
            <w:tcW w:w="992" w:type="dxa"/>
            <w:tcMar>
              <w:top w:w="0" w:type="dxa"/>
              <w:left w:w="108" w:type="dxa"/>
              <w:bottom w:w="0" w:type="dxa"/>
              <w:right w:w="108" w:type="dxa"/>
            </w:tcMar>
            <w:vAlign w:val="center"/>
          </w:tcPr>
          <w:p w14:paraId="184245E6" w14:textId="77777777" w:rsidR="00543A34" w:rsidRPr="00DB3D39" w:rsidRDefault="00543A34" w:rsidP="00DE7F15">
            <w:pPr>
              <w:pStyle w:val="TableText0"/>
              <w:jc w:val="center"/>
              <w:rPr>
                <w:szCs w:val="20"/>
              </w:rPr>
            </w:pPr>
          </w:p>
        </w:tc>
        <w:tc>
          <w:tcPr>
            <w:tcW w:w="1134" w:type="dxa"/>
            <w:tcMar>
              <w:top w:w="0" w:type="dxa"/>
              <w:left w:w="108" w:type="dxa"/>
              <w:bottom w:w="0" w:type="dxa"/>
              <w:right w:w="108" w:type="dxa"/>
            </w:tcMar>
            <w:vAlign w:val="center"/>
          </w:tcPr>
          <w:p w14:paraId="41804CD1" w14:textId="77777777" w:rsidR="00543A34" w:rsidRPr="00DB3D39" w:rsidRDefault="00543A34" w:rsidP="00DE7F15">
            <w:pPr>
              <w:pStyle w:val="TableText0"/>
              <w:jc w:val="center"/>
              <w:rPr>
                <w:szCs w:val="20"/>
              </w:rPr>
            </w:pPr>
          </w:p>
        </w:tc>
        <w:tc>
          <w:tcPr>
            <w:tcW w:w="722" w:type="dxa"/>
            <w:vAlign w:val="center"/>
          </w:tcPr>
          <w:p w14:paraId="720FB39B" w14:textId="77777777" w:rsidR="00543A34" w:rsidRPr="00DB3D39" w:rsidRDefault="00543A34" w:rsidP="00DE7F15">
            <w:pPr>
              <w:pStyle w:val="TableText0"/>
              <w:jc w:val="center"/>
              <w:rPr>
                <w:szCs w:val="20"/>
              </w:rPr>
            </w:pPr>
            <w:r w:rsidRPr="00DB3D39">
              <w:rPr>
                <w:szCs w:val="20"/>
              </w:rPr>
              <w:t>X</w:t>
            </w:r>
          </w:p>
        </w:tc>
        <w:tc>
          <w:tcPr>
            <w:tcW w:w="810" w:type="dxa"/>
            <w:tcMar>
              <w:top w:w="0" w:type="dxa"/>
              <w:left w:w="108" w:type="dxa"/>
              <w:bottom w:w="0" w:type="dxa"/>
              <w:right w:w="108" w:type="dxa"/>
            </w:tcMar>
            <w:vAlign w:val="center"/>
          </w:tcPr>
          <w:p w14:paraId="5F6A3EA9" w14:textId="77777777" w:rsidR="00543A34" w:rsidRPr="00DB3D39" w:rsidRDefault="00543A34" w:rsidP="00DE7F15">
            <w:pPr>
              <w:pStyle w:val="TableText0"/>
              <w:jc w:val="center"/>
              <w:rPr>
                <w:szCs w:val="20"/>
              </w:rPr>
            </w:pPr>
          </w:p>
        </w:tc>
        <w:tc>
          <w:tcPr>
            <w:tcW w:w="1080" w:type="dxa"/>
            <w:tcMar>
              <w:top w:w="0" w:type="dxa"/>
              <w:left w:w="108" w:type="dxa"/>
              <w:bottom w:w="0" w:type="dxa"/>
              <w:right w:w="108" w:type="dxa"/>
            </w:tcMar>
            <w:vAlign w:val="center"/>
          </w:tcPr>
          <w:p w14:paraId="09F2D541" w14:textId="77777777" w:rsidR="00543A34" w:rsidRPr="00DB3D39" w:rsidRDefault="00543A34" w:rsidP="00DE7F15">
            <w:pPr>
              <w:pStyle w:val="TableText0"/>
              <w:jc w:val="center"/>
              <w:rPr>
                <w:szCs w:val="20"/>
              </w:rPr>
            </w:pPr>
          </w:p>
        </w:tc>
        <w:tc>
          <w:tcPr>
            <w:tcW w:w="810" w:type="dxa"/>
            <w:vAlign w:val="center"/>
          </w:tcPr>
          <w:p w14:paraId="43EBDBC1" w14:textId="77777777" w:rsidR="00543A34" w:rsidRPr="00DB3D39" w:rsidRDefault="00543A34" w:rsidP="00DE7F15">
            <w:pPr>
              <w:pStyle w:val="TableText0"/>
              <w:jc w:val="center"/>
              <w:rPr>
                <w:szCs w:val="20"/>
              </w:rPr>
            </w:pPr>
          </w:p>
        </w:tc>
        <w:tc>
          <w:tcPr>
            <w:tcW w:w="921" w:type="dxa"/>
            <w:vAlign w:val="center"/>
          </w:tcPr>
          <w:p w14:paraId="4A5A5D58" w14:textId="77777777" w:rsidR="00543A34" w:rsidRPr="00DB3D39" w:rsidRDefault="00543A34" w:rsidP="00DE7F15">
            <w:pPr>
              <w:pStyle w:val="TableText0"/>
              <w:jc w:val="center"/>
              <w:rPr>
                <w:szCs w:val="20"/>
              </w:rPr>
            </w:pPr>
            <w:r w:rsidRPr="00DB3D39">
              <w:rPr>
                <w:szCs w:val="20"/>
              </w:rPr>
              <w:t>X</w:t>
            </w:r>
          </w:p>
        </w:tc>
      </w:tr>
    </w:tbl>
    <w:p w14:paraId="6782E4AC" w14:textId="77777777" w:rsidR="00543A34" w:rsidRPr="00DB3D39" w:rsidRDefault="00543A34" w:rsidP="00537972">
      <w:pPr>
        <w:pStyle w:val="TableFigureFooter"/>
        <w:jc w:val="both"/>
      </w:pPr>
      <w:r w:rsidRPr="00DB3D39">
        <w:t>Source: developed during the evaluation.</w:t>
      </w:r>
    </w:p>
    <w:p w14:paraId="2AD0EDD1" w14:textId="619F2E8B" w:rsidR="00543A34" w:rsidRDefault="00543A34" w:rsidP="00537972">
      <w:pPr>
        <w:pStyle w:val="TableFigureFooter"/>
        <w:jc w:val="both"/>
      </w:pPr>
      <w:r w:rsidRPr="00DB3D39">
        <w:t>AI= aromatase inhibitor; CMA= cost minimisation approach; ITC = Indirect treatment comparison; ITT= intention to treat; PBS = Pharmaceutical Benefits Scheme.</w:t>
      </w:r>
    </w:p>
    <w:p w14:paraId="1ECD0245" w14:textId="152E2673" w:rsidR="00684D37" w:rsidRPr="00537972" w:rsidRDefault="00684D37" w:rsidP="00537972">
      <w:pPr>
        <w:pStyle w:val="TableFigureFooter"/>
        <w:jc w:val="both"/>
        <w:rPr>
          <w:i/>
          <w:iCs/>
        </w:rPr>
      </w:pPr>
      <w:r w:rsidRPr="00537972">
        <w:rPr>
          <w:rFonts w:eastAsiaTheme="minorHAnsi"/>
          <w:i/>
          <w:iCs/>
        </w:rPr>
        <w:t xml:space="preserve">Note that the results presented in Table 4 are derived from </w:t>
      </w:r>
      <w:r w:rsidR="004074E7">
        <w:rPr>
          <w:rFonts w:eastAsiaTheme="minorHAnsi"/>
          <w:i/>
          <w:iCs/>
        </w:rPr>
        <w:t>post</w:t>
      </w:r>
      <w:r w:rsidRPr="00537972">
        <w:rPr>
          <w:rFonts w:eastAsiaTheme="minorHAnsi"/>
          <w:i/>
          <w:iCs/>
        </w:rPr>
        <w:t xml:space="preserve">-hoc analyses conducted </w:t>
      </w:r>
      <w:r w:rsidR="00433C56" w:rsidRPr="00433C56">
        <w:rPr>
          <w:rFonts w:eastAsiaTheme="minorHAnsi"/>
          <w:i/>
          <w:iCs/>
        </w:rPr>
        <w:t>by the applican</w:t>
      </w:r>
      <w:r w:rsidR="00433C56">
        <w:rPr>
          <w:rFonts w:eastAsiaTheme="minorHAnsi"/>
          <w:i/>
          <w:iCs/>
        </w:rPr>
        <w:t xml:space="preserve">t </w:t>
      </w:r>
      <w:r w:rsidR="0033370A">
        <w:rPr>
          <w:rFonts w:eastAsiaTheme="minorHAnsi"/>
          <w:i/>
          <w:iCs/>
        </w:rPr>
        <w:t xml:space="preserve">during the evaluation </w:t>
      </w:r>
      <w:r w:rsidRPr="00537972">
        <w:rPr>
          <w:rFonts w:eastAsiaTheme="minorHAnsi"/>
          <w:i/>
          <w:iCs/>
        </w:rPr>
        <w:t xml:space="preserve">specifically for the purposes of informing the PBAC consideration. These analyses were not part of the pre-specified statistical plan for the NATALEE trial. Interpretation of the results and their application should therefore be limited to seeking to understand the basis for the PBAC outcome and should not be used for any other purpose. </w:t>
      </w:r>
    </w:p>
    <w:p w14:paraId="032378B9" w14:textId="15D9A464" w:rsidR="001408A2" w:rsidRPr="00112EE5" w:rsidRDefault="00830271" w:rsidP="007C073C">
      <w:pPr>
        <w:pStyle w:val="3-BodyText"/>
        <w:rPr>
          <w:iCs/>
        </w:rPr>
      </w:pPr>
      <w:bookmarkStart w:id="27" w:name="_Ref176964985"/>
      <w:r w:rsidRPr="00DB3D39">
        <w:t xml:space="preserve">Given the differences in </w:t>
      </w:r>
      <w:r w:rsidR="00354275" w:rsidRPr="00DB3D39">
        <w:t xml:space="preserve">the </w:t>
      </w:r>
      <w:r w:rsidR="00C016F8" w:rsidRPr="00DB3D39">
        <w:t xml:space="preserve">adjuvant </w:t>
      </w:r>
      <w:r w:rsidRPr="00DB3D39">
        <w:t>ET</w:t>
      </w:r>
      <w:r w:rsidR="00EF3E12" w:rsidRPr="00DB3D39">
        <w:t xml:space="preserve"> accompanying each </w:t>
      </w:r>
      <w:r w:rsidR="008A2E1C" w:rsidRPr="00DB3D39">
        <w:t>CDK4/6 inhibitor</w:t>
      </w:r>
      <w:r w:rsidR="00C016F8" w:rsidRPr="00DB3D39">
        <w:t>, the</w:t>
      </w:r>
      <w:r w:rsidR="00313DA0" w:rsidRPr="00DB3D39">
        <w:t xml:space="preserve"> submission</w:t>
      </w:r>
      <w:r w:rsidR="009E32D3">
        <w:t>’s</w:t>
      </w:r>
      <w:r w:rsidR="00313DA0" w:rsidRPr="00DB3D39">
        <w:t xml:space="preserve"> primary ITC analysis </w:t>
      </w:r>
      <w:r w:rsidR="009E32D3">
        <w:t>was</w:t>
      </w:r>
      <w:r w:rsidR="00863EFF" w:rsidRPr="00DB3D39">
        <w:t xml:space="preserve"> </w:t>
      </w:r>
      <w:r w:rsidR="00E760B2" w:rsidRPr="00DB3D39">
        <w:t xml:space="preserve">between </w:t>
      </w:r>
      <w:r w:rsidR="00011739" w:rsidRPr="00DB3D39">
        <w:t xml:space="preserve">the </w:t>
      </w:r>
      <w:r w:rsidR="00E760B2" w:rsidRPr="00DB3D39">
        <w:t xml:space="preserve">NATALEE </w:t>
      </w:r>
      <w:r w:rsidR="00964EDD" w:rsidRPr="00DB3D39">
        <w:t xml:space="preserve">PBS </w:t>
      </w:r>
      <w:r w:rsidR="00313DA0" w:rsidRPr="00DB3D39">
        <w:t>subgroup</w:t>
      </w:r>
      <w:r w:rsidR="00313DA0" w:rsidRPr="00DB3D39" w:rsidDel="00964EDD">
        <w:t xml:space="preserve"> </w:t>
      </w:r>
      <w:r w:rsidR="00FA1387" w:rsidRPr="00DB3D39">
        <w:t>and a</w:t>
      </w:r>
      <w:r w:rsidR="004F0E49" w:rsidRPr="00DB3D39" w:rsidDel="00FA1387">
        <w:t xml:space="preserve"> </w:t>
      </w:r>
      <w:r w:rsidR="00A2208D" w:rsidRPr="00DB3D39">
        <w:t xml:space="preserve">subgroup of </w:t>
      </w:r>
      <w:r w:rsidR="00407545">
        <w:t xml:space="preserve">patients in </w:t>
      </w:r>
      <w:r w:rsidR="000116E7" w:rsidRPr="00DB3D39">
        <w:t xml:space="preserve">the </w:t>
      </w:r>
      <w:r w:rsidR="00A2208D" w:rsidRPr="00DB3D39">
        <w:t xml:space="preserve">monarchE </w:t>
      </w:r>
      <w:r w:rsidR="000116E7" w:rsidRPr="00DB3D39">
        <w:t>trial</w:t>
      </w:r>
      <w:r w:rsidR="004F0E49" w:rsidRPr="00DB3D39">
        <w:t xml:space="preserve"> </w:t>
      </w:r>
      <w:r w:rsidR="00A2208D" w:rsidRPr="00DB3D39">
        <w:t xml:space="preserve">that used </w:t>
      </w:r>
      <w:r w:rsidR="00313DA0" w:rsidRPr="00DB3D39">
        <w:t xml:space="preserve">adjuvant AI </w:t>
      </w:r>
      <w:r w:rsidR="004F0E49" w:rsidRPr="00DB3D39">
        <w:t xml:space="preserve">(monarchE ITT population excluding patients treated with tamoxifen, hereafter referred to as ‘adjuvant AI subgroup’). The ITC </w:t>
      </w:r>
      <w:r w:rsidR="006E7171" w:rsidRPr="00DB3D39">
        <w:t>analysis</w:t>
      </w:r>
      <w:r w:rsidR="004F0E49" w:rsidRPr="00DB3D39">
        <w:t xml:space="preserve"> </w:t>
      </w:r>
      <w:r w:rsidR="007B5880" w:rsidRPr="00DB3D39">
        <w:t xml:space="preserve">comparing the </w:t>
      </w:r>
      <w:r w:rsidR="004F0E49" w:rsidRPr="00DB3D39">
        <w:t xml:space="preserve">NATALEE PBS subgroup </w:t>
      </w:r>
      <w:r w:rsidR="007B5880" w:rsidRPr="00DB3D39">
        <w:t>with</w:t>
      </w:r>
      <w:r w:rsidR="004F0E49" w:rsidRPr="00DB3D39">
        <w:t xml:space="preserve"> Cohort 1 subgroup </w:t>
      </w:r>
      <w:r w:rsidR="007B3ACB" w:rsidRPr="00DB3D39">
        <w:t xml:space="preserve">from monarchE </w:t>
      </w:r>
      <w:r w:rsidR="004F0E49" w:rsidRPr="00DB3D39">
        <w:t xml:space="preserve">was nominated as supporting evidence. </w:t>
      </w:r>
      <w:r w:rsidR="004F0E49" w:rsidRPr="000C077E">
        <w:rPr>
          <w:iCs/>
        </w:rPr>
        <w:t>T</w:t>
      </w:r>
      <w:r w:rsidR="008351BE" w:rsidRPr="000C077E">
        <w:rPr>
          <w:iCs/>
        </w:rPr>
        <w:t xml:space="preserve">he evaluation </w:t>
      </w:r>
      <w:r w:rsidR="009E32D3" w:rsidRPr="000C077E">
        <w:rPr>
          <w:iCs/>
        </w:rPr>
        <w:t>noted that</w:t>
      </w:r>
      <w:r w:rsidR="009E32D3">
        <w:rPr>
          <w:i/>
        </w:rPr>
        <w:t xml:space="preserve"> </w:t>
      </w:r>
      <w:r w:rsidR="009E32D3" w:rsidRPr="00407545">
        <w:rPr>
          <w:iCs/>
        </w:rPr>
        <w:t>the</w:t>
      </w:r>
      <w:r w:rsidR="004F0E49" w:rsidRPr="00407545">
        <w:rPr>
          <w:iCs/>
        </w:rPr>
        <w:t xml:space="preserve"> </w:t>
      </w:r>
      <w:r w:rsidR="004F0E49" w:rsidRPr="00112EE5">
        <w:rPr>
          <w:iCs/>
        </w:rPr>
        <w:t>submission’s nominated primary comparison in the ITC compar</w:t>
      </w:r>
      <w:r w:rsidR="009E32D3">
        <w:rPr>
          <w:iCs/>
        </w:rPr>
        <w:t>ed</w:t>
      </w:r>
      <w:r w:rsidR="004F0E49" w:rsidRPr="00112EE5">
        <w:rPr>
          <w:iCs/>
        </w:rPr>
        <w:t xml:space="preserve"> the</w:t>
      </w:r>
      <w:r w:rsidR="008351BE">
        <w:rPr>
          <w:iCs/>
        </w:rPr>
        <w:t xml:space="preserve"> requested</w:t>
      </w:r>
      <w:r w:rsidR="004F0E49" w:rsidRPr="00112EE5">
        <w:rPr>
          <w:iCs/>
        </w:rPr>
        <w:t xml:space="preserve"> PBS population from NATALEE with a</w:t>
      </w:r>
      <w:r w:rsidR="00EB6F3D">
        <w:rPr>
          <w:iCs/>
        </w:rPr>
        <w:t>n abemaciclib</w:t>
      </w:r>
      <w:r w:rsidR="004F0E49" w:rsidRPr="00112EE5">
        <w:rPr>
          <w:iCs/>
        </w:rPr>
        <w:t xml:space="preserve"> patient population that may not reflect the</w:t>
      </w:r>
      <w:r w:rsidR="008351BE">
        <w:rPr>
          <w:iCs/>
        </w:rPr>
        <w:t xml:space="preserve"> </w:t>
      </w:r>
      <w:r w:rsidR="008351BE" w:rsidRPr="00276A8E">
        <w:rPr>
          <w:iCs/>
        </w:rPr>
        <w:t>currently listed</w:t>
      </w:r>
      <w:r w:rsidR="009E32D3" w:rsidRPr="00276A8E">
        <w:rPr>
          <w:iCs/>
        </w:rPr>
        <w:t xml:space="preserve"> abem</w:t>
      </w:r>
      <w:r w:rsidR="007A0275" w:rsidRPr="00276A8E">
        <w:rPr>
          <w:iCs/>
        </w:rPr>
        <w:t>a</w:t>
      </w:r>
      <w:r w:rsidR="009E32D3" w:rsidRPr="00276A8E">
        <w:rPr>
          <w:iCs/>
        </w:rPr>
        <w:t>ciclib</w:t>
      </w:r>
      <w:r w:rsidR="008351BE" w:rsidRPr="00276A8E">
        <w:rPr>
          <w:iCs/>
        </w:rPr>
        <w:t xml:space="preserve"> PBS</w:t>
      </w:r>
      <w:r w:rsidR="004F0E49" w:rsidRPr="00112EE5">
        <w:rPr>
          <w:iCs/>
        </w:rPr>
        <w:t xml:space="preserve"> population</w:t>
      </w:r>
      <w:r w:rsidR="003B1DB5">
        <w:rPr>
          <w:iCs/>
        </w:rPr>
        <w:t xml:space="preserve">, and made the following points regarding this comparison: </w:t>
      </w:r>
      <w:bookmarkEnd w:id="27"/>
    </w:p>
    <w:p w14:paraId="66260BEF" w14:textId="43A4CF6C" w:rsidR="00DF2406" w:rsidRPr="00112EE5" w:rsidRDefault="00DF2406" w:rsidP="00F43B37">
      <w:pPr>
        <w:pStyle w:val="ListParagraph"/>
      </w:pPr>
      <w:r w:rsidRPr="00112EE5">
        <w:t xml:space="preserve">the submission </w:t>
      </w:r>
      <w:r w:rsidR="00777FA2" w:rsidRPr="00112EE5">
        <w:t xml:space="preserve">did </w:t>
      </w:r>
      <w:r w:rsidRPr="00112EE5">
        <w:t>not provide the baseline characteristics of the</w:t>
      </w:r>
      <w:r w:rsidR="00D74B34">
        <w:t>se abemaciclib</w:t>
      </w:r>
      <w:r w:rsidRPr="00112EE5">
        <w:t xml:space="preserve"> patients in monarchE</w:t>
      </w:r>
      <w:r w:rsidR="00EB6F3D">
        <w:t>;</w:t>
      </w:r>
      <w:r w:rsidRPr="00112EE5">
        <w:t xml:space="preserve"> therefore</w:t>
      </w:r>
      <w:r w:rsidR="00EB6F3D">
        <w:t>,</w:t>
      </w:r>
      <w:r w:rsidRPr="00112EE5">
        <w:t xml:space="preserve"> it is unknown whether this population reflects the PBS population. </w:t>
      </w:r>
    </w:p>
    <w:p w14:paraId="60E8F078" w14:textId="3B34BD9F" w:rsidR="00280E6F" w:rsidRPr="00112EE5" w:rsidRDefault="00D90595" w:rsidP="00F43B37">
      <w:pPr>
        <w:pStyle w:val="ListParagraph"/>
      </w:pPr>
      <w:r w:rsidRPr="00112EE5">
        <w:rPr>
          <w:snapToGrid w:val="0"/>
        </w:rPr>
        <w:t xml:space="preserve">the </w:t>
      </w:r>
      <w:r w:rsidR="00676BB2" w:rsidRPr="00112EE5">
        <w:rPr>
          <w:snapToGrid w:val="0"/>
        </w:rPr>
        <w:t>submission compared</w:t>
      </w:r>
      <w:r w:rsidRPr="00112EE5">
        <w:rPr>
          <w:snapToGrid w:val="0"/>
        </w:rPr>
        <w:t xml:space="preserve"> the common reference arms </w:t>
      </w:r>
      <w:r w:rsidR="00676BB2" w:rsidRPr="00112EE5">
        <w:rPr>
          <w:snapToGrid w:val="0"/>
        </w:rPr>
        <w:t>(ET alone)</w:t>
      </w:r>
      <w:r w:rsidR="00C8344B" w:rsidRPr="00112EE5">
        <w:rPr>
          <w:snapToGrid w:val="0"/>
        </w:rPr>
        <w:t xml:space="preserve"> </w:t>
      </w:r>
      <w:r w:rsidR="00C92C99" w:rsidRPr="00112EE5">
        <w:rPr>
          <w:snapToGrid w:val="0"/>
        </w:rPr>
        <w:t xml:space="preserve">for the outcomes invasive </w:t>
      </w:r>
      <w:r w:rsidR="00407545" w:rsidRPr="00112EE5">
        <w:rPr>
          <w:snapToGrid w:val="0"/>
        </w:rPr>
        <w:t>disease-free</w:t>
      </w:r>
      <w:r w:rsidR="00C92C99" w:rsidRPr="00112EE5">
        <w:rPr>
          <w:snapToGrid w:val="0"/>
        </w:rPr>
        <w:t xml:space="preserve"> survival (iDFS) and disease recurrence</w:t>
      </w:r>
      <w:r w:rsidR="00003BF6">
        <w:rPr>
          <w:snapToGrid w:val="0"/>
        </w:rPr>
        <w:t>-</w:t>
      </w:r>
      <w:r w:rsidR="00C92C99" w:rsidRPr="00112EE5">
        <w:rPr>
          <w:snapToGrid w:val="0"/>
        </w:rPr>
        <w:t xml:space="preserve">free survival (DRFS) </w:t>
      </w:r>
      <w:r w:rsidR="004B4505" w:rsidRPr="00112EE5">
        <w:rPr>
          <w:snapToGrid w:val="0"/>
        </w:rPr>
        <w:t xml:space="preserve">of the nominated PBS subgroup in NATALEE </w:t>
      </w:r>
      <w:r w:rsidR="00F94B4E" w:rsidRPr="00112EE5">
        <w:rPr>
          <w:snapToGrid w:val="0"/>
        </w:rPr>
        <w:t xml:space="preserve">and </w:t>
      </w:r>
      <w:r w:rsidRPr="00112EE5">
        <w:rPr>
          <w:snapToGrid w:val="0"/>
        </w:rPr>
        <w:t>Cohort 1</w:t>
      </w:r>
      <w:r w:rsidR="00F94B4E" w:rsidRPr="00112EE5">
        <w:rPr>
          <w:snapToGrid w:val="0"/>
        </w:rPr>
        <w:t xml:space="preserve"> </w:t>
      </w:r>
      <w:r w:rsidR="00EB6F3D">
        <w:rPr>
          <w:snapToGrid w:val="0"/>
        </w:rPr>
        <w:t xml:space="preserve">in </w:t>
      </w:r>
      <w:r w:rsidR="00EB6F3D">
        <w:rPr>
          <w:snapToGrid w:val="0"/>
        </w:rPr>
        <w:lastRenderedPageBreak/>
        <w:t xml:space="preserve">monarchE, </w:t>
      </w:r>
      <w:r w:rsidR="00F94B4E" w:rsidRPr="00112EE5">
        <w:rPr>
          <w:snapToGrid w:val="0"/>
        </w:rPr>
        <w:t xml:space="preserve">and </w:t>
      </w:r>
      <w:r w:rsidRPr="00112EE5">
        <w:rPr>
          <w:snapToGrid w:val="0"/>
        </w:rPr>
        <w:t>showed the</w:t>
      </w:r>
      <w:r w:rsidR="00EB6F3D">
        <w:rPr>
          <w:snapToGrid w:val="0"/>
        </w:rPr>
        <w:t xml:space="preserve"> ET</w:t>
      </w:r>
      <w:r w:rsidRPr="00112EE5">
        <w:rPr>
          <w:snapToGrid w:val="0"/>
        </w:rPr>
        <w:t xml:space="preserve"> arms entirely overlap</w:t>
      </w:r>
      <w:r w:rsidR="003B1DB5">
        <w:rPr>
          <w:snapToGrid w:val="0"/>
        </w:rPr>
        <w:t xml:space="preserve">, </w:t>
      </w:r>
      <w:r w:rsidR="006E75BE" w:rsidRPr="00112EE5">
        <w:rPr>
          <w:snapToGrid w:val="0"/>
        </w:rPr>
        <w:t>suggest</w:t>
      </w:r>
      <w:r w:rsidR="003B1DB5">
        <w:rPr>
          <w:snapToGrid w:val="0"/>
        </w:rPr>
        <w:t>ing</w:t>
      </w:r>
      <w:r w:rsidR="006E75BE" w:rsidRPr="00112EE5">
        <w:rPr>
          <w:snapToGrid w:val="0"/>
        </w:rPr>
        <w:t xml:space="preserve"> that the comparator arms from both trials perform similarly.</w:t>
      </w:r>
    </w:p>
    <w:p w14:paraId="37407E9F" w14:textId="5170CB90" w:rsidR="00313DA0" w:rsidRPr="00112EE5" w:rsidRDefault="008351BE" w:rsidP="00F43B37">
      <w:pPr>
        <w:pStyle w:val="ListParagraph"/>
      </w:pPr>
      <w:r w:rsidRPr="00112EE5">
        <w:rPr>
          <w:snapToGrid w:val="0"/>
        </w:rPr>
        <w:t>T</w:t>
      </w:r>
      <w:r w:rsidR="00D90595" w:rsidRPr="00112EE5">
        <w:rPr>
          <w:snapToGrid w:val="0"/>
        </w:rPr>
        <w:t>he</w:t>
      </w:r>
      <w:r>
        <w:rPr>
          <w:snapToGrid w:val="0"/>
        </w:rPr>
        <w:t xml:space="preserve"> abemaciclib</w:t>
      </w:r>
      <w:r w:rsidR="00D90595" w:rsidRPr="00112EE5">
        <w:rPr>
          <w:snapToGrid w:val="0"/>
        </w:rPr>
        <w:t xml:space="preserve"> subgroup analysis </w:t>
      </w:r>
      <w:r w:rsidR="00954B78">
        <w:rPr>
          <w:snapToGrid w:val="0"/>
        </w:rPr>
        <w:t xml:space="preserve">included in </w:t>
      </w:r>
      <w:r w:rsidR="00D90595" w:rsidRPr="00112EE5">
        <w:rPr>
          <w:snapToGrid w:val="0"/>
        </w:rPr>
        <w:t>the submission showed that</w:t>
      </w:r>
      <w:r>
        <w:rPr>
          <w:snapToGrid w:val="0"/>
        </w:rPr>
        <w:t xml:space="preserve"> the</w:t>
      </w:r>
      <w:r w:rsidR="00954B78">
        <w:rPr>
          <w:snapToGrid w:val="0"/>
        </w:rPr>
        <w:t xml:space="preserve"> type of</w:t>
      </w:r>
      <w:r>
        <w:rPr>
          <w:snapToGrid w:val="0"/>
        </w:rPr>
        <w:t xml:space="preserve"> first</w:t>
      </w:r>
      <w:r w:rsidR="00D90595" w:rsidRPr="00112EE5">
        <w:rPr>
          <w:snapToGrid w:val="0"/>
        </w:rPr>
        <w:t xml:space="preserve"> ET</w:t>
      </w:r>
      <w:r w:rsidR="00954B78">
        <w:rPr>
          <w:snapToGrid w:val="0"/>
        </w:rPr>
        <w:t xml:space="preserve"> (tamoxifen or AI)</w:t>
      </w:r>
      <w:r w:rsidR="00D90595" w:rsidRPr="00112EE5">
        <w:rPr>
          <w:snapToGrid w:val="0"/>
        </w:rPr>
        <w:t xml:space="preserve"> in monarchE was not a </w:t>
      </w:r>
      <w:r w:rsidR="0015487C">
        <w:rPr>
          <w:snapToGrid w:val="0"/>
        </w:rPr>
        <w:t xml:space="preserve">treatment </w:t>
      </w:r>
      <w:r w:rsidR="00D90595" w:rsidRPr="00112EE5">
        <w:rPr>
          <w:snapToGrid w:val="0"/>
        </w:rPr>
        <w:t>effect modifier</w:t>
      </w:r>
      <w:r w:rsidR="00AD56C0" w:rsidRPr="00112EE5">
        <w:rPr>
          <w:snapToGrid w:val="0"/>
        </w:rPr>
        <w:t>.</w:t>
      </w:r>
    </w:p>
    <w:p w14:paraId="404661C5" w14:textId="66087720" w:rsidR="000356C0" w:rsidRPr="00282117" w:rsidRDefault="000356C0" w:rsidP="007C073C">
      <w:pPr>
        <w:pStyle w:val="3-BodyText"/>
        <w:rPr>
          <w:iCs/>
        </w:rPr>
      </w:pPr>
      <w:r w:rsidRPr="00DB3D39">
        <w:t xml:space="preserve">The </w:t>
      </w:r>
      <w:r w:rsidR="00E865D9" w:rsidRPr="00DB3D39">
        <w:t>submission based</w:t>
      </w:r>
      <w:r w:rsidRPr="00DB3D39">
        <w:t xml:space="preserve"> its clinical claim on the primary outcomes of </w:t>
      </w:r>
      <w:r w:rsidR="00E0378B" w:rsidRPr="00DB3D39">
        <w:t>invasive disease-free survival (</w:t>
      </w:r>
      <w:r w:rsidRPr="00DB3D39">
        <w:t>iDFS</w:t>
      </w:r>
      <w:r w:rsidR="00E0378B" w:rsidRPr="00DB3D39">
        <w:t>)</w:t>
      </w:r>
      <w:r w:rsidRPr="00DB3D39">
        <w:t xml:space="preserve"> and secondary outcome distant </w:t>
      </w:r>
      <w:r w:rsidR="00003BF6">
        <w:t>recurrenc</w:t>
      </w:r>
      <w:r w:rsidRPr="00DB3D39">
        <w:t xml:space="preserve">e-free survival (DRFS). </w:t>
      </w:r>
      <w:r w:rsidR="004F4FE3" w:rsidRPr="00DB3D39">
        <w:t>Overall</w:t>
      </w:r>
      <w:r w:rsidR="00E0378B" w:rsidRPr="00DB3D39">
        <w:t xml:space="preserve"> survival (</w:t>
      </w:r>
      <w:r w:rsidRPr="00DB3D39">
        <w:t>OS</w:t>
      </w:r>
      <w:r w:rsidR="00E0378B" w:rsidRPr="00DB3D39">
        <w:t>)</w:t>
      </w:r>
      <w:r w:rsidRPr="00DB3D39">
        <w:t xml:space="preserve"> was </w:t>
      </w:r>
      <w:r w:rsidR="00924620" w:rsidRPr="00DB3D39">
        <w:t>also</w:t>
      </w:r>
      <w:r w:rsidRPr="00DB3D39">
        <w:t xml:space="preserve"> assessed as a secondary outcome in both trials but was not included in the clinical claim because of the small number of deaths in the clinical trials. </w:t>
      </w:r>
      <w:r w:rsidRPr="00276A8E">
        <w:rPr>
          <w:iCs/>
        </w:rPr>
        <w:t>The</w:t>
      </w:r>
      <w:r w:rsidR="00BD25CE" w:rsidRPr="00276A8E">
        <w:rPr>
          <w:iCs/>
        </w:rPr>
        <w:t xml:space="preserve"> evaluation noted that</w:t>
      </w:r>
      <w:r w:rsidR="00BD25CE" w:rsidRPr="00282117">
        <w:rPr>
          <w:i/>
        </w:rPr>
        <w:t xml:space="preserve"> </w:t>
      </w:r>
      <w:r w:rsidR="00BD25CE" w:rsidRPr="00003BF6">
        <w:rPr>
          <w:iCs/>
        </w:rPr>
        <w:t>the</w:t>
      </w:r>
      <w:r w:rsidRPr="00003BF6">
        <w:rPr>
          <w:iCs/>
        </w:rPr>
        <w:t xml:space="preserve"> </w:t>
      </w:r>
      <w:r w:rsidRPr="00282117">
        <w:rPr>
          <w:iCs/>
        </w:rPr>
        <w:t>PBAC previously stated that due to immature OS data in monarchE</w:t>
      </w:r>
      <w:r w:rsidR="00BD25CE" w:rsidRPr="00282117">
        <w:rPr>
          <w:iCs/>
        </w:rPr>
        <w:t>,</w:t>
      </w:r>
      <w:r w:rsidRPr="00282117">
        <w:rPr>
          <w:iCs/>
        </w:rPr>
        <w:t xml:space="preserve"> </w:t>
      </w:r>
      <w:r w:rsidR="00E865D9" w:rsidRPr="00282117">
        <w:rPr>
          <w:iCs/>
        </w:rPr>
        <w:t>there</w:t>
      </w:r>
      <w:r w:rsidRPr="00282117">
        <w:rPr>
          <w:iCs/>
        </w:rPr>
        <w:t xml:space="preserve"> remained an unclear </w:t>
      </w:r>
      <w:r w:rsidR="00E865D9" w:rsidRPr="00282117">
        <w:rPr>
          <w:iCs/>
        </w:rPr>
        <w:t>relationship between iDFS/DRFS and OS (para</w:t>
      </w:r>
      <w:r w:rsidR="00BD25CE" w:rsidRPr="00282117">
        <w:rPr>
          <w:iCs/>
        </w:rPr>
        <w:t>graph</w:t>
      </w:r>
      <w:r w:rsidR="00E865D9" w:rsidRPr="00282117">
        <w:rPr>
          <w:iCs/>
        </w:rPr>
        <w:t xml:space="preserve"> 7.7, </w:t>
      </w:r>
      <w:r w:rsidR="00627B23" w:rsidRPr="00282117">
        <w:rPr>
          <w:iCs/>
        </w:rPr>
        <w:t>abemaciclib</w:t>
      </w:r>
      <w:r w:rsidR="00E865D9" w:rsidRPr="00282117">
        <w:rPr>
          <w:iCs/>
        </w:rPr>
        <w:t xml:space="preserve"> PSD, November 2023).</w:t>
      </w:r>
    </w:p>
    <w:p w14:paraId="67218B65" w14:textId="40EF9244" w:rsidR="00045017" w:rsidRPr="00112EE5" w:rsidRDefault="000356C0" w:rsidP="007C073C">
      <w:pPr>
        <w:pStyle w:val="3-BodyText"/>
      </w:pPr>
      <w:r w:rsidRPr="00112EE5">
        <w:t xml:space="preserve">The </w:t>
      </w:r>
      <w:r w:rsidR="00D5226A" w:rsidRPr="00112EE5">
        <w:t xml:space="preserve">safety </w:t>
      </w:r>
      <w:r w:rsidR="00313DA0" w:rsidRPr="00112EE5">
        <w:t xml:space="preserve">ITC </w:t>
      </w:r>
      <w:r w:rsidRPr="00112EE5">
        <w:t xml:space="preserve">was based on </w:t>
      </w:r>
      <w:r w:rsidR="004F0E49" w:rsidRPr="00112EE5">
        <w:t xml:space="preserve">a </w:t>
      </w:r>
      <w:r w:rsidR="00E865D9" w:rsidRPr="00112EE5">
        <w:t>s</w:t>
      </w:r>
      <w:r w:rsidRPr="00112EE5">
        <w:t>afety set</w:t>
      </w:r>
      <w:r w:rsidR="00313DA0" w:rsidRPr="00112EE5">
        <w:t xml:space="preserve"> of monarchE and NATALEE (monarchE ITT eligible) population</w:t>
      </w:r>
      <w:r w:rsidRPr="00112EE5">
        <w:t>, with no</w:t>
      </w:r>
      <w:r w:rsidR="00E865D9" w:rsidRPr="00112EE5">
        <w:t xml:space="preserve"> </w:t>
      </w:r>
      <w:r w:rsidR="004E25D3" w:rsidRPr="00112EE5">
        <w:t>IT</w:t>
      </w:r>
      <w:r w:rsidR="00B4315D" w:rsidRPr="00112EE5">
        <w:t>C</w:t>
      </w:r>
      <w:r w:rsidR="004F0E49" w:rsidRPr="00112EE5" w:rsidDel="00B4315D">
        <w:t xml:space="preserve"> </w:t>
      </w:r>
      <w:r w:rsidR="00E865D9" w:rsidRPr="00112EE5">
        <w:t xml:space="preserve">presented for </w:t>
      </w:r>
      <w:r w:rsidR="00313DA0" w:rsidRPr="00112EE5">
        <w:t xml:space="preserve">the </w:t>
      </w:r>
      <w:r w:rsidR="00B4315D" w:rsidRPr="00112EE5">
        <w:t>PBS-eligible</w:t>
      </w:r>
      <w:r w:rsidR="004F0E49" w:rsidRPr="00112EE5">
        <w:t xml:space="preserve"> </w:t>
      </w:r>
      <w:r w:rsidR="00313DA0" w:rsidRPr="00112EE5">
        <w:t>subgroup used in the ITC of efficacy data.</w:t>
      </w:r>
    </w:p>
    <w:p w14:paraId="51BBDC55" w14:textId="77777777" w:rsidR="00B60939" w:rsidRDefault="00B60939" w:rsidP="00EC5836">
      <w:pPr>
        <w:pStyle w:val="4-SubsectionHeading"/>
      </w:pPr>
      <w:bookmarkStart w:id="28" w:name="_Toc177475548"/>
      <w:r w:rsidRPr="00DB3D39">
        <w:t>Comparative effectiveness</w:t>
      </w:r>
      <w:bookmarkEnd w:id="28"/>
    </w:p>
    <w:p w14:paraId="01A578CE" w14:textId="590104D5" w:rsidR="007078AC" w:rsidRPr="004272F2" w:rsidRDefault="007078AC" w:rsidP="004272F2">
      <w:pPr>
        <w:rPr>
          <w:b/>
          <w:bCs/>
          <w:u w:val="single"/>
        </w:rPr>
      </w:pPr>
      <w:r w:rsidRPr="004272F2">
        <w:rPr>
          <w:b/>
          <w:bCs/>
          <w:u w:val="single"/>
        </w:rPr>
        <w:t>Ribociclib plus adjuvant ET versus ET alone (NATALEE trial)</w:t>
      </w:r>
    </w:p>
    <w:p w14:paraId="2B85F88E" w14:textId="1AFA0683" w:rsidR="00B225D8" w:rsidRPr="00112EE5" w:rsidRDefault="00676353" w:rsidP="007C073C">
      <w:pPr>
        <w:pStyle w:val="3-BodyText"/>
        <w:rPr>
          <w:iCs/>
        </w:rPr>
      </w:pPr>
      <w:r w:rsidRPr="00DB3D39">
        <w:rPr>
          <w:bCs/>
        </w:rPr>
        <w:fldChar w:fldCharType="begin" w:fldLock="1"/>
      </w:r>
      <w:r w:rsidRPr="00DB3D39">
        <w:rPr>
          <w:bCs/>
        </w:rPr>
        <w:instrText xml:space="preserve"> REF _Ref176773437 \h  \* MERGEFORMAT </w:instrText>
      </w:r>
      <w:r w:rsidRPr="00DB3D39">
        <w:rPr>
          <w:bCs/>
        </w:rPr>
      </w:r>
      <w:r w:rsidRPr="00DB3D39">
        <w:rPr>
          <w:bCs/>
        </w:rPr>
        <w:fldChar w:fldCharType="separate"/>
      </w:r>
      <w:r w:rsidR="00FF083B" w:rsidRPr="00FF083B">
        <w:rPr>
          <w:bCs/>
        </w:rPr>
        <w:t>Table 5</w:t>
      </w:r>
      <w:r w:rsidRPr="00DB3D39">
        <w:rPr>
          <w:bCs/>
        </w:rPr>
        <w:fldChar w:fldCharType="end"/>
      </w:r>
      <w:r w:rsidR="008C4D34" w:rsidRPr="00DB3D39">
        <w:rPr>
          <w:bCs/>
        </w:rPr>
        <w:t xml:space="preserve"> </w:t>
      </w:r>
      <w:r w:rsidR="004F0E49" w:rsidRPr="00DB3D39">
        <w:t>summarises the results for iDFS, DRFS</w:t>
      </w:r>
      <w:r w:rsidR="004F0E49" w:rsidRPr="00DB3D39" w:rsidDel="00EE7796">
        <w:t xml:space="preserve"> and </w:t>
      </w:r>
      <w:r w:rsidR="004F0E49" w:rsidRPr="00DB3D39">
        <w:t xml:space="preserve">OS for NATALEE (ITT and </w:t>
      </w:r>
      <w:r w:rsidR="00D20584" w:rsidRPr="00DB3D39">
        <w:t xml:space="preserve">PBS </w:t>
      </w:r>
      <w:r w:rsidR="004F0E49" w:rsidRPr="00DB3D39">
        <w:t xml:space="preserve">subgroup) population. The results for the key outcomes of iDFS and DRFS indicate statistically significant benefit for ribociclib plus adjuvant ET compared to ET alone in the ITT population and PBS subgroup. </w:t>
      </w:r>
    </w:p>
    <w:p w14:paraId="41DFFBCD" w14:textId="08EF4FB9" w:rsidR="004F0E49" w:rsidRPr="00DB3D39" w:rsidRDefault="00CB29A9" w:rsidP="00431AB0">
      <w:pPr>
        <w:pStyle w:val="TableHeading"/>
        <w:spacing w:before="0" w:after="0"/>
        <w:rPr>
          <w:rStyle w:val="CommentReference"/>
          <w:b w:val="0"/>
        </w:rPr>
      </w:pPr>
      <w:bookmarkStart w:id="29" w:name="_Ref176773437"/>
      <w:r w:rsidRPr="00DB3D39">
        <w:rPr>
          <w:rStyle w:val="CommentReference"/>
        </w:rPr>
        <w:t xml:space="preserve">Table </w:t>
      </w:r>
      <w:r w:rsidRPr="00DB3D39">
        <w:rPr>
          <w:rStyle w:val="CommentReference"/>
          <w:b w:val="0"/>
        </w:rPr>
        <w:fldChar w:fldCharType="begin" w:fldLock="1"/>
      </w:r>
      <w:r w:rsidRPr="00DB3D39">
        <w:rPr>
          <w:rStyle w:val="CommentReference"/>
        </w:rPr>
        <w:instrText xml:space="preserve"> SEQ Table \* ARABIC </w:instrText>
      </w:r>
      <w:r w:rsidRPr="00DB3D39">
        <w:rPr>
          <w:rStyle w:val="CommentReference"/>
          <w:b w:val="0"/>
        </w:rPr>
        <w:fldChar w:fldCharType="separate"/>
      </w:r>
      <w:r w:rsidR="00FF083B">
        <w:rPr>
          <w:rStyle w:val="CommentReference"/>
          <w:noProof/>
        </w:rPr>
        <w:t>5</w:t>
      </w:r>
      <w:r w:rsidRPr="00DB3D39">
        <w:rPr>
          <w:rStyle w:val="CommentReference"/>
          <w:b w:val="0"/>
        </w:rPr>
        <w:fldChar w:fldCharType="end"/>
      </w:r>
      <w:bookmarkEnd w:id="29"/>
      <w:r w:rsidR="004F0E49" w:rsidRPr="00DB3D39">
        <w:rPr>
          <w:rStyle w:val="CommentReference"/>
        </w:rPr>
        <w:t xml:space="preserve">: Summary of survival outcomes in NATALEE (ITT and </w:t>
      </w:r>
      <w:r w:rsidR="00D20584" w:rsidRPr="00DB3D39">
        <w:rPr>
          <w:rStyle w:val="CommentReference"/>
        </w:rPr>
        <w:t xml:space="preserve">PBS </w:t>
      </w:r>
      <w:r w:rsidR="004F0E49" w:rsidRPr="00DB3D39">
        <w:rPr>
          <w:rStyle w:val="CommentReference"/>
        </w:rPr>
        <w:t>subgroup, DCO July 2023)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2256"/>
        <w:gridCol w:w="1964"/>
        <w:gridCol w:w="2562"/>
      </w:tblGrid>
      <w:tr w:rsidR="004F0E49" w:rsidRPr="00DB3D39" w14:paraId="599ADDE2" w14:textId="77777777" w:rsidTr="00896CFA">
        <w:trPr>
          <w:trHeight w:val="454"/>
        </w:trPr>
        <w:tc>
          <w:tcPr>
            <w:tcW w:w="1239" w:type="pct"/>
            <w:vAlign w:val="center"/>
          </w:tcPr>
          <w:p w14:paraId="48CBB70C" w14:textId="77777777" w:rsidR="004F0E49" w:rsidRPr="00DB3D39" w:rsidRDefault="004F0E49">
            <w:pPr>
              <w:pStyle w:val="In-tableHeading"/>
              <w:rPr>
                <w:lang w:val="en-AU"/>
              </w:rPr>
            </w:pPr>
            <w:r w:rsidRPr="00DB3D39">
              <w:rPr>
                <w:lang w:val="en-AU"/>
              </w:rPr>
              <w:t>Outcome</w:t>
            </w:r>
          </w:p>
        </w:tc>
        <w:tc>
          <w:tcPr>
            <w:tcW w:w="1251" w:type="pct"/>
            <w:vAlign w:val="center"/>
          </w:tcPr>
          <w:p w14:paraId="4A3A1D74" w14:textId="327F9F19" w:rsidR="004F0E49" w:rsidRPr="00DB3D39" w:rsidRDefault="004F0E49">
            <w:pPr>
              <w:pStyle w:val="In-tableHeading"/>
              <w:rPr>
                <w:lang w:val="en-AU"/>
              </w:rPr>
            </w:pPr>
            <w:r w:rsidRPr="00DB3D39">
              <w:rPr>
                <w:lang w:val="en-AU"/>
              </w:rPr>
              <w:t xml:space="preserve">Ribociclib </w:t>
            </w:r>
            <w:r w:rsidR="00B225D8" w:rsidRPr="00DB3D39">
              <w:rPr>
                <w:lang w:val="en-AU"/>
              </w:rPr>
              <w:t>plus</w:t>
            </w:r>
            <w:r w:rsidRPr="00DB3D39">
              <w:rPr>
                <w:lang w:val="en-AU"/>
              </w:rPr>
              <w:t xml:space="preserve"> adjuvant ET n/N (%)</w:t>
            </w:r>
          </w:p>
        </w:tc>
        <w:tc>
          <w:tcPr>
            <w:tcW w:w="1089" w:type="pct"/>
            <w:vAlign w:val="center"/>
          </w:tcPr>
          <w:p w14:paraId="3288B9AB" w14:textId="77777777" w:rsidR="004F0E49" w:rsidRPr="00DB3D39" w:rsidRDefault="004F0E49">
            <w:pPr>
              <w:pStyle w:val="In-tableHeading"/>
              <w:rPr>
                <w:lang w:val="en-AU"/>
              </w:rPr>
            </w:pPr>
            <w:r w:rsidRPr="00DB3D39">
              <w:rPr>
                <w:lang w:val="en-AU"/>
              </w:rPr>
              <w:t>ET alone n/N (%)</w:t>
            </w:r>
          </w:p>
        </w:tc>
        <w:tc>
          <w:tcPr>
            <w:tcW w:w="1421" w:type="pct"/>
            <w:vAlign w:val="center"/>
          </w:tcPr>
          <w:p w14:paraId="4F610F75" w14:textId="77777777" w:rsidR="004F0E49" w:rsidRPr="00DB3D39" w:rsidRDefault="004F0E49">
            <w:pPr>
              <w:pStyle w:val="In-tableHeading"/>
              <w:rPr>
                <w:lang w:val="en-AU"/>
              </w:rPr>
            </w:pPr>
            <w:r w:rsidRPr="00DB3D39">
              <w:rPr>
                <w:lang w:val="en-AU"/>
              </w:rPr>
              <w:t>HR (95% CI)</w:t>
            </w:r>
          </w:p>
        </w:tc>
      </w:tr>
      <w:tr w:rsidR="00B225D8" w:rsidRPr="00DB3D39" w14:paraId="210EC977" w14:textId="77777777" w:rsidTr="00896CFA">
        <w:trPr>
          <w:trHeight w:val="56"/>
        </w:trPr>
        <w:tc>
          <w:tcPr>
            <w:tcW w:w="5000" w:type="pct"/>
            <w:gridSpan w:val="4"/>
            <w:vAlign w:val="center"/>
          </w:tcPr>
          <w:p w14:paraId="41A63A13" w14:textId="097C6A12" w:rsidR="00B225D8" w:rsidRPr="00DB3D39" w:rsidRDefault="00B225D8">
            <w:pPr>
              <w:pStyle w:val="In-tableHeading"/>
              <w:rPr>
                <w:lang w:val="en-AU"/>
              </w:rPr>
            </w:pPr>
            <w:r w:rsidRPr="00DB3D39">
              <w:rPr>
                <w:lang w:val="en-AU"/>
              </w:rPr>
              <w:t>iDFS</w:t>
            </w:r>
          </w:p>
        </w:tc>
      </w:tr>
      <w:tr w:rsidR="004F0E49" w:rsidRPr="00DB3D39" w14:paraId="317B2C06" w14:textId="77777777" w:rsidTr="00896CFA">
        <w:trPr>
          <w:trHeight w:val="197"/>
        </w:trPr>
        <w:tc>
          <w:tcPr>
            <w:tcW w:w="1239" w:type="pct"/>
            <w:vAlign w:val="center"/>
          </w:tcPr>
          <w:p w14:paraId="7C63DD6E" w14:textId="25361784" w:rsidR="004F0E49" w:rsidRPr="00DB3D39" w:rsidRDefault="00B225D8">
            <w:pPr>
              <w:pStyle w:val="TableText0"/>
            </w:pPr>
            <w:r w:rsidRPr="00DB3D39">
              <w:t xml:space="preserve"> ITT</w:t>
            </w:r>
          </w:p>
        </w:tc>
        <w:tc>
          <w:tcPr>
            <w:tcW w:w="1251" w:type="pct"/>
            <w:vAlign w:val="center"/>
          </w:tcPr>
          <w:p w14:paraId="1E32CBC2" w14:textId="77777777" w:rsidR="004F0E49" w:rsidRPr="00DB3D39" w:rsidRDefault="004F0E49">
            <w:pPr>
              <w:pStyle w:val="TableText0"/>
            </w:pPr>
            <w:r w:rsidRPr="00DB3D39">
              <w:t>226/2549 (8.9%)</w:t>
            </w:r>
          </w:p>
        </w:tc>
        <w:tc>
          <w:tcPr>
            <w:tcW w:w="1089" w:type="pct"/>
            <w:vAlign w:val="center"/>
          </w:tcPr>
          <w:p w14:paraId="1DBFA2A0" w14:textId="1831A50A" w:rsidR="004F0E49" w:rsidRPr="00DB3D39" w:rsidRDefault="004F0E49">
            <w:pPr>
              <w:pStyle w:val="TableText0"/>
            </w:pPr>
            <w:r w:rsidRPr="00DB3D39">
              <w:t>283</w:t>
            </w:r>
            <w:r w:rsidR="00B225D8" w:rsidRPr="00DB3D39">
              <w:t>/</w:t>
            </w:r>
            <w:r w:rsidRPr="00DB3D39">
              <w:t>2552 (11.1%)</w:t>
            </w:r>
          </w:p>
        </w:tc>
        <w:tc>
          <w:tcPr>
            <w:tcW w:w="1421" w:type="pct"/>
            <w:vAlign w:val="center"/>
          </w:tcPr>
          <w:p w14:paraId="09CF0DD1" w14:textId="77777777" w:rsidR="0042706B" w:rsidRPr="00DB3D39" w:rsidRDefault="004F0E49">
            <w:pPr>
              <w:pStyle w:val="TableText0"/>
              <w:rPr>
                <w:b/>
                <w:szCs w:val="20"/>
              </w:rPr>
            </w:pPr>
            <w:r w:rsidRPr="00DB3D39">
              <w:rPr>
                <w:b/>
                <w:szCs w:val="20"/>
              </w:rPr>
              <w:t xml:space="preserve">0.749 (0.628; 0.892); </w:t>
            </w:r>
          </w:p>
          <w:p w14:paraId="29F184AA" w14:textId="7BAF2944" w:rsidR="004F0E49" w:rsidRPr="00DB3D39" w:rsidRDefault="004F0E49">
            <w:pPr>
              <w:pStyle w:val="TableText0"/>
            </w:pPr>
            <w:r w:rsidRPr="00DB3D39">
              <w:rPr>
                <w:b/>
                <w:szCs w:val="20"/>
              </w:rPr>
              <w:t>p = 0.0006</w:t>
            </w:r>
          </w:p>
        </w:tc>
      </w:tr>
      <w:tr w:rsidR="004F0E49" w:rsidRPr="00DB3D39" w14:paraId="39C881E4" w14:textId="77777777" w:rsidTr="00896CFA">
        <w:trPr>
          <w:trHeight w:val="233"/>
        </w:trPr>
        <w:tc>
          <w:tcPr>
            <w:tcW w:w="1239" w:type="pct"/>
            <w:vAlign w:val="center"/>
          </w:tcPr>
          <w:p w14:paraId="69420D0A" w14:textId="274B4B42" w:rsidR="004F0E49" w:rsidRPr="00DB3D39" w:rsidRDefault="00B225D8">
            <w:pPr>
              <w:pStyle w:val="TableText0"/>
            </w:pPr>
            <w:r w:rsidRPr="00DB3D39">
              <w:t>PBS subgroup</w:t>
            </w:r>
          </w:p>
        </w:tc>
        <w:tc>
          <w:tcPr>
            <w:tcW w:w="1251" w:type="pct"/>
          </w:tcPr>
          <w:p w14:paraId="25FB32D8" w14:textId="3322C757" w:rsidR="004F0E49" w:rsidRPr="00DB3D39" w:rsidRDefault="004F0E49">
            <w:pPr>
              <w:pStyle w:val="TableText0"/>
              <w:rPr>
                <w:szCs w:val="20"/>
              </w:rPr>
            </w:pPr>
            <w:r w:rsidRPr="00DB3D39">
              <w:rPr>
                <w:szCs w:val="20"/>
              </w:rPr>
              <w:t>177</w:t>
            </w:r>
            <w:r w:rsidR="00B225D8" w:rsidRPr="00DB3D39">
              <w:rPr>
                <w:szCs w:val="20"/>
              </w:rPr>
              <w:t>/</w:t>
            </w:r>
            <w:r w:rsidRPr="00DB3D39">
              <w:rPr>
                <w:szCs w:val="20"/>
              </w:rPr>
              <w:t>1659 (10.7%)</w:t>
            </w:r>
          </w:p>
        </w:tc>
        <w:tc>
          <w:tcPr>
            <w:tcW w:w="1089" w:type="pct"/>
          </w:tcPr>
          <w:p w14:paraId="30DA45C3" w14:textId="13576C4B" w:rsidR="004F0E49" w:rsidRPr="00DB3D39" w:rsidRDefault="004F0E49">
            <w:pPr>
              <w:pStyle w:val="TableText0"/>
              <w:rPr>
                <w:szCs w:val="20"/>
              </w:rPr>
            </w:pPr>
            <w:r w:rsidRPr="00DB3D39">
              <w:rPr>
                <w:szCs w:val="20"/>
              </w:rPr>
              <w:t>218</w:t>
            </w:r>
            <w:r w:rsidR="00B225D8" w:rsidRPr="00DB3D39">
              <w:rPr>
                <w:szCs w:val="20"/>
              </w:rPr>
              <w:t>/</w:t>
            </w:r>
            <w:r w:rsidRPr="00DB3D39">
              <w:rPr>
                <w:szCs w:val="20"/>
              </w:rPr>
              <w:t>1649 (13.2%)</w:t>
            </w:r>
          </w:p>
        </w:tc>
        <w:tc>
          <w:tcPr>
            <w:tcW w:w="1421" w:type="pct"/>
            <w:vAlign w:val="center"/>
          </w:tcPr>
          <w:p w14:paraId="3105778F" w14:textId="77777777" w:rsidR="004F0E49" w:rsidRPr="00DB3D39" w:rsidRDefault="004F0E49">
            <w:pPr>
              <w:pStyle w:val="TableText0"/>
              <w:rPr>
                <w:b/>
                <w:szCs w:val="20"/>
              </w:rPr>
            </w:pPr>
            <w:r w:rsidRPr="00DB3D39">
              <w:rPr>
                <w:b/>
                <w:szCs w:val="20"/>
              </w:rPr>
              <w:t>0.744 (0.609, 0.908); p = 0.002</w:t>
            </w:r>
          </w:p>
        </w:tc>
      </w:tr>
      <w:tr w:rsidR="00B225D8" w:rsidRPr="00DB3D39" w14:paraId="2224FB85" w14:textId="77777777" w:rsidTr="00896CFA">
        <w:trPr>
          <w:trHeight w:val="233"/>
        </w:trPr>
        <w:tc>
          <w:tcPr>
            <w:tcW w:w="5000" w:type="pct"/>
            <w:gridSpan w:val="4"/>
            <w:vAlign w:val="center"/>
          </w:tcPr>
          <w:p w14:paraId="0E20FA0A" w14:textId="3FFC806E" w:rsidR="00B225D8" w:rsidRPr="00DB3D39" w:rsidRDefault="00B225D8" w:rsidP="00B225D8">
            <w:pPr>
              <w:pStyle w:val="TableText0"/>
              <w:rPr>
                <w:b/>
                <w:szCs w:val="20"/>
              </w:rPr>
            </w:pPr>
            <w:r w:rsidRPr="00DB3D39">
              <w:rPr>
                <w:b/>
                <w:bCs w:val="0"/>
              </w:rPr>
              <w:t>DRFS</w:t>
            </w:r>
          </w:p>
        </w:tc>
      </w:tr>
      <w:tr w:rsidR="004F0E49" w:rsidRPr="00DB3D39" w14:paraId="5F9D975A" w14:textId="77777777" w:rsidTr="00896CFA">
        <w:trPr>
          <w:trHeight w:val="71"/>
        </w:trPr>
        <w:tc>
          <w:tcPr>
            <w:tcW w:w="1239" w:type="pct"/>
            <w:vAlign w:val="center"/>
          </w:tcPr>
          <w:p w14:paraId="1768A652" w14:textId="6F87FB1F" w:rsidR="004F0E49" w:rsidRPr="00DB3D39" w:rsidRDefault="00B225D8">
            <w:pPr>
              <w:pStyle w:val="TableText0"/>
            </w:pPr>
            <w:r w:rsidRPr="00DB3D39">
              <w:t xml:space="preserve"> ITT</w:t>
            </w:r>
          </w:p>
        </w:tc>
        <w:tc>
          <w:tcPr>
            <w:tcW w:w="1251" w:type="pct"/>
            <w:vAlign w:val="center"/>
          </w:tcPr>
          <w:p w14:paraId="24C14FC3" w14:textId="4FFCD9D1" w:rsidR="004F0E49" w:rsidRPr="00DB3D39" w:rsidRDefault="004F0E49">
            <w:pPr>
              <w:pStyle w:val="TableText0"/>
            </w:pPr>
            <w:r w:rsidRPr="00DB3D39">
              <w:t>178</w:t>
            </w:r>
            <w:r w:rsidR="00B225D8" w:rsidRPr="00DB3D39">
              <w:t>/</w:t>
            </w:r>
            <w:r w:rsidRPr="00DB3D39">
              <w:t>2549 (7.0%)</w:t>
            </w:r>
          </w:p>
        </w:tc>
        <w:tc>
          <w:tcPr>
            <w:tcW w:w="1089" w:type="pct"/>
            <w:vAlign w:val="center"/>
          </w:tcPr>
          <w:p w14:paraId="271DB99E" w14:textId="77777777" w:rsidR="004F0E49" w:rsidRPr="00DB3D39" w:rsidRDefault="004F0E49">
            <w:pPr>
              <w:pStyle w:val="TableText0"/>
            </w:pPr>
            <w:r w:rsidRPr="00DB3D39">
              <w:t>227/2552 (8.9%)</w:t>
            </w:r>
          </w:p>
        </w:tc>
        <w:tc>
          <w:tcPr>
            <w:tcW w:w="1421" w:type="pct"/>
            <w:vAlign w:val="center"/>
          </w:tcPr>
          <w:p w14:paraId="7C275DE5" w14:textId="77777777" w:rsidR="0042706B" w:rsidRPr="00DB3D39" w:rsidRDefault="004F0E49">
            <w:pPr>
              <w:pStyle w:val="TableText0"/>
              <w:rPr>
                <w:b/>
                <w:bCs w:val="0"/>
              </w:rPr>
            </w:pPr>
            <w:r w:rsidRPr="00DB3D39">
              <w:rPr>
                <w:b/>
                <w:bCs w:val="0"/>
              </w:rPr>
              <w:t xml:space="preserve">0.738 (0.606, 0.898); </w:t>
            </w:r>
          </w:p>
          <w:p w14:paraId="0FAFA019" w14:textId="0005DE22" w:rsidR="004F0E49" w:rsidRPr="00DB3D39" w:rsidRDefault="004F0E49">
            <w:pPr>
              <w:pStyle w:val="TableText0"/>
            </w:pPr>
            <w:r w:rsidRPr="00DB3D39">
              <w:rPr>
                <w:b/>
                <w:bCs w:val="0"/>
              </w:rPr>
              <w:t>p = 0.0012</w:t>
            </w:r>
          </w:p>
        </w:tc>
      </w:tr>
      <w:tr w:rsidR="004F0E49" w:rsidRPr="00DB3D39" w14:paraId="7A22E48C" w14:textId="77777777" w:rsidTr="00896CFA">
        <w:trPr>
          <w:trHeight w:val="116"/>
        </w:trPr>
        <w:tc>
          <w:tcPr>
            <w:tcW w:w="1239" w:type="pct"/>
            <w:tcBorders>
              <w:bottom w:val="single" w:sz="4" w:space="0" w:color="auto"/>
            </w:tcBorders>
            <w:vAlign w:val="center"/>
          </w:tcPr>
          <w:p w14:paraId="74E728E3" w14:textId="2566CF24" w:rsidR="004F0E49" w:rsidRPr="00DB3D39" w:rsidRDefault="00B225D8">
            <w:pPr>
              <w:pStyle w:val="TableText0"/>
            </w:pPr>
            <w:r w:rsidRPr="00DB3D39">
              <w:t>PBS subgroup</w:t>
            </w:r>
          </w:p>
        </w:tc>
        <w:tc>
          <w:tcPr>
            <w:tcW w:w="1251" w:type="pct"/>
            <w:tcBorders>
              <w:top w:val="nil"/>
              <w:bottom w:val="single" w:sz="4" w:space="0" w:color="auto"/>
            </w:tcBorders>
            <w:shd w:val="clear" w:color="auto" w:fill="FFFFFF" w:themeFill="background1"/>
          </w:tcPr>
          <w:p w14:paraId="6318700B" w14:textId="77777777" w:rsidR="004F0E49" w:rsidRPr="00DB3D39" w:rsidRDefault="004F0E49">
            <w:pPr>
              <w:pStyle w:val="TableText0"/>
            </w:pPr>
            <w:r w:rsidRPr="00DB3D39">
              <w:rPr>
                <w:szCs w:val="20"/>
              </w:rPr>
              <w:t>145/1659 (8.7%)</w:t>
            </w:r>
          </w:p>
        </w:tc>
        <w:tc>
          <w:tcPr>
            <w:tcW w:w="1089" w:type="pct"/>
            <w:tcBorders>
              <w:top w:val="nil"/>
              <w:bottom w:val="single" w:sz="4" w:space="0" w:color="auto"/>
            </w:tcBorders>
            <w:shd w:val="clear" w:color="auto" w:fill="FFFFFF" w:themeFill="background1"/>
          </w:tcPr>
          <w:p w14:paraId="3B8F3F45" w14:textId="77777777" w:rsidR="004F0E49" w:rsidRPr="00DB3D39" w:rsidRDefault="004F0E49">
            <w:pPr>
              <w:pStyle w:val="TableText0"/>
            </w:pPr>
            <w:r w:rsidRPr="00DB3D39">
              <w:rPr>
                <w:szCs w:val="20"/>
              </w:rPr>
              <w:t>181/1649 (11.0%)</w:t>
            </w:r>
          </w:p>
        </w:tc>
        <w:tc>
          <w:tcPr>
            <w:tcW w:w="1421" w:type="pct"/>
            <w:tcBorders>
              <w:bottom w:val="single" w:sz="4" w:space="0" w:color="auto"/>
            </w:tcBorders>
            <w:vAlign w:val="center"/>
          </w:tcPr>
          <w:p w14:paraId="6AE54F5F" w14:textId="77777777" w:rsidR="004F0E49" w:rsidRPr="00DB3D39" w:rsidRDefault="004F0E49">
            <w:pPr>
              <w:pStyle w:val="TableText0"/>
              <w:rPr>
                <w:b/>
                <w:bCs w:val="0"/>
              </w:rPr>
            </w:pPr>
            <w:r w:rsidRPr="00DB3D39">
              <w:rPr>
                <w:b/>
                <w:bCs w:val="0"/>
              </w:rPr>
              <w:t>0.735 (0.590, 0.916); p = 0.003</w:t>
            </w:r>
          </w:p>
        </w:tc>
      </w:tr>
      <w:tr w:rsidR="00B225D8" w:rsidRPr="00DB3D39" w14:paraId="4B914D6D" w14:textId="77777777" w:rsidTr="00896CFA">
        <w:trPr>
          <w:trHeight w:val="116"/>
        </w:trPr>
        <w:tc>
          <w:tcPr>
            <w:tcW w:w="5000" w:type="pct"/>
            <w:gridSpan w:val="4"/>
            <w:tcBorders>
              <w:top w:val="single" w:sz="4" w:space="0" w:color="auto"/>
              <w:bottom w:val="single" w:sz="4" w:space="0" w:color="auto"/>
            </w:tcBorders>
            <w:vAlign w:val="center"/>
          </w:tcPr>
          <w:p w14:paraId="5371B09D" w14:textId="625522A8" w:rsidR="00B225D8" w:rsidRPr="00DB3D39" w:rsidRDefault="00B225D8" w:rsidP="00B225D8">
            <w:pPr>
              <w:pStyle w:val="TableText0"/>
              <w:rPr>
                <w:b/>
              </w:rPr>
            </w:pPr>
            <w:r w:rsidRPr="00DB3D39">
              <w:rPr>
                <w:b/>
                <w:bCs w:val="0"/>
              </w:rPr>
              <w:t>OS</w:t>
            </w:r>
          </w:p>
        </w:tc>
      </w:tr>
      <w:tr w:rsidR="004F0E49" w:rsidRPr="00DB3D39" w14:paraId="129F4F36" w14:textId="77777777" w:rsidTr="00896CFA">
        <w:trPr>
          <w:trHeight w:val="56"/>
        </w:trPr>
        <w:tc>
          <w:tcPr>
            <w:tcW w:w="1239" w:type="pct"/>
            <w:vAlign w:val="center"/>
          </w:tcPr>
          <w:p w14:paraId="4681A38C" w14:textId="7A9D46A2" w:rsidR="004F0E49" w:rsidRPr="00DB3D39" w:rsidRDefault="00B225D8">
            <w:pPr>
              <w:pStyle w:val="TableText0"/>
              <w:rPr>
                <w:b/>
                <w:bCs w:val="0"/>
              </w:rPr>
            </w:pPr>
            <w:r w:rsidRPr="00DB3D39">
              <w:t>ITT</w:t>
            </w:r>
          </w:p>
        </w:tc>
        <w:tc>
          <w:tcPr>
            <w:tcW w:w="1251" w:type="pct"/>
          </w:tcPr>
          <w:p w14:paraId="766C13B6" w14:textId="75CA2765" w:rsidR="004F0E49" w:rsidRPr="00DB3D39" w:rsidRDefault="004F0E49">
            <w:pPr>
              <w:pStyle w:val="TableText0"/>
            </w:pPr>
            <w:r w:rsidRPr="00DB3D39">
              <w:t>84</w:t>
            </w:r>
            <w:r w:rsidR="00B225D8" w:rsidRPr="00DB3D39">
              <w:t>/</w:t>
            </w:r>
            <w:r w:rsidRPr="00DB3D39">
              <w:t xml:space="preserve">2549 </w:t>
            </w:r>
            <w:r w:rsidR="00B225D8" w:rsidRPr="00DB3D39">
              <w:t>(</w:t>
            </w:r>
            <w:r w:rsidRPr="00DB3D39">
              <w:t>3.3%)</w:t>
            </w:r>
          </w:p>
        </w:tc>
        <w:tc>
          <w:tcPr>
            <w:tcW w:w="1089" w:type="pct"/>
          </w:tcPr>
          <w:p w14:paraId="2B3D35DD" w14:textId="743C446B" w:rsidR="004F0E49" w:rsidRPr="00DB3D39" w:rsidRDefault="004F0E49">
            <w:pPr>
              <w:pStyle w:val="TableText0"/>
            </w:pPr>
            <w:r w:rsidRPr="00DB3D39">
              <w:t>88</w:t>
            </w:r>
            <w:r w:rsidR="00B225D8" w:rsidRPr="00DB3D39">
              <w:t>/</w:t>
            </w:r>
            <w:r w:rsidRPr="00DB3D39">
              <w:t>2552 (3.4%)</w:t>
            </w:r>
          </w:p>
        </w:tc>
        <w:tc>
          <w:tcPr>
            <w:tcW w:w="1421" w:type="pct"/>
            <w:vAlign w:val="center"/>
          </w:tcPr>
          <w:p w14:paraId="2F4FDEDA" w14:textId="77777777" w:rsidR="0042706B" w:rsidRPr="00DB3D39" w:rsidRDefault="004F0E49">
            <w:pPr>
              <w:pStyle w:val="TableText0"/>
              <w:rPr>
                <w:rFonts w:cstheme="minorBidi"/>
                <w:szCs w:val="20"/>
              </w:rPr>
            </w:pPr>
            <w:r w:rsidRPr="00DB3D39">
              <w:rPr>
                <w:rFonts w:cstheme="minorBidi"/>
                <w:szCs w:val="20"/>
              </w:rPr>
              <w:t xml:space="preserve">0.892 (0.661, 1.203); </w:t>
            </w:r>
          </w:p>
          <w:p w14:paraId="78DEB3A9" w14:textId="589A377F" w:rsidR="004F0E49" w:rsidRPr="00DB3D39" w:rsidRDefault="004F0E49">
            <w:pPr>
              <w:pStyle w:val="TableText0"/>
              <w:rPr>
                <w:rFonts w:cstheme="minorBidi"/>
                <w:szCs w:val="20"/>
              </w:rPr>
            </w:pPr>
            <w:r w:rsidRPr="00DB3D39">
              <w:rPr>
                <w:rFonts w:cstheme="minorBidi"/>
                <w:szCs w:val="20"/>
              </w:rPr>
              <w:t>p = 0.2263</w:t>
            </w:r>
          </w:p>
        </w:tc>
      </w:tr>
      <w:tr w:rsidR="004F0E49" w:rsidRPr="00DB3D39" w14:paraId="5AB24631" w14:textId="77777777" w:rsidTr="00896CFA">
        <w:trPr>
          <w:trHeight w:val="80"/>
        </w:trPr>
        <w:tc>
          <w:tcPr>
            <w:tcW w:w="1239" w:type="pct"/>
            <w:vAlign w:val="center"/>
          </w:tcPr>
          <w:p w14:paraId="66D0291D" w14:textId="3A5149DF" w:rsidR="004F0E49" w:rsidRPr="00DB3D39" w:rsidRDefault="00B225D8">
            <w:pPr>
              <w:pStyle w:val="TableText0"/>
            </w:pPr>
            <w:r w:rsidRPr="00DB3D39">
              <w:t>PBS subgroup</w:t>
            </w:r>
          </w:p>
        </w:tc>
        <w:tc>
          <w:tcPr>
            <w:tcW w:w="1251" w:type="pct"/>
          </w:tcPr>
          <w:p w14:paraId="5AC62B14" w14:textId="77777777" w:rsidR="004F0E49" w:rsidRPr="00DB3D39" w:rsidRDefault="004F0E49">
            <w:pPr>
              <w:pStyle w:val="TableText0"/>
              <w:rPr>
                <w:rFonts w:cstheme="minorBidi"/>
                <w:szCs w:val="20"/>
              </w:rPr>
            </w:pPr>
            <w:r w:rsidRPr="00DB3D39">
              <w:rPr>
                <w:szCs w:val="20"/>
              </w:rPr>
              <w:t>69/1659 (4.2%)</w:t>
            </w:r>
          </w:p>
        </w:tc>
        <w:tc>
          <w:tcPr>
            <w:tcW w:w="1089" w:type="pct"/>
          </w:tcPr>
          <w:p w14:paraId="7F6F8D88" w14:textId="77777777" w:rsidR="004F0E49" w:rsidRPr="00DB3D39" w:rsidRDefault="004F0E49">
            <w:pPr>
              <w:pStyle w:val="TableText0"/>
              <w:rPr>
                <w:rFonts w:cstheme="minorBidi"/>
                <w:szCs w:val="20"/>
              </w:rPr>
            </w:pPr>
            <w:r w:rsidRPr="00DB3D39">
              <w:rPr>
                <w:szCs w:val="20"/>
              </w:rPr>
              <w:t>71/1649 (4.3%)</w:t>
            </w:r>
          </w:p>
        </w:tc>
        <w:tc>
          <w:tcPr>
            <w:tcW w:w="1421" w:type="pct"/>
            <w:vAlign w:val="center"/>
          </w:tcPr>
          <w:p w14:paraId="05D515CE" w14:textId="3F8358C1" w:rsidR="004F0E49" w:rsidRPr="00DB3D39" w:rsidRDefault="004F0E49">
            <w:pPr>
              <w:pStyle w:val="TableText0"/>
            </w:pPr>
            <w:r w:rsidRPr="00DB3D39">
              <w:t>0.917 (0.658, 1.280); p = 0.306</w:t>
            </w:r>
          </w:p>
        </w:tc>
      </w:tr>
    </w:tbl>
    <w:p w14:paraId="3229FCDC" w14:textId="599929FB" w:rsidR="00CB29A9" w:rsidRPr="00DB3D39" w:rsidRDefault="00CB29A9" w:rsidP="00D67F47">
      <w:pPr>
        <w:pStyle w:val="TableFigureFooter"/>
        <w:jc w:val="both"/>
        <w:rPr>
          <w:sz w:val="20"/>
        </w:rPr>
      </w:pPr>
      <w:r w:rsidRPr="00DB3D39">
        <w:t xml:space="preserve">Source: Table 2.5-1, p94, </w:t>
      </w:r>
      <w:r w:rsidRPr="00DB3D39">
        <w:rPr>
          <w:rFonts w:eastAsiaTheme="minorHAnsi"/>
          <w:lang w:eastAsia="en-US"/>
        </w:rPr>
        <w:t xml:space="preserve">Table 2.5-7, p106, </w:t>
      </w:r>
      <w:r w:rsidRPr="00DB3D39">
        <w:rPr>
          <w:rFonts w:eastAsiaTheme="minorHAnsi" w:cstheme="minorBidi"/>
          <w:szCs w:val="18"/>
          <w:lang w:eastAsia="en-US"/>
        </w:rPr>
        <w:t xml:space="preserve">Table 2.5-6 p104, </w:t>
      </w:r>
      <w:r w:rsidRPr="00DB3D39">
        <w:rPr>
          <w:rFonts w:eastAsiaTheme="minorHAnsi"/>
        </w:rPr>
        <w:t>Table 2.6-</w:t>
      </w:r>
      <w:r w:rsidRPr="00DB3D39">
        <w:t>6, p131 of the submission.</w:t>
      </w:r>
    </w:p>
    <w:p w14:paraId="0FD66302" w14:textId="619E0854" w:rsidR="00CB29A9" w:rsidRPr="00DB3D39" w:rsidRDefault="00CB29A9" w:rsidP="00D67F47">
      <w:pPr>
        <w:pStyle w:val="TableFigureFooter"/>
        <w:jc w:val="both"/>
        <w:rPr>
          <w:rFonts w:eastAsia="Calibri"/>
        </w:rPr>
      </w:pPr>
      <w:r w:rsidRPr="00DB3D39">
        <w:rPr>
          <w:rFonts w:eastAsia="Calibri"/>
        </w:rPr>
        <w:t xml:space="preserve">CI = confidence interval; DCO = </w:t>
      </w:r>
      <w:r w:rsidR="003F7888" w:rsidRPr="00DB3D39">
        <w:rPr>
          <w:rFonts w:eastAsia="Calibri"/>
        </w:rPr>
        <w:t>d</w:t>
      </w:r>
      <w:r w:rsidRPr="00DB3D39">
        <w:rPr>
          <w:rFonts w:eastAsia="Calibri"/>
        </w:rPr>
        <w:t xml:space="preserve">ata cut-off; </w:t>
      </w:r>
      <w:r w:rsidR="004F0E49" w:rsidRPr="00DB3D39">
        <w:rPr>
          <w:rFonts w:eastAsia="Calibri"/>
        </w:rPr>
        <w:t xml:space="preserve">DRFS = </w:t>
      </w:r>
      <w:r w:rsidR="004F0E49" w:rsidRPr="00DB3D39">
        <w:t>distant re</w:t>
      </w:r>
      <w:r w:rsidR="00003BF6">
        <w:t>currence</w:t>
      </w:r>
      <w:r w:rsidR="004F0E49" w:rsidRPr="00DB3D39">
        <w:t>-free survival;</w:t>
      </w:r>
      <w:r w:rsidR="004F0E49" w:rsidRPr="00DB3D39">
        <w:rPr>
          <w:rFonts w:eastAsia="Calibri"/>
        </w:rPr>
        <w:t xml:space="preserve"> </w:t>
      </w:r>
      <w:r w:rsidRPr="00DB3D39">
        <w:rPr>
          <w:rFonts w:eastAsia="Calibri"/>
        </w:rPr>
        <w:t xml:space="preserve">ET = Endocrine therapy; FAS = </w:t>
      </w:r>
      <w:r w:rsidR="003F7888" w:rsidRPr="00DB3D39">
        <w:rPr>
          <w:rFonts w:eastAsia="Calibri"/>
        </w:rPr>
        <w:t>f</w:t>
      </w:r>
      <w:r w:rsidRPr="00DB3D39">
        <w:rPr>
          <w:rFonts w:eastAsia="Calibri"/>
        </w:rPr>
        <w:t xml:space="preserve">ull analysis set; HR = </w:t>
      </w:r>
      <w:r w:rsidR="00CB50A3" w:rsidRPr="00DB3D39">
        <w:rPr>
          <w:rFonts w:eastAsia="Calibri"/>
        </w:rPr>
        <w:t>h</w:t>
      </w:r>
      <w:r w:rsidRPr="00DB3D39">
        <w:rPr>
          <w:rFonts w:eastAsia="Calibri"/>
        </w:rPr>
        <w:t>azard ratio; iDFS = Invasive disease-free survival; ITT = intention to treat; KM = Kaplan-Meier; n = number of participants with event; N = total participants in group;</w:t>
      </w:r>
      <w:r w:rsidRPr="00DB3D39">
        <w:t xml:space="preserve"> </w:t>
      </w:r>
      <w:r w:rsidRPr="00DB3D39">
        <w:rPr>
          <w:rFonts w:eastAsia="Calibri"/>
        </w:rPr>
        <w:t xml:space="preserve">NE = </w:t>
      </w:r>
      <w:r w:rsidR="00CB50A3" w:rsidRPr="00DB3D39">
        <w:rPr>
          <w:rFonts w:eastAsia="Calibri"/>
        </w:rPr>
        <w:t>n</w:t>
      </w:r>
      <w:r w:rsidRPr="00DB3D39">
        <w:rPr>
          <w:rFonts w:eastAsia="Calibri"/>
        </w:rPr>
        <w:t>ot estimable; OS = overall survival</w:t>
      </w:r>
      <w:r w:rsidR="008E6281" w:rsidRPr="00DB3D39">
        <w:rPr>
          <w:rFonts w:eastAsia="Calibri"/>
        </w:rPr>
        <w:t>; PBS= Pharmaceutical Benefit Scheme.</w:t>
      </w:r>
    </w:p>
    <w:p w14:paraId="2EA10A76" w14:textId="77777777" w:rsidR="00ED411B" w:rsidRDefault="00CB29A9" w:rsidP="00D67F47">
      <w:pPr>
        <w:pStyle w:val="TableFigureFooter"/>
        <w:keepNext/>
        <w:jc w:val="both"/>
        <w:rPr>
          <w:rFonts w:eastAsia="Calibri"/>
        </w:rPr>
      </w:pPr>
      <w:r w:rsidRPr="00DB3D39">
        <w:rPr>
          <w:rFonts w:eastAsia="Calibri"/>
          <w:b/>
        </w:rPr>
        <w:t>Bold</w:t>
      </w:r>
      <w:r w:rsidRPr="00DB3D39">
        <w:rPr>
          <w:rFonts w:eastAsia="Calibri"/>
        </w:rPr>
        <w:t xml:space="preserve"> indicates statistically significant results.</w:t>
      </w:r>
    </w:p>
    <w:p w14:paraId="7F85CB84" w14:textId="4A6B656A" w:rsidR="00D67F47" w:rsidRPr="00D67F47" w:rsidRDefault="00D67F47" w:rsidP="00D67F47">
      <w:pPr>
        <w:pStyle w:val="TableFigureFooter"/>
        <w:jc w:val="both"/>
        <w:rPr>
          <w:i/>
          <w:iCs/>
        </w:rPr>
      </w:pPr>
      <w:r w:rsidRPr="00D67F47">
        <w:rPr>
          <w:i/>
          <w:iCs/>
        </w:rPr>
        <w:t>Note that the results presented in Table 5 are derived from post-hoc analyses conducted by the applicant</w:t>
      </w:r>
      <w:r w:rsidR="00D45484">
        <w:rPr>
          <w:i/>
          <w:iCs/>
        </w:rPr>
        <w:t xml:space="preserve"> during the evaluation</w:t>
      </w:r>
      <w:r w:rsidRPr="00D67F47">
        <w:rPr>
          <w:i/>
          <w:iCs/>
        </w:rPr>
        <w:t xml:space="preserve"> specifically for the purposes of informing the PBAC consideration. These analyses were not part of the pre-specified statistical plan for the NATALEE trial. Interpretation of the results and their application should therefore be limited to seeking to understand the basis for the PBAC outcome and should not be used for any other purpose.</w:t>
      </w:r>
    </w:p>
    <w:p w14:paraId="731B1653" w14:textId="351CE781" w:rsidR="004F0E49" w:rsidRPr="00112EE5" w:rsidRDefault="004F0E49" w:rsidP="007C073C">
      <w:pPr>
        <w:pStyle w:val="3-BodyText"/>
      </w:pPr>
      <w:r w:rsidRPr="00112EE5">
        <w:t>In the ITT population, with a median follow-up of 40.3 months (data cut-off (DCO) July</w:t>
      </w:r>
      <w:r w:rsidR="00431AB0">
        <w:t> </w:t>
      </w:r>
      <w:r w:rsidRPr="00112EE5">
        <w:t>2023)</w:t>
      </w:r>
      <w:r w:rsidR="0056339E" w:rsidRPr="00112EE5">
        <w:t>,</w:t>
      </w:r>
      <w:r w:rsidRPr="00112EE5">
        <w:t xml:space="preserve"> ribociclib plus adjuvant ET showed a 25.1% relative reduction in the hazard </w:t>
      </w:r>
      <w:r w:rsidRPr="00112EE5">
        <w:lastRenderedPageBreak/>
        <w:t>of invasive disease recurrence, as evidenced by a HR of</w:t>
      </w:r>
      <w:r w:rsidR="00E436B7" w:rsidRPr="00112EE5">
        <w:t xml:space="preserve"> </w:t>
      </w:r>
      <w:r w:rsidRPr="00112EE5">
        <w:t>0.7</w:t>
      </w:r>
      <w:r w:rsidR="00C7344E">
        <w:t>5</w:t>
      </w:r>
      <w:r w:rsidRPr="00112EE5">
        <w:t xml:space="preserve"> (95%CI: 0.6</w:t>
      </w:r>
      <w:r w:rsidR="00C7344E">
        <w:t>3</w:t>
      </w:r>
      <w:r w:rsidRPr="00112EE5">
        <w:t>; 0.89; p</w:t>
      </w:r>
      <w:r w:rsidR="00431AB0">
        <w:t> </w:t>
      </w:r>
      <w:r w:rsidRPr="00112EE5">
        <w:t>=</w:t>
      </w:r>
      <w:r w:rsidR="00431AB0">
        <w:t> </w:t>
      </w:r>
      <w:r w:rsidRPr="00112EE5">
        <w:t xml:space="preserve">0.0006) for iDFS and a 26.2% relative reduction in the hazard of distant disease recurrence with a </w:t>
      </w:r>
      <w:r w:rsidR="005870BD" w:rsidRPr="00112EE5">
        <w:t>hazard ratio (</w:t>
      </w:r>
      <w:r w:rsidRPr="00112EE5">
        <w:t>HR</w:t>
      </w:r>
      <w:r w:rsidR="005870BD" w:rsidRPr="00112EE5">
        <w:t>)</w:t>
      </w:r>
      <w:r w:rsidRPr="00112EE5">
        <w:t xml:space="preserve"> of 0.7</w:t>
      </w:r>
      <w:r w:rsidR="00C7344E">
        <w:t>4</w:t>
      </w:r>
      <w:r w:rsidRPr="00112EE5">
        <w:t xml:space="preserve"> (95%CI: 0.6</w:t>
      </w:r>
      <w:r w:rsidR="00C7344E">
        <w:t>1</w:t>
      </w:r>
      <w:r w:rsidRPr="00112EE5">
        <w:t>, 0.</w:t>
      </w:r>
      <w:r w:rsidR="00C7344E">
        <w:t>90</w:t>
      </w:r>
      <w:r w:rsidRPr="00112EE5">
        <w:t>; p = 0.0012) for DRFS. The risk reduction was similar in the PBS subgroup, with a HR of 0.74 (95%CI: 0.6</w:t>
      </w:r>
      <w:r w:rsidR="00C7344E">
        <w:t>1</w:t>
      </w:r>
      <w:r w:rsidRPr="00112EE5">
        <w:t>, 0.9</w:t>
      </w:r>
      <w:r w:rsidR="00C7344E">
        <w:t>1</w:t>
      </w:r>
      <w:r w:rsidRPr="00112EE5">
        <w:t>; p = 0.002) for iDFS and a HR of 0.7</w:t>
      </w:r>
      <w:r w:rsidR="00C7344E">
        <w:t>4</w:t>
      </w:r>
      <w:r w:rsidRPr="00112EE5">
        <w:t xml:space="preserve"> (</w:t>
      </w:r>
      <w:r w:rsidR="00C7344E" w:rsidRPr="00112EE5">
        <w:t>95%CI:</w:t>
      </w:r>
      <w:r w:rsidR="00C7344E">
        <w:t xml:space="preserve"> </w:t>
      </w:r>
      <w:r w:rsidRPr="00112EE5">
        <w:t>0.59, 0.9</w:t>
      </w:r>
      <w:r w:rsidR="00C7344E">
        <w:t>2</w:t>
      </w:r>
      <w:r w:rsidRPr="00112EE5">
        <w:t>; p = 0.003) for DRFS</w:t>
      </w:r>
      <w:r w:rsidR="00E61074">
        <w:rPr>
          <w:rStyle w:val="FootnoteReference"/>
        </w:rPr>
        <w:footnoteReference w:id="6"/>
      </w:r>
      <w:r w:rsidRPr="00112EE5">
        <w:t xml:space="preserve">. </w:t>
      </w:r>
      <w:r w:rsidR="00E24627">
        <w:t>The evaluation noted that r</w:t>
      </w:r>
      <w:r w:rsidRPr="00112EE5">
        <w:t>ibociclib offer</w:t>
      </w:r>
      <w:r w:rsidR="00E24627">
        <w:t>s</w:t>
      </w:r>
      <w:r w:rsidRPr="00112EE5">
        <w:t xml:space="preserve"> a benefit that is not worse in the PBS subgroup population compared to the ITT population.</w:t>
      </w:r>
    </w:p>
    <w:p w14:paraId="7134569A" w14:textId="1D787AFE" w:rsidR="004F0E49" w:rsidRPr="00112EE5" w:rsidRDefault="00471E7E" w:rsidP="007C073C">
      <w:pPr>
        <w:pStyle w:val="3-BodyText"/>
        <w:rPr>
          <w:iCs/>
        </w:rPr>
      </w:pPr>
      <w:r>
        <w:t>T</w:t>
      </w:r>
      <w:r w:rsidR="00BB4F24" w:rsidRPr="00DB3D39">
        <w:t xml:space="preserve">he Kaplan-Meier (KM) curves for </w:t>
      </w:r>
      <w:r w:rsidR="00B225D8" w:rsidRPr="00DB3D39">
        <w:t>the primary outcome, i</w:t>
      </w:r>
      <w:r w:rsidR="00BB4F24" w:rsidRPr="00DB3D39">
        <w:t>DFS for the ITT population</w:t>
      </w:r>
      <w:r w:rsidR="00B225D8" w:rsidRPr="00DB3D39">
        <w:t xml:space="preserve"> and PBS subgroup in NATALEE</w:t>
      </w:r>
      <w:r>
        <w:t xml:space="preserve"> are presented in Figures 1 and 2</w:t>
      </w:r>
      <w:r w:rsidR="00B225D8" w:rsidRPr="00DB3D39">
        <w:t xml:space="preserve"> </w:t>
      </w:r>
      <w:r w:rsidR="00BB4F24" w:rsidRPr="00DB3D39">
        <w:t xml:space="preserve">respectively. </w:t>
      </w:r>
      <w:r w:rsidR="00C11EE2" w:rsidRPr="00112EE5">
        <w:rPr>
          <w:iCs/>
        </w:rPr>
        <w:t>The</w:t>
      </w:r>
      <w:r w:rsidR="004F0E49" w:rsidRPr="00112EE5">
        <w:t xml:space="preserve"> curves </w:t>
      </w:r>
      <w:r w:rsidR="00C11EE2" w:rsidRPr="00112EE5">
        <w:rPr>
          <w:iCs/>
        </w:rPr>
        <w:t xml:space="preserve">start to diverge at around </w:t>
      </w:r>
      <w:r w:rsidR="001E2707" w:rsidRPr="00112EE5">
        <w:rPr>
          <w:iCs/>
        </w:rPr>
        <w:t>30</w:t>
      </w:r>
      <w:r w:rsidR="00C11EE2" w:rsidRPr="00112EE5">
        <w:rPr>
          <w:iCs/>
        </w:rPr>
        <w:t xml:space="preserve"> months</w:t>
      </w:r>
      <w:r w:rsidR="0020706B" w:rsidRPr="00112EE5">
        <w:rPr>
          <w:iCs/>
        </w:rPr>
        <w:t>,</w:t>
      </w:r>
      <w:r w:rsidR="00C11EE2" w:rsidRPr="00112EE5">
        <w:rPr>
          <w:iCs/>
        </w:rPr>
        <w:t xml:space="preserve"> noting that t</w:t>
      </w:r>
      <w:r w:rsidR="00B225D8" w:rsidRPr="00112EE5">
        <w:rPr>
          <w:iCs/>
        </w:rPr>
        <w:t>here appears to be heavy censoring post Month 36 (the ITT KM shows a drop from ~1100 to ~350 patients at risk at Month 42, and then only ~20 patients remain at risk by Month 48)</w:t>
      </w:r>
      <w:r w:rsidR="004F0E49" w:rsidRPr="00112EE5">
        <w:rPr>
          <w:iCs/>
        </w:rPr>
        <w:t>.</w:t>
      </w:r>
    </w:p>
    <w:p w14:paraId="7FEB33DF" w14:textId="0EEBCE94" w:rsidR="002A00FC" w:rsidRPr="00DB3D39" w:rsidRDefault="002A00FC" w:rsidP="007C073C">
      <w:pPr>
        <w:pStyle w:val="3-BodyText"/>
      </w:pPr>
      <w:r w:rsidRPr="00112EE5">
        <w:rPr>
          <w:iCs/>
        </w:rPr>
        <w:t xml:space="preserve">The results for OS showed no significant difference between the two arms in the ITT population or </w:t>
      </w:r>
      <w:r w:rsidR="00972751" w:rsidRPr="00112EE5">
        <w:rPr>
          <w:iCs/>
        </w:rPr>
        <w:t xml:space="preserve">PBS </w:t>
      </w:r>
      <w:r w:rsidRPr="00112EE5">
        <w:rPr>
          <w:iCs/>
        </w:rPr>
        <w:t xml:space="preserve">subgroup population. </w:t>
      </w:r>
      <w:r w:rsidRPr="00DB3D39">
        <w:t>The submission stated that the small number of deaths in NATALEE is consistent with the prognosis of patients with eBC. The PBAC has previously stated the primary outcome of iDFS is a generally a plausible surrogate for OS in this setting (para</w:t>
      </w:r>
      <w:r w:rsidR="000A1658">
        <w:t>graph</w:t>
      </w:r>
      <w:r w:rsidRPr="00DB3D39">
        <w:t xml:space="preserve"> 7.8, abemaciclib PSD, March 2022).</w:t>
      </w:r>
    </w:p>
    <w:p w14:paraId="65203E42" w14:textId="383B0839" w:rsidR="00ED411B" w:rsidRPr="00DB3D39" w:rsidRDefault="00E13342" w:rsidP="00431AB0">
      <w:pPr>
        <w:pStyle w:val="TableHeading"/>
        <w:keepLines/>
        <w:spacing w:before="0" w:after="0"/>
        <w:rPr>
          <w:rFonts w:eastAsia="Calibri"/>
        </w:rPr>
      </w:pPr>
      <w:bookmarkStart w:id="30" w:name="_Ref176774193"/>
      <w:r w:rsidRPr="00DB3D39">
        <w:t xml:space="preserve">Figure </w:t>
      </w:r>
      <w:r w:rsidR="00FF083B">
        <w:fldChar w:fldCharType="begin" w:fldLock="1"/>
      </w:r>
      <w:r w:rsidR="00FF083B">
        <w:instrText xml:space="preserve"> SEQ Figure \* ARABIC </w:instrText>
      </w:r>
      <w:r w:rsidR="00FF083B">
        <w:fldChar w:fldCharType="separate"/>
      </w:r>
      <w:r w:rsidR="00FF083B">
        <w:rPr>
          <w:noProof/>
        </w:rPr>
        <w:t>1</w:t>
      </w:r>
      <w:r w:rsidR="00FF083B">
        <w:rPr>
          <w:noProof/>
        </w:rPr>
        <w:fldChar w:fldCharType="end"/>
      </w:r>
      <w:bookmarkEnd w:id="30"/>
      <w:r w:rsidRPr="00DB3D39">
        <w:t>: KM curve</w:t>
      </w:r>
      <w:r w:rsidR="0015487C">
        <w:t>s</w:t>
      </w:r>
      <w:r w:rsidRPr="00DB3D39">
        <w:t xml:space="preserve"> for iDFS at the July 2023 DCO (ITT) in NATALEE</w:t>
      </w:r>
    </w:p>
    <w:p w14:paraId="2101629E" w14:textId="77777777" w:rsidR="00783676" w:rsidRPr="00DB3D39" w:rsidRDefault="004F0E49" w:rsidP="00431AB0">
      <w:pPr>
        <w:pStyle w:val="FooterTableFigure"/>
        <w:keepNext/>
        <w:keepLines/>
        <w:spacing w:after="0"/>
        <w:rPr>
          <w:b/>
          <w:bCs/>
          <w:sz w:val="20"/>
          <w:szCs w:val="20"/>
        </w:rPr>
      </w:pPr>
      <w:r w:rsidRPr="00DB3D39">
        <w:rPr>
          <w:b/>
          <w:bCs/>
          <w:noProof/>
        </w:rPr>
        <w:drawing>
          <wp:inline distT="0" distB="0" distL="0" distR="0" wp14:anchorId="5612FCAA" wp14:editId="00BB2AE5">
            <wp:extent cx="4191000" cy="2984509"/>
            <wp:effectExtent l="0" t="0" r="0" b="6350"/>
            <wp:docPr id="608792380" name="Picture 608792380" descr="A graph of a patient's recove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13069" name="Picture 190713069" descr="A graph of a patient's recovery&#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05250" cy="2994657"/>
                    </a:xfrm>
                    <a:prstGeom prst="rect">
                      <a:avLst/>
                    </a:prstGeom>
                    <a:noFill/>
                    <a:ln>
                      <a:noFill/>
                    </a:ln>
                  </pic:spPr>
                </pic:pic>
              </a:graphicData>
            </a:graphic>
          </wp:inline>
        </w:drawing>
      </w:r>
    </w:p>
    <w:p w14:paraId="4D30FC72" w14:textId="77777777" w:rsidR="00783676" w:rsidRPr="00DB3D39" w:rsidRDefault="00783676" w:rsidP="00431AB0">
      <w:pPr>
        <w:pStyle w:val="TableFigureFooter"/>
        <w:keepNext/>
      </w:pPr>
      <w:r w:rsidRPr="00DB3D39">
        <w:t>Source: Figure 2.5-1, p96 of the submission.</w:t>
      </w:r>
    </w:p>
    <w:p w14:paraId="6B519254" w14:textId="77777777" w:rsidR="00783676" w:rsidRPr="00DB3D39" w:rsidRDefault="00783676" w:rsidP="00783676">
      <w:pPr>
        <w:pStyle w:val="TableFigureFooter"/>
      </w:pPr>
      <w:r w:rsidRPr="00DB3D39">
        <w:t xml:space="preserve">DCO = Data cut-off; CI = Confidence interval; ET = Endocrine therapy; HR = Hazard ratio; iDFS = Invasive disease-free survival; </w:t>
      </w:r>
      <w:r w:rsidR="00556C9C" w:rsidRPr="00DB3D39">
        <w:rPr>
          <w:rFonts w:eastAsiaTheme="minorHAnsi"/>
          <w:lang w:eastAsia="en-US"/>
        </w:rPr>
        <w:t xml:space="preserve">ITT = intention to treat; </w:t>
      </w:r>
      <w:r w:rsidRPr="00DB3D39">
        <w:t>KM = Kaplan Meier</w:t>
      </w:r>
    </w:p>
    <w:p w14:paraId="5478E194" w14:textId="61F3E202" w:rsidR="0022544C" w:rsidRPr="00DB3D39" w:rsidRDefault="0022544C" w:rsidP="00431AB0">
      <w:pPr>
        <w:pStyle w:val="TableHeading"/>
        <w:keepLines/>
        <w:spacing w:before="0" w:after="0"/>
      </w:pPr>
      <w:bookmarkStart w:id="31" w:name="_Ref176774197"/>
      <w:r w:rsidRPr="00DB3D39">
        <w:lastRenderedPageBreak/>
        <w:t xml:space="preserve">Figure </w:t>
      </w:r>
      <w:r w:rsidR="00FF083B">
        <w:fldChar w:fldCharType="begin" w:fldLock="1"/>
      </w:r>
      <w:r w:rsidR="00FF083B">
        <w:instrText xml:space="preserve"> SEQ Figure \* ARABIC </w:instrText>
      </w:r>
      <w:r w:rsidR="00FF083B">
        <w:fldChar w:fldCharType="separate"/>
      </w:r>
      <w:r w:rsidR="00FF083B">
        <w:rPr>
          <w:noProof/>
        </w:rPr>
        <w:t>2</w:t>
      </w:r>
      <w:r w:rsidR="00FF083B">
        <w:rPr>
          <w:noProof/>
        </w:rPr>
        <w:fldChar w:fldCharType="end"/>
      </w:r>
      <w:bookmarkEnd w:id="31"/>
      <w:r w:rsidRPr="00DB3D39">
        <w:t>: KM curves for iDFS for the nominated PBS population in NATALEE</w:t>
      </w:r>
    </w:p>
    <w:p w14:paraId="3C72BD30" w14:textId="77777777" w:rsidR="0022544C" w:rsidRPr="00DB3D39" w:rsidRDefault="004F0E49" w:rsidP="00431AB0">
      <w:pPr>
        <w:keepNext/>
        <w:keepLines/>
        <w:jc w:val="left"/>
        <w:rPr>
          <w:rFonts w:ascii="Arial Narrow" w:eastAsiaTheme="majorEastAsia" w:hAnsi="Arial Narrow" w:cstheme="majorBidi"/>
          <w:b/>
          <w:bCs/>
          <w:sz w:val="20"/>
        </w:rPr>
      </w:pPr>
      <w:r w:rsidRPr="00DB3D39">
        <w:rPr>
          <w:rFonts w:ascii="Arial Narrow" w:eastAsiaTheme="majorEastAsia" w:hAnsi="Arial Narrow" w:cstheme="majorBidi"/>
          <w:noProof/>
          <w:sz w:val="20"/>
        </w:rPr>
        <w:drawing>
          <wp:inline distT="0" distB="0" distL="0" distR="0" wp14:anchorId="7CBF859D" wp14:editId="5A75C55B">
            <wp:extent cx="5656521" cy="2862104"/>
            <wp:effectExtent l="0" t="0" r="1905" b="0"/>
            <wp:docPr id="1158197556" name="Picture 1158197556" descr="A graph showing the number of dat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259528" name="Picture 591259528" descr="A graph showing the number of data&#10;&#10;Description automatically generated with medium confidence"/>
                    <pic:cNvPicPr/>
                  </pic:nvPicPr>
                  <pic:blipFill>
                    <a:blip r:embed="rId9"/>
                    <a:stretch>
                      <a:fillRect/>
                    </a:stretch>
                  </pic:blipFill>
                  <pic:spPr>
                    <a:xfrm>
                      <a:off x="0" y="0"/>
                      <a:ext cx="5706675" cy="2887481"/>
                    </a:xfrm>
                    <a:prstGeom prst="rect">
                      <a:avLst/>
                    </a:prstGeom>
                  </pic:spPr>
                </pic:pic>
              </a:graphicData>
            </a:graphic>
          </wp:inline>
        </w:drawing>
      </w:r>
    </w:p>
    <w:p w14:paraId="18D0ACC9" w14:textId="77777777" w:rsidR="0022544C" w:rsidRPr="00DB3D39" w:rsidRDefault="0022544C" w:rsidP="000329B7">
      <w:pPr>
        <w:keepNext/>
        <w:keepLines/>
        <w:spacing w:after="120"/>
        <w:contextualSpacing/>
        <w:rPr>
          <w:rFonts w:ascii="Arial Narrow" w:hAnsi="Arial Narrow"/>
          <w:snapToGrid w:val="0"/>
          <w:sz w:val="18"/>
          <w:szCs w:val="22"/>
        </w:rPr>
      </w:pPr>
      <w:r w:rsidRPr="00DB3D39">
        <w:rPr>
          <w:rFonts w:ascii="Arial Narrow" w:hAnsi="Arial Narrow"/>
          <w:snapToGrid w:val="0"/>
          <w:sz w:val="18"/>
          <w:szCs w:val="22"/>
        </w:rPr>
        <w:t xml:space="preserve">Source: Figure 2.6-1, p130 of the submission. </w:t>
      </w:r>
    </w:p>
    <w:p w14:paraId="3742268E" w14:textId="7129A32D" w:rsidR="00DA4E6E" w:rsidRDefault="0022544C" w:rsidP="000329B7">
      <w:pPr>
        <w:keepNext/>
        <w:rPr>
          <w:rFonts w:ascii="Arial Narrow" w:hAnsi="Arial Narrow"/>
          <w:snapToGrid w:val="0"/>
          <w:sz w:val="18"/>
          <w:szCs w:val="22"/>
        </w:rPr>
      </w:pPr>
      <w:r w:rsidRPr="00DB3D39">
        <w:rPr>
          <w:rFonts w:ascii="Arial Narrow" w:hAnsi="Arial Narrow"/>
          <w:snapToGrid w:val="0"/>
          <w:sz w:val="18"/>
          <w:szCs w:val="22"/>
        </w:rPr>
        <w:t xml:space="preserve">ET = </w:t>
      </w:r>
      <w:r w:rsidR="004A4D28">
        <w:rPr>
          <w:rFonts w:ascii="Arial Narrow" w:hAnsi="Arial Narrow"/>
          <w:snapToGrid w:val="0"/>
          <w:sz w:val="18"/>
          <w:szCs w:val="22"/>
        </w:rPr>
        <w:t>e</w:t>
      </w:r>
      <w:r w:rsidRPr="00DB3D39">
        <w:rPr>
          <w:rFonts w:ascii="Arial Narrow" w:hAnsi="Arial Narrow"/>
          <w:snapToGrid w:val="0"/>
          <w:sz w:val="18"/>
          <w:szCs w:val="22"/>
        </w:rPr>
        <w:t xml:space="preserve">ndocrine therapy; </w:t>
      </w:r>
      <w:r w:rsidR="004A4D28" w:rsidRPr="00DB3D39">
        <w:rPr>
          <w:rFonts w:ascii="Arial Narrow" w:hAnsi="Arial Narrow"/>
          <w:snapToGrid w:val="0"/>
          <w:sz w:val="18"/>
          <w:szCs w:val="22"/>
        </w:rPr>
        <w:t>iDFS = invasive Disease-free survival</w:t>
      </w:r>
      <w:r w:rsidR="004A4D28">
        <w:rPr>
          <w:rFonts w:ascii="Arial Narrow" w:hAnsi="Arial Narrow"/>
          <w:snapToGrid w:val="0"/>
          <w:sz w:val="18"/>
          <w:szCs w:val="22"/>
        </w:rPr>
        <w:t>;</w:t>
      </w:r>
      <w:r w:rsidR="004A4D28" w:rsidRPr="009278F0">
        <w:rPr>
          <w:rFonts w:ascii="Arial Narrow" w:hAnsi="Arial Narrow"/>
          <w:snapToGrid w:val="0"/>
          <w:sz w:val="18"/>
          <w:szCs w:val="22"/>
        </w:rPr>
        <w:t xml:space="preserve"> </w:t>
      </w:r>
      <w:r w:rsidRPr="00DB3D39">
        <w:rPr>
          <w:rFonts w:ascii="Arial Narrow" w:hAnsi="Arial Narrow"/>
          <w:snapToGrid w:val="0"/>
          <w:sz w:val="18"/>
          <w:szCs w:val="22"/>
        </w:rPr>
        <w:t xml:space="preserve">KM = Kaplan Meier; </w:t>
      </w:r>
      <w:r w:rsidR="009278F0" w:rsidRPr="00DB3D39">
        <w:rPr>
          <w:rFonts w:ascii="Arial Narrow" w:hAnsi="Arial Narrow"/>
          <w:snapToGrid w:val="0"/>
          <w:sz w:val="18"/>
          <w:szCs w:val="22"/>
        </w:rPr>
        <w:t>PBS = Pharmaceutical Benefit Scheme</w:t>
      </w:r>
      <w:r w:rsidR="004A4D28">
        <w:rPr>
          <w:rFonts w:ascii="Arial Narrow" w:hAnsi="Arial Narrow"/>
          <w:snapToGrid w:val="0"/>
          <w:sz w:val="18"/>
          <w:szCs w:val="22"/>
        </w:rPr>
        <w:t>.</w:t>
      </w:r>
    </w:p>
    <w:p w14:paraId="28EB6294" w14:textId="167C790F" w:rsidR="00E61074" w:rsidRPr="00D40D08" w:rsidRDefault="00E61074" w:rsidP="000329B7">
      <w:pPr>
        <w:pStyle w:val="TableFigureFooter"/>
        <w:jc w:val="both"/>
        <w:rPr>
          <w:i/>
          <w:iCs/>
        </w:rPr>
      </w:pPr>
      <w:r w:rsidRPr="00D40D08">
        <w:rPr>
          <w:i/>
          <w:iCs/>
        </w:rPr>
        <w:t>Note that the results presented in Figure 2 are derived from post-hoc analyses conducted by the applicant</w:t>
      </w:r>
      <w:r w:rsidR="004F34D0">
        <w:rPr>
          <w:i/>
          <w:iCs/>
        </w:rPr>
        <w:t xml:space="preserve"> during the </w:t>
      </w:r>
      <w:r w:rsidR="00AF38B2">
        <w:rPr>
          <w:i/>
          <w:iCs/>
        </w:rPr>
        <w:t>evaluation</w:t>
      </w:r>
      <w:r w:rsidRPr="00D40D08">
        <w:rPr>
          <w:i/>
          <w:iCs/>
        </w:rPr>
        <w:t xml:space="preserve"> specifically for the purposes of informing the PBAC consideration. These analyses were not part of the pre-specified statistical plan for the NATALEE trial. Interpretation of the results and their application should therefore be limited to seeking to understand the basis for the PBAC outcome and should not be used for any other purpose.</w:t>
      </w:r>
    </w:p>
    <w:p w14:paraId="259CB41E" w14:textId="103519F8" w:rsidR="007078AC" w:rsidRPr="004272F2" w:rsidRDefault="007078AC" w:rsidP="00D40D08">
      <w:pPr>
        <w:keepNext/>
        <w:spacing w:after="120"/>
        <w:rPr>
          <w:b/>
          <w:bCs/>
          <w:u w:val="single"/>
        </w:rPr>
      </w:pPr>
      <w:r w:rsidRPr="004272F2">
        <w:rPr>
          <w:b/>
          <w:bCs/>
          <w:u w:val="single"/>
        </w:rPr>
        <w:t>Abemaciclib plus adjuvant ET versus ET alone (monarchE trial)</w:t>
      </w:r>
    </w:p>
    <w:p w14:paraId="5FA7B330" w14:textId="240C9A0D" w:rsidR="00ED411B" w:rsidRPr="00DB3D39" w:rsidRDefault="00D46017" w:rsidP="007C073C">
      <w:pPr>
        <w:pStyle w:val="3-BodyText"/>
      </w:pPr>
      <w:r w:rsidRPr="00DB3D39">
        <w:fldChar w:fldCharType="begin" w:fldLock="1"/>
      </w:r>
      <w:r w:rsidRPr="00DB3D39">
        <w:instrText xml:space="preserve"> REF _Ref176858560 \h </w:instrText>
      </w:r>
      <w:r w:rsidRPr="00DB3D39">
        <w:fldChar w:fldCharType="separate"/>
      </w:r>
      <w:r w:rsidR="00FF083B" w:rsidRPr="00DB3D39">
        <w:t xml:space="preserve">Table </w:t>
      </w:r>
      <w:r w:rsidR="00FF083B">
        <w:rPr>
          <w:noProof/>
        </w:rPr>
        <w:t>6</w:t>
      </w:r>
      <w:r w:rsidRPr="00DB3D39">
        <w:fldChar w:fldCharType="end"/>
      </w:r>
      <w:r w:rsidRPr="00DB3D39">
        <w:t xml:space="preserve"> </w:t>
      </w:r>
      <w:r w:rsidR="00ED411B" w:rsidRPr="00DB3D39">
        <w:t>summarise</w:t>
      </w:r>
      <w:r w:rsidR="00BA23EB" w:rsidRPr="00DB3D39">
        <w:t>s</w:t>
      </w:r>
      <w:r w:rsidR="00ED411B" w:rsidRPr="00DB3D39">
        <w:t xml:space="preserve"> the results </w:t>
      </w:r>
      <w:r w:rsidR="00BA23EB" w:rsidRPr="00DB3D39">
        <w:t xml:space="preserve">for </w:t>
      </w:r>
      <w:r w:rsidR="00ED411B" w:rsidRPr="00DB3D39">
        <w:t xml:space="preserve">primary </w:t>
      </w:r>
      <w:r w:rsidR="00BA23EB" w:rsidRPr="00DB3D39">
        <w:t>(</w:t>
      </w:r>
      <w:r w:rsidR="00ED411B" w:rsidRPr="00DB3D39">
        <w:t>iDFS</w:t>
      </w:r>
      <w:r w:rsidR="00BA23EB" w:rsidRPr="00DB3D39">
        <w:t>)</w:t>
      </w:r>
      <w:r w:rsidR="00ED411B" w:rsidRPr="00DB3D39">
        <w:t xml:space="preserve"> and secondary outcomes </w:t>
      </w:r>
      <w:r w:rsidR="00BA23EB" w:rsidRPr="00DB3D39">
        <w:t>(</w:t>
      </w:r>
      <w:r w:rsidR="00ED411B" w:rsidRPr="00DB3D39">
        <w:t>DRFS and OS) for monarchE ITT</w:t>
      </w:r>
      <w:r w:rsidR="00BA23EB" w:rsidRPr="00DB3D39">
        <w:t xml:space="preserve">, Cohort 1 </w:t>
      </w:r>
      <w:r w:rsidR="00701AD9" w:rsidRPr="00DB3D39">
        <w:t xml:space="preserve">and </w:t>
      </w:r>
      <w:r w:rsidR="00412171" w:rsidRPr="00DB3D39">
        <w:t>adjuvant AI subgroup (ITT</w:t>
      </w:r>
      <w:r w:rsidR="0061137C">
        <w:t xml:space="preserve"> population</w:t>
      </w:r>
      <w:r w:rsidR="00412171" w:rsidRPr="00DB3D39">
        <w:t xml:space="preserve"> that did not receive tamoxifen</w:t>
      </w:r>
      <w:r w:rsidR="00412171" w:rsidRPr="00276A8E">
        <w:t>)</w:t>
      </w:r>
      <w:r w:rsidR="00ED411B" w:rsidRPr="00276A8E">
        <w:t xml:space="preserve">. </w:t>
      </w:r>
      <w:r w:rsidR="00F71965" w:rsidRPr="00276A8E">
        <w:t>T</w:t>
      </w:r>
      <w:r w:rsidR="007A4EE8" w:rsidRPr="00276A8E">
        <w:t>he</w:t>
      </w:r>
      <w:r w:rsidR="0061137C" w:rsidRPr="00276A8E">
        <w:t xml:space="preserve"> evaluation noted that</w:t>
      </w:r>
      <w:r w:rsidR="0061137C" w:rsidRPr="0061137C">
        <w:rPr>
          <w:i/>
        </w:rPr>
        <w:t xml:space="preserve"> </w:t>
      </w:r>
      <w:r w:rsidR="0061137C" w:rsidRPr="00FC6B89">
        <w:rPr>
          <w:iCs/>
        </w:rPr>
        <w:t>the</w:t>
      </w:r>
      <w:r w:rsidR="007A4EE8" w:rsidRPr="00112EE5">
        <w:rPr>
          <w:iCs/>
        </w:rPr>
        <w:t xml:space="preserve"> </w:t>
      </w:r>
      <w:r w:rsidR="00DE0B4A" w:rsidRPr="00112EE5">
        <w:rPr>
          <w:iCs/>
        </w:rPr>
        <w:t xml:space="preserve">baseline </w:t>
      </w:r>
      <w:r w:rsidR="007A4EE8" w:rsidRPr="00112EE5">
        <w:rPr>
          <w:iCs/>
        </w:rPr>
        <w:t xml:space="preserve">patient characteristics </w:t>
      </w:r>
      <w:r w:rsidR="00DE0B4A" w:rsidRPr="00112EE5">
        <w:rPr>
          <w:iCs/>
        </w:rPr>
        <w:t xml:space="preserve">of the adjuvant AI </w:t>
      </w:r>
      <w:r w:rsidR="007A4EE8" w:rsidRPr="00112EE5">
        <w:rPr>
          <w:iCs/>
        </w:rPr>
        <w:t xml:space="preserve">subgroup were not presented in the submission therefore it </w:t>
      </w:r>
      <w:r w:rsidR="005E44BC">
        <w:rPr>
          <w:iCs/>
        </w:rPr>
        <w:t>wa</w:t>
      </w:r>
      <w:r w:rsidR="007A4EE8" w:rsidRPr="00112EE5">
        <w:rPr>
          <w:iCs/>
        </w:rPr>
        <w:t xml:space="preserve">s uncertain whether </w:t>
      </w:r>
      <w:r w:rsidR="00DE0B4A" w:rsidRPr="00112EE5">
        <w:rPr>
          <w:iCs/>
        </w:rPr>
        <w:t>this</w:t>
      </w:r>
      <w:r w:rsidR="007A4EE8" w:rsidRPr="00112EE5">
        <w:rPr>
          <w:iCs/>
        </w:rPr>
        <w:t xml:space="preserve"> population </w:t>
      </w:r>
      <w:r w:rsidR="004F0E49" w:rsidRPr="00112EE5">
        <w:rPr>
          <w:iCs/>
        </w:rPr>
        <w:t xml:space="preserve">is representative of the PBS population. </w:t>
      </w:r>
      <w:r w:rsidR="00323035" w:rsidRPr="00112EE5">
        <w:rPr>
          <w:iCs/>
        </w:rPr>
        <w:t xml:space="preserve">The baseline patient characteristics of the ITT </w:t>
      </w:r>
      <w:r w:rsidR="00D112DF" w:rsidRPr="00112EE5">
        <w:rPr>
          <w:iCs/>
        </w:rPr>
        <w:t xml:space="preserve">population </w:t>
      </w:r>
      <w:r w:rsidR="00323035" w:rsidRPr="00112EE5">
        <w:rPr>
          <w:iCs/>
        </w:rPr>
        <w:t xml:space="preserve">and Cohort 1 were </w:t>
      </w:r>
      <w:r w:rsidR="00D112DF" w:rsidRPr="00112EE5">
        <w:rPr>
          <w:iCs/>
        </w:rPr>
        <w:t>similar.</w:t>
      </w:r>
    </w:p>
    <w:p w14:paraId="3F922994" w14:textId="127EA863" w:rsidR="008F6166" w:rsidRPr="00DB3D39" w:rsidRDefault="006F7793" w:rsidP="007C073C">
      <w:pPr>
        <w:pStyle w:val="3-BodyText"/>
      </w:pPr>
      <w:bookmarkStart w:id="32" w:name="_Ref177556512"/>
      <w:r w:rsidRPr="00DB3D39">
        <w:t xml:space="preserve">With a median follow-up of 54 months (DCO July 2023), </w:t>
      </w:r>
      <w:r w:rsidR="00A50980">
        <w:t>there was</w:t>
      </w:r>
      <w:r w:rsidRPr="00DB3D39">
        <w:t xml:space="preserve"> a 32% relative reduction in the hazard of iDFS </w:t>
      </w:r>
      <w:r w:rsidR="00A50980">
        <w:t xml:space="preserve">for abemaciclib plus adjuvant ET </w:t>
      </w:r>
      <w:r w:rsidRPr="00DB3D39">
        <w:t xml:space="preserve">compared to ET alone (HR = 0.68; 95% CI: 0.60, 0.77) and a similar result for Cohort 1 (PBS population) with a 33% relative reduction in </w:t>
      </w:r>
      <w:r w:rsidR="004F0E49" w:rsidRPr="00DB3D39">
        <w:t xml:space="preserve">the hazard of iDFS </w:t>
      </w:r>
      <w:r w:rsidR="00A50980">
        <w:t>(</w:t>
      </w:r>
      <w:r w:rsidR="004F0E49" w:rsidRPr="00DB3D39">
        <w:t xml:space="preserve">HR </w:t>
      </w:r>
      <w:r w:rsidR="00A50980">
        <w:t>=</w:t>
      </w:r>
      <w:r w:rsidRPr="00DB3D39">
        <w:t xml:space="preserve"> 0.67 (95% C</w:t>
      </w:r>
      <w:r w:rsidR="00FC6B89">
        <w:t>I</w:t>
      </w:r>
      <w:r w:rsidRPr="00DB3D39">
        <w:t>: 0.5</w:t>
      </w:r>
      <w:r w:rsidR="007078AC">
        <w:t>9</w:t>
      </w:r>
      <w:r w:rsidRPr="00DB3D39">
        <w:t>, 0.76)</w:t>
      </w:r>
      <w:r w:rsidR="00A50980">
        <w:t>)</w:t>
      </w:r>
      <w:r w:rsidRPr="00DB3D39">
        <w:t>.</w:t>
      </w:r>
      <w:bookmarkEnd w:id="32"/>
    </w:p>
    <w:p w14:paraId="6551F73E" w14:textId="45C14B7B" w:rsidR="006F7793" w:rsidRPr="00B461C3" w:rsidRDefault="00B461C3" w:rsidP="007C073C">
      <w:pPr>
        <w:pStyle w:val="3-BodyText"/>
      </w:pPr>
      <w:r>
        <w:rPr>
          <w:rStyle w:val="ui-provider"/>
        </w:rPr>
        <w:t xml:space="preserve">The submission claimed that the </w:t>
      </w:r>
      <w:r w:rsidRPr="00B461C3">
        <w:rPr>
          <w:rStyle w:val="ui-provider"/>
        </w:rPr>
        <w:t xml:space="preserve">adjuvant AI subgroup of monarchE was the relevant subgroup to compare </w:t>
      </w:r>
      <w:r w:rsidR="00A50980">
        <w:rPr>
          <w:rStyle w:val="ui-provider"/>
        </w:rPr>
        <w:t xml:space="preserve">to </w:t>
      </w:r>
      <w:r w:rsidRPr="00B461C3">
        <w:rPr>
          <w:rStyle w:val="ui-provider"/>
        </w:rPr>
        <w:t xml:space="preserve">the PBS subgroup of NATALEE, as both populations would reflect the same comparator (without tamoxifen as ET). </w:t>
      </w:r>
      <w:r w:rsidR="002351E3" w:rsidRPr="00112EE5">
        <w:rPr>
          <w:rStyle w:val="ui-provider"/>
          <w:iCs/>
        </w:rPr>
        <w:t>T</w:t>
      </w:r>
      <w:r w:rsidRPr="00112EE5">
        <w:rPr>
          <w:rStyle w:val="ui-provider"/>
          <w:iCs/>
        </w:rPr>
        <w:t>he HR of 0.7</w:t>
      </w:r>
      <w:r w:rsidR="007078AC">
        <w:rPr>
          <w:rStyle w:val="ui-provider"/>
          <w:iCs/>
        </w:rPr>
        <w:t>4</w:t>
      </w:r>
      <w:r w:rsidRPr="00112EE5">
        <w:rPr>
          <w:rStyle w:val="ui-provider"/>
          <w:iCs/>
        </w:rPr>
        <w:t xml:space="preserve"> (95%CI: 0.63, 0.8</w:t>
      </w:r>
      <w:r w:rsidR="007078AC">
        <w:rPr>
          <w:rStyle w:val="ui-provider"/>
          <w:iCs/>
        </w:rPr>
        <w:t>6</w:t>
      </w:r>
      <w:r w:rsidRPr="00112EE5">
        <w:rPr>
          <w:rStyle w:val="ui-provider"/>
          <w:iCs/>
        </w:rPr>
        <w:t>) in the AI subgroup for abemaciclib in the monarchE trial (</w:t>
      </w:r>
      <w:r w:rsidRPr="00112EE5">
        <w:rPr>
          <w:rStyle w:val="ui-provider"/>
          <w:iCs/>
        </w:rPr>
        <w:fldChar w:fldCharType="begin" w:fldLock="1"/>
      </w:r>
      <w:r w:rsidRPr="00112EE5">
        <w:rPr>
          <w:rStyle w:val="ui-provider"/>
          <w:iCs/>
        </w:rPr>
        <w:instrText xml:space="preserve"> REF _Ref176858560 \h  \* MERGEFORMAT </w:instrText>
      </w:r>
      <w:r w:rsidRPr="00112EE5">
        <w:rPr>
          <w:rStyle w:val="ui-provider"/>
          <w:iCs/>
        </w:rPr>
      </w:r>
      <w:r w:rsidRPr="00112EE5">
        <w:rPr>
          <w:rStyle w:val="ui-provider"/>
          <w:iCs/>
        </w:rPr>
        <w:fldChar w:fldCharType="separate"/>
      </w:r>
      <w:r w:rsidR="00FF083B" w:rsidRPr="00112EE5">
        <w:rPr>
          <w:iCs/>
        </w:rPr>
        <w:t xml:space="preserve">Table </w:t>
      </w:r>
      <w:r w:rsidR="00FF083B" w:rsidRPr="00112EE5">
        <w:rPr>
          <w:iCs/>
          <w:noProof/>
        </w:rPr>
        <w:t>6</w:t>
      </w:r>
      <w:r w:rsidRPr="00112EE5">
        <w:rPr>
          <w:rStyle w:val="ui-provider"/>
          <w:iCs/>
        </w:rPr>
        <w:fldChar w:fldCharType="end"/>
      </w:r>
      <w:r w:rsidRPr="00112EE5">
        <w:rPr>
          <w:rStyle w:val="ui-provider"/>
          <w:iCs/>
        </w:rPr>
        <w:t>) showed a trend towards being less effective compared to the ITT and Cohort 1 subgroup populations (HR 0.68 and 0.67 respectively, para</w:t>
      </w:r>
      <w:r w:rsidR="0061137C">
        <w:rPr>
          <w:rStyle w:val="ui-provider"/>
          <w:iCs/>
        </w:rPr>
        <w:t>graph</w:t>
      </w:r>
      <w:r w:rsidRPr="00112EE5">
        <w:rPr>
          <w:rStyle w:val="ui-provider"/>
          <w:iCs/>
        </w:rPr>
        <w:t xml:space="preserve"> </w:t>
      </w:r>
      <w:r w:rsidRPr="00112EE5">
        <w:rPr>
          <w:rStyle w:val="ui-provider"/>
          <w:iCs/>
        </w:rPr>
        <w:fldChar w:fldCharType="begin" w:fldLock="1"/>
      </w:r>
      <w:r w:rsidRPr="00112EE5">
        <w:rPr>
          <w:rStyle w:val="ui-provider"/>
          <w:iCs/>
        </w:rPr>
        <w:instrText xml:space="preserve"> REF _Ref177556512 \r \h </w:instrText>
      </w:r>
      <w:r w:rsidRPr="00112EE5">
        <w:rPr>
          <w:rStyle w:val="ui-provider"/>
          <w:iCs/>
        </w:rPr>
      </w:r>
      <w:r w:rsidRPr="00112EE5">
        <w:rPr>
          <w:rStyle w:val="ui-provider"/>
          <w:iCs/>
        </w:rPr>
        <w:fldChar w:fldCharType="separate"/>
      </w:r>
      <w:r w:rsidR="00FF083B" w:rsidRPr="00112EE5">
        <w:rPr>
          <w:rStyle w:val="ui-provider"/>
          <w:iCs/>
        </w:rPr>
        <w:t>6.1</w:t>
      </w:r>
      <w:r w:rsidR="005E44BC">
        <w:rPr>
          <w:rStyle w:val="ui-provider"/>
          <w:iCs/>
        </w:rPr>
        <w:t>8</w:t>
      </w:r>
      <w:r w:rsidRPr="00112EE5">
        <w:rPr>
          <w:rStyle w:val="ui-provider"/>
          <w:iCs/>
        </w:rPr>
        <w:fldChar w:fldCharType="end"/>
      </w:r>
      <w:r w:rsidRPr="00112EE5">
        <w:rPr>
          <w:rStyle w:val="ui-provider"/>
          <w:iCs/>
        </w:rPr>
        <w:t>).</w:t>
      </w:r>
      <w:r w:rsidRPr="00B461C3">
        <w:rPr>
          <w:rStyle w:val="ui-provider"/>
        </w:rPr>
        <w:t xml:space="preserve"> </w:t>
      </w:r>
      <w:r w:rsidR="0061137C" w:rsidRPr="00276A8E">
        <w:rPr>
          <w:rStyle w:val="ui-provider"/>
        </w:rPr>
        <w:t>The evaluation considered that a</w:t>
      </w:r>
      <w:r w:rsidRPr="00276A8E">
        <w:rPr>
          <w:rStyle w:val="ui-provider"/>
        </w:rPr>
        <w:t xml:space="preserve"> comparison of ribociclib plus ET against the</w:t>
      </w:r>
      <w:r w:rsidR="0061137C" w:rsidRPr="00276A8E">
        <w:rPr>
          <w:rStyle w:val="ui-provider"/>
        </w:rPr>
        <w:t xml:space="preserve"> abemaciclib plus</w:t>
      </w:r>
      <w:r w:rsidRPr="00276A8E">
        <w:rPr>
          <w:rStyle w:val="ui-provider"/>
        </w:rPr>
        <w:t xml:space="preserve"> </w:t>
      </w:r>
      <w:r w:rsidRPr="00112EE5">
        <w:rPr>
          <w:rStyle w:val="ui-provider"/>
          <w:iCs/>
        </w:rPr>
        <w:t>adjuvant AI subgroup of monarchE could therefore be biased in favour of ribociclib.</w:t>
      </w:r>
    </w:p>
    <w:p w14:paraId="18897E0D" w14:textId="7A0C69DD" w:rsidR="008F6166" w:rsidRPr="00DB3D39" w:rsidRDefault="006F7793" w:rsidP="007C073C">
      <w:pPr>
        <w:pStyle w:val="3-BodyText"/>
      </w:pPr>
      <w:r w:rsidRPr="00DB3D39">
        <w:t>The results</w:t>
      </w:r>
      <w:r w:rsidR="008F6166" w:rsidRPr="00DB3D39">
        <w:t xml:space="preserve"> </w:t>
      </w:r>
      <w:r w:rsidRPr="00DB3D39">
        <w:t xml:space="preserve">for DRFS for ITT and Cohort 1 subgroup populations showed a similar trend as in iDFS. </w:t>
      </w:r>
      <w:r w:rsidR="008F6166" w:rsidRPr="00DB3D39">
        <w:t xml:space="preserve">The result for OS were presented for ITT and Cohort 1 populations only. </w:t>
      </w:r>
      <w:r w:rsidR="004F0E49" w:rsidRPr="00DB3D39">
        <w:t xml:space="preserve">The </w:t>
      </w:r>
      <w:r w:rsidR="004F0E49" w:rsidRPr="00DB3D39">
        <w:lastRenderedPageBreak/>
        <w:t>OS data showed no significant differences between the two arms of the</w:t>
      </w:r>
      <w:r w:rsidR="008F6166" w:rsidRPr="00DB3D39">
        <w:t xml:space="preserve"> ITT population and Cohort 1 </w:t>
      </w:r>
      <w:r w:rsidR="00A877A1" w:rsidRPr="00DB3D39">
        <w:t xml:space="preserve">(PBS population) </w:t>
      </w:r>
      <w:r w:rsidR="008F6166" w:rsidRPr="00DB3D39">
        <w:t>subgroup.</w:t>
      </w:r>
    </w:p>
    <w:p w14:paraId="6DB56F6B" w14:textId="06E2A5D8" w:rsidR="004F0E49" w:rsidRPr="00DB3D39" w:rsidRDefault="00ED411B" w:rsidP="00431AB0">
      <w:pPr>
        <w:pStyle w:val="Caption"/>
      </w:pPr>
      <w:bookmarkStart w:id="33" w:name="_Ref176858560"/>
      <w:r w:rsidRPr="00DB3D39">
        <w:t xml:space="preserve">Table </w:t>
      </w:r>
      <w:r w:rsidR="00FF083B">
        <w:fldChar w:fldCharType="begin" w:fldLock="1"/>
      </w:r>
      <w:r w:rsidR="00FF083B">
        <w:instrText xml:space="preserve"> SEQ Table \* ARABIC </w:instrText>
      </w:r>
      <w:r w:rsidR="00FF083B">
        <w:fldChar w:fldCharType="separate"/>
      </w:r>
      <w:r w:rsidR="00FF083B">
        <w:rPr>
          <w:noProof/>
        </w:rPr>
        <w:t>6</w:t>
      </w:r>
      <w:r w:rsidR="00FF083B">
        <w:rPr>
          <w:noProof/>
        </w:rPr>
        <w:fldChar w:fldCharType="end"/>
      </w:r>
      <w:bookmarkEnd w:id="33"/>
      <w:r w:rsidR="004F0E49" w:rsidRPr="00DB3D39">
        <w:t>: Summary of survival outcomes in monarchE (ITT and subgroups)</w:t>
      </w:r>
    </w:p>
    <w:tbl>
      <w:tblPr>
        <w:tblStyle w:val="TableGrid"/>
        <w:tblW w:w="5000" w:type="pct"/>
        <w:tblLook w:val="04A0" w:firstRow="1" w:lastRow="0" w:firstColumn="1" w:lastColumn="0" w:noHBand="0" w:noVBand="1"/>
      </w:tblPr>
      <w:tblGrid>
        <w:gridCol w:w="2322"/>
        <w:gridCol w:w="2391"/>
        <w:gridCol w:w="1803"/>
        <w:gridCol w:w="2500"/>
      </w:tblGrid>
      <w:tr w:rsidR="00ED411B" w:rsidRPr="00DB3D39" w14:paraId="7EBE1930" w14:textId="77777777">
        <w:trPr>
          <w:trHeight w:val="135"/>
        </w:trPr>
        <w:tc>
          <w:tcPr>
            <w:tcW w:w="2322" w:type="dxa"/>
            <w:shd w:val="clear" w:color="auto" w:fill="auto"/>
          </w:tcPr>
          <w:p w14:paraId="64804CA3" w14:textId="77777777" w:rsidR="00ED411B" w:rsidRPr="00DB3D39" w:rsidRDefault="00ED411B" w:rsidP="00431AB0">
            <w:pPr>
              <w:pStyle w:val="In-tableHeading"/>
              <w:rPr>
                <w:szCs w:val="20"/>
                <w:lang w:val="en-AU"/>
              </w:rPr>
            </w:pPr>
            <w:r w:rsidRPr="00DB3D39">
              <w:rPr>
                <w:szCs w:val="20"/>
                <w:lang w:val="en-AU"/>
              </w:rPr>
              <w:t>Events, n (%)</w:t>
            </w:r>
          </w:p>
        </w:tc>
        <w:tc>
          <w:tcPr>
            <w:tcW w:w="2391" w:type="dxa"/>
            <w:shd w:val="clear" w:color="auto" w:fill="auto"/>
          </w:tcPr>
          <w:p w14:paraId="2908F14B" w14:textId="77777777" w:rsidR="00ED411B" w:rsidRPr="00DB3D39" w:rsidRDefault="00ED411B" w:rsidP="00431AB0">
            <w:pPr>
              <w:pStyle w:val="In-tableHeading"/>
              <w:rPr>
                <w:bCs/>
                <w:szCs w:val="20"/>
                <w:lang w:val="en-AU"/>
              </w:rPr>
            </w:pPr>
            <w:r w:rsidRPr="00DB3D39">
              <w:rPr>
                <w:bCs/>
                <w:szCs w:val="20"/>
                <w:lang w:val="en-AU"/>
              </w:rPr>
              <w:t>Abemaciclib + ET</w:t>
            </w:r>
          </w:p>
          <w:p w14:paraId="571D892F" w14:textId="77777777" w:rsidR="00ED411B" w:rsidRPr="00DB3D39" w:rsidRDefault="00ED411B" w:rsidP="00431AB0">
            <w:pPr>
              <w:pStyle w:val="In-tableHeading"/>
              <w:rPr>
                <w:bCs/>
                <w:szCs w:val="20"/>
                <w:lang w:val="en-AU"/>
              </w:rPr>
            </w:pPr>
            <w:r w:rsidRPr="00DB3D39">
              <w:rPr>
                <w:bCs/>
                <w:szCs w:val="20"/>
                <w:lang w:val="en-AU"/>
              </w:rPr>
              <w:t>n with event/N (%)</w:t>
            </w:r>
          </w:p>
        </w:tc>
        <w:tc>
          <w:tcPr>
            <w:tcW w:w="1803" w:type="dxa"/>
            <w:shd w:val="clear" w:color="auto" w:fill="auto"/>
          </w:tcPr>
          <w:p w14:paraId="2324C018" w14:textId="77777777" w:rsidR="00ED411B" w:rsidRPr="00DB3D39" w:rsidRDefault="00ED411B" w:rsidP="00431AB0">
            <w:pPr>
              <w:pStyle w:val="In-tableHeading"/>
              <w:rPr>
                <w:bCs/>
                <w:szCs w:val="20"/>
                <w:lang w:val="en-AU"/>
              </w:rPr>
            </w:pPr>
            <w:r w:rsidRPr="00DB3D39">
              <w:rPr>
                <w:bCs/>
                <w:szCs w:val="20"/>
                <w:lang w:val="en-AU"/>
              </w:rPr>
              <w:t>ET alone</w:t>
            </w:r>
          </w:p>
          <w:p w14:paraId="53EA2166" w14:textId="77777777" w:rsidR="00ED411B" w:rsidRPr="00DB3D39" w:rsidRDefault="00ED411B" w:rsidP="00431AB0">
            <w:pPr>
              <w:pStyle w:val="In-tableHeading"/>
              <w:rPr>
                <w:bCs/>
                <w:szCs w:val="20"/>
                <w:lang w:val="en-AU"/>
              </w:rPr>
            </w:pPr>
            <w:r w:rsidRPr="00DB3D39">
              <w:rPr>
                <w:bCs/>
                <w:szCs w:val="20"/>
                <w:lang w:val="en-AU"/>
              </w:rPr>
              <w:t>n with event/N (%)</w:t>
            </w:r>
          </w:p>
        </w:tc>
        <w:tc>
          <w:tcPr>
            <w:tcW w:w="2500" w:type="dxa"/>
            <w:shd w:val="clear" w:color="auto" w:fill="auto"/>
          </w:tcPr>
          <w:p w14:paraId="5810273C" w14:textId="77777777" w:rsidR="00ED411B" w:rsidRPr="00DB3D39" w:rsidRDefault="00ED411B" w:rsidP="00431AB0">
            <w:pPr>
              <w:pStyle w:val="In-tableHeading"/>
              <w:rPr>
                <w:bCs/>
                <w:szCs w:val="20"/>
                <w:lang w:val="en-AU"/>
              </w:rPr>
            </w:pPr>
            <w:r w:rsidRPr="00DB3D39">
              <w:rPr>
                <w:bCs/>
                <w:szCs w:val="20"/>
                <w:lang w:val="en-AU"/>
              </w:rPr>
              <w:t>Hazard ratio (95%CI)</w:t>
            </w:r>
          </w:p>
        </w:tc>
      </w:tr>
      <w:tr w:rsidR="0044263F" w:rsidRPr="00DB3D39" w14:paraId="0E8CD4C5" w14:textId="77777777">
        <w:trPr>
          <w:trHeight w:val="135"/>
        </w:trPr>
        <w:tc>
          <w:tcPr>
            <w:tcW w:w="9016" w:type="dxa"/>
            <w:gridSpan w:val="4"/>
            <w:shd w:val="clear" w:color="auto" w:fill="auto"/>
          </w:tcPr>
          <w:p w14:paraId="33C7AEE2" w14:textId="5CB7EA81" w:rsidR="0044263F" w:rsidRPr="00DB3D39" w:rsidRDefault="00B225D8" w:rsidP="00431AB0">
            <w:pPr>
              <w:pStyle w:val="TableText0"/>
              <w:rPr>
                <w:bCs w:val="0"/>
                <w:szCs w:val="20"/>
              </w:rPr>
            </w:pPr>
            <w:r w:rsidRPr="00DB3D39">
              <w:rPr>
                <w:b/>
                <w:bCs w:val="0"/>
              </w:rPr>
              <w:t>iDFS</w:t>
            </w:r>
          </w:p>
        </w:tc>
      </w:tr>
      <w:tr w:rsidR="00ED411B" w:rsidRPr="00DB3D39" w14:paraId="3927688E" w14:textId="77777777">
        <w:trPr>
          <w:trHeight w:val="268"/>
        </w:trPr>
        <w:tc>
          <w:tcPr>
            <w:tcW w:w="2322" w:type="dxa"/>
            <w:tcBorders>
              <w:top w:val="single" w:sz="4" w:space="0" w:color="auto"/>
              <w:bottom w:val="single" w:sz="4" w:space="0" w:color="auto"/>
            </w:tcBorders>
            <w:shd w:val="clear" w:color="auto" w:fill="auto"/>
          </w:tcPr>
          <w:p w14:paraId="4BCB33AD" w14:textId="77777777" w:rsidR="00ED411B" w:rsidRPr="00DB3D39" w:rsidRDefault="0044263F" w:rsidP="00431AB0">
            <w:pPr>
              <w:pStyle w:val="TableText0"/>
            </w:pPr>
            <w:r w:rsidRPr="00DB3D39">
              <w:t>ITT</w:t>
            </w:r>
          </w:p>
        </w:tc>
        <w:tc>
          <w:tcPr>
            <w:tcW w:w="2391" w:type="dxa"/>
            <w:tcBorders>
              <w:top w:val="single" w:sz="4" w:space="0" w:color="auto"/>
              <w:bottom w:val="single" w:sz="4" w:space="0" w:color="auto"/>
            </w:tcBorders>
            <w:shd w:val="clear" w:color="auto" w:fill="auto"/>
          </w:tcPr>
          <w:p w14:paraId="4D8A50D5" w14:textId="77777777" w:rsidR="00ED411B" w:rsidRPr="00DB3D39" w:rsidRDefault="00ED411B" w:rsidP="00431AB0">
            <w:pPr>
              <w:pStyle w:val="TableText0"/>
            </w:pPr>
            <w:r w:rsidRPr="00DB3D39">
              <w:t>407/2808 (14.5)</w:t>
            </w:r>
          </w:p>
        </w:tc>
        <w:tc>
          <w:tcPr>
            <w:tcW w:w="1803" w:type="dxa"/>
            <w:tcBorders>
              <w:top w:val="single" w:sz="4" w:space="0" w:color="auto"/>
              <w:bottom w:val="single" w:sz="4" w:space="0" w:color="auto"/>
            </w:tcBorders>
            <w:shd w:val="clear" w:color="auto" w:fill="auto"/>
          </w:tcPr>
          <w:p w14:paraId="4E4BE52D" w14:textId="77777777" w:rsidR="00ED411B" w:rsidRPr="00DB3D39" w:rsidRDefault="00ED411B" w:rsidP="00431AB0">
            <w:pPr>
              <w:pStyle w:val="TableText0"/>
            </w:pPr>
            <w:r w:rsidRPr="00DB3D39">
              <w:t>585/2829 (20.7)</w:t>
            </w:r>
          </w:p>
        </w:tc>
        <w:tc>
          <w:tcPr>
            <w:tcW w:w="2500" w:type="dxa"/>
            <w:tcBorders>
              <w:top w:val="single" w:sz="4" w:space="0" w:color="auto"/>
              <w:bottom w:val="single" w:sz="4" w:space="0" w:color="auto"/>
            </w:tcBorders>
            <w:shd w:val="clear" w:color="auto" w:fill="auto"/>
          </w:tcPr>
          <w:p w14:paraId="50A3DB78" w14:textId="77777777" w:rsidR="00ED411B" w:rsidRPr="00DB3D39" w:rsidRDefault="00ED411B" w:rsidP="00431AB0">
            <w:pPr>
              <w:pStyle w:val="TableText0"/>
              <w:rPr>
                <w:b/>
              </w:rPr>
            </w:pPr>
            <w:r w:rsidRPr="00DB3D39">
              <w:rPr>
                <w:b/>
              </w:rPr>
              <w:t>0.680 (0.599, 0.772); p&lt;0.001</w:t>
            </w:r>
          </w:p>
        </w:tc>
      </w:tr>
      <w:tr w:rsidR="0044263F" w:rsidRPr="00DB3D39" w14:paraId="34FFD3C5" w14:textId="77777777">
        <w:trPr>
          <w:trHeight w:val="268"/>
        </w:trPr>
        <w:tc>
          <w:tcPr>
            <w:tcW w:w="2322" w:type="dxa"/>
            <w:tcBorders>
              <w:top w:val="single" w:sz="4" w:space="0" w:color="auto"/>
              <w:bottom w:val="single" w:sz="4" w:space="0" w:color="auto"/>
            </w:tcBorders>
            <w:shd w:val="clear" w:color="auto" w:fill="auto"/>
          </w:tcPr>
          <w:p w14:paraId="37E2E0E2" w14:textId="77777777" w:rsidR="0044263F" w:rsidRPr="00DB3D39" w:rsidRDefault="0044263F" w:rsidP="00431AB0">
            <w:pPr>
              <w:pStyle w:val="TableText0"/>
            </w:pPr>
            <w:r w:rsidRPr="00DB3D39">
              <w:t>Cohort 1 (PBS population)</w:t>
            </w:r>
          </w:p>
        </w:tc>
        <w:tc>
          <w:tcPr>
            <w:tcW w:w="2391" w:type="dxa"/>
            <w:tcBorders>
              <w:top w:val="single" w:sz="4" w:space="0" w:color="auto"/>
              <w:bottom w:val="single" w:sz="4" w:space="0" w:color="auto"/>
            </w:tcBorders>
            <w:shd w:val="clear" w:color="auto" w:fill="auto"/>
          </w:tcPr>
          <w:p w14:paraId="15DA1B04" w14:textId="76BDFE77" w:rsidR="0044263F" w:rsidRPr="00DB3D39" w:rsidRDefault="0044263F" w:rsidP="00431AB0">
            <w:pPr>
              <w:pStyle w:val="TableText0"/>
            </w:pPr>
            <w:r w:rsidRPr="00DB3D39">
              <w:t>382/2555 (15)</w:t>
            </w:r>
          </w:p>
        </w:tc>
        <w:tc>
          <w:tcPr>
            <w:tcW w:w="1803" w:type="dxa"/>
            <w:tcBorders>
              <w:top w:val="single" w:sz="4" w:space="0" w:color="auto"/>
              <w:bottom w:val="single" w:sz="4" w:space="0" w:color="auto"/>
            </w:tcBorders>
            <w:shd w:val="clear" w:color="auto" w:fill="auto"/>
          </w:tcPr>
          <w:p w14:paraId="6B4B24EB" w14:textId="3BB9B17D" w:rsidR="0044263F" w:rsidRPr="00DB3D39" w:rsidRDefault="0044263F" w:rsidP="00431AB0">
            <w:pPr>
              <w:pStyle w:val="TableText0"/>
            </w:pPr>
            <w:r w:rsidRPr="00DB3D39">
              <w:t>553/2565 (21.6)</w:t>
            </w:r>
          </w:p>
        </w:tc>
        <w:tc>
          <w:tcPr>
            <w:tcW w:w="2500" w:type="dxa"/>
            <w:tcBorders>
              <w:top w:val="single" w:sz="4" w:space="0" w:color="auto"/>
              <w:bottom w:val="single" w:sz="4" w:space="0" w:color="auto"/>
            </w:tcBorders>
            <w:shd w:val="clear" w:color="auto" w:fill="auto"/>
          </w:tcPr>
          <w:p w14:paraId="3CD43B9D" w14:textId="77777777" w:rsidR="0044263F" w:rsidRPr="00DB3D39" w:rsidRDefault="0044263F" w:rsidP="00431AB0">
            <w:pPr>
              <w:pStyle w:val="TableText0"/>
              <w:rPr>
                <w:b/>
              </w:rPr>
            </w:pPr>
            <w:r w:rsidRPr="00DB3D39">
              <w:rPr>
                <w:b/>
              </w:rPr>
              <w:t>0.670 (0.588, 0.764); p &lt;0.001</w:t>
            </w:r>
          </w:p>
        </w:tc>
      </w:tr>
      <w:tr w:rsidR="0044263F" w:rsidRPr="00DB3D39" w14:paraId="29DD7E84" w14:textId="77777777">
        <w:trPr>
          <w:trHeight w:val="268"/>
        </w:trPr>
        <w:tc>
          <w:tcPr>
            <w:tcW w:w="2322" w:type="dxa"/>
            <w:tcBorders>
              <w:top w:val="single" w:sz="4" w:space="0" w:color="auto"/>
              <w:bottom w:val="single" w:sz="4" w:space="0" w:color="auto"/>
            </w:tcBorders>
            <w:shd w:val="clear" w:color="auto" w:fill="auto"/>
          </w:tcPr>
          <w:p w14:paraId="556C0F52" w14:textId="4E8ED492" w:rsidR="0044263F" w:rsidRPr="00DB3D39" w:rsidRDefault="00B225D8" w:rsidP="00431AB0">
            <w:pPr>
              <w:pStyle w:val="TableText0"/>
              <w:rPr>
                <w:vertAlign w:val="superscript"/>
              </w:rPr>
            </w:pPr>
            <w:r w:rsidRPr="00DB3D39">
              <w:t>Adjuvant AI</w:t>
            </w:r>
            <w:r w:rsidR="002B04EB" w:rsidRPr="00DB3D39">
              <w:t xml:space="preserve"> subgroup</w:t>
            </w:r>
            <w:r w:rsidR="00C9495E" w:rsidRPr="00DB3D39">
              <w:rPr>
                <w:vertAlign w:val="superscript"/>
              </w:rPr>
              <w:t>*</w:t>
            </w:r>
          </w:p>
        </w:tc>
        <w:tc>
          <w:tcPr>
            <w:tcW w:w="2391" w:type="dxa"/>
            <w:tcBorders>
              <w:top w:val="single" w:sz="4" w:space="0" w:color="auto"/>
              <w:bottom w:val="single" w:sz="4" w:space="0" w:color="auto"/>
            </w:tcBorders>
            <w:shd w:val="clear" w:color="auto" w:fill="auto"/>
          </w:tcPr>
          <w:p w14:paraId="2D94A611" w14:textId="11708F01" w:rsidR="0044263F" w:rsidRPr="00DB3D39" w:rsidRDefault="0044263F" w:rsidP="00431AB0">
            <w:pPr>
              <w:pStyle w:val="TableText0"/>
            </w:pPr>
            <w:r w:rsidRPr="00DB3D39">
              <w:t>293/1931 (15.2)</w:t>
            </w:r>
          </w:p>
        </w:tc>
        <w:tc>
          <w:tcPr>
            <w:tcW w:w="1803" w:type="dxa"/>
            <w:tcBorders>
              <w:top w:val="single" w:sz="4" w:space="0" w:color="auto"/>
              <w:bottom w:val="single" w:sz="4" w:space="0" w:color="auto"/>
            </w:tcBorders>
            <w:shd w:val="clear" w:color="auto" w:fill="auto"/>
          </w:tcPr>
          <w:p w14:paraId="3AB39585" w14:textId="72DD364B" w:rsidR="0044263F" w:rsidRPr="00DB3D39" w:rsidRDefault="0044263F" w:rsidP="00431AB0">
            <w:pPr>
              <w:pStyle w:val="TableText0"/>
            </w:pPr>
            <w:r w:rsidRPr="00DB3D39">
              <w:t>386/1887 (20.5)</w:t>
            </w:r>
          </w:p>
        </w:tc>
        <w:tc>
          <w:tcPr>
            <w:tcW w:w="2500" w:type="dxa"/>
            <w:tcBorders>
              <w:top w:val="single" w:sz="4" w:space="0" w:color="auto"/>
              <w:bottom w:val="single" w:sz="4" w:space="0" w:color="auto"/>
            </w:tcBorders>
            <w:shd w:val="clear" w:color="auto" w:fill="auto"/>
          </w:tcPr>
          <w:p w14:paraId="167BE3C3" w14:textId="77777777" w:rsidR="0044263F" w:rsidRPr="00DB3D39" w:rsidRDefault="0044263F" w:rsidP="00431AB0">
            <w:pPr>
              <w:pStyle w:val="TableText0"/>
              <w:rPr>
                <w:b/>
              </w:rPr>
            </w:pPr>
            <w:r w:rsidRPr="00DB3D39">
              <w:t>0.738 (0.634, 0.859); NR</w:t>
            </w:r>
          </w:p>
        </w:tc>
      </w:tr>
      <w:tr w:rsidR="0044263F" w:rsidRPr="00DB3D39" w14:paraId="6F4F422E" w14:textId="77777777">
        <w:trPr>
          <w:trHeight w:val="268"/>
        </w:trPr>
        <w:tc>
          <w:tcPr>
            <w:tcW w:w="9016" w:type="dxa"/>
            <w:gridSpan w:val="4"/>
            <w:tcBorders>
              <w:top w:val="single" w:sz="4" w:space="0" w:color="auto"/>
              <w:bottom w:val="single" w:sz="4" w:space="0" w:color="auto"/>
            </w:tcBorders>
            <w:shd w:val="clear" w:color="auto" w:fill="auto"/>
          </w:tcPr>
          <w:p w14:paraId="71B95DC5" w14:textId="08827BA6" w:rsidR="0044263F" w:rsidRPr="00DB3D39" w:rsidRDefault="00B225D8" w:rsidP="00431AB0">
            <w:pPr>
              <w:pStyle w:val="TableText0"/>
              <w:rPr>
                <w:b/>
              </w:rPr>
            </w:pPr>
            <w:r w:rsidRPr="00DB3D39">
              <w:rPr>
                <w:b/>
              </w:rPr>
              <w:t>DRFS</w:t>
            </w:r>
          </w:p>
        </w:tc>
      </w:tr>
      <w:tr w:rsidR="0044263F" w:rsidRPr="00DB3D39" w14:paraId="3D57CCAC" w14:textId="77777777">
        <w:trPr>
          <w:trHeight w:val="268"/>
        </w:trPr>
        <w:tc>
          <w:tcPr>
            <w:tcW w:w="2322" w:type="dxa"/>
            <w:tcBorders>
              <w:top w:val="single" w:sz="4" w:space="0" w:color="auto"/>
              <w:bottom w:val="single" w:sz="4" w:space="0" w:color="auto"/>
            </w:tcBorders>
            <w:shd w:val="clear" w:color="auto" w:fill="auto"/>
          </w:tcPr>
          <w:p w14:paraId="4EAAC30A" w14:textId="77777777" w:rsidR="0044263F" w:rsidRPr="00DB3D39" w:rsidRDefault="0044263F" w:rsidP="00431AB0">
            <w:pPr>
              <w:pStyle w:val="TableText0"/>
            </w:pPr>
            <w:r w:rsidRPr="00DB3D39">
              <w:t>ITT</w:t>
            </w:r>
          </w:p>
        </w:tc>
        <w:tc>
          <w:tcPr>
            <w:tcW w:w="2391" w:type="dxa"/>
            <w:tcBorders>
              <w:top w:val="single" w:sz="4" w:space="0" w:color="auto"/>
              <w:bottom w:val="single" w:sz="4" w:space="0" w:color="auto"/>
            </w:tcBorders>
            <w:shd w:val="clear" w:color="auto" w:fill="auto"/>
          </w:tcPr>
          <w:p w14:paraId="080938DE" w14:textId="77777777" w:rsidR="0044263F" w:rsidRPr="00DB3D39" w:rsidRDefault="0044263F" w:rsidP="00431AB0">
            <w:pPr>
              <w:pStyle w:val="TableText0"/>
            </w:pPr>
            <w:r w:rsidRPr="00DB3D39">
              <w:t>345/2808 (12.3)</w:t>
            </w:r>
          </w:p>
        </w:tc>
        <w:tc>
          <w:tcPr>
            <w:tcW w:w="1803" w:type="dxa"/>
            <w:tcBorders>
              <w:top w:val="single" w:sz="4" w:space="0" w:color="auto"/>
              <w:bottom w:val="single" w:sz="4" w:space="0" w:color="auto"/>
            </w:tcBorders>
            <w:shd w:val="clear" w:color="auto" w:fill="auto"/>
          </w:tcPr>
          <w:p w14:paraId="64D75524" w14:textId="77777777" w:rsidR="0044263F" w:rsidRPr="00DB3D39" w:rsidRDefault="0044263F" w:rsidP="00431AB0">
            <w:pPr>
              <w:pStyle w:val="TableText0"/>
            </w:pPr>
            <w:r w:rsidRPr="00DB3D39">
              <w:t>501/2829 (17.7)</w:t>
            </w:r>
          </w:p>
        </w:tc>
        <w:tc>
          <w:tcPr>
            <w:tcW w:w="2500" w:type="dxa"/>
            <w:tcBorders>
              <w:top w:val="single" w:sz="4" w:space="0" w:color="auto"/>
              <w:bottom w:val="single" w:sz="4" w:space="0" w:color="auto"/>
            </w:tcBorders>
            <w:shd w:val="clear" w:color="auto" w:fill="auto"/>
          </w:tcPr>
          <w:p w14:paraId="33EA44A2" w14:textId="77777777" w:rsidR="0044263F" w:rsidRPr="00DB3D39" w:rsidRDefault="0044263F" w:rsidP="00431AB0">
            <w:pPr>
              <w:pStyle w:val="TableText0"/>
              <w:rPr>
                <w:b/>
              </w:rPr>
            </w:pPr>
            <w:r w:rsidRPr="00DB3D39">
              <w:rPr>
                <w:b/>
              </w:rPr>
              <w:t>0.675 (0.588, 0.774); p &lt;0.001</w:t>
            </w:r>
          </w:p>
        </w:tc>
      </w:tr>
      <w:tr w:rsidR="0044263F" w:rsidRPr="00DB3D39" w14:paraId="42FAB5A9" w14:textId="77777777">
        <w:trPr>
          <w:trHeight w:val="268"/>
        </w:trPr>
        <w:tc>
          <w:tcPr>
            <w:tcW w:w="2322" w:type="dxa"/>
            <w:tcBorders>
              <w:top w:val="single" w:sz="4" w:space="0" w:color="auto"/>
              <w:bottom w:val="single" w:sz="4" w:space="0" w:color="auto"/>
            </w:tcBorders>
            <w:shd w:val="clear" w:color="auto" w:fill="auto"/>
          </w:tcPr>
          <w:p w14:paraId="6C53C9CF" w14:textId="77777777" w:rsidR="0044263F" w:rsidRPr="00DB3D39" w:rsidRDefault="0044263F" w:rsidP="00431AB0">
            <w:pPr>
              <w:pStyle w:val="TableText0"/>
            </w:pPr>
            <w:r w:rsidRPr="00DB3D39">
              <w:t>Cohort 1 (PBS population)</w:t>
            </w:r>
          </w:p>
        </w:tc>
        <w:tc>
          <w:tcPr>
            <w:tcW w:w="2391" w:type="dxa"/>
            <w:tcBorders>
              <w:top w:val="single" w:sz="4" w:space="0" w:color="auto"/>
              <w:bottom w:val="single" w:sz="4" w:space="0" w:color="auto"/>
            </w:tcBorders>
            <w:shd w:val="clear" w:color="auto" w:fill="auto"/>
          </w:tcPr>
          <w:p w14:paraId="6571F68B" w14:textId="3D2E01A3" w:rsidR="0044263F" w:rsidRPr="00DB3D39" w:rsidRDefault="0044263F" w:rsidP="00431AB0">
            <w:pPr>
              <w:pStyle w:val="TableText0"/>
            </w:pPr>
            <w:r w:rsidRPr="00DB3D39">
              <w:t>325/2555 (12.7)</w:t>
            </w:r>
          </w:p>
        </w:tc>
        <w:tc>
          <w:tcPr>
            <w:tcW w:w="1803" w:type="dxa"/>
            <w:tcBorders>
              <w:top w:val="single" w:sz="4" w:space="0" w:color="auto"/>
              <w:bottom w:val="single" w:sz="4" w:space="0" w:color="auto"/>
            </w:tcBorders>
            <w:shd w:val="clear" w:color="auto" w:fill="auto"/>
          </w:tcPr>
          <w:p w14:paraId="600C2582" w14:textId="74F26D6F" w:rsidR="0044263F" w:rsidRPr="00DB3D39" w:rsidRDefault="0044263F" w:rsidP="00431AB0">
            <w:pPr>
              <w:pStyle w:val="TableText0"/>
            </w:pPr>
            <w:r w:rsidRPr="00DB3D39">
              <w:t>477/2565 (18.6)</w:t>
            </w:r>
          </w:p>
        </w:tc>
        <w:tc>
          <w:tcPr>
            <w:tcW w:w="2500" w:type="dxa"/>
            <w:tcBorders>
              <w:top w:val="single" w:sz="4" w:space="0" w:color="auto"/>
              <w:bottom w:val="single" w:sz="4" w:space="0" w:color="auto"/>
            </w:tcBorders>
            <w:shd w:val="clear" w:color="auto" w:fill="auto"/>
          </w:tcPr>
          <w:p w14:paraId="4D07E576" w14:textId="77777777" w:rsidR="0044263F" w:rsidRPr="00DB3D39" w:rsidRDefault="0044263F" w:rsidP="00431AB0">
            <w:pPr>
              <w:pStyle w:val="TableText0"/>
              <w:rPr>
                <w:b/>
              </w:rPr>
            </w:pPr>
            <w:r w:rsidRPr="00DB3D39">
              <w:rPr>
                <w:b/>
              </w:rPr>
              <w:t>0.665 (0.577, 0.765); p &lt;0.001</w:t>
            </w:r>
          </w:p>
        </w:tc>
      </w:tr>
      <w:tr w:rsidR="0044263F" w:rsidRPr="00DB3D39" w14:paraId="684EB09F" w14:textId="77777777">
        <w:trPr>
          <w:trHeight w:val="268"/>
        </w:trPr>
        <w:tc>
          <w:tcPr>
            <w:tcW w:w="2322" w:type="dxa"/>
            <w:tcBorders>
              <w:top w:val="single" w:sz="4" w:space="0" w:color="auto"/>
              <w:bottom w:val="single" w:sz="4" w:space="0" w:color="auto"/>
            </w:tcBorders>
            <w:shd w:val="clear" w:color="auto" w:fill="auto"/>
          </w:tcPr>
          <w:p w14:paraId="2717ED69" w14:textId="79F8678E" w:rsidR="0044263F" w:rsidRPr="00DB3D39" w:rsidRDefault="00B225D8" w:rsidP="00431AB0">
            <w:pPr>
              <w:pStyle w:val="TableText0"/>
            </w:pPr>
            <w:r w:rsidRPr="00DB3D39">
              <w:t>Adjuvant AI</w:t>
            </w:r>
            <w:r w:rsidR="002B04EB" w:rsidRPr="00DB3D39">
              <w:t xml:space="preserve"> subgroup</w:t>
            </w:r>
            <w:r w:rsidR="00C9495E" w:rsidRPr="00DB3D39">
              <w:t>*</w:t>
            </w:r>
          </w:p>
        </w:tc>
        <w:tc>
          <w:tcPr>
            <w:tcW w:w="2391" w:type="dxa"/>
            <w:tcBorders>
              <w:top w:val="single" w:sz="4" w:space="0" w:color="auto"/>
              <w:bottom w:val="single" w:sz="4" w:space="0" w:color="auto"/>
            </w:tcBorders>
            <w:shd w:val="clear" w:color="auto" w:fill="auto"/>
          </w:tcPr>
          <w:p w14:paraId="5BFBA6E4" w14:textId="0D15B623" w:rsidR="0044263F" w:rsidRPr="00DB3D39" w:rsidRDefault="0044263F" w:rsidP="00431AB0">
            <w:pPr>
              <w:pStyle w:val="TableText0"/>
            </w:pPr>
            <w:r w:rsidRPr="00DB3D39">
              <w:t>248/1931 (12.8)</w:t>
            </w:r>
          </w:p>
        </w:tc>
        <w:tc>
          <w:tcPr>
            <w:tcW w:w="1803" w:type="dxa"/>
            <w:tcBorders>
              <w:top w:val="single" w:sz="4" w:space="0" w:color="auto"/>
              <w:bottom w:val="single" w:sz="4" w:space="0" w:color="auto"/>
            </w:tcBorders>
            <w:shd w:val="clear" w:color="auto" w:fill="auto"/>
          </w:tcPr>
          <w:p w14:paraId="603E592F" w14:textId="3DDF2D09" w:rsidR="0044263F" w:rsidRPr="00DB3D39" w:rsidRDefault="0044263F" w:rsidP="00431AB0">
            <w:pPr>
              <w:pStyle w:val="TableText0"/>
            </w:pPr>
            <w:r w:rsidRPr="00DB3D39">
              <w:t>330/1887 (17.5)</w:t>
            </w:r>
          </w:p>
        </w:tc>
        <w:tc>
          <w:tcPr>
            <w:tcW w:w="2500" w:type="dxa"/>
            <w:tcBorders>
              <w:top w:val="single" w:sz="4" w:space="0" w:color="auto"/>
              <w:bottom w:val="single" w:sz="4" w:space="0" w:color="auto"/>
            </w:tcBorders>
            <w:shd w:val="clear" w:color="auto" w:fill="auto"/>
          </w:tcPr>
          <w:p w14:paraId="52F0508A" w14:textId="77777777" w:rsidR="0044263F" w:rsidRPr="00DB3D39" w:rsidRDefault="0044263F" w:rsidP="00431AB0">
            <w:pPr>
              <w:pStyle w:val="TableText0"/>
              <w:rPr>
                <w:b/>
              </w:rPr>
            </w:pPr>
            <w:r w:rsidRPr="00DB3D39">
              <w:t>0.733 (0.622, 0.864); NR</w:t>
            </w:r>
          </w:p>
        </w:tc>
      </w:tr>
      <w:tr w:rsidR="0044263F" w:rsidRPr="00DB3D39" w14:paraId="35637EBE" w14:textId="77777777">
        <w:trPr>
          <w:trHeight w:val="268"/>
        </w:trPr>
        <w:tc>
          <w:tcPr>
            <w:tcW w:w="9016" w:type="dxa"/>
            <w:gridSpan w:val="4"/>
            <w:tcBorders>
              <w:top w:val="single" w:sz="4" w:space="0" w:color="auto"/>
              <w:bottom w:val="single" w:sz="4" w:space="0" w:color="auto"/>
            </w:tcBorders>
            <w:shd w:val="clear" w:color="auto" w:fill="auto"/>
          </w:tcPr>
          <w:p w14:paraId="3FF85862" w14:textId="0FCB8480" w:rsidR="0044263F" w:rsidRPr="00DB3D39" w:rsidRDefault="00B225D8" w:rsidP="00431AB0">
            <w:pPr>
              <w:pStyle w:val="TableText0"/>
            </w:pPr>
            <w:r w:rsidRPr="00DB3D39">
              <w:rPr>
                <w:b/>
              </w:rPr>
              <w:t>OS</w:t>
            </w:r>
          </w:p>
        </w:tc>
      </w:tr>
      <w:tr w:rsidR="0044263F" w:rsidRPr="00DB3D39" w14:paraId="5AF65DFC" w14:textId="77777777">
        <w:trPr>
          <w:trHeight w:val="268"/>
        </w:trPr>
        <w:tc>
          <w:tcPr>
            <w:tcW w:w="2322" w:type="dxa"/>
            <w:tcBorders>
              <w:top w:val="single" w:sz="4" w:space="0" w:color="auto"/>
              <w:bottom w:val="single" w:sz="4" w:space="0" w:color="auto"/>
            </w:tcBorders>
            <w:shd w:val="clear" w:color="auto" w:fill="auto"/>
          </w:tcPr>
          <w:p w14:paraId="45022261" w14:textId="77777777" w:rsidR="0044263F" w:rsidRPr="00DB3D39" w:rsidRDefault="0044263F" w:rsidP="00431AB0">
            <w:pPr>
              <w:pStyle w:val="TableText0"/>
            </w:pPr>
            <w:r w:rsidRPr="00DB3D39">
              <w:t xml:space="preserve">ITT </w:t>
            </w:r>
          </w:p>
        </w:tc>
        <w:tc>
          <w:tcPr>
            <w:tcW w:w="2391" w:type="dxa"/>
            <w:tcBorders>
              <w:top w:val="single" w:sz="4" w:space="0" w:color="auto"/>
              <w:bottom w:val="single" w:sz="4" w:space="0" w:color="auto"/>
            </w:tcBorders>
            <w:shd w:val="clear" w:color="auto" w:fill="auto"/>
          </w:tcPr>
          <w:p w14:paraId="7DEDB787" w14:textId="77777777" w:rsidR="0044263F" w:rsidRPr="00DB3D39" w:rsidRDefault="0044263F" w:rsidP="00431AB0">
            <w:pPr>
              <w:pStyle w:val="TableText0"/>
            </w:pPr>
            <w:r w:rsidRPr="00DB3D39">
              <w:t>208/2808 (7.4)</w:t>
            </w:r>
          </w:p>
        </w:tc>
        <w:tc>
          <w:tcPr>
            <w:tcW w:w="1803" w:type="dxa"/>
            <w:tcBorders>
              <w:top w:val="single" w:sz="4" w:space="0" w:color="auto"/>
              <w:bottom w:val="single" w:sz="4" w:space="0" w:color="auto"/>
            </w:tcBorders>
            <w:shd w:val="clear" w:color="auto" w:fill="auto"/>
          </w:tcPr>
          <w:p w14:paraId="23A6C382" w14:textId="77777777" w:rsidR="0044263F" w:rsidRPr="00DB3D39" w:rsidRDefault="0044263F" w:rsidP="00431AB0">
            <w:pPr>
              <w:pStyle w:val="TableText0"/>
            </w:pPr>
            <w:r w:rsidRPr="00DB3D39">
              <w:t>234/2829 (8.3)</w:t>
            </w:r>
          </w:p>
        </w:tc>
        <w:tc>
          <w:tcPr>
            <w:tcW w:w="2500" w:type="dxa"/>
            <w:tcBorders>
              <w:top w:val="single" w:sz="4" w:space="0" w:color="auto"/>
              <w:bottom w:val="single" w:sz="4" w:space="0" w:color="auto"/>
            </w:tcBorders>
            <w:shd w:val="clear" w:color="auto" w:fill="auto"/>
          </w:tcPr>
          <w:p w14:paraId="4FA729AB" w14:textId="77777777" w:rsidR="0044263F" w:rsidRPr="00DB3D39" w:rsidRDefault="0044263F" w:rsidP="00431AB0">
            <w:pPr>
              <w:pStyle w:val="TableText0"/>
            </w:pPr>
            <w:r w:rsidRPr="00DB3D39">
              <w:t>0.903 (0.749, 1.088); p = 0.284</w:t>
            </w:r>
          </w:p>
        </w:tc>
      </w:tr>
      <w:tr w:rsidR="0044263F" w:rsidRPr="00DB3D39" w14:paraId="553120F6" w14:textId="77777777">
        <w:trPr>
          <w:trHeight w:val="268"/>
        </w:trPr>
        <w:tc>
          <w:tcPr>
            <w:tcW w:w="2322" w:type="dxa"/>
            <w:tcBorders>
              <w:top w:val="single" w:sz="4" w:space="0" w:color="auto"/>
              <w:bottom w:val="single" w:sz="4" w:space="0" w:color="auto"/>
            </w:tcBorders>
            <w:shd w:val="clear" w:color="auto" w:fill="auto"/>
          </w:tcPr>
          <w:p w14:paraId="388076B9" w14:textId="77777777" w:rsidR="0044263F" w:rsidRPr="00DB3D39" w:rsidRDefault="0044263F" w:rsidP="00431AB0">
            <w:pPr>
              <w:pStyle w:val="TableText0"/>
            </w:pPr>
            <w:r w:rsidRPr="00DB3D39">
              <w:t>Cohort 1 (PBS population)</w:t>
            </w:r>
          </w:p>
        </w:tc>
        <w:tc>
          <w:tcPr>
            <w:tcW w:w="2391" w:type="dxa"/>
            <w:tcBorders>
              <w:top w:val="single" w:sz="4" w:space="0" w:color="auto"/>
              <w:bottom w:val="single" w:sz="4" w:space="0" w:color="auto"/>
            </w:tcBorders>
            <w:shd w:val="clear" w:color="auto" w:fill="auto"/>
          </w:tcPr>
          <w:p w14:paraId="33575972" w14:textId="462DCFD0" w:rsidR="0044263F" w:rsidRPr="00DB3D39" w:rsidRDefault="0044263F" w:rsidP="00431AB0">
            <w:pPr>
              <w:pStyle w:val="TableText0"/>
            </w:pPr>
            <w:r w:rsidRPr="00DB3D39">
              <w:t>197/2555 (7.7)</w:t>
            </w:r>
          </w:p>
        </w:tc>
        <w:tc>
          <w:tcPr>
            <w:tcW w:w="1803" w:type="dxa"/>
            <w:tcBorders>
              <w:top w:val="single" w:sz="4" w:space="0" w:color="auto"/>
              <w:bottom w:val="single" w:sz="4" w:space="0" w:color="auto"/>
            </w:tcBorders>
            <w:shd w:val="clear" w:color="auto" w:fill="auto"/>
          </w:tcPr>
          <w:p w14:paraId="390F33C5" w14:textId="729B98DF" w:rsidR="0044263F" w:rsidRPr="00DB3D39" w:rsidRDefault="0044263F" w:rsidP="00431AB0">
            <w:pPr>
              <w:pStyle w:val="TableText0"/>
            </w:pPr>
            <w:r w:rsidRPr="00DB3D39">
              <w:t>223/2565 (8.7)</w:t>
            </w:r>
          </w:p>
        </w:tc>
        <w:tc>
          <w:tcPr>
            <w:tcW w:w="2500" w:type="dxa"/>
            <w:tcBorders>
              <w:top w:val="single" w:sz="4" w:space="0" w:color="auto"/>
              <w:bottom w:val="single" w:sz="4" w:space="0" w:color="auto"/>
            </w:tcBorders>
            <w:shd w:val="clear" w:color="auto" w:fill="auto"/>
          </w:tcPr>
          <w:p w14:paraId="1741DFBD" w14:textId="77777777" w:rsidR="0044263F" w:rsidRPr="00DB3D39" w:rsidRDefault="0044263F" w:rsidP="00431AB0">
            <w:pPr>
              <w:pStyle w:val="TableText0"/>
            </w:pPr>
            <w:r w:rsidRPr="00DB3D39">
              <w:t>0.894 (0.738, 1.084); p = 0.254</w:t>
            </w:r>
          </w:p>
        </w:tc>
      </w:tr>
    </w:tbl>
    <w:p w14:paraId="58CA6C43" w14:textId="77777777" w:rsidR="00ED411B" w:rsidRPr="00DB3D39" w:rsidRDefault="00ED411B" w:rsidP="00431AB0">
      <w:pPr>
        <w:pStyle w:val="TableFigureFooter"/>
        <w:keepNext/>
      </w:pPr>
      <w:r w:rsidRPr="00DB3D39">
        <w:t xml:space="preserve">Source: Table </w:t>
      </w:r>
      <w:r w:rsidR="008D2481" w:rsidRPr="00DB3D39">
        <w:t>2.6-10, p136, Table 2.6-11 p138, Table 2.6-12 p139</w:t>
      </w:r>
      <w:r w:rsidRPr="00DB3D39">
        <w:t xml:space="preserve"> of the submission. </w:t>
      </w:r>
    </w:p>
    <w:p w14:paraId="282D0789" w14:textId="4767D4F3" w:rsidR="00477EF0" w:rsidRPr="00DB3D39" w:rsidRDefault="008D2481" w:rsidP="00431AB0">
      <w:pPr>
        <w:pStyle w:val="TableFigureFooter"/>
        <w:keepNext/>
        <w:rPr>
          <w:rFonts w:eastAsia="Calibri"/>
        </w:rPr>
      </w:pPr>
      <w:r w:rsidRPr="00DB3D39">
        <w:rPr>
          <w:rFonts w:eastAsia="Calibri"/>
        </w:rPr>
        <w:t xml:space="preserve">CI = confidence interval; DCO = </w:t>
      </w:r>
      <w:r w:rsidR="000F749B">
        <w:rPr>
          <w:rFonts w:eastAsia="Calibri"/>
        </w:rPr>
        <w:t>d</w:t>
      </w:r>
      <w:r w:rsidRPr="00DB3D39">
        <w:rPr>
          <w:rFonts w:eastAsia="Calibri"/>
        </w:rPr>
        <w:t>ata cut-off; DCFS =</w:t>
      </w:r>
      <w:r w:rsidRPr="00DB3D39">
        <w:t xml:space="preserve"> </w:t>
      </w:r>
      <w:r w:rsidRPr="00DB3D39">
        <w:rPr>
          <w:rFonts w:eastAsia="Calibri"/>
        </w:rPr>
        <w:t xml:space="preserve">distant recurrence-free survival; ET = </w:t>
      </w:r>
      <w:r w:rsidR="000F749B">
        <w:rPr>
          <w:rFonts w:eastAsia="Calibri"/>
        </w:rPr>
        <w:t>e</w:t>
      </w:r>
      <w:r w:rsidRPr="00DB3D39">
        <w:rPr>
          <w:rFonts w:eastAsia="Calibri"/>
        </w:rPr>
        <w:t xml:space="preserve">ndocrine therapy; FAS = </w:t>
      </w:r>
      <w:r w:rsidR="000F749B">
        <w:rPr>
          <w:rFonts w:eastAsia="Calibri"/>
        </w:rPr>
        <w:t>f</w:t>
      </w:r>
      <w:r w:rsidRPr="00DB3D39">
        <w:rPr>
          <w:rFonts w:eastAsia="Calibri"/>
        </w:rPr>
        <w:t xml:space="preserve">ull analysis set; HR = </w:t>
      </w:r>
      <w:r w:rsidR="000F749B">
        <w:rPr>
          <w:rFonts w:eastAsia="Calibri"/>
        </w:rPr>
        <w:t>h</w:t>
      </w:r>
      <w:r w:rsidRPr="00DB3D39">
        <w:rPr>
          <w:rFonts w:eastAsia="Calibri"/>
        </w:rPr>
        <w:t>azard ratio</w:t>
      </w:r>
      <w:bookmarkStart w:id="34" w:name="_Hlk183012441"/>
      <w:r w:rsidRPr="00DB3D39">
        <w:rPr>
          <w:rFonts w:eastAsia="Calibri"/>
        </w:rPr>
        <w:t xml:space="preserve">; iDFS = </w:t>
      </w:r>
      <w:r w:rsidR="000F749B">
        <w:rPr>
          <w:rFonts w:eastAsia="Calibri"/>
        </w:rPr>
        <w:t>i</w:t>
      </w:r>
      <w:r w:rsidRPr="00DB3D39">
        <w:rPr>
          <w:rFonts w:eastAsia="Calibri"/>
        </w:rPr>
        <w:t>nvasive disease-free survival</w:t>
      </w:r>
      <w:bookmarkEnd w:id="34"/>
      <w:r w:rsidRPr="00DB3D39">
        <w:rPr>
          <w:rFonts w:eastAsia="Calibri"/>
        </w:rPr>
        <w:t>; ITT = intention to treat; KM = Kaplan</w:t>
      </w:r>
      <w:r w:rsidR="000F749B">
        <w:rPr>
          <w:rFonts w:eastAsia="Calibri"/>
        </w:rPr>
        <w:t xml:space="preserve"> </w:t>
      </w:r>
      <w:r w:rsidRPr="00DB3D39">
        <w:rPr>
          <w:rFonts w:eastAsia="Calibri"/>
        </w:rPr>
        <w:t>Meier; n = number of participants with event; N = total participants in group;</w:t>
      </w:r>
      <w:r w:rsidRPr="00DB3D39">
        <w:t xml:space="preserve"> </w:t>
      </w:r>
      <w:r w:rsidRPr="00DB3D39">
        <w:rPr>
          <w:rFonts w:eastAsia="Calibri"/>
        </w:rPr>
        <w:t xml:space="preserve">NE = </w:t>
      </w:r>
      <w:r w:rsidR="000F749B">
        <w:rPr>
          <w:rFonts w:eastAsia="Calibri"/>
        </w:rPr>
        <w:t>n</w:t>
      </w:r>
      <w:r w:rsidRPr="00DB3D39">
        <w:rPr>
          <w:rFonts w:eastAsia="Calibri"/>
        </w:rPr>
        <w:t>ot estimable; OS = overall survival</w:t>
      </w:r>
      <w:r w:rsidR="00C9495E" w:rsidRPr="00DB3D39">
        <w:rPr>
          <w:rFonts w:eastAsia="Calibri"/>
        </w:rPr>
        <w:t xml:space="preserve"> </w:t>
      </w:r>
    </w:p>
    <w:p w14:paraId="68A81995" w14:textId="6F479506" w:rsidR="008D2481" w:rsidRPr="00DB3D39" w:rsidRDefault="00C9495E" w:rsidP="00431AB0">
      <w:pPr>
        <w:pStyle w:val="TableFigureFooter"/>
        <w:keepNext/>
        <w:rPr>
          <w:rFonts w:eastAsia="Calibri"/>
        </w:rPr>
      </w:pPr>
      <w:r w:rsidRPr="00DB3D39">
        <w:rPr>
          <w:rFonts w:eastAsia="Calibri"/>
        </w:rPr>
        <w:t>* Adjuvant AI subgroup of monarchE excluded patients who had received tamoxifen as</w:t>
      </w:r>
      <w:r w:rsidR="00477EF0" w:rsidRPr="00DB3D39">
        <w:rPr>
          <w:rFonts w:eastAsia="Calibri"/>
        </w:rPr>
        <w:t xml:space="preserve"> ET. </w:t>
      </w:r>
    </w:p>
    <w:p w14:paraId="13EA61C4" w14:textId="77777777" w:rsidR="00984BFB" w:rsidRPr="00DB3D39" w:rsidRDefault="00ED411B" w:rsidP="008D2481">
      <w:pPr>
        <w:pStyle w:val="TableFigureFooter"/>
      </w:pPr>
      <w:r w:rsidRPr="00DB3D39">
        <w:rPr>
          <w:b/>
          <w:bCs/>
        </w:rPr>
        <w:t>Bold</w:t>
      </w:r>
      <w:r w:rsidRPr="00DB3D39">
        <w:t xml:space="preserve"> indicated statistically significant results.</w:t>
      </w:r>
    </w:p>
    <w:p w14:paraId="21B5609D" w14:textId="77777777" w:rsidR="001649B6" w:rsidRPr="00DB3D39" w:rsidRDefault="001649B6" w:rsidP="007C073C">
      <w:pPr>
        <w:pStyle w:val="3-BodyText"/>
      </w:pPr>
      <w:r w:rsidRPr="00DB3D39">
        <w:t xml:space="preserve">The submission presented the results of the patient reported outcomes for </w:t>
      </w:r>
      <w:r w:rsidR="000370B2" w:rsidRPr="00DB3D39">
        <w:t xml:space="preserve">the </w:t>
      </w:r>
      <w:r w:rsidRPr="00DB3D39">
        <w:t>NATALEE</w:t>
      </w:r>
      <w:r w:rsidR="000370B2" w:rsidRPr="00DB3D39">
        <w:t xml:space="preserve"> trial</w:t>
      </w:r>
      <w:r w:rsidRPr="00DB3D39">
        <w:t>. Health related quality of life (HRQoL) was assessed as a secondary outcome at the January 2023 DCO using the physical functioning subscale score and the global health status/QoL score of the European Organization for Research and Treatment of Cancer’s Core Quality of Life Questionnaire – C30 (EORTC QLQ-C30).</w:t>
      </w:r>
    </w:p>
    <w:p w14:paraId="46483AA8" w14:textId="75739FCD" w:rsidR="00AA5C6D" w:rsidRPr="00DB3D39" w:rsidRDefault="001649B6" w:rsidP="007C073C">
      <w:pPr>
        <w:pStyle w:val="3-BodyText"/>
        <w:rPr>
          <w:color w:val="0066FF"/>
        </w:rPr>
      </w:pPr>
      <w:r w:rsidRPr="00DB3D39">
        <w:t xml:space="preserve">The EORTC QLQ-C30 physical functioning and quality of life scores were similar across the treatment arms; and the submission concluded that adding ribociclib to ET treatment does not result in any notable deterioration in HRQoL compared with current standard of care. </w:t>
      </w:r>
    </w:p>
    <w:p w14:paraId="02A1A9B6" w14:textId="77258AC0" w:rsidR="00D35E6A" w:rsidRPr="00DB3D39" w:rsidRDefault="00D35E6A" w:rsidP="00D40D08">
      <w:pPr>
        <w:spacing w:after="120"/>
        <w:rPr>
          <w:b/>
          <w:bCs/>
          <w:u w:val="single"/>
        </w:rPr>
      </w:pPr>
      <w:bookmarkStart w:id="35" w:name="_Hlk180144315"/>
      <w:r w:rsidRPr="00DB3D39">
        <w:rPr>
          <w:b/>
          <w:bCs/>
          <w:u w:val="single"/>
        </w:rPr>
        <w:t>ITC Results</w:t>
      </w:r>
    </w:p>
    <w:bookmarkEnd w:id="35"/>
    <w:p w14:paraId="5BFF0DC8" w14:textId="30EA05FF" w:rsidR="004F0E49" w:rsidRPr="00DB3D39" w:rsidRDefault="004F0E49" w:rsidP="007C073C">
      <w:pPr>
        <w:pStyle w:val="3-BodyText"/>
      </w:pPr>
      <w:r w:rsidRPr="00DB3D39">
        <w:t>The results of the ITC following the Bucher method are presented in</w:t>
      </w:r>
      <w:r w:rsidR="00435AA7" w:rsidRPr="00DB3D39">
        <w:t xml:space="preserve"> </w:t>
      </w:r>
      <w:r w:rsidR="00D46017" w:rsidRPr="00DB3D39">
        <w:fldChar w:fldCharType="begin" w:fldLock="1"/>
      </w:r>
      <w:r w:rsidR="00D46017" w:rsidRPr="00DB3D39">
        <w:instrText xml:space="preserve"> REF _Ref176858586 \h </w:instrText>
      </w:r>
      <w:r w:rsidR="00D46017" w:rsidRPr="00DB3D39">
        <w:fldChar w:fldCharType="separate"/>
      </w:r>
      <w:r w:rsidR="00FF083B" w:rsidRPr="00DB3D39">
        <w:t xml:space="preserve">Table </w:t>
      </w:r>
      <w:r w:rsidR="00FF083B">
        <w:rPr>
          <w:noProof/>
        </w:rPr>
        <w:t>7</w:t>
      </w:r>
      <w:r w:rsidR="00D46017" w:rsidRPr="00DB3D39">
        <w:fldChar w:fldCharType="end"/>
      </w:r>
      <w:r w:rsidR="00D46017" w:rsidRPr="00DB3D39">
        <w:t xml:space="preserve">. </w:t>
      </w:r>
      <w:r w:rsidRPr="00DB3D39">
        <w:t xml:space="preserve">The submission noted that the differences between ribociclib and abemaciclib, for the selected key outcomes iDFS and DRFS, were not statistically significant. Therefore, the submission claimed that ribociclib plus adjuvant ET is non-inferior to abemaciclib plus adjuvant ET. </w:t>
      </w:r>
      <w:r w:rsidRPr="00112EE5">
        <w:t>The submission did not specify a non-inferiority margin; however, a non-inferiority margin of 1.4</w:t>
      </w:r>
      <w:r w:rsidR="006C226A" w:rsidRPr="00112EE5">
        <w:t xml:space="preserve"> for the </w:t>
      </w:r>
      <w:r w:rsidR="006C226A" w:rsidRPr="00112EE5">
        <w:rPr>
          <w:iCs/>
        </w:rPr>
        <w:t>upper bound of the 95% CI</w:t>
      </w:r>
      <w:r w:rsidRPr="00112EE5">
        <w:t xml:space="preserve"> was presented in previous submission</w:t>
      </w:r>
      <w:r w:rsidR="006346C0" w:rsidRPr="00112EE5">
        <w:t>s</w:t>
      </w:r>
      <w:r w:rsidRPr="00112EE5">
        <w:t xml:space="preserve"> for </w:t>
      </w:r>
      <w:r w:rsidR="006346C0" w:rsidRPr="00112EE5">
        <w:t>abemaciclib and</w:t>
      </w:r>
      <w:r w:rsidR="006346C0" w:rsidRPr="00112EE5" w:rsidDel="00D00E36">
        <w:t xml:space="preserve"> </w:t>
      </w:r>
      <w:r w:rsidRPr="00112EE5">
        <w:t>palbociclib in the advanced breast cancer setting</w:t>
      </w:r>
      <w:r w:rsidR="008249D0" w:rsidRPr="00112EE5">
        <w:t xml:space="preserve"> </w:t>
      </w:r>
      <w:r w:rsidR="008249D0" w:rsidRPr="00112EE5">
        <w:rPr>
          <w:iCs/>
        </w:rPr>
        <w:t>(para</w:t>
      </w:r>
      <w:r w:rsidR="00167645">
        <w:rPr>
          <w:iCs/>
        </w:rPr>
        <w:t>graph</w:t>
      </w:r>
      <w:r w:rsidR="008249D0" w:rsidRPr="00112EE5">
        <w:rPr>
          <w:iCs/>
        </w:rPr>
        <w:t xml:space="preserve"> </w:t>
      </w:r>
      <w:r w:rsidR="00D00E36" w:rsidRPr="00112EE5">
        <w:rPr>
          <w:iCs/>
        </w:rPr>
        <w:t>7.7</w:t>
      </w:r>
      <w:r w:rsidR="008249D0" w:rsidRPr="00112EE5">
        <w:t xml:space="preserve">, </w:t>
      </w:r>
      <w:r w:rsidR="00D00E36" w:rsidRPr="00112EE5">
        <w:t>abemaciclib</w:t>
      </w:r>
      <w:r w:rsidR="008249D0" w:rsidRPr="00112EE5">
        <w:t xml:space="preserve"> PSD, March 201</w:t>
      </w:r>
      <w:r w:rsidR="00D00E36" w:rsidRPr="00112EE5">
        <w:t>9</w:t>
      </w:r>
      <w:r w:rsidR="006346C0" w:rsidRPr="00112EE5">
        <w:t>; para</w:t>
      </w:r>
      <w:r w:rsidR="00167645">
        <w:t>graph</w:t>
      </w:r>
      <w:r w:rsidR="006346C0" w:rsidRPr="00112EE5">
        <w:t xml:space="preserve"> 5.11, palbociclib PSD, March</w:t>
      </w:r>
      <w:r w:rsidR="004272F2">
        <w:t> </w:t>
      </w:r>
      <w:r w:rsidR="006346C0" w:rsidRPr="00112EE5">
        <w:t>2018</w:t>
      </w:r>
      <w:r w:rsidR="008249D0" w:rsidRPr="00112EE5">
        <w:t>),</w:t>
      </w:r>
      <w:r w:rsidR="00B1541C" w:rsidRPr="00112EE5">
        <w:t xml:space="preserve"> noting that the outcome of interest in </w:t>
      </w:r>
      <w:r w:rsidR="006346C0" w:rsidRPr="00112EE5">
        <w:t>those</w:t>
      </w:r>
      <w:r w:rsidR="00B1541C" w:rsidRPr="00112EE5">
        <w:t xml:space="preserve"> submission</w:t>
      </w:r>
      <w:r w:rsidR="006346C0" w:rsidRPr="00112EE5">
        <w:t>s</w:t>
      </w:r>
      <w:r w:rsidR="00B1541C" w:rsidRPr="00112EE5">
        <w:t xml:space="preserve"> was progression free survival</w:t>
      </w:r>
      <w:r w:rsidR="006346C0" w:rsidRPr="00112EE5">
        <w:t xml:space="preserve"> (PFS)</w:t>
      </w:r>
      <w:r w:rsidR="00B1541C" w:rsidRPr="00112EE5">
        <w:t xml:space="preserve"> and not iDFS.</w:t>
      </w:r>
      <w:r w:rsidRPr="00112EE5">
        <w:t xml:space="preserve"> The proposed value </w:t>
      </w:r>
      <w:r w:rsidR="00D35E6A" w:rsidRPr="00112EE5">
        <w:t>(1.4)</w:t>
      </w:r>
      <w:r w:rsidRPr="00112EE5">
        <w:t xml:space="preserve"> was obtained from a literature review and was specific for eBC (Tanaka</w:t>
      </w:r>
      <w:r w:rsidR="00274FE8">
        <w:t>,</w:t>
      </w:r>
      <w:r w:rsidRPr="00112EE5">
        <w:t xml:space="preserve"> et al 2012), which is the target population in this submission. </w:t>
      </w:r>
    </w:p>
    <w:p w14:paraId="62C087D2" w14:textId="305C3DC5" w:rsidR="0088733B" w:rsidRPr="00DB3D39" w:rsidRDefault="009E17FC" w:rsidP="007C073C">
      <w:pPr>
        <w:pStyle w:val="3-BodyText"/>
      </w:pPr>
      <w:r w:rsidRPr="00DB3D39">
        <w:lastRenderedPageBreak/>
        <w:t xml:space="preserve">The indirect comparisons showed that ribociclib </w:t>
      </w:r>
      <w:r w:rsidRPr="00366783">
        <w:t xml:space="preserve">plus adjuvant AI had </w:t>
      </w:r>
      <w:r w:rsidR="00DE5B7A" w:rsidRPr="00366783">
        <w:t>similar relative</w:t>
      </w:r>
      <w:r w:rsidRPr="00366783">
        <w:t xml:space="preserve"> clinical benefit compared to abemaciclib plus adjuvant AI with</w:t>
      </w:r>
      <w:r w:rsidRPr="00DB3D39">
        <w:t xml:space="preserve"> respect to iDFS (HR 1.01, 95% CI: 0.78, 1.30; p = 0.9496) and DRFS (HR 1.00, 0.76, 1.32; p = 0.9845)</w:t>
      </w:r>
      <w:bookmarkStart w:id="36" w:name="_Ref190425854"/>
      <w:r w:rsidR="00224EF4">
        <w:rPr>
          <w:rStyle w:val="FootnoteReference"/>
        </w:rPr>
        <w:footnoteReference w:id="7"/>
      </w:r>
      <w:bookmarkEnd w:id="36"/>
      <w:r w:rsidRPr="00DB3D39">
        <w:t xml:space="preserve">. </w:t>
      </w:r>
      <w:r w:rsidR="00D35E6A" w:rsidRPr="00112EE5">
        <w:rPr>
          <w:iCs/>
        </w:rPr>
        <w:t>In general, t</w:t>
      </w:r>
      <w:r w:rsidR="004F0E49" w:rsidRPr="00112EE5">
        <w:rPr>
          <w:iCs/>
        </w:rPr>
        <w:t xml:space="preserve">he </w:t>
      </w:r>
      <w:r w:rsidR="00D35E6A" w:rsidRPr="00112EE5">
        <w:rPr>
          <w:iCs/>
        </w:rPr>
        <w:t xml:space="preserve">ITC </w:t>
      </w:r>
      <w:r w:rsidR="004F0E49" w:rsidRPr="00112EE5">
        <w:rPr>
          <w:iCs/>
        </w:rPr>
        <w:t>HR</w:t>
      </w:r>
      <w:r w:rsidR="00D35E6A" w:rsidRPr="00112EE5">
        <w:rPr>
          <w:iCs/>
        </w:rPr>
        <w:t>s</w:t>
      </w:r>
      <w:r w:rsidR="00BC0F41" w:rsidRPr="00112EE5">
        <w:t xml:space="preserve"> for </w:t>
      </w:r>
      <w:r w:rsidR="00195220" w:rsidRPr="00112EE5">
        <w:t xml:space="preserve">all outcomes </w:t>
      </w:r>
      <w:r w:rsidR="00DE5B7A">
        <w:rPr>
          <w:iCs/>
        </w:rPr>
        <w:t>were close to</w:t>
      </w:r>
      <w:r w:rsidR="004F0E49" w:rsidRPr="00112EE5">
        <w:t xml:space="preserve"> </w:t>
      </w:r>
      <w:r w:rsidR="00195220" w:rsidRPr="00112EE5">
        <w:t>1</w:t>
      </w:r>
      <w:r w:rsidR="00D35E6A" w:rsidRPr="00112EE5">
        <w:t xml:space="preserve"> and in all cases the difference was not found to be statistically significant</w:t>
      </w:r>
      <w:r w:rsidR="00AD0E4D" w:rsidRPr="00112EE5">
        <w:t>.</w:t>
      </w:r>
      <w:r w:rsidR="00244EDB" w:rsidRPr="00112EE5">
        <w:t xml:space="preserve"> </w:t>
      </w:r>
    </w:p>
    <w:p w14:paraId="620936F8" w14:textId="0B08B15F" w:rsidR="00274FE8" w:rsidRPr="00276A8E" w:rsidRDefault="00274FE8" w:rsidP="007C073C">
      <w:pPr>
        <w:pStyle w:val="3-BodyText"/>
      </w:pPr>
      <w:r w:rsidRPr="00276A8E">
        <w:t>The PSCR presented updated results of the indirect treatment comparison (ITC) based on updated outcomes from NATALEE (PBS subgroup) for iDFS and DRFS.</w:t>
      </w:r>
      <w:r w:rsidR="00D340F7" w:rsidRPr="00276A8E">
        <w:t xml:space="preserve"> The date of the new </w:t>
      </w:r>
      <w:r w:rsidR="00EA101A">
        <w:t>DCO</w:t>
      </w:r>
      <w:r w:rsidR="00D340F7" w:rsidRPr="00276A8E">
        <w:t xml:space="preserve"> and the proportion of patients still on treatment was not stated in the PSCR.</w:t>
      </w:r>
      <w:r w:rsidRPr="00276A8E">
        <w:t xml:space="preserve"> The reported HR for iDFS was 0.719 (95%CI: 0.599, 0.862; p &lt; 0.001) compared to the reported HR of 0.744 (95%CI: 0.609, 0.908; p=0.002)</w:t>
      </w:r>
      <w:r w:rsidR="007C738A" w:rsidRPr="007C738A">
        <w:rPr>
          <w:vertAlign w:val="superscript"/>
        </w:rPr>
        <w:fldChar w:fldCharType="begin" w:fldLock="1"/>
      </w:r>
      <w:r w:rsidR="007C738A" w:rsidRPr="007C738A">
        <w:rPr>
          <w:vertAlign w:val="superscript"/>
        </w:rPr>
        <w:instrText xml:space="preserve"> NOTEREF _Ref190425854 \h </w:instrText>
      </w:r>
      <w:r w:rsidR="007C738A">
        <w:rPr>
          <w:vertAlign w:val="superscript"/>
        </w:rPr>
        <w:instrText xml:space="preserve"> \* MERGEFORMAT </w:instrText>
      </w:r>
      <w:r w:rsidR="007C738A" w:rsidRPr="007C738A">
        <w:rPr>
          <w:vertAlign w:val="superscript"/>
        </w:rPr>
      </w:r>
      <w:r w:rsidR="007C738A" w:rsidRPr="007C738A">
        <w:rPr>
          <w:vertAlign w:val="superscript"/>
        </w:rPr>
        <w:fldChar w:fldCharType="separate"/>
      </w:r>
      <w:r w:rsidR="007C738A" w:rsidRPr="007C738A">
        <w:rPr>
          <w:vertAlign w:val="superscript"/>
        </w:rPr>
        <w:t>6</w:t>
      </w:r>
      <w:r w:rsidR="007C738A" w:rsidRPr="007C738A">
        <w:rPr>
          <w:vertAlign w:val="superscript"/>
        </w:rPr>
        <w:fldChar w:fldCharType="end"/>
      </w:r>
      <w:r w:rsidRPr="00276A8E">
        <w:t xml:space="preserve"> from </w:t>
      </w:r>
      <w:r w:rsidR="00D340F7" w:rsidRPr="00276A8E">
        <w:t xml:space="preserve">the </w:t>
      </w:r>
      <w:r w:rsidRPr="00276A8E">
        <w:t xml:space="preserve">July 2023 DCO presented in submission. Similarly, the updated results for DRFS showed a HR of 0.707 (95%CI: 0.578, 0.864; p &lt; 0.001) compared to HR of 0.735 (95%CI: 0.590, 0.916; </w:t>
      </w:r>
      <w:r w:rsidR="004272F2" w:rsidRPr="00276A8E">
        <w:t>p</w:t>
      </w:r>
      <w:r w:rsidR="004272F2">
        <w:t> </w:t>
      </w:r>
      <w:r w:rsidRPr="00276A8E">
        <w:t>=</w:t>
      </w:r>
      <w:r w:rsidR="004272F2">
        <w:t> </w:t>
      </w:r>
      <w:r w:rsidRPr="00276A8E">
        <w:t>0.003)</w:t>
      </w:r>
      <w:r w:rsidR="007C738A" w:rsidRPr="007C738A">
        <w:rPr>
          <w:vertAlign w:val="superscript"/>
        </w:rPr>
        <w:fldChar w:fldCharType="begin" w:fldLock="1"/>
      </w:r>
      <w:r w:rsidR="007C738A" w:rsidRPr="007C738A">
        <w:rPr>
          <w:vertAlign w:val="superscript"/>
        </w:rPr>
        <w:instrText xml:space="preserve"> NOTEREF _Ref190425854 \h </w:instrText>
      </w:r>
      <w:r w:rsidR="007C738A">
        <w:rPr>
          <w:vertAlign w:val="superscript"/>
        </w:rPr>
        <w:instrText xml:space="preserve"> \* MERGEFORMAT </w:instrText>
      </w:r>
      <w:r w:rsidR="007C738A" w:rsidRPr="007C738A">
        <w:rPr>
          <w:vertAlign w:val="superscript"/>
        </w:rPr>
      </w:r>
      <w:r w:rsidR="007C738A" w:rsidRPr="007C738A">
        <w:rPr>
          <w:vertAlign w:val="superscript"/>
        </w:rPr>
        <w:fldChar w:fldCharType="separate"/>
      </w:r>
      <w:r w:rsidR="007C738A" w:rsidRPr="007C738A">
        <w:rPr>
          <w:vertAlign w:val="superscript"/>
        </w:rPr>
        <w:t>6</w:t>
      </w:r>
      <w:r w:rsidR="007C738A" w:rsidRPr="007C738A">
        <w:rPr>
          <w:vertAlign w:val="superscript"/>
        </w:rPr>
        <w:fldChar w:fldCharType="end"/>
      </w:r>
      <w:r w:rsidRPr="00276A8E">
        <w:t xml:space="preserve"> from the July 2023 DCO. The PSCR stated that the updated ITC results show that ribociclib is not statistically significantly different to abemaciclib for iDFS and DRFS and that the upper limit of the 95% CIs did not exceed the non-inferiority margin of 1.40. These results should be interpreted with caution given that critical aspects of the updated analysis including patient numbers at risk, date and nature (pre-planned analysis or ad hoc) of the DCO, and corresponding updated safety data were not presented in the PSCR.</w:t>
      </w:r>
    </w:p>
    <w:p w14:paraId="794591F1" w14:textId="30969345" w:rsidR="004F0E49" w:rsidRPr="00DB3D39" w:rsidRDefault="007714AD" w:rsidP="00C0158B">
      <w:pPr>
        <w:pStyle w:val="TableHeading"/>
        <w:keepLines/>
        <w:spacing w:before="0" w:after="0"/>
      </w:pPr>
      <w:bookmarkStart w:id="37" w:name="_Ref176858586"/>
      <w:r w:rsidRPr="00DB3D39">
        <w:lastRenderedPageBreak/>
        <w:t xml:space="preserve">Table </w:t>
      </w:r>
      <w:r w:rsidR="00FF083B">
        <w:fldChar w:fldCharType="begin" w:fldLock="1"/>
      </w:r>
      <w:r w:rsidR="00FF083B">
        <w:instrText xml:space="preserve"> SEQ Table \* ARABIC </w:instrText>
      </w:r>
      <w:r w:rsidR="00FF083B">
        <w:fldChar w:fldCharType="separate"/>
      </w:r>
      <w:r w:rsidR="00FF083B">
        <w:rPr>
          <w:noProof/>
        </w:rPr>
        <w:t>7</w:t>
      </w:r>
      <w:r w:rsidR="00FF083B">
        <w:rPr>
          <w:noProof/>
        </w:rPr>
        <w:fldChar w:fldCharType="end"/>
      </w:r>
      <w:bookmarkEnd w:id="37"/>
      <w:r w:rsidR="004F0E49" w:rsidRPr="00DB3D39">
        <w:t>: Bucher indirect comparison of efficacy outcomes for the nominated PBS population</w:t>
      </w:r>
    </w:p>
    <w:tbl>
      <w:tblPr>
        <w:tblStyle w:val="Summarybox6"/>
        <w:tblW w:w="5000" w:type="pct"/>
        <w:tblLook w:val="04A0" w:firstRow="1" w:lastRow="0" w:firstColumn="1" w:lastColumn="0" w:noHBand="0" w:noVBand="1"/>
      </w:tblPr>
      <w:tblGrid>
        <w:gridCol w:w="2182"/>
        <w:gridCol w:w="1174"/>
        <w:gridCol w:w="1177"/>
        <w:gridCol w:w="1177"/>
        <w:gridCol w:w="1544"/>
        <w:gridCol w:w="1762"/>
      </w:tblGrid>
      <w:tr w:rsidR="004F0E49" w:rsidRPr="00DB3D39" w14:paraId="1EFB163D" w14:textId="77777777">
        <w:trPr>
          <w:trHeight w:val="283"/>
          <w:tblHeader/>
        </w:trPr>
        <w:tc>
          <w:tcPr>
            <w:tcW w:w="1210" w:type="pct"/>
            <w:shd w:val="clear" w:color="auto" w:fill="auto"/>
            <w:vAlign w:val="center"/>
          </w:tcPr>
          <w:p w14:paraId="7CFCD324" w14:textId="77777777" w:rsidR="004F0E49" w:rsidRPr="004272F2" w:rsidRDefault="004F0E49" w:rsidP="00C0158B">
            <w:pPr>
              <w:pStyle w:val="In-tableHeading"/>
              <w:rPr>
                <w:sz w:val="20"/>
                <w:szCs w:val="20"/>
                <w:lang w:val="en-AU"/>
              </w:rPr>
            </w:pPr>
            <w:r w:rsidRPr="004272F2">
              <w:rPr>
                <w:sz w:val="20"/>
                <w:szCs w:val="20"/>
                <w:lang w:val="en-AU"/>
              </w:rPr>
              <w:t>Trial</w:t>
            </w:r>
          </w:p>
        </w:tc>
        <w:tc>
          <w:tcPr>
            <w:tcW w:w="651" w:type="pct"/>
            <w:shd w:val="clear" w:color="auto" w:fill="auto"/>
            <w:vAlign w:val="center"/>
          </w:tcPr>
          <w:p w14:paraId="0A3D1161" w14:textId="77777777" w:rsidR="004F0E49" w:rsidRPr="004272F2" w:rsidRDefault="004F0E49" w:rsidP="00C0158B">
            <w:pPr>
              <w:pStyle w:val="In-tableHeading"/>
              <w:rPr>
                <w:sz w:val="20"/>
                <w:szCs w:val="20"/>
                <w:lang w:val="en-AU"/>
              </w:rPr>
            </w:pPr>
            <w:r w:rsidRPr="004272F2">
              <w:rPr>
                <w:sz w:val="20"/>
                <w:szCs w:val="20"/>
                <w:lang w:val="en-AU"/>
              </w:rPr>
              <w:t>Comparison</w:t>
            </w:r>
          </w:p>
        </w:tc>
        <w:tc>
          <w:tcPr>
            <w:tcW w:w="653" w:type="pct"/>
            <w:shd w:val="clear" w:color="auto" w:fill="auto"/>
            <w:vAlign w:val="center"/>
          </w:tcPr>
          <w:p w14:paraId="63D06F1B" w14:textId="77777777" w:rsidR="004F0E49" w:rsidRPr="004272F2" w:rsidRDefault="004F0E49" w:rsidP="00C0158B">
            <w:pPr>
              <w:pStyle w:val="In-tableHeading"/>
              <w:rPr>
                <w:rFonts w:cstheme="minorHAnsi"/>
                <w:b w:val="0"/>
                <w:sz w:val="20"/>
                <w:szCs w:val="20"/>
                <w:lang w:val="en-AU"/>
              </w:rPr>
            </w:pPr>
            <w:r w:rsidRPr="004272F2">
              <w:rPr>
                <w:sz w:val="20"/>
                <w:szCs w:val="20"/>
                <w:lang w:val="en-AU"/>
              </w:rPr>
              <w:t>Intervention</w:t>
            </w:r>
          </w:p>
          <w:p w14:paraId="4E4359D7" w14:textId="77777777" w:rsidR="004F0E49" w:rsidRPr="004272F2" w:rsidRDefault="004F0E49" w:rsidP="00C0158B">
            <w:pPr>
              <w:pStyle w:val="In-tableHeading"/>
              <w:rPr>
                <w:sz w:val="20"/>
                <w:szCs w:val="20"/>
                <w:lang w:val="en-AU"/>
              </w:rPr>
            </w:pPr>
            <w:r w:rsidRPr="004272F2">
              <w:rPr>
                <w:sz w:val="20"/>
                <w:szCs w:val="20"/>
                <w:lang w:val="en-AU"/>
              </w:rPr>
              <w:t>Events/N (%)</w:t>
            </w:r>
          </w:p>
        </w:tc>
        <w:tc>
          <w:tcPr>
            <w:tcW w:w="653" w:type="pct"/>
            <w:shd w:val="clear" w:color="auto" w:fill="auto"/>
            <w:vAlign w:val="center"/>
          </w:tcPr>
          <w:p w14:paraId="08DA70B0" w14:textId="77777777" w:rsidR="004F0E49" w:rsidRPr="004272F2" w:rsidRDefault="004F0E49" w:rsidP="00C0158B">
            <w:pPr>
              <w:pStyle w:val="In-tableHeading"/>
              <w:rPr>
                <w:rFonts w:cstheme="minorHAnsi"/>
                <w:b w:val="0"/>
                <w:sz w:val="20"/>
                <w:szCs w:val="20"/>
                <w:lang w:val="en-AU"/>
              </w:rPr>
            </w:pPr>
            <w:r w:rsidRPr="004272F2">
              <w:rPr>
                <w:sz w:val="20"/>
                <w:szCs w:val="20"/>
                <w:lang w:val="en-AU"/>
              </w:rPr>
              <w:t>ET alone</w:t>
            </w:r>
          </w:p>
          <w:p w14:paraId="3F21D2C6" w14:textId="77777777" w:rsidR="004F0E49" w:rsidRPr="004272F2" w:rsidRDefault="004F0E49" w:rsidP="00C0158B">
            <w:pPr>
              <w:pStyle w:val="In-tableHeading"/>
              <w:rPr>
                <w:sz w:val="20"/>
                <w:szCs w:val="20"/>
                <w:lang w:val="en-AU"/>
              </w:rPr>
            </w:pPr>
            <w:r w:rsidRPr="004272F2">
              <w:rPr>
                <w:sz w:val="20"/>
                <w:szCs w:val="20"/>
                <w:lang w:val="en-AU"/>
              </w:rPr>
              <w:t>Events/N (%)</w:t>
            </w:r>
          </w:p>
        </w:tc>
        <w:tc>
          <w:tcPr>
            <w:tcW w:w="856" w:type="pct"/>
            <w:shd w:val="clear" w:color="auto" w:fill="auto"/>
            <w:vAlign w:val="center"/>
          </w:tcPr>
          <w:p w14:paraId="0F9FD0AC" w14:textId="08F62DA1" w:rsidR="004F0E49" w:rsidRPr="004272F2" w:rsidRDefault="004F0E49" w:rsidP="00C0158B">
            <w:pPr>
              <w:pStyle w:val="In-tableHeading"/>
              <w:rPr>
                <w:sz w:val="20"/>
                <w:szCs w:val="20"/>
                <w:lang w:val="en-AU"/>
              </w:rPr>
            </w:pPr>
            <w:r w:rsidRPr="004272F2">
              <w:rPr>
                <w:sz w:val="20"/>
                <w:szCs w:val="20"/>
                <w:lang w:val="en-AU"/>
              </w:rPr>
              <w:t>KM estimates at 3 years (</w:t>
            </w:r>
            <w:r w:rsidR="00D35E6A" w:rsidRPr="004272F2">
              <w:rPr>
                <w:bCs/>
                <w:sz w:val="20"/>
                <w:szCs w:val="20"/>
                <w:lang w:val="en-AU"/>
              </w:rPr>
              <w:t>a</w:t>
            </w:r>
            <w:r w:rsidRPr="004272F2">
              <w:rPr>
                <w:bCs/>
                <w:sz w:val="20"/>
                <w:szCs w:val="20"/>
                <w:lang w:val="en-AU"/>
              </w:rPr>
              <w:t>bsolute</w:t>
            </w:r>
            <w:r w:rsidRPr="004272F2">
              <w:rPr>
                <w:sz w:val="20"/>
                <w:szCs w:val="20"/>
                <w:lang w:val="en-AU"/>
              </w:rPr>
              <w:t xml:space="preserve"> difference) </w:t>
            </w:r>
          </w:p>
        </w:tc>
        <w:tc>
          <w:tcPr>
            <w:tcW w:w="977" w:type="pct"/>
            <w:shd w:val="clear" w:color="auto" w:fill="auto"/>
            <w:vAlign w:val="center"/>
          </w:tcPr>
          <w:p w14:paraId="011508B1" w14:textId="4C1A4DCF" w:rsidR="004F0E49" w:rsidRPr="004272F2" w:rsidRDefault="004F0E49" w:rsidP="00C0158B">
            <w:pPr>
              <w:pStyle w:val="In-tableHeading"/>
              <w:rPr>
                <w:sz w:val="20"/>
                <w:szCs w:val="20"/>
                <w:lang w:val="en-AU"/>
              </w:rPr>
            </w:pPr>
            <w:r w:rsidRPr="004272F2">
              <w:rPr>
                <w:sz w:val="20"/>
                <w:szCs w:val="20"/>
                <w:lang w:val="en-AU"/>
              </w:rPr>
              <w:t xml:space="preserve">Hazard Ratio </w:t>
            </w:r>
            <w:r w:rsidR="00D35E6A" w:rsidRPr="004272F2">
              <w:rPr>
                <w:bCs/>
                <w:sz w:val="20"/>
                <w:szCs w:val="20"/>
                <w:lang w:val="en-AU"/>
              </w:rPr>
              <w:t>(</w:t>
            </w:r>
            <w:r w:rsidRPr="004272F2">
              <w:rPr>
                <w:sz w:val="20"/>
                <w:szCs w:val="20"/>
                <w:lang w:val="en-AU"/>
              </w:rPr>
              <w:t>95% CI</w:t>
            </w:r>
            <w:r w:rsidR="00D35E6A" w:rsidRPr="004272F2">
              <w:rPr>
                <w:bCs/>
                <w:sz w:val="20"/>
                <w:szCs w:val="20"/>
                <w:lang w:val="en-AU"/>
              </w:rPr>
              <w:t>)</w:t>
            </w:r>
            <w:r w:rsidRPr="004272F2">
              <w:rPr>
                <w:bCs/>
                <w:sz w:val="20"/>
                <w:szCs w:val="20"/>
                <w:lang w:val="en-AU"/>
              </w:rPr>
              <w:t>;</w:t>
            </w:r>
            <w:r w:rsidRPr="004272F2">
              <w:rPr>
                <w:sz w:val="20"/>
                <w:szCs w:val="20"/>
                <w:lang w:val="en-AU"/>
              </w:rPr>
              <w:t xml:space="preserve"> p value</w:t>
            </w:r>
          </w:p>
        </w:tc>
      </w:tr>
      <w:tr w:rsidR="004F0E49" w:rsidRPr="00DB3D39" w14:paraId="510F5575" w14:textId="77777777">
        <w:trPr>
          <w:trHeight w:val="70"/>
        </w:trPr>
        <w:tc>
          <w:tcPr>
            <w:tcW w:w="5000" w:type="pct"/>
            <w:gridSpan w:val="6"/>
            <w:shd w:val="clear" w:color="auto" w:fill="auto"/>
            <w:vAlign w:val="center"/>
          </w:tcPr>
          <w:p w14:paraId="2190F4E2" w14:textId="77777777" w:rsidR="004F0E49" w:rsidRPr="004272F2" w:rsidRDefault="004F0E49" w:rsidP="00C0158B">
            <w:pPr>
              <w:pStyle w:val="TableText0"/>
              <w:rPr>
                <w:b/>
                <w:sz w:val="20"/>
                <w:szCs w:val="20"/>
              </w:rPr>
            </w:pPr>
            <w:r w:rsidRPr="004272F2">
              <w:rPr>
                <w:b/>
                <w:sz w:val="20"/>
                <w:szCs w:val="20"/>
              </w:rPr>
              <w:t>iDFS (Primary outcome)</w:t>
            </w:r>
          </w:p>
        </w:tc>
      </w:tr>
      <w:tr w:rsidR="004F0E49" w:rsidRPr="00DB3D39" w14:paraId="0E1307E1" w14:textId="77777777">
        <w:trPr>
          <w:trHeight w:val="70"/>
        </w:trPr>
        <w:tc>
          <w:tcPr>
            <w:tcW w:w="1210" w:type="pct"/>
            <w:shd w:val="clear" w:color="auto" w:fill="auto"/>
            <w:vAlign w:val="center"/>
          </w:tcPr>
          <w:p w14:paraId="544E5969" w14:textId="3BE96A00" w:rsidR="004F0E49" w:rsidRPr="004272F2" w:rsidRDefault="004F0E49" w:rsidP="00C0158B">
            <w:pPr>
              <w:pStyle w:val="TableText0"/>
              <w:rPr>
                <w:sz w:val="20"/>
                <w:szCs w:val="20"/>
              </w:rPr>
            </w:pPr>
            <w:r w:rsidRPr="004272F2">
              <w:rPr>
                <w:sz w:val="20"/>
                <w:szCs w:val="20"/>
              </w:rPr>
              <w:t xml:space="preserve">NATALEE PBS </w:t>
            </w:r>
            <w:r w:rsidR="00D35E6A" w:rsidRPr="004272F2">
              <w:rPr>
                <w:sz w:val="20"/>
                <w:szCs w:val="20"/>
              </w:rPr>
              <w:t>subgroup</w:t>
            </w:r>
            <w:r w:rsidRPr="004272F2">
              <w:rPr>
                <w:sz w:val="20"/>
                <w:szCs w:val="20"/>
              </w:rPr>
              <w:t>^</w:t>
            </w:r>
          </w:p>
        </w:tc>
        <w:tc>
          <w:tcPr>
            <w:tcW w:w="651" w:type="pct"/>
            <w:shd w:val="clear" w:color="auto" w:fill="auto"/>
            <w:vAlign w:val="center"/>
          </w:tcPr>
          <w:p w14:paraId="5CC8E284" w14:textId="77777777" w:rsidR="004F0E49" w:rsidRPr="004272F2" w:rsidRDefault="004F0E49" w:rsidP="00C0158B">
            <w:pPr>
              <w:pStyle w:val="TableText0"/>
              <w:rPr>
                <w:sz w:val="20"/>
                <w:szCs w:val="20"/>
              </w:rPr>
            </w:pPr>
            <w:r w:rsidRPr="004272F2">
              <w:rPr>
                <w:sz w:val="20"/>
                <w:szCs w:val="20"/>
              </w:rPr>
              <w:t>RIB+ET vs ET</w:t>
            </w:r>
          </w:p>
        </w:tc>
        <w:tc>
          <w:tcPr>
            <w:tcW w:w="653" w:type="pct"/>
            <w:shd w:val="clear" w:color="auto" w:fill="auto"/>
            <w:vAlign w:val="center"/>
          </w:tcPr>
          <w:p w14:paraId="21A6C5D6" w14:textId="77777777" w:rsidR="004F0E49" w:rsidRPr="004272F2" w:rsidRDefault="004F0E49" w:rsidP="00C0158B">
            <w:pPr>
              <w:pStyle w:val="TableText0"/>
              <w:rPr>
                <w:sz w:val="20"/>
                <w:szCs w:val="20"/>
              </w:rPr>
            </w:pPr>
            <w:r w:rsidRPr="004272F2">
              <w:rPr>
                <w:rFonts w:cstheme="minorBidi"/>
                <w:sz w:val="20"/>
                <w:szCs w:val="20"/>
              </w:rPr>
              <w:t>177/1,659 (10.7)</w:t>
            </w:r>
          </w:p>
        </w:tc>
        <w:tc>
          <w:tcPr>
            <w:tcW w:w="653" w:type="pct"/>
            <w:shd w:val="clear" w:color="auto" w:fill="auto"/>
            <w:vAlign w:val="center"/>
          </w:tcPr>
          <w:p w14:paraId="16005B17" w14:textId="77777777" w:rsidR="004F0E49" w:rsidRPr="004272F2" w:rsidRDefault="004F0E49" w:rsidP="00C0158B">
            <w:pPr>
              <w:pStyle w:val="TableText0"/>
              <w:rPr>
                <w:sz w:val="20"/>
                <w:szCs w:val="20"/>
              </w:rPr>
            </w:pPr>
            <w:r w:rsidRPr="004272F2">
              <w:rPr>
                <w:rFonts w:cstheme="minorBidi"/>
                <w:sz w:val="20"/>
                <w:szCs w:val="20"/>
              </w:rPr>
              <w:t>218/1,649 (13.2)</w:t>
            </w:r>
          </w:p>
        </w:tc>
        <w:tc>
          <w:tcPr>
            <w:tcW w:w="856" w:type="pct"/>
            <w:shd w:val="clear" w:color="auto" w:fill="auto"/>
            <w:vAlign w:val="center"/>
          </w:tcPr>
          <w:p w14:paraId="26B34B9C" w14:textId="77777777" w:rsidR="004F0E49" w:rsidRPr="004272F2" w:rsidRDefault="004F0E49" w:rsidP="00C0158B">
            <w:pPr>
              <w:pStyle w:val="TableText0"/>
              <w:rPr>
                <w:sz w:val="20"/>
                <w:szCs w:val="20"/>
              </w:rPr>
            </w:pPr>
            <w:r w:rsidRPr="004272F2">
              <w:rPr>
                <w:sz w:val="20"/>
                <w:szCs w:val="20"/>
              </w:rPr>
              <w:t>88.6% vs 84.3% (4.3%)</w:t>
            </w:r>
          </w:p>
        </w:tc>
        <w:tc>
          <w:tcPr>
            <w:tcW w:w="977" w:type="pct"/>
            <w:tcBorders>
              <w:bottom w:val="single" w:sz="4" w:space="0" w:color="auto"/>
            </w:tcBorders>
            <w:shd w:val="clear" w:color="auto" w:fill="auto"/>
            <w:vAlign w:val="center"/>
          </w:tcPr>
          <w:p w14:paraId="476879BC" w14:textId="1CD11B36" w:rsidR="004F0E49" w:rsidRPr="004272F2" w:rsidRDefault="004F0E49" w:rsidP="00C0158B">
            <w:pPr>
              <w:pStyle w:val="TableText0"/>
              <w:rPr>
                <w:b/>
                <w:sz w:val="20"/>
                <w:szCs w:val="20"/>
              </w:rPr>
            </w:pPr>
            <w:r w:rsidRPr="004272F2">
              <w:rPr>
                <w:rFonts w:cstheme="minorBidi"/>
                <w:b/>
                <w:sz w:val="20"/>
                <w:szCs w:val="20"/>
              </w:rPr>
              <w:t xml:space="preserve">0.744 </w:t>
            </w:r>
            <w:r w:rsidR="00D35E6A" w:rsidRPr="004272F2">
              <w:rPr>
                <w:rFonts w:cstheme="minorBidi"/>
                <w:b/>
                <w:bCs w:val="0"/>
                <w:sz w:val="20"/>
                <w:szCs w:val="20"/>
              </w:rPr>
              <w:t>(</w:t>
            </w:r>
            <w:r w:rsidRPr="004272F2">
              <w:rPr>
                <w:rFonts w:cstheme="minorBidi"/>
                <w:b/>
                <w:sz w:val="20"/>
                <w:szCs w:val="20"/>
              </w:rPr>
              <w:t>0.609, 0.908</w:t>
            </w:r>
            <w:r w:rsidR="00D35E6A" w:rsidRPr="004272F2">
              <w:rPr>
                <w:rFonts w:cstheme="minorBidi"/>
                <w:b/>
                <w:bCs w:val="0"/>
                <w:sz w:val="20"/>
                <w:szCs w:val="20"/>
              </w:rPr>
              <w:t>)</w:t>
            </w:r>
            <w:r w:rsidRPr="004272F2">
              <w:rPr>
                <w:rFonts w:cstheme="minorBidi"/>
                <w:b/>
                <w:bCs w:val="0"/>
                <w:sz w:val="20"/>
                <w:szCs w:val="20"/>
              </w:rPr>
              <w:t>;</w:t>
            </w:r>
            <w:r w:rsidRPr="004272F2">
              <w:rPr>
                <w:rFonts w:cstheme="minorBidi"/>
                <w:b/>
                <w:sz w:val="20"/>
                <w:szCs w:val="20"/>
              </w:rPr>
              <w:t xml:space="preserve"> p = 0.002</w:t>
            </w:r>
          </w:p>
        </w:tc>
      </w:tr>
      <w:tr w:rsidR="004F0E49" w:rsidRPr="00DB3D39" w14:paraId="61E76947" w14:textId="77777777">
        <w:trPr>
          <w:trHeight w:val="70"/>
        </w:trPr>
        <w:tc>
          <w:tcPr>
            <w:tcW w:w="1210" w:type="pct"/>
            <w:shd w:val="clear" w:color="auto" w:fill="auto"/>
            <w:vAlign w:val="center"/>
          </w:tcPr>
          <w:p w14:paraId="0B21E968" w14:textId="38E70214" w:rsidR="004F0E49" w:rsidRPr="004272F2" w:rsidRDefault="0048543B" w:rsidP="00C0158B">
            <w:pPr>
              <w:pStyle w:val="TableText0"/>
              <w:rPr>
                <w:sz w:val="20"/>
                <w:szCs w:val="20"/>
              </w:rPr>
            </w:pPr>
            <w:r w:rsidRPr="004272F2">
              <w:rPr>
                <w:sz w:val="20"/>
                <w:szCs w:val="20"/>
              </w:rPr>
              <w:t>m</w:t>
            </w:r>
            <w:r w:rsidR="00D35E6A" w:rsidRPr="004272F2">
              <w:rPr>
                <w:sz w:val="20"/>
                <w:szCs w:val="20"/>
              </w:rPr>
              <w:t xml:space="preserve">onarchE </w:t>
            </w:r>
            <w:r w:rsidRPr="004272F2">
              <w:rPr>
                <w:sz w:val="20"/>
                <w:szCs w:val="20"/>
              </w:rPr>
              <w:t>a</w:t>
            </w:r>
            <w:r w:rsidR="00D35E6A" w:rsidRPr="004272F2">
              <w:rPr>
                <w:sz w:val="20"/>
                <w:szCs w:val="20"/>
              </w:rPr>
              <w:t xml:space="preserve">djuvant AI subgroup </w:t>
            </w:r>
            <w:r w:rsidR="004F0E49" w:rsidRPr="004272F2">
              <w:rPr>
                <w:sz w:val="20"/>
                <w:szCs w:val="20"/>
              </w:rPr>
              <w:t>(excluding tamoxifen as ET)</w:t>
            </w:r>
            <w:r w:rsidR="00A03ED9" w:rsidRPr="004272F2">
              <w:rPr>
                <w:sz w:val="20"/>
                <w:szCs w:val="20"/>
              </w:rPr>
              <w:t>*</w:t>
            </w:r>
          </w:p>
        </w:tc>
        <w:tc>
          <w:tcPr>
            <w:tcW w:w="651" w:type="pct"/>
            <w:shd w:val="clear" w:color="auto" w:fill="auto"/>
            <w:vAlign w:val="center"/>
          </w:tcPr>
          <w:p w14:paraId="2F03E3C5" w14:textId="77777777" w:rsidR="004F0E49" w:rsidRPr="004272F2" w:rsidRDefault="004F0E49" w:rsidP="00C0158B">
            <w:pPr>
              <w:pStyle w:val="TableText0"/>
              <w:rPr>
                <w:sz w:val="20"/>
                <w:szCs w:val="20"/>
              </w:rPr>
            </w:pPr>
            <w:r w:rsidRPr="004272F2">
              <w:rPr>
                <w:sz w:val="20"/>
                <w:szCs w:val="20"/>
              </w:rPr>
              <w:t>ABE+ET vs ET</w:t>
            </w:r>
          </w:p>
        </w:tc>
        <w:tc>
          <w:tcPr>
            <w:tcW w:w="653" w:type="pct"/>
            <w:shd w:val="clear" w:color="auto" w:fill="auto"/>
            <w:vAlign w:val="center"/>
          </w:tcPr>
          <w:p w14:paraId="4345BDC1" w14:textId="77777777" w:rsidR="004F0E49" w:rsidRPr="004272F2" w:rsidRDefault="004F0E49" w:rsidP="00C0158B">
            <w:pPr>
              <w:pStyle w:val="TableText0"/>
              <w:rPr>
                <w:rFonts w:cstheme="minorBidi"/>
                <w:sz w:val="20"/>
                <w:szCs w:val="20"/>
              </w:rPr>
            </w:pPr>
            <w:r w:rsidRPr="004272F2">
              <w:rPr>
                <w:rFonts w:cstheme="minorBidi"/>
                <w:sz w:val="20"/>
                <w:szCs w:val="20"/>
              </w:rPr>
              <w:t>293/1,931 (15.2)</w:t>
            </w:r>
          </w:p>
        </w:tc>
        <w:tc>
          <w:tcPr>
            <w:tcW w:w="653" w:type="pct"/>
            <w:shd w:val="clear" w:color="auto" w:fill="auto"/>
            <w:vAlign w:val="center"/>
          </w:tcPr>
          <w:p w14:paraId="658D7000" w14:textId="77777777" w:rsidR="004F0E49" w:rsidRPr="004272F2" w:rsidRDefault="004F0E49" w:rsidP="00C0158B">
            <w:pPr>
              <w:pStyle w:val="TableText0"/>
              <w:rPr>
                <w:rFonts w:cstheme="minorBidi"/>
                <w:sz w:val="20"/>
                <w:szCs w:val="20"/>
              </w:rPr>
            </w:pPr>
            <w:r w:rsidRPr="004272F2">
              <w:rPr>
                <w:rFonts w:cstheme="minorBidi"/>
                <w:sz w:val="20"/>
                <w:szCs w:val="20"/>
              </w:rPr>
              <w:t>386/1,887 (20.5)</w:t>
            </w:r>
          </w:p>
        </w:tc>
        <w:tc>
          <w:tcPr>
            <w:tcW w:w="856" w:type="pct"/>
            <w:shd w:val="clear" w:color="auto" w:fill="auto"/>
            <w:vAlign w:val="center"/>
          </w:tcPr>
          <w:p w14:paraId="7E0E9680" w14:textId="77777777" w:rsidR="004F0E49" w:rsidRPr="004272F2" w:rsidRDefault="004F0E49" w:rsidP="00C0158B">
            <w:pPr>
              <w:pStyle w:val="TableText0"/>
              <w:rPr>
                <w:sz w:val="20"/>
                <w:szCs w:val="20"/>
              </w:rPr>
            </w:pPr>
            <w:r w:rsidRPr="004272F2">
              <w:rPr>
                <w:sz w:val="20"/>
                <w:szCs w:val="20"/>
              </w:rPr>
              <w:t>NR</w:t>
            </w:r>
          </w:p>
        </w:tc>
        <w:tc>
          <w:tcPr>
            <w:tcW w:w="977" w:type="pct"/>
            <w:tcBorders>
              <w:bottom w:val="single" w:sz="4" w:space="0" w:color="auto"/>
            </w:tcBorders>
            <w:shd w:val="clear" w:color="auto" w:fill="auto"/>
            <w:vAlign w:val="center"/>
          </w:tcPr>
          <w:p w14:paraId="10B098ED" w14:textId="2F7869E6" w:rsidR="004F0E49" w:rsidRPr="004272F2" w:rsidRDefault="004F0E49" w:rsidP="00C0158B">
            <w:pPr>
              <w:pStyle w:val="TableText0"/>
              <w:rPr>
                <w:sz w:val="20"/>
                <w:szCs w:val="20"/>
              </w:rPr>
            </w:pPr>
            <w:r w:rsidRPr="004272F2">
              <w:rPr>
                <w:sz w:val="20"/>
                <w:szCs w:val="20"/>
              </w:rPr>
              <w:t xml:space="preserve">0.738 </w:t>
            </w:r>
            <w:r w:rsidR="00D35E6A" w:rsidRPr="004272F2">
              <w:rPr>
                <w:sz w:val="20"/>
                <w:szCs w:val="20"/>
              </w:rPr>
              <w:t>(</w:t>
            </w:r>
            <w:r w:rsidRPr="004272F2">
              <w:rPr>
                <w:sz w:val="20"/>
                <w:szCs w:val="20"/>
              </w:rPr>
              <w:t>0.634, 0.859</w:t>
            </w:r>
            <w:r w:rsidR="00D35E6A" w:rsidRPr="004272F2">
              <w:rPr>
                <w:sz w:val="20"/>
                <w:szCs w:val="20"/>
              </w:rPr>
              <w:t>)</w:t>
            </w:r>
            <w:r w:rsidRPr="004272F2">
              <w:rPr>
                <w:sz w:val="20"/>
                <w:szCs w:val="20"/>
              </w:rPr>
              <w:t>; NR</w:t>
            </w:r>
          </w:p>
        </w:tc>
      </w:tr>
      <w:tr w:rsidR="004F0E49" w:rsidRPr="00DB3D39" w14:paraId="68CB5432" w14:textId="77777777">
        <w:trPr>
          <w:trHeight w:val="70"/>
        </w:trPr>
        <w:tc>
          <w:tcPr>
            <w:tcW w:w="1210" w:type="pct"/>
            <w:shd w:val="clear" w:color="auto" w:fill="auto"/>
            <w:vAlign w:val="center"/>
          </w:tcPr>
          <w:p w14:paraId="05BEB6F1" w14:textId="54F278E8" w:rsidR="004F0E49" w:rsidRPr="004272F2" w:rsidRDefault="004F0E49" w:rsidP="00C0158B">
            <w:pPr>
              <w:pStyle w:val="TableText0"/>
              <w:rPr>
                <w:sz w:val="20"/>
                <w:szCs w:val="20"/>
              </w:rPr>
            </w:pPr>
            <w:r w:rsidRPr="004272F2">
              <w:rPr>
                <w:sz w:val="20"/>
                <w:szCs w:val="20"/>
              </w:rPr>
              <w:t xml:space="preserve">monarchE Cohort 1* </w:t>
            </w:r>
            <w:r w:rsidR="007D409D" w:rsidRPr="004272F2">
              <w:rPr>
                <w:sz w:val="20"/>
                <w:szCs w:val="20"/>
              </w:rPr>
              <w:t>(PBS population)</w:t>
            </w:r>
          </w:p>
        </w:tc>
        <w:tc>
          <w:tcPr>
            <w:tcW w:w="651" w:type="pct"/>
            <w:shd w:val="clear" w:color="auto" w:fill="auto"/>
            <w:vAlign w:val="center"/>
          </w:tcPr>
          <w:p w14:paraId="007CEF7B" w14:textId="77777777" w:rsidR="004F0E49" w:rsidRPr="004272F2" w:rsidRDefault="004F0E49" w:rsidP="00C0158B">
            <w:pPr>
              <w:pStyle w:val="TableText0"/>
              <w:rPr>
                <w:sz w:val="20"/>
                <w:szCs w:val="20"/>
              </w:rPr>
            </w:pPr>
            <w:r w:rsidRPr="004272F2">
              <w:rPr>
                <w:sz w:val="20"/>
                <w:szCs w:val="20"/>
              </w:rPr>
              <w:t>ABE+ET vs ET</w:t>
            </w:r>
          </w:p>
        </w:tc>
        <w:tc>
          <w:tcPr>
            <w:tcW w:w="653" w:type="pct"/>
            <w:shd w:val="clear" w:color="auto" w:fill="auto"/>
            <w:vAlign w:val="center"/>
          </w:tcPr>
          <w:p w14:paraId="53FBF070" w14:textId="77777777" w:rsidR="004F0E49" w:rsidRPr="004272F2" w:rsidRDefault="004F0E49" w:rsidP="00C0158B">
            <w:pPr>
              <w:pStyle w:val="TableText0"/>
              <w:rPr>
                <w:sz w:val="20"/>
                <w:szCs w:val="20"/>
              </w:rPr>
            </w:pPr>
            <w:r w:rsidRPr="004272F2">
              <w:rPr>
                <w:rFonts w:cstheme="minorBidi"/>
                <w:sz w:val="20"/>
                <w:szCs w:val="20"/>
              </w:rPr>
              <w:t>382/2,555 (15)</w:t>
            </w:r>
          </w:p>
        </w:tc>
        <w:tc>
          <w:tcPr>
            <w:tcW w:w="653" w:type="pct"/>
            <w:shd w:val="clear" w:color="auto" w:fill="auto"/>
            <w:vAlign w:val="center"/>
          </w:tcPr>
          <w:p w14:paraId="0343DFB8" w14:textId="77777777" w:rsidR="004F0E49" w:rsidRPr="004272F2" w:rsidRDefault="004F0E49" w:rsidP="00C0158B">
            <w:pPr>
              <w:pStyle w:val="TableText0"/>
              <w:rPr>
                <w:sz w:val="20"/>
                <w:szCs w:val="20"/>
              </w:rPr>
            </w:pPr>
            <w:r w:rsidRPr="004272F2">
              <w:rPr>
                <w:rFonts w:cstheme="minorBidi"/>
                <w:sz w:val="20"/>
                <w:szCs w:val="20"/>
              </w:rPr>
              <w:t>553/2,565 (21.6)</w:t>
            </w:r>
          </w:p>
        </w:tc>
        <w:tc>
          <w:tcPr>
            <w:tcW w:w="856" w:type="pct"/>
            <w:shd w:val="clear" w:color="auto" w:fill="auto"/>
            <w:vAlign w:val="center"/>
          </w:tcPr>
          <w:p w14:paraId="5DEA4B6A" w14:textId="77777777" w:rsidR="004F0E49" w:rsidRPr="004272F2" w:rsidRDefault="004F0E49" w:rsidP="00C0158B">
            <w:pPr>
              <w:pStyle w:val="TableText0"/>
              <w:rPr>
                <w:sz w:val="20"/>
                <w:szCs w:val="20"/>
              </w:rPr>
            </w:pPr>
            <w:r w:rsidRPr="004272F2">
              <w:rPr>
                <w:sz w:val="20"/>
                <w:szCs w:val="20"/>
              </w:rPr>
              <w:t>88.9% vs 83.8% (5.1%)</w:t>
            </w:r>
          </w:p>
        </w:tc>
        <w:tc>
          <w:tcPr>
            <w:tcW w:w="977" w:type="pct"/>
            <w:tcBorders>
              <w:bottom w:val="single" w:sz="4" w:space="0" w:color="auto"/>
            </w:tcBorders>
            <w:shd w:val="clear" w:color="auto" w:fill="auto"/>
            <w:vAlign w:val="center"/>
          </w:tcPr>
          <w:p w14:paraId="005C1CD9" w14:textId="013CCB12" w:rsidR="004F0E49" w:rsidRPr="004272F2" w:rsidRDefault="004F0E49" w:rsidP="00C0158B">
            <w:pPr>
              <w:pStyle w:val="TableText0"/>
              <w:rPr>
                <w:b/>
                <w:sz w:val="20"/>
                <w:szCs w:val="20"/>
              </w:rPr>
            </w:pPr>
            <w:r w:rsidRPr="004272F2">
              <w:rPr>
                <w:b/>
                <w:sz w:val="20"/>
                <w:szCs w:val="20"/>
              </w:rPr>
              <w:t xml:space="preserve">0.670 </w:t>
            </w:r>
            <w:r w:rsidR="00D35E6A" w:rsidRPr="004272F2">
              <w:rPr>
                <w:b/>
                <w:bCs w:val="0"/>
                <w:sz w:val="20"/>
                <w:szCs w:val="20"/>
              </w:rPr>
              <w:t>(</w:t>
            </w:r>
            <w:r w:rsidRPr="004272F2">
              <w:rPr>
                <w:b/>
                <w:sz w:val="20"/>
                <w:szCs w:val="20"/>
              </w:rPr>
              <w:t>0.588, 0.764</w:t>
            </w:r>
            <w:r w:rsidR="00D35E6A" w:rsidRPr="004272F2">
              <w:rPr>
                <w:b/>
                <w:bCs w:val="0"/>
                <w:sz w:val="20"/>
                <w:szCs w:val="20"/>
              </w:rPr>
              <w:t>)</w:t>
            </w:r>
            <w:r w:rsidRPr="004272F2">
              <w:rPr>
                <w:b/>
                <w:bCs w:val="0"/>
                <w:sz w:val="20"/>
                <w:szCs w:val="20"/>
              </w:rPr>
              <w:t>;</w:t>
            </w:r>
            <w:r w:rsidRPr="004272F2">
              <w:rPr>
                <w:b/>
                <w:sz w:val="20"/>
                <w:szCs w:val="20"/>
              </w:rPr>
              <w:t xml:space="preserve"> p &lt; 0.001</w:t>
            </w:r>
          </w:p>
        </w:tc>
      </w:tr>
      <w:tr w:rsidR="004F0E49" w:rsidRPr="00DB3D39" w14:paraId="40D786DE" w14:textId="77777777">
        <w:trPr>
          <w:trHeight w:val="70"/>
        </w:trPr>
        <w:tc>
          <w:tcPr>
            <w:tcW w:w="4023" w:type="pct"/>
            <w:gridSpan w:val="5"/>
            <w:shd w:val="clear" w:color="auto" w:fill="auto"/>
            <w:vAlign w:val="center"/>
          </w:tcPr>
          <w:p w14:paraId="5B69F82D" w14:textId="11478399" w:rsidR="004F0E49" w:rsidRPr="004272F2" w:rsidRDefault="004F0E49" w:rsidP="00C0158B">
            <w:pPr>
              <w:pStyle w:val="TableText0"/>
              <w:rPr>
                <w:sz w:val="20"/>
                <w:szCs w:val="20"/>
              </w:rPr>
            </w:pPr>
            <w:r w:rsidRPr="004272F2">
              <w:rPr>
                <w:sz w:val="20"/>
                <w:szCs w:val="20"/>
              </w:rPr>
              <w:t>Indirect comparison: RIB+ET vs. ABE+ET (</w:t>
            </w:r>
            <w:r w:rsidR="007D409D" w:rsidRPr="004272F2">
              <w:rPr>
                <w:sz w:val="20"/>
                <w:szCs w:val="20"/>
              </w:rPr>
              <w:t>AI subgroup</w:t>
            </w:r>
            <w:r w:rsidRPr="004272F2">
              <w:rPr>
                <w:sz w:val="20"/>
                <w:szCs w:val="20"/>
              </w:rPr>
              <w:t>)</w:t>
            </w:r>
          </w:p>
        </w:tc>
        <w:tc>
          <w:tcPr>
            <w:tcW w:w="977" w:type="pct"/>
            <w:tcBorders>
              <w:top w:val="single" w:sz="4" w:space="0" w:color="auto"/>
              <w:bottom w:val="single" w:sz="4" w:space="0" w:color="auto"/>
              <w:right w:val="single" w:sz="4" w:space="0" w:color="auto"/>
            </w:tcBorders>
            <w:shd w:val="clear" w:color="auto" w:fill="auto"/>
            <w:vAlign w:val="center"/>
          </w:tcPr>
          <w:p w14:paraId="0B62C1CC" w14:textId="167B8462" w:rsidR="004F0E49" w:rsidRPr="004272F2" w:rsidRDefault="00957A24" w:rsidP="00C0158B">
            <w:pPr>
              <w:pStyle w:val="TableText0"/>
              <w:rPr>
                <w:rFonts w:cstheme="minorHAnsi"/>
                <w:sz w:val="20"/>
                <w:szCs w:val="20"/>
              </w:rPr>
            </w:pPr>
            <w:r w:rsidRPr="004272F2">
              <w:rPr>
                <w:sz w:val="20"/>
                <w:szCs w:val="20"/>
              </w:rPr>
              <w:t xml:space="preserve">1.01 </w:t>
            </w:r>
            <w:r w:rsidR="00D35E6A" w:rsidRPr="004272F2">
              <w:rPr>
                <w:sz w:val="20"/>
                <w:szCs w:val="20"/>
              </w:rPr>
              <w:t>(</w:t>
            </w:r>
            <w:r w:rsidR="004F0E49" w:rsidRPr="004272F2">
              <w:rPr>
                <w:sz w:val="20"/>
                <w:szCs w:val="20"/>
              </w:rPr>
              <w:t>0.78, 1.30</w:t>
            </w:r>
            <w:r w:rsidR="00D35E6A" w:rsidRPr="004272F2">
              <w:rPr>
                <w:sz w:val="20"/>
                <w:szCs w:val="20"/>
              </w:rPr>
              <w:t>)</w:t>
            </w:r>
            <w:r w:rsidR="004F0E49" w:rsidRPr="004272F2">
              <w:rPr>
                <w:sz w:val="20"/>
                <w:szCs w:val="20"/>
              </w:rPr>
              <w:t xml:space="preserve">; </w:t>
            </w:r>
          </w:p>
          <w:p w14:paraId="66B174B7" w14:textId="343E0A09" w:rsidR="004F0E49" w:rsidRPr="004272F2" w:rsidRDefault="004F0E49" w:rsidP="00C0158B">
            <w:pPr>
              <w:pStyle w:val="TableText0"/>
              <w:rPr>
                <w:sz w:val="20"/>
                <w:szCs w:val="20"/>
              </w:rPr>
            </w:pPr>
            <w:r w:rsidRPr="004272F2">
              <w:rPr>
                <w:sz w:val="20"/>
                <w:szCs w:val="20"/>
              </w:rPr>
              <w:t>p = 0.9496</w:t>
            </w:r>
          </w:p>
        </w:tc>
      </w:tr>
      <w:tr w:rsidR="004F0E49" w:rsidRPr="00DB3D39" w14:paraId="3C99A13B" w14:textId="77777777">
        <w:trPr>
          <w:trHeight w:val="70"/>
        </w:trPr>
        <w:tc>
          <w:tcPr>
            <w:tcW w:w="4023" w:type="pct"/>
            <w:gridSpan w:val="5"/>
            <w:shd w:val="clear" w:color="auto" w:fill="auto"/>
            <w:vAlign w:val="center"/>
          </w:tcPr>
          <w:p w14:paraId="275DCC31" w14:textId="2EA649F5" w:rsidR="004F0E49" w:rsidRPr="004272F2" w:rsidRDefault="004F0E49" w:rsidP="00C0158B">
            <w:pPr>
              <w:pStyle w:val="TableText0"/>
              <w:rPr>
                <w:sz w:val="20"/>
                <w:szCs w:val="20"/>
              </w:rPr>
            </w:pPr>
            <w:r w:rsidRPr="004272F2">
              <w:rPr>
                <w:sz w:val="20"/>
                <w:szCs w:val="20"/>
              </w:rPr>
              <w:t>Indirect comparison: RIB+ET vs. ABE+ET</w:t>
            </w:r>
            <w:r w:rsidR="007D409D" w:rsidRPr="004272F2">
              <w:rPr>
                <w:sz w:val="20"/>
                <w:szCs w:val="20"/>
              </w:rPr>
              <w:t xml:space="preserve"> (PBS population)</w:t>
            </w:r>
          </w:p>
        </w:tc>
        <w:tc>
          <w:tcPr>
            <w:tcW w:w="977" w:type="pct"/>
            <w:tcBorders>
              <w:top w:val="single" w:sz="4" w:space="0" w:color="auto"/>
              <w:bottom w:val="single" w:sz="4" w:space="0" w:color="auto"/>
              <w:right w:val="single" w:sz="4" w:space="0" w:color="auto"/>
            </w:tcBorders>
            <w:shd w:val="clear" w:color="auto" w:fill="auto"/>
            <w:vAlign w:val="center"/>
          </w:tcPr>
          <w:p w14:paraId="546F2999" w14:textId="42160D87" w:rsidR="004F0E49" w:rsidRPr="004272F2" w:rsidRDefault="004F0E49" w:rsidP="00C0158B">
            <w:pPr>
              <w:pStyle w:val="TableText0"/>
              <w:rPr>
                <w:rFonts w:cstheme="minorHAnsi"/>
                <w:sz w:val="20"/>
                <w:szCs w:val="20"/>
              </w:rPr>
            </w:pPr>
            <w:r w:rsidRPr="004272F2">
              <w:rPr>
                <w:sz w:val="20"/>
                <w:szCs w:val="20"/>
              </w:rPr>
              <w:t xml:space="preserve">1.11 </w:t>
            </w:r>
            <w:r w:rsidR="00D35E6A" w:rsidRPr="004272F2">
              <w:rPr>
                <w:sz w:val="20"/>
                <w:szCs w:val="20"/>
              </w:rPr>
              <w:t>(</w:t>
            </w:r>
            <w:r w:rsidRPr="004272F2">
              <w:rPr>
                <w:sz w:val="20"/>
                <w:szCs w:val="20"/>
              </w:rPr>
              <w:t>0.87, 1.41</w:t>
            </w:r>
            <w:r w:rsidR="00D35E6A" w:rsidRPr="004272F2">
              <w:rPr>
                <w:sz w:val="20"/>
                <w:szCs w:val="20"/>
              </w:rPr>
              <w:t>)</w:t>
            </w:r>
            <w:r w:rsidRPr="004272F2">
              <w:rPr>
                <w:sz w:val="20"/>
                <w:szCs w:val="20"/>
              </w:rPr>
              <w:t xml:space="preserve">; </w:t>
            </w:r>
          </w:p>
          <w:p w14:paraId="479BBC75" w14:textId="77777777" w:rsidR="004F0E49" w:rsidRPr="004272F2" w:rsidRDefault="004F0E49" w:rsidP="00C0158B">
            <w:pPr>
              <w:pStyle w:val="TableText0"/>
              <w:rPr>
                <w:sz w:val="20"/>
                <w:szCs w:val="20"/>
              </w:rPr>
            </w:pPr>
            <w:r w:rsidRPr="004272F2">
              <w:rPr>
                <w:sz w:val="20"/>
                <w:szCs w:val="20"/>
              </w:rPr>
              <w:t>p = 0.3899</w:t>
            </w:r>
          </w:p>
        </w:tc>
      </w:tr>
      <w:tr w:rsidR="004F0E49" w:rsidRPr="00DB3D39" w14:paraId="49BB051A" w14:textId="77777777">
        <w:trPr>
          <w:trHeight w:val="70"/>
        </w:trPr>
        <w:tc>
          <w:tcPr>
            <w:tcW w:w="5000" w:type="pct"/>
            <w:gridSpan w:val="6"/>
            <w:shd w:val="clear" w:color="auto" w:fill="auto"/>
            <w:vAlign w:val="center"/>
          </w:tcPr>
          <w:p w14:paraId="6CCB2E45" w14:textId="605FF08A" w:rsidR="004F0E49" w:rsidRPr="004272F2" w:rsidRDefault="004F0E49" w:rsidP="00C0158B">
            <w:pPr>
              <w:pStyle w:val="TableText0"/>
              <w:rPr>
                <w:b/>
                <w:sz w:val="20"/>
                <w:szCs w:val="20"/>
              </w:rPr>
            </w:pPr>
            <w:r w:rsidRPr="004272F2">
              <w:rPr>
                <w:b/>
                <w:sz w:val="20"/>
                <w:szCs w:val="20"/>
              </w:rPr>
              <w:t>DRFS (</w:t>
            </w:r>
            <w:r w:rsidR="003923BE" w:rsidRPr="004272F2">
              <w:rPr>
                <w:b/>
                <w:sz w:val="20"/>
                <w:szCs w:val="20"/>
              </w:rPr>
              <w:t>S</w:t>
            </w:r>
            <w:r w:rsidRPr="004272F2">
              <w:rPr>
                <w:b/>
                <w:sz w:val="20"/>
                <w:szCs w:val="20"/>
              </w:rPr>
              <w:t>econdary outcome)</w:t>
            </w:r>
          </w:p>
        </w:tc>
      </w:tr>
      <w:tr w:rsidR="004F0E49" w:rsidRPr="00DB3D39" w14:paraId="4F5D6EC2" w14:textId="77777777">
        <w:trPr>
          <w:trHeight w:val="70"/>
        </w:trPr>
        <w:tc>
          <w:tcPr>
            <w:tcW w:w="1210" w:type="pct"/>
            <w:shd w:val="clear" w:color="auto" w:fill="auto"/>
            <w:vAlign w:val="center"/>
          </w:tcPr>
          <w:p w14:paraId="26BF8FFD" w14:textId="2517B6D0" w:rsidR="004F0E49" w:rsidRPr="004272F2" w:rsidRDefault="004F0E49" w:rsidP="00C0158B">
            <w:pPr>
              <w:pStyle w:val="TableText0"/>
              <w:rPr>
                <w:sz w:val="20"/>
                <w:szCs w:val="20"/>
              </w:rPr>
            </w:pPr>
            <w:r w:rsidRPr="004272F2">
              <w:rPr>
                <w:sz w:val="20"/>
                <w:szCs w:val="20"/>
              </w:rPr>
              <w:t xml:space="preserve">NATALEE PBS </w:t>
            </w:r>
            <w:r w:rsidR="00D35E6A" w:rsidRPr="004272F2">
              <w:rPr>
                <w:sz w:val="20"/>
                <w:szCs w:val="20"/>
              </w:rPr>
              <w:t>subgroup</w:t>
            </w:r>
            <w:r w:rsidRPr="004272F2">
              <w:rPr>
                <w:sz w:val="20"/>
                <w:szCs w:val="20"/>
              </w:rPr>
              <w:t>^</w:t>
            </w:r>
          </w:p>
        </w:tc>
        <w:tc>
          <w:tcPr>
            <w:tcW w:w="651" w:type="pct"/>
            <w:shd w:val="clear" w:color="auto" w:fill="auto"/>
            <w:vAlign w:val="center"/>
          </w:tcPr>
          <w:p w14:paraId="1E0392B6" w14:textId="77777777" w:rsidR="004F0E49" w:rsidRPr="004272F2" w:rsidRDefault="004F0E49" w:rsidP="00C0158B">
            <w:pPr>
              <w:pStyle w:val="TableText0"/>
              <w:rPr>
                <w:sz w:val="20"/>
                <w:szCs w:val="20"/>
              </w:rPr>
            </w:pPr>
            <w:r w:rsidRPr="004272F2">
              <w:rPr>
                <w:sz w:val="20"/>
                <w:szCs w:val="20"/>
              </w:rPr>
              <w:t>RIB+ET vs ET</w:t>
            </w:r>
          </w:p>
        </w:tc>
        <w:tc>
          <w:tcPr>
            <w:tcW w:w="653" w:type="pct"/>
            <w:shd w:val="clear" w:color="auto" w:fill="auto"/>
            <w:vAlign w:val="center"/>
          </w:tcPr>
          <w:p w14:paraId="0A2013A2" w14:textId="77777777" w:rsidR="004F0E49" w:rsidRPr="004272F2" w:rsidRDefault="004F0E49" w:rsidP="00C0158B">
            <w:pPr>
              <w:pStyle w:val="TableText0"/>
              <w:rPr>
                <w:sz w:val="20"/>
                <w:szCs w:val="20"/>
              </w:rPr>
            </w:pPr>
            <w:r w:rsidRPr="004272F2">
              <w:rPr>
                <w:sz w:val="20"/>
                <w:szCs w:val="20"/>
              </w:rPr>
              <w:t>145/1,659 (8.7)</w:t>
            </w:r>
          </w:p>
        </w:tc>
        <w:tc>
          <w:tcPr>
            <w:tcW w:w="653" w:type="pct"/>
            <w:shd w:val="clear" w:color="auto" w:fill="auto"/>
            <w:vAlign w:val="center"/>
          </w:tcPr>
          <w:p w14:paraId="0B9DD438" w14:textId="77777777" w:rsidR="004F0E49" w:rsidRPr="004272F2" w:rsidRDefault="004F0E49" w:rsidP="00C0158B">
            <w:pPr>
              <w:pStyle w:val="TableText0"/>
              <w:rPr>
                <w:sz w:val="20"/>
                <w:szCs w:val="20"/>
              </w:rPr>
            </w:pPr>
            <w:r w:rsidRPr="004272F2">
              <w:rPr>
                <w:sz w:val="20"/>
                <w:szCs w:val="20"/>
              </w:rPr>
              <w:t>181/1,649 (11)</w:t>
            </w:r>
          </w:p>
        </w:tc>
        <w:tc>
          <w:tcPr>
            <w:tcW w:w="856" w:type="pct"/>
            <w:shd w:val="clear" w:color="auto" w:fill="auto"/>
            <w:vAlign w:val="center"/>
          </w:tcPr>
          <w:p w14:paraId="40E31BD2" w14:textId="77777777" w:rsidR="004F0E49" w:rsidRPr="004272F2" w:rsidRDefault="004F0E49" w:rsidP="00C0158B">
            <w:pPr>
              <w:pStyle w:val="TableText0"/>
              <w:rPr>
                <w:sz w:val="20"/>
                <w:szCs w:val="20"/>
              </w:rPr>
            </w:pPr>
            <w:r w:rsidRPr="004272F2">
              <w:rPr>
                <w:sz w:val="20"/>
                <w:szCs w:val="20"/>
              </w:rPr>
              <w:t>90.7% vs 87.2% (3.5%)</w:t>
            </w:r>
          </w:p>
        </w:tc>
        <w:tc>
          <w:tcPr>
            <w:tcW w:w="977" w:type="pct"/>
            <w:tcBorders>
              <w:bottom w:val="single" w:sz="4" w:space="0" w:color="auto"/>
            </w:tcBorders>
            <w:shd w:val="clear" w:color="auto" w:fill="auto"/>
            <w:vAlign w:val="center"/>
          </w:tcPr>
          <w:p w14:paraId="63AF18F6" w14:textId="3C56714F" w:rsidR="004F0E49" w:rsidRPr="004272F2" w:rsidRDefault="004F0E49" w:rsidP="00C0158B">
            <w:pPr>
              <w:pStyle w:val="TableText0"/>
              <w:rPr>
                <w:b/>
                <w:sz w:val="20"/>
                <w:szCs w:val="20"/>
              </w:rPr>
            </w:pPr>
            <w:r w:rsidRPr="004272F2">
              <w:rPr>
                <w:b/>
                <w:sz w:val="20"/>
                <w:szCs w:val="20"/>
              </w:rPr>
              <w:t xml:space="preserve">0.735 </w:t>
            </w:r>
            <w:r w:rsidR="00D35E6A" w:rsidRPr="004272F2">
              <w:rPr>
                <w:b/>
                <w:bCs w:val="0"/>
                <w:sz w:val="20"/>
                <w:szCs w:val="20"/>
              </w:rPr>
              <w:t>(</w:t>
            </w:r>
            <w:r w:rsidRPr="004272F2">
              <w:rPr>
                <w:b/>
                <w:sz w:val="20"/>
                <w:szCs w:val="20"/>
              </w:rPr>
              <w:t>0.590, 0.916</w:t>
            </w:r>
            <w:r w:rsidR="00D35E6A" w:rsidRPr="004272F2">
              <w:rPr>
                <w:b/>
                <w:bCs w:val="0"/>
                <w:sz w:val="20"/>
                <w:szCs w:val="20"/>
              </w:rPr>
              <w:t>)</w:t>
            </w:r>
            <w:r w:rsidRPr="004272F2">
              <w:rPr>
                <w:b/>
                <w:bCs w:val="0"/>
                <w:sz w:val="20"/>
                <w:szCs w:val="20"/>
              </w:rPr>
              <w:t>;</w:t>
            </w:r>
            <w:r w:rsidRPr="004272F2">
              <w:rPr>
                <w:b/>
                <w:sz w:val="20"/>
                <w:szCs w:val="20"/>
              </w:rPr>
              <w:t xml:space="preserve"> p = 0.003</w:t>
            </w:r>
          </w:p>
        </w:tc>
      </w:tr>
      <w:tr w:rsidR="004F0E49" w:rsidRPr="00DB3D39" w14:paraId="7554041A" w14:textId="77777777">
        <w:trPr>
          <w:trHeight w:val="70"/>
        </w:trPr>
        <w:tc>
          <w:tcPr>
            <w:tcW w:w="1210" w:type="pct"/>
            <w:shd w:val="clear" w:color="auto" w:fill="auto"/>
            <w:vAlign w:val="center"/>
          </w:tcPr>
          <w:p w14:paraId="4E6ED6B3" w14:textId="7F903F3F" w:rsidR="004F0E49" w:rsidRPr="004272F2" w:rsidRDefault="004F0E49" w:rsidP="00C0158B">
            <w:pPr>
              <w:pStyle w:val="TableText0"/>
              <w:rPr>
                <w:sz w:val="20"/>
                <w:szCs w:val="20"/>
              </w:rPr>
            </w:pPr>
            <w:r w:rsidRPr="004272F2">
              <w:rPr>
                <w:sz w:val="20"/>
                <w:szCs w:val="20"/>
              </w:rPr>
              <w:t xml:space="preserve">monarchE </w:t>
            </w:r>
            <w:r w:rsidR="0048543B" w:rsidRPr="004272F2">
              <w:rPr>
                <w:sz w:val="20"/>
                <w:szCs w:val="20"/>
              </w:rPr>
              <w:t>a</w:t>
            </w:r>
            <w:r w:rsidR="00D35E6A" w:rsidRPr="004272F2">
              <w:rPr>
                <w:sz w:val="20"/>
                <w:szCs w:val="20"/>
              </w:rPr>
              <w:t>djuvant AI subgroup</w:t>
            </w:r>
            <w:r w:rsidRPr="004272F2">
              <w:rPr>
                <w:sz w:val="20"/>
                <w:szCs w:val="20"/>
              </w:rPr>
              <w:t xml:space="preserve"> (excluding tamoxifen as ET)</w:t>
            </w:r>
            <w:r w:rsidR="00A03ED9" w:rsidRPr="004272F2">
              <w:rPr>
                <w:sz w:val="20"/>
                <w:szCs w:val="20"/>
              </w:rPr>
              <w:t>*</w:t>
            </w:r>
          </w:p>
        </w:tc>
        <w:tc>
          <w:tcPr>
            <w:tcW w:w="651" w:type="pct"/>
            <w:shd w:val="clear" w:color="auto" w:fill="auto"/>
            <w:vAlign w:val="center"/>
          </w:tcPr>
          <w:p w14:paraId="0D2F8326" w14:textId="77777777" w:rsidR="004F0E49" w:rsidRPr="004272F2" w:rsidRDefault="004F0E49" w:rsidP="00C0158B">
            <w:pPr>
              <w:pStyle w:val="TableText0"/>
              <w:rPr>
                <w:sz w:val="20"/>
                <w:szCs w:val="20"/>
              </w:rPr>
            </w:pPr>
            <w:r w:rsidRPr="004272F2">
              <w:rPr>
                <w:sz w:val="20"/>
                <w:szCs w:val="20"/>
              </w:rPr>
              <w:t>ABE+ET vs ET</w:t>
            </w:r>
          </w:p>
        </w:tc>
        <w:tc>
          <w:tcPr>
            <w:tcW w:w="653" w:type="pct"/>
            <w:shd w:val="clear" w:color="auto" w:fill="auto"/>
            <w:vAlign w:val="center"/>
          </w:tcPr>
          <w:p w14:paraId="72C6EE6A" w14:textId="77777777" w:rsidR="004F0E49" w:rsidRPr="004272F2" w:rsidRDefault="004F0E49" w:rsidP="00C0158B">
            <w:pPr>
              <w:pStyle w:val="TableText0"/>
              <w:rPr>
                <w:rFonts w:cstheme="minorBidi"/>
                <w:sz w:val="20"/>
                <w:szCs w:val="20"/>
              </w:rPr>
            </w:pPr>
            <w:r w:rsidRPr="004272F2">
              <w:rPr>
                <w:rFonts w:cstheme="minorBidi"/>
                <w:sz w:val="20"/>
                <w:szCs w:val="20"/>
              </w:rPr>
              <w:t>248/1,931 (12.8)</w:t>
            </w:r>
          </w:p>
        </w:tc>
        <w:tc>
          <w:tcPr>
            <w:tcW w:w="653" w:type="pct"/>
            <w:shd w:val="clear" w:color="auto" w:fill="auto"/>
            <w:vAlign w:val="center"/>
          </w:tcPr>
          <w:p w14:paraId="54B55FC1" w14:textId="77777777" w:rsidR="004F0E49" w:rsidRPr="004272F2" w:rsidRDefault="004F0E49" w:rsidP="00C0158B">
            <w:pPr>
              <w:pStyle w:val="TableText0"/>
              <w:rPr>
                <w:rFonts w:cstheme="minorBidi"/>
                <w:sz w:val="20"/>
                <w:szCs w:val="20"/>
              </w:rPr>
            </w:pPr>
            <w:r w:rsidRPr="004272F2">
              <w:rPr>
                <w:rFonts w:cstheme="minorBidi"/>
                <w:sz w:val="20"/>
                <w:szCs w:val="20"/>
              </w:rPr>
              <w:t>330/1,887 (17.5)</w:t>
            </w:r>
          </w:p>
        </w:tc>
        <w:tc>
          <w:tcPr>
            <w:tcW w:w="856" w:type="pct"/>
            <w:shd w:val="clear" w:color="auto" w:fill="auto"/>
            <w:vAlign w:val="center"/>
          </w:tcPr>
          <w:p w14:paraId="4D2743B5" w14:textId="77777777" w:rsidR="004F0E49" w:rsidRPr="004272F2" w:rsidRDefault="004F0E49" w:rsidP="00C0158B">
            <w:pPr>
              <w:pStyle w:val="TableText0"/>
              <w:rPr>
                <w:sz w:val="20"/>
                <w:szCs w:val="20"/>
              </w:rPr>
            </w:pPr>
            <w:r w:rsidRPr="004272F2">
              <w:rPr>
                <w:sz w:val="20"/>
                <w:szCs w:val="20"/>
              </w:rPr>
              <w:t>NR</w:t>
            </w:r>
          </w:p>
        </w:tc>
        <w:tc>
          <w:tcPr>
            <w:tcW w:w="977" w:type="pct"/>
            <w:tcBorders>
              <w:bottom w:val="single" w:sz="4" w:space="0" w:color="auto"/>
            </w:tcBorders>
            <w:shd w:val="clear" w:color="auto" w:fill="auto"/>
            <w:vAlign w:val="center"/>
          </w:tcPr>
          <w:p w14:paraId="765D535D" w14:textId="1DF823A2" w:rsidR="004F0E49" w:rsidRPr="004272F2" w:rsidRDefault="004F0E49" w:rsidP="00C0158B">
            <w:pPr>
              <w:pStyle w:val="TableText0"/>
              <w:rPr>
                <w:sz w:val="20"/>
                <w:szCs w:val="20"/>
              </w:rPr>
            </w:pPr>
            <w:r w:rsidRPr="004272F2">
              <w:rPr>
                <w:sz w:val="20"/>
                <w:szCs w:val="20"/>
              </w:rPr>
              <w:t xml:space="preserve">0.733 </w:t>
            </w:r>
            <w:r w:rsidR="00D35E6A" w:rsidRPr="004272F2">
              <w:rPr>
                <w:sz w:val="20"/>
                <w:szCs w:val="20"/>
              </w:rPr>
              <w:t>(</w:t>
            </w:r>
            <w:r w:rsidRPr="004272F2">
              <w:rPr>
                <w:sz w:val="20"/>
                <w:szCs w:val="20"/>
              </w:rPr>
              <w:t>0.622, 0.864</w:t>
            </w:r>
            <w:r w:rsidR="00D35E6A" w:rsidRPr="004272F2">
              <w:rPr>
                <w:sz w:val="20"/>
                <w:szCs w:val="20"/>
              </w:rPr>
              <w:t>)</w:t>
            </w:r>
            <w:r w:rsidRPr="004272F2">
              <w:rPr>
                <w:sz w:val="20"/>
                <w:szCs w:val="20"/>
              </w:rPr>
              <w:t xml:space="preserve">; NR </w:t>
            </w:r>
          </w:p>
        </w:tc>
      </w:tr>
      <w:tr w:rsidR="004F0E49" w:rsidRPr="00DB3D39" w14:paraId="507AED99" w14:textId="77777777">
        <w:trPr>
          <w:trHeight w:val="70"/>
        </w:trPr>
        <w:tc>
          <w:tcPr>
            <w:tcW w:w="1210" w:type="pct"/>
            <w:shd w:val="clear" w:color="auto" w:fill="auto"/>
            <w:vAlign w:val="center"/>
          </w:tcPr>
          <w:p w14:paraId="332E5A40" w14:textId="236843F3" w:rsidR="004F0E49" w:rsidRPr="004272F2" w:rsidRDefault="004F0E49" w:rsidP="00C0158B">
            <w:pPr>
              <w:pStyle w:val="TableText0"/>
              <w:rPr>
                <w:sz w:val="20"/>
                <w:szCs w:val="20"/>
              </w:rPr>
            </w:pPr>
            <w:r w:rsidRPr="004272F2">
              <w:rPr>
                <w:sz w:val="20"/>
                <w:szCs w:val="20"/>
              </w:rPr>
              <w:t>monarchE Cohort 1*</w:t>
            </w:r>
            <w:r w:rsidR="007D409D" w:rsidRPr="004272F2">
              <w:rPr>
                <w:sz w:val="20"/>
                <w:szCs w:val="20"/>
              </w:rPr>
              <w:t xml:space="preserve"> (PBS population)</w:t>
            </w:r>
          </w:p>
        </w:tc>
        <w:tc>
          <w:tcPr>
            <w:tcW w:w="651" w:type="pct"/>
            <w:shd w:val="clear" w:color="auto" w:fill="auto"/>
            <w:vAlign w:val="center"/>
          </w:tcPr>
          <w:p w14:paraId="14490605" w14:textId="77777777" w:rsidR="004F0E49" w:rsidRPr="004272F2" w:rsidRDefault="004F0E49" w:rsidP="00C0158B">
            <w:pPr>
              <w:pStyle w:val="TableText0"/>
              <w:rPr>
                <w:sz w:val="20"/>
                <w:szCs w:val="20"/>
              </w:rPr>
            </w:pPr>
            <w:r w:rsidRPr="004272F2">
              <w:rPr>
                <w:sz w:val="20"/>
                <w:szCs w:val="20"/>
              </w:rPr>
              <w:t>ABE+ET vs ET</w:t>
            </w:r>
          </w:p>
        </w:tc>
        <w:tc>
          <w:tcPr>
            <w:tcW w:w="653" w:type="pct"/>
            <w:shd w:val="clear" w:color="auto" w:fill="auto"/>
            <w:vAlign w:val="center"/>
          </w:tcPr>
          <w:p w14:paraId="5078AD34" w14:textId="77777777" w:rsidR="004F0E49" w:rsidRPr="004272F2" w:rsidRDefault="004F0E49" w:rsidP="00C0158B">
            <w:pPr>
              <w:pStyle w:val="TableText0"/>
              <w:rPr>
                <w:sz w:val="20"/>
                <w:szCs w:val="20"/>
              </w:rPr>
            </w:pPr>
            <w:r w:rsidRPr="004272F2">
              <w:rPr>
                <w:rFonts w:cstheme="minorBidi"/>
                <w:sz w:val="20"/>
                <w:szCs w:val="20"/>
              </w:rPr>
              <w:t>325/2,555 (12.7)</w:t>
            </w:r>
          </w:p>
        </w:tc>
        <w:tc>
          <w:tcPr>
            <w:tcW w:w="653" w:type="pct"/>
            <w:shd w:val="clear" w:color="auto" w:fill="auto"/>
            <w:vAlign w:val="center"/>
          </w:tcPr>
          <w:p w14:paraId="4099975B" w14:textId="77777777" w:rsidR="004F0E49" w:rsidRPr="004272F2" w:rsidRDefault="004F0E49" w:rsidP="00C0158B">
            <w:pPr>
              <w:pStyle w:val="TableText0"/>
              <w:rPr>
                <w:sz w:val="20"/>
                <w:szCs w:val="20"/>
              </w:rPr>
            </w:pPr>
            <w:r w:rsidRPr="004272F2">
              <w:rPr>
                <w:rFonts w:cstheme="minorBidi"/>
                <w:sz w:val="20"/>
                <w:szCs w:val="20"/>
              </w:rPr>
              <w:t>477/2,565 (19.0)</w:t>
            </w:r>
          </w:p>
        </w:tc>
        <w:tc>
          <w:tcPr>
            <w:tcW w:w="856" w:type="pct"/>
            <w:shd w:val="clear" w:color="auto" w:fill="auto"/>
            <w:vAlign w:val="center"/>
          </w:tcPr>
          <w:p w14:paraId="5F505460" w14:textId="77777777" w:rsidR="004F0E49" w:rsidRPr="004272F2" w:rsidRDefault="004F0E49" w:rsidP="00C0158B">
            <w:pPr>
              <w:pStyle w:val="TableText0"/>
              <w:rPr>
                <w:sz w:val="20"/>
                <w:szCs w:val="20"/>
              </w:rPr>
            </w:pPr>
            <w:r w:rsidRPr="004272F2">
              <w:rPr>
                <w:sz w:val="20"/>
                <w:szCs w:val="20"/>
              </w:rPr>
              <w:t>90.5% vs 86.1% (4.4%)</w:t>
            </w:r>
          </w:p>
        </w:tc>
        <w:tc>
          <w:tcPr>
            <w:tcW w:w="977" w:type="pct"/>
            <w:tcBorders>
              <w:bottom w:val="single" w:sz="4" w:space="0" w:color="auto"/>
            </w:tcBorders>
            <w:shd w:val="clear" w:color="auto" w:fill="auto"/>
            <w:vAlign w:val="center"/>
          </w:tcPr>
          <w:p w14:paraId="27C1CA4F" w14:textId="4F484768" w:rsidR="004F0E49" w:rsidRPr="004272F2" w:rsidRDefault="004F0E49" w:rsidP="00C0158B">
            <w:pPr>
              <w:pStyle w:val="TableText0"/>
              <w:rPr>
                <w:b/>
                <w:sz w:val="20"/>
                <w:szCs w:val="20"/>
              </w:rPr>
            </w:pPr>
            <w:r w:rsidRPr="004272F2">
              <w:rPr>
                <w:b/>
                <w:sz w:val="20"/>
                <w:szCs w:val="20"/>
              </w:rPr>
              <w:t xml:space="preserve">0.665 </w:t>
            </w:r>
            <w:r w:rsidR="00D35E6A" w:rsidRPr="004272F2">
              <w:rPr>
                <w:b/>
                <w:bCs w:val="0"/>
                <w:sz w:val="20"/>
                <w:szCs w:val="20"/>
              </w:rPr>
              <w:t>(</w:t>
            </w:r>
            <w:r w:rsidRPr="004272F2">
              <w:rPr>
                <w:b/>
                <w:sz w:val="20"/>
                <w:szCs w:val="20"/>
              </w:rPr>
              <w:t>0.577, 0.765</w:t>
            </w:r>
            <w:r w:rsidR="00D35E6A" w:rsidRPr="004272F2">
              <w:rPr>
                <w:b/>
                <w:bCs w:val="0"/>
                <w:sz w:val="20"/>
                <w:szCs w:val="20"/>
              </w:rPr>
              <w:t>)</w:t>
            </w:r>
            <w:r w:rsidRPr="004272F2">
              <w:rPr>
                <w:b/>
                <w:bCs w:val="0"/>
                <w:sz w:val="20"/>
                <w:szCs w:val="20"/>
              </w:rPr>
              <w:t>;</w:t>
            </w:r>
            <w:r w:rsidRPr="004272F2">
              <w:rPr>
                <w:b/>
                <w:sz w:val="20"/>
                <w:szCs w:val="20"/>
              </w:rPr>
              <w:t xml:space="preserve"> p &lt; 0.001</w:t>
            </w:r>
          </w:p>
        </w:tc>
      </w:tr>
      <w:tr w:rsidR="004F0E49" w:rsidRPr="00DB3D39" w14:paraId="1BC53673" w14:textId="77777777">
        <w:trPr>
          <w:trHeight w:val="70"/>
        </w:trPr>
        <w:tc>
          <w:tcPr>
            <w:tcW w:w="4023" w:type="pct"/>
            <w:gridSpan w:val="5"/>
            <w:shd w:val="clear" w:color="auto" w:fill="auto"/>
            <w:vAlign w:val="center"/>
          </w:tcPr>
          <w:p w14:paraId="16F9E991" w14:textId="5BD75CB4" w:rsidR="004F0E49" w:rsidRPr="004272F2" w:rsidRDefault="004F0E49" w:rsidP="00C0158B">
            <w:pPr>
              <w:pStyle w:val="TableText0"/>
              <w:rPr>
                <w:sz w:val="20"/>
                <w:szCs w:val="20"/>
              </w:rPr>
            </w:pPr>
            <w:r w:rsidRPr="004272F2">
              <w:rPr>
                <w:sz w:val="20"/>
                <w:szCs w:val="20"/>
              </w:rPr>
              <w:t>Indirect comparison: RIB+ET vs. ABE+ET (</w:t>
            </w:r>
            <w:r w:rsidR="007D409D" w:rsidRPr="004272F2">
              <w:rPr>
                <w:sz w:val="20"/>
                <w:szCs w:val="20"/>
              </w:rPr>
              <w:t>AI subgroup</w:t>
            </w:r>
            <w:r w:rsidRPr="004272F2">
              <w:rPr>
                <w:sz w:val="20"/>
                <w:szCs w:val="20"/>
              </w:rPr>
              <w:t>)</w:t>
            </w:r>
          </w:p>
        </w:tc>
        <w:tc>
          <w:tcPr>
            <w:tcW w:w="977" w:type="pct"/>
            <w:tcBorders>
              <w:top w:val="single" w:sz="4" w:space="0" w:color="auto"/>
              <w:bottom w:val="single" w:sz="4" w:space="0" w:color="auto"/>
              <w:right w:val="single" w:sz="4" w:space="0" w:color="auto"/>
            </w:tcBorders>
            <w:shd w:val="clear" w:color="auto" w:fill="auto"/>
            <w:vAlign w:val="center"/>
          </w:tcPr>
          <w:p w14:paraId="0C821122" w14:textId="229C3D92" w:rsidR="004F0E49" w:rsidRPr="004272F2" w:rsidRDefault="005D10CA" w:rsidP="00C0158B">
            <w:pPr>
              <w:pStyle w:val="TableText0"/>
              <w:rPr>
                <w:rFonts w:cstheme="minorHAnsi"/>
                <w:sz w:val="20"/>
                <w:szCs w:val="20"/>
              </w:rPr>
            </w:pPr>
            <w:r w:rsidRPr="004272F2">
              <w:rPr>
                <w:sz w:val="20"/>
                <w:szCs w:val="20"/>
              </w:rPr>
              <w:t xml:space="preserve">1.00 </w:t>
            </w:r>
            <w:r w:rsidR="00D35E6A" w:rsidRPr="004272F2">
              <w:rPr>
                <w:sz w:val="20"/>
                <w:szCs w:val="20"/>
              </w:rPr>
              <w:t>(</w:t>
            </w:r>
            <w:r w:rsidR="004F0E49" w:rsidRPr="004272F2">
              <w:rPr>
                <w:sz w:val="20"/>
                <w:szCs w:val="20"/>
              </w:rPr>
              <w:t>0.76, 1.32</w:t>
            </w:r>
            <w:r w:rsidR="00D35E6A" w:rsidRPr="004272F2">
              <w:rPr>
                <w:sz w:val="20"/>
                <w:szCs w:val="20"/>
              </w:rPr>
              <w:t>)</w:t>
            </w:r>
            <w:r w:rsidR="004F0E49" w:rsidRPr="004272F2">
              <w:rPr>
                <w:sz w:val="20"/>
                <w:szCs w:val="20"/>
              </w:rPr>
              <w:t xml:space="preserve">; </w:t>
            </w:r>
          </w:p>
          <w:p w14:paraId="74D7F454" w14:textId="77777777" w:rsidR="004F0E49" w:rsidRPr="004272F2" w:rsidRDefault="004F0E49" w:rsidP="00C0158B">
            <w:pPr>
              <w:pStyle w:val="TableText0"/>
              <w:rPr>
                <w:sz w:val="20"/>
                <w:szCs w:val="20"/>
              </w:rPr>
            </w:pPr>
            <w:r w:rsidRPr="004272F2">
              <w:rPr>
                <w:sz w:val="20"/>
                <w:szCs w:val="20"/>
              </w:rPr>
              <w:t>p = 0.9845</w:t>
            </w:r>
          </w:p>
        </w:tc>
      </w:tr>
      <w:tr w:rsidR="004F0E49" w:rsidRPr="00DB3D39" w14:paraId="26C7B308" w14:textId="77777777">
        <w:trPr>
          <w:trHeight w:val="70"/>
        </w:trPr>
        <w:tc>
          <w:tcPr>
            <w:tcW w:w="4023" w:type="pct"/>
            <w:gridSpan w:val="5"/>
            <w:shd w:val="clear" w:color="auto" w:fill="auto"/>
            <w:vAlign w:val="center"/>
          </w:tcPr>
          <w:p w14:paraId="77C69E09" w14:textId="4BEAFCB0" w:rsidR="004F0E49" w:rsidRPr="004272F2" w:rsidRDefault="004F0E49" w:rsidP="00C0158B">
            <w:pPr>
              <w:pStyle w:val="TableText0"/>
              <w:rPr>
                <w:sz w:val="20"/>
                <w:szCs w:val="20"/>
              </w:rPr>
            </w:pPr>
            <w:r w:rsidRPr="004272F2">
              <w:rPr>
                <w:sz w:val="20"/>
                <w:szCs w:val="20"/>
              </w:rPr>
              <w:t>Indirect comparison: RIB+ET vs. ABE+ET</w:t>
            </w:r>
            <w:r w:rsidR="007D409D" w:rsidRPr="004272F2">
              <w:rPr>
                <w:sz w:val="20"/>
                <w:szCs w:val="20"/>
              </w:rPr>
              <w:t xml:space="preserve"> (PBS population)</w:t>
            </w:r>
          </w:p>
        </w:tc>
        <w:tc>
          <w:tcPr>
            <w:tcW w:w="977" w:type="pct"/>
            <w:tcBorders>
              <w:top w:val="single" w:sz="4" w:space="0" w:color="auto"/>
              <w:bottom w:val="single" w:sz="4" w:space="0" w:color="auto"/>
              <w:right w:val="single" w:sz="4" w:space="0" w:color="auto"/>
            </w:tcBorders>
            <w:shd w:val="clear" w:color="auto" w:fill="auto"/>
            <w:vAlign w:val="center"/>
          </w:tcPr>
          <w:p w14:paraId="19A9AB52" w14:textId="759954A6" w:rsidR="004F0E49" w:rsidRPr="004272F2" w:rsidRDefault="004F0E49" w:rsidP="00C0158B">
            <w:pPr>
              <w:pStyle w:val="TableText0"/>
              <w:rPr>
                <w:rFonts w:cstheme="minorHAnsi"/>
                <w:sz w:val="20"/>
                <w:szCs w:val="20"/>
              </w:rPr>
            </w:pPr>
            <w:r w:rsidRPr="004272F2">
              <w:rPr>
                <w:sz w:val="20"/>
                <w:szCs w:val="20"/>
              </w:rPr>
              <w:t xml:space="preserve">1.11 </w:t>
            </w:r>
            <w:r w:rsidR="00D35E6A" w:rsidRPr="004272F2">
              <w:rPr>
                <w:sz w:val="20"/>
                <w:szCs w:val="20"/>
              </w:rPr>
              <w:t>(</w:t>
            </w:r>
            <w:r w:rsidRPr="004272F2">
              <w:rPr>
                <w:sz w:val="20"/>
                <w:szCs w:val="20"/>
              </w:rPr>
              <w:t>0.85, 1.44</w:t>
            </w:r>
            <w:r w:rsidR="00D35E6A" w:rsidRPr="004272F2">
              <w:rPr>
                <w:sz w:val="20"/>
                <w:szCs w:val="20"/>
              </w:rPr>
              <w:t>)</w:t>
            </w:r>
            <w:r w:rsidRPr="004272F2">
              <w:rPr>
                <w:sz w:val="20"/>
                <w:szCs w:val="20"/>
              </w:rPr>
              <w:t xml:space="preserve">; </w:t>
            </w:r>
          </w:p>
          <w:p w14:paraId="1D1E1992" w14:textId="77777777" w:rsidR="004F0E49" w:rsidRPr="004272F2" w:rsidRDefault="004F0E49" w:rsidP="00C0158B">
            <w:pPr>
              <w:pStyle w:val="TableText0"/>
              <w:rPr>
                <w:sz w:val="20"/>
                <w:szCs w:val="20"/>
              </w:rPr>
            </w:pPr>
            <w:r w:rsidRPr="004272F2">
              <w:rPr>
                <w:sz w:val="20"/>
                <w:szCs w:val="20"/>
              </w:rPr>
              <w:t>p = 0.4528</w:t>
            </w:r>
          </w:p>
        </w:tc>
      </w:tr>
      <w:tr w:rsidR="004F0E49" w:rsidRPr="00DB3D39" w14:paraId="7329A1A0" w14:textId="77777777">
        <w:trPr>
          <w:trHeight w:val="70"/>
        </w:trPr>
        <w:tc>
          <w:tcPr>
            <w:tcW w:w="5000" w:type="pct"/>
            <w:gridSpan w:val="6"/>
            <w:shd w:val="clear" w:color="auto" w:fill="auto"/>
            <w:vAlign w:val="center"/>
          </w:tcPr>
          <w:p w14:paraId="562C0E33" w14:textId="77777777" w:rsidR="004F0E49" w:rsidRPr="004272F2" w:rsidRDefault="004F0E49" w:rsidP="00C0158B">
            <w:pPr>
              <w:pStyle w:val="TableText0"/>
              <w:rPr>
                <w:b/>
                <w:sz w:val="20"/>
                <w:szCs w:val="20"/>
              </w:rPr>
            </w:pPr>
            <w:r w:rsidRPr="004272F2">
              <w:rPr>
                <w:b/>
                <w:sz w:val="20"/>
                <w:szCs w:val="20"/>
              </w:rPr>
              <w:t>OS</w:t>
            </w:r>
          </w:p>
        </w:tc>
      </w:tr>
      <w:tr w:rsidR="004F0E49" w:rsidRPr="00DB3D39" w14:paraId="0C5F2D6A" w14:textId="77777777">
        <w:trPr>
          <w:trHeight w:val="70"/>
        </w:trPr>
        <w:tc>
          <w:tcPr>
            <w:tcW w:w="1210" w:type="pct"/>
            <w:shd w:val="clear" w:color="auto" w:fill="auto"/>
            <w:vAlign w:val="center"/>
          </w:tcPr>
          <w:p w14:paraId="1F2A74EF" w14:textId="572C1246" w:rsidR="004F0E49" w:rsidRPr="004272F2" w:rsidRDefault="004F0E49" w:rsidP="00C0158B">
            <w:pPr>
              <w:pStyle w:val="TableText0"/>
              <w:rPr>
                <w:sz w:val="20"/>
                <w:szCs w:val="20"/>
              </w:rPr>
            </w:pPr>
            <w:r w:rsidRPr="004272F2">
              <w:rPr>
                <w:sz w:val="20"/>
                <w:szCs w:val="20"/>
              </w:rPr>
              <w:t xml:space="preserve">NATALEE PBS </w:t>
            </w:r>
            <w:r w:rsidR="00D35E6A" w:rsidRPr="004272F2">
              <w:rPr>
                <w:sz w:val="20"/>
                <w:szCs w:val="20"/>
              </w:rPr>
              <w:t>subgroup</w:t>
            </w:r>
            <w:r w:rsidRPr="004272F2">
              <w:rPr>
                <w:sz w:val="20"/>
                <w:szCs w:val="20"/>
              </w:rPr>
              <w:t>^</w:t>
            </w:r>
          </w:p>
        </w:tc>
        <w:tc>
          <w:tcPr>
            <w:tcW w:w="651" w:type="pct"/>
            <w:shd w:val="clear" w:color="auto" w:fill="auto"/>
            <w:vAlign w:val="center"/>
          </w:tcPr>
          <w:p w14:paraId="3AD4A767" w14:textId="77777777" w:rsidR="004F0E49" w:rsidRPr="004272F2" w:rsidRDefault="004F0E49" w:rsidP="00C0158B">
            <w:pPr>
              <w:pStyle w:val="TableText0"/>
              <w:rPr>
                <w:sz w:val="20"/>
                <w:szCs w:val="20"/>
              </w:rPr>
            </w:pPr>
            <w:r w:rsidRPr="004272F2">
              <w:rPr>
                <w:sz w:val="20"/>
                <w:szCs w:val="20"/>
              </w:rPr>
              <w:t>RIB+ET vs ET</w:t>
            </w:r>
          </w:p>
        </w:tc>
        <w:tc>
          <w:tcPr>
            <w:tcW w:w="653" w:type="pct"/>
            <w:shd w:val="clear" w:color="auto" w:fill="auto"/>
            <w:vAlign w:val="center"/>
          </w:tcPr>
          <w:p w14:paraId="0B26E533" w14:textId="77777777" w:rsidR="004F0E49" w:rsidRPr="004272F2" w:rsidRDefault="004F0E49" w:rsidP="00C0158B">
            <w:pPr>
              <w:pStyle w:val="TableText0"/>
              <w:rPr>
                <w:sz w:val="20"/>
                <w:szCs w:val="20"/>
              </w:rPr>
            </w:pPr>
            <w:r w:rsidRPr="004272F2">
              <w:rPr>
                <w:sz w:val="20"/>
                <w:szCs w:val="20"/>
              </w:rPr>
              <w:t>69/1,659 (4.2)</w:t>
            </w:r>
          </w:p>
        </w:tc>
        <w:tc>
          <w:tcPr>
            <w:tcW w:w="653" w:type="pct"/>
            <w:shd w:val="clear" w:color="auto" w:fill="auto"/>
            <w:vAlign w:val="center"/>
          </w:tcPr>
          <w:p w14:paraId="6E3393A4" w14:textId="77777777" w:rsidR="004F0E49" w:rsidRPr="004272F2" w:rsidRDefault="004F0E49" w:rsidP="00C0158B">
            <w:pPr>
              <w:pStyle w:val="TableText0"/>
              <w:rPr>
                <w:sz w:val="20"/>
                <w:szCs w:val="20"/>
              </w:rPr>
            </w:pPr>
            <w:r w:rsidRPr="004272F2">
              <w:rPr>
                <w:sz w:val="20"/>
                <w:szCs w:val="20"/>
              </w:rPr>
              <w:t>71/1,649 (4.3)</w:t>
            </w:r>
          </w:p>
        </w:tc>
        <w:tc>
          <w:tcPr>
            <w:tcW w:w="856" w:type="pct"/>
            <w:shd w:val="clear" w:color="auto" w:fill="auto"/>
            <w:vAlign w:val="center"/>
          </w:tcPr>
          <w:p w14:paraId="4BB3EAAC" w14:textId="77777777" w:rsidR="004F0E49" w:rsidRPr="004272F2" w:rsidRDefault="004F0E49" w:rsidP="00C0158B">
            <w:pPr>
              <w:pStyle w:val="TableText0"/>
              <w:rPr>
                <w:sz w:val="20"/>
                <w:szCs w:val="20"/>
              </w:rPr>
            </w:pPr>
            <w:r w:rsidRPr="004272F2">
              <w:rPr>
                <w:sz w:val="20"/>
                <w:szCs w:val="20"/>
              </w:rPr>
              <w:t>95.9% vs 94.9% (1%)</w:t>
            </w:r>
          </w:p>
        </w:tc>
        <w:tc>
          <w:tcPr>
            <w:tcW w:w="977" w:type="pct"/>
            <w:tcBorders>
              <w:bottom w:val="single" w:sz="4" w:space="0" w:color="auto"/>
            </w:tcBorders>
            <w:shd w:val="clear" w:color="auto" w:fill="auto"/>
            <w:vAlign w:val="center"/>
          </w:tcPr>
          <w:p w14:paraId="503E9822" w14:textId="487BC426" w:rsidR="004F0E49" w:rsidRPr="004272F2" w:rsidRDefault="004F0E49" w:rsidP="00C0158B">
            <w:pPr>
              <w:pStyle w:val="TableText0"/>
              <w:rPr>
                <w:sz w:val="20"/>
                <w:szCs w:val="20"/>
              </w:rPr>
            </w:pPr>
            <w:r w:rsidRPr="004272F2">
              <w:rPr>
                <w:sz w:val="20"/>
                <w:szCs w:val="20"/>
              </w:rPr>
              <w:t xml:space="preserve">0.917 </w:t>
            </w:r>
            <w:r w:rsidR="00D35E6A" w:rsidRPr="004272F2">
              <w:rPr>
                <w:sz w:val="20"/>
                <w:szCs w:val="20"/>
              </w:rPr>
              <w:t>(</w:t>
            </w:r>
            <w:r w:rsidRPr="004272F2">
              <w:rPr>
                <w:sz w:val="20"/>
                <w:szCs w:val="20"/>
              </w:rPr>
              <w:t>0.658, 1.280</w:t>
            </w:r>
            <w:r w:rsidR="00D35E6A" w:rsidRPr="004272F2">
              <w:rPr>
                <w:sz w:val="20"/>
                <w:szCs w:val="20"/>
              </w:rPr>
              <w:t>)</w:t>
            </w:r>
            <w:r w:rsidRPr="004272F2">
              <w:rPr>
                <w:sz w:val="20"/>
                <w:szCs w:val="20"/>
              </w:rPr>
              <w:t>; p = 0.306</w:t>
            </w:r>
          </w:p>
        </w:tc>
      </w:tr>
      <w:tr w:rsidR="004F0E49" w:rsidRPr="00DB3D39" w14:paraId="48E5CE1E" w14:textId="77777777">
        <w:trPr>
          <w:trHeight w:val="70"/>
        </w:trPr>
        <w:tc>
          <w:tcPr>
            <w:tcW w:w="1210" w:type="pct"/>
            <w:shd w:val="clear" w:color="auto" w:fill="auto"/>
            <w:vAlign w:val="center"/>
          </w:tcPr>
          <w:p w14:paraId="3A5E05EA" w14:textId="7E1C19DE" w:rsidR="004F0E49" w:rsidRPr="004272F2" w:rsidRDefault="004F0E49" w:rsidP="00C0158B">
            <w:pPr>
              <w:pStyle w:val="TableText0"/>
              <w:rPr>
                <w:sz w:val="20"/>
                <w:szCs w:val="20"/>
              </w:rPr>
            </w:pPr>
            <w:r w:rsidRPr="004272F2">
              <w:rPr>
                <w:sz w:val="20"/>
                <w:szCs w:val="20"/>
              </w:rPr>
              <w:t>monarchE Cohort 1*</w:t>
            </w:r>
            <w:r w:rsidR="007D409D" w:rsidRPr="004272F2">
              <w:rPr>
                <w:sz w:val="20"/>
                <w:szCs w:val="20"/>
              </w:rPr>
              <w:t xml:space="preserve"> (PBS population)</w:t>
            </w:r>
          </w:p>
        </w:tc>
        <w:tc>
          <w:tcPr>
            <w:tcW w:w="651" w:type="pct"/>
            <w:shd w:val="clear" w:color="auto" w:fill="auto"/>
            <w:vAlign w:val="center"/>
          </w:tcPr>
          <w:p w14:paraId="4415A3A5" w14:textId="77777777" w:rsidR="004F0E49" w:rsidRPr="004272F2" w:rsidRDefault="004F0E49" w:rsidP="00C0158B">
            <w:pPr>
              <w:pStyle w:val="TableText0"/>
              <w:rPr>
                <w:sz w:val="20"/>
                <w:szCs w:val="20"/>
              </w:rPr>
            </w:pPr>
            <w:r w:rsidRPr="004272F2">
              <w:rPr>
                <w:sz w:val="20"/>
                <w:szCs w:val="20"/>
              </w:rPr>
              <w:t>ABE+ET vs ET</w:t>
            </w:r>
          </w:p>
        </w:tc>
        <w:tc>
          <w:tcPr>
            <w:tcW w:w="653" w:type="pct"/>
            <w:shd w:val="clear" w:color="auto" w:fill="auto"/>
            <w:vAlign w:val="center"/>
          </w:tcPr>
          <w:p w14:paraId="0D33CF48" w14:textId="77777777" w:rsidR="004F0E49" w:rsidRPr="004272F2" w:rsidRDefault="004F0E49" w:rsidP="00C0158B">
            <w:pPr>
              <w:pStyle w:val="TableText0"/>
              <w:rPr>
                <w:sz w:val="20"/>
                <w:szCs w:val="20"/>
              </w:rPr>
            </w:pPr>
            <w:r w:rsidRPr="004272F2">
              <w:rPr>
                <w:rFonts w:cstheme="minorBidi"/>
                <w:sz w:val="20"/>
                <w:szCs w:val="20"/>
              </w:rPr>
              <w:t>197/2,555 (7.7)</w:t>
            </w:r>
          </w:p>
        </w:tc>
        <w:tc>
          <w:tcPr>
            <w:tcW w:w="653" w:type="pct"/>
            <w:shd w:val="clear" w:color="auto" w:fill="auto"/>
            <w:vAlign w:val="center"/>
          </w:tcPr>
          <w:p w14:paraId="17A3A492" w14:textId="77777777" w:rsidR="004F0E49" w:rsidRPr="004272F2" w:rsidRDefault="004F0E49" w:rsidP="00C0158B">
            <w:pPr>
              <w:pStyle w:val="TableText0"/>
              <w:rPr>
                <w:sz w:val="20"/>
                <w:szCs w:val="20"/>
              </w:rPr>
            </w:pPr>
            <w:r w:rsidRPr="004272F2">
              <w:rPr>
                <w:rFonts w:cstheme="minorBidi"/>
                <w:sz w:val="20"/>
                <w:szCs w:val="20"/>
              </w:rPr>
              <w:t>223/2,565 (8.7)</w:t>
            </w:r>
          </w:p>
        </w:tc>
        <w:tc>
          <w:tcPr>
            <w:tcW w:w="856" w:type="pct"/>
            <w:shd w:val="clear" w:color="auto" w:fill="auto"/>
            <w:vAlign w:val="center"/>
          </w:tcPr>
          <w:p w14:paraId="7BED3D57" w14:textId="77777777" w:rsidR="004F0E49" w:rsidRPr="004272F2" w:rsidRDefault="004F0E49" w:rsidP="00C0158B">
            <w:pPr>
              <w:pStyle w:val="TableText0"/>
              <w:rPr>
                <w:sz w:val="20"/>
                <w:szCs w:val="20"/>
              </w:rPr>
            </w:pPr>
            <w:r w:rsidRPr="004272F2">
              <w:rPr>
                <w:sz w:val="20"/>
                <w:szCs w:val="20"/>
              </w:rPr>
              <w:t>Not reported</w:t>
            </w:r>
          </w:p>
        </w:tc>
        <w:tc>
          <w:tcPr>
            <w:tcW w:w="977" w:type="pct"/>
            <w:tcBorders>
              <w:bottom w:val="single" w:sz="4" w:space="0" w:color="auto"/>
            </w:tcBorders>
            <w:shd w:val="clear" w:color="auto" w:fill="auto"/>
            <w:vAlign w:val="center"/>
          </w:tcPr>
          <w:p w14:paraId="57573DAC" w14:textId="38A0F4E1" w:rsidR="004F0E49" w:rsidRPr="004272F2" w:rsidRDefault="004F0E49" w:rsidP="00C0158B">
            <w:pPr>
              <w:pStyle w:val="TableText0"/>
              <w:rPr>
                <w:sz w:val="20"/>
                <w:szCs w:val="20"/>
              </w:rPr>
            </w:pPr>
            <w:r w:rsidRPr="004272F2">
              <w:rPr>
                <w:sz w:val="20"/>
                <w:szCs w:val="20"/>
              </w:rPr>
              <w:t xml:space="preserve">0.894 </w:t>
            </w:r>
            <w:r w:rsidR="00D35E6A" w:rsidRPr="004272F2">
              <w:rPr>
                <w:sz w:val="20"/>
                <w:szCs w:val="20"/>
              </w:rPr>
              <w:t>(</w:t>
            </w:r>
            <w:r w:rsidRPr="004272F2">
              <w:rPr>
                <w:sz w:val="20"/>
                <w:szCs w:val="20"/>
              </w:rPr>
              <w:t>0.738, 1.084</w:t>
            </w:r>
            <w:r w:rsidR="00D35E6A" w:rsidRPr="004272F2">
              <w:rPr>
                <w:sz w:val="20"/>
                <w:szCs w:val="20"/>
              </w:rPr>
              <w:t>)</w:t>
            </w:r>
            <w:r w:rsidRPr="004272F2">
              <w:rPr>
                <w:sz w:val="20"/>
                <w:szCs w:val="20"/>
              </w:rPr>
              <w:t>; p = 0.254</w:t>
            </w:r>
          </w:p>
        </w:tc>
      </w:tr>
      <w:tr w:rsidR="004F0E49" w:rsidRPr="00DB3D39" w14:paraId="5C03E813" w14:textId="77777777">
        <w:trPr>
          <w:trHeight w:val="70"/>
        </w:trPr>
        <w:tc>
          <w:tcPr>
            <w:tcW w:w="4023" w:type="pct"/>
            <w:gridSpan w:val="5"/>
            <w:shd w:val="clear" w:color="auto" w:fill="auto"/>
            <w:vAlign w:val="center"/>
          </w:tcPr>
          <w:p w14:paraId="33213E8C" w14:textId="02ED27D2" w:rsidR="004F0E49" w:rsidRPr="004272F2" w:rsidRDefault="004F0E49" w:rsidP="00C0158B">
            <w:pPr>
              <w:pStyle w:val="TableText0"/>
              <w:rPr>
                <w:sz w:val="20"/>
                <w:szCs w:val="20"/>
              </w:rPr>
            </w:pPr>
            <w:r w:rsidRPr="004272F2">
              <w:rPr>
                <w:sz w:val="20"/>
                <w:szCs w:val="20"/>
              </w:rPr>
              <w:t>Indirect comparison: RIB+ET vs. ABE+ET</w:t>
            </w:r>
            <w:r w:rsidR="007D409D" w:rsidRPr="004272F2">
              <w:rPr>
                <w:sz w:val="20"/>
                <w:szCs w:val="20"/>
              </w:rPr>
              <w:t xml:space="preserve"> (PBS population)</w:t>
            </w:r>
          </w:p>
        </w:tc>
        <w:tc>
          <w:tcPr>
            <w:tcW w:w="977" w:type="pct"/>
            <w:tcBorders>
              <w:top w:val="single" w:sz="4" w:space="0" w:color="auto"/>
              <w:bottom w:val="single" w:sz="4" w:space="0" w:color="auto"/>
              <w:right w:val="single" w:sz="4" w:space="0" w:color="auto"/>
            </w:tcBorders>
            <w:shd w:val="clear" w:color="auto" w:fill="auto"/>
            <w:vAlign w:val="center"/>
          </w:tcPr>
          <w:p w14:paraId="1D695F0C" w14:textId="13C411F4" w:rsidR="004F0E49" w:rsidRPr="004272F2" w:rsidRDefault="005D10CA" w:rsidP="00C0158B">
            <w:pPr>
              <w:pStyle w:val="TableText0"/>
              <w:rPr>
                <w:rFonts w:cstheme="minorHAnsi"/>
                <w:sz w:val="20"/>
                <w:szCs w:val="20"/>
              </w:rPr>
            </w:pPr>
            <w:r w:rsidRPr="004272F2">
              <w:rPr>
                <w:sz w:val="20"/>
                <w:szCs w:val="20"/>
              </w:rPr>
              <w:t xml:space="preserve">1.03 </w:t>
            </w:r>
            <w:r w:rsidR="00D35E6A" w:rsidRPr="004272F2">
              <w:rPr>
                <w:sz w:val="20"/>
                <w:szCs w:val="20"/>
              </w:rPr>
              <w:t>(</w:t>
            </w:r>
            <w:r w:rsidR="004F0E49" w:rsidRPr="004272F2">
              <w:rPr>
                <w:sz w:val="20"/>
                <w:szCs w:val="20"/>
              </w:rPr>
              <w:t>0.70, 1.51</w:t>
            </w:r>
            <w:r w:rsidR="00D35E6A" w:rsidRPr="004272F2">
              <w:rPr>
                <w:sz w:val="20"/>
                <w:szCs w:val="20"/>
              </w:rPr>
              <w:t>)</w:t>
            </w:r>
            <w:r w:rsidR="004F0E49" w:rsidRPr="004272F2">
              <w:rPr>
                <w:sz w:val="20"/>
                <w:szCs w:val="20"/>
              </w:rPr>
              <w:t xml:space="preserve">; </w:t>
            </w:r>
          </w:p>
          <w:p w14:paraId="6E700F32" w14:textId="77777777" w:rsidR="004F0E49" w:rsidRPr="004272F2" w:rsidRDefault="004F0E49" w:rsidP="00C0158B">
            <w:pPr>
              <w:pStyle w:val="TableText0"/>
              <w:rPr>
                <w:sz w:val="20"/>
                <w:szCs w:val="20"/>
              </w:rPr>
            </w:pPr>
            <w:r w:rsidRPr="004272F2">
              <w:rPr>
                <w:sz w:val="20"/>
                <w:szCs w:val="20"/>
              </w:rPr>
              <w:t>p = 0.8969</w:t>
            </w:r>
          </w:p>
        </w:tc>
      </w:tr>
    </w:tbl>
    <w:p w14:paraId="1CEB04EF" w14:textId="3DF69309" w:rsidR="007714AD" w:rsidRPr="00DB3D39" w:rsidRDefault="007714AD" w:rsidP="00C0158B">
      <w:pPr>
        <w:pStyle w:val="TableFigureFooter"/>
        <w:keepNext/>
        <w:jc w:val="both"/>
        <w:rPr>
          <w:rFonts w:eastAsiaTheme="majorEastAsia"/>
          <w:lang w:eastAsia="en-US"/>
        </w:rPr>
      </w:pPr>
      <w:r w:rsidRPr="00DB3D39">
        <w:rPr>
          <w:rFonts w:eastAsiaTheme="majorEastAsia"/>
          <w:lang w:eastAsia="en-US"/>
        </w:rPr>
        <w:t>Source: Table 2.6-13, p148 of the submission.</w:t>
      </w:r>
    </w:p>
    <w:p w14:paraId="7F290B1A" w14:textId="5C1919F9" w:rsidR="007714AD" w:rsidRPr="00DB3D39" w:rsidRDefault="007714AD" w:rsidP="00C0158B">
      <w:pPr>
        <w:pStyle w:val="TableFigureFooter"/>
        <w:keepNext/>
        <w:jc w:val="both"/>
        <w:rPr>
          <w:rFonts w:eastAsiaTheme="majorEastAsia"/>
          <w:lang w:eastAsia="en-US"/>
        </w:rPr>
      </w:pPr>
      <w:r w:rsidRPr="00DB3D39">
        <w:rPr>
          <w:rFonts w:eastAsiaTheme="majorEastAsia"/>
          <w:lang w:eastAsia="en-US"/>
        </w:rPr>
        <w:t xml:space="preserve">ABE = </w:t>
      </w:r>
      <w:r w:rsidR="00B71289">
        <w:rPr>
          <w:rFonts w:eastAsiaTheme="majorEastAsia"/>
          <w:lang w:eastAsia="en-US"/>
        </w:rPr>
        <w:t>a</w:t>
      </w:r>
      <w:r w:rsidRPr="00DB3D39">
        <w:rPr>
          <w:rFonts w:eastAsiaTheme="majorEastAsia"/>
          <w:lang w:eastAsia="en-US"/>
        </w:rPr>
        <w:t xml:space="preserve">bemaciclib; </w:t>
      </w:r>
      <w:r w:rsidR="001B3DF8" w:rsidRPr="00DB3D39">
        <w:rPr>
          <w:rFonts w:eastAsiaTheme="majorEastAsia"/>
          <w:lang w:eastAsia="en-US"/>
        </w:rPr>
        <w:t xml:space="preserve">AI = </w:t>
      </w:r>
      <w:r w:rsidR="00C5545C" w:rsidRPr="00DB3D39">
        <w:rPr>
          <w:rFonts w:eastAsiaTheme="majorEastAsia"/>
          <w:lang w:eastAsia="en-US"/>
        </w:rPr>
        <w:t xml:space="preserve">aromatase inhibitor; </w:t>
      </w:r>
      <w:r w:rsidRPr="00DB3D39">
        <w:rPr>
          <w:rFonts w:eastAsiaTheme="majorEastAsia"/>
          <w:lang w:eastAsia="en-US"/>
        </w:rPr>
        <w:t xml:space="preserve">CI = </w:t>
      </w:r>
      <w:r w:rsidR="00B71289">
        <w:rPr>
          <w:rFonts w:eastAsiaTheme="majorEastAsia"/>
          <w:lang w:eastAsia="en-US"/>
        </w:rPr>
        <w:t>c</w:t>
      </w:r>
      <w:r w:rsidRPr="00DB3D39">
        <w:rPr>
          <w:rFonts w:eastAsiaTheme="majorEastAsia"/>
          <w:lang w:eastAsia="en-US"/>
        </w:rPr>
        <w:t xml:space="preserve">onfidence interval; DCO = </w:t>
      </w:r>
      <w:r w:rsidR="00430C5B" w:rsidRPr="00DB3D39">
        <w:rPr>
          <w:rFonts w:eastAsiaTheme="majorEastAsia"/>
          <w:lang w:eastAsia="en-US"/>
        </w:rPr>
        <w:t>d</w:t>
      </w:r>
      <w:r w:rsidRPr="00DB3D39">
        <w:rPr>
          <w:rFonts w:eastAsiaTheme="majorEastAsia"/>
          <w:lang w:eastAsia="en-US"/>
        </w:rPr>
        <w:t xml:space="preserve">ata cut-off; ET = </w:t>
      </w:r>
      <w:r w:rsidR="00430C5B" w:rsidRPr="00DB3D39">
        <w:rPr>
          <w:rFonts w:eastAsiaTheme="majorEastAsia"/>
          <w:lang w:eastAsia="en-US"/>
        </w:rPr>
        <w:t>e</w:t>
      </w:r>
      <w:r w:rsidRPr="00DB3D39">
        <w:rPr>
          <w:rFonts w:eastAsiaTheme="majorEastAsia"/>
          <w:lang w:eastAsia="en-US"/>
        </w:rPr>
        <w:t xml:space="preserve">ndocrine therapy; ITT = </w:t>
      </w:r>
      <w:r w:rsidR="00430C5B" w:rsidRPr="00DB3D39">
        <w:rPr>
          <w:rFonts w:eastAsiaTheme="majorEastAsia"/>
          <w:lang w:eastAsia="en-US"/>
        </w:rPr>
        <w:t>i</w:t>
      </w:r>
      <w:r w:rsidRPr="00DB3D39">
        <w:rPr>
          <w:rFonts w:eastAsiaTheme="majorEastAsia"/>
          <w:lang w:eastAsia="en-US"/>
        </w:rPr>
        <w:t>ntent</w:t>
      </w:r>
      <w:r w:rsidR="00430C5B" w:rsidRPr="00DB3D39">
        <w:rPr>
          <w:rFonts w:eastAsiaTheme="majorEastAsia"/>
          <w:lang w:eastAsia="en-US"/>
        </w:rPr>
        <w:t xml:space="preserve">ion </w:t>
      </w:r>
      <w:r w:rsidRPr="00DB3D39">
        <w:rPr>
          <w:rFonts w:eastAsiaTheme="majorEastAsia"/>
          <w:lang w:eastAsia="en-US"/>
        </w:rPr>
        <w:t>to</w:t>
      </w:r>
      <w:r w:rsidR="00430C5B" w:rsidRPr="00DB3D39">
        <w:rPr>
          <w:rFonts w:eastAsiaTheme="majorEastAsia"/>
          <w:lang w:eastAsia="en-US"/>
        </w:rPr>
        <w:t xml:space="preserve"> </w:t>
      </w:r>
      <w:r w:rsidRPr="00DB3D39">
        <w:rPr>
          <w:rFonts w:eastAsiaTheme="majorEastAsia"/>
          <w:lang w:eastAsia="en-US"/>
        </w:rPr>
        <w:t xml:space="preserve">treat; NR = </w:t>
      </w:r>
      <w:r w:rsidR="00430C5B" w:rsidRPr="00DB3D39">
        <w:rPr>
          <w:rFonts w:eastAsiaTheme="majorEastAsia"/>
          <w:lang w:eastAsia="en-US"/>
        </w:rPr>
        <w:t>n</w:t>
      </w:r>
      <w:r w:rsidRPr="00DB3D39">
        <w:rPr>
          <w:rFonts w:eastAsiaTheme="majorEastAsia"/>
          <w:lang w:eastAsia="en-US"/>
        </w:rPr>
        <w:t>ot reported</w:t>
      </w:r>
      <w:r w:rsidR="00430C5B" w:rsidRPr="00DB3D39">
        <w:rPr>
          <w:rFonts w:eastAsiaTheme="majorEastAsia"/>
          <w:lang w:eastAsia="en-US"/>
        </w:rPr>
        <w:t>;</w:t>
      </w:r>
      <w:r w:rsidRPr="00DB3D39">
        <w:rPr>
          <w:rFonts w:eastAsiaTheme="majorEastAsia"/>
          <w:lang w:eastAsia="en-US"/>
        </w:rPr>
        <w:t xml:space="preserve"> PBS = Pharmaceutical Benefit Scheme; RIB = </w:t>
      </w:r>
      <w:r w:rsidR="00430C5B" w:rsidRPr="00DB3D39">
        <w:rPr>
          <w:rFonts w:eastAsiaTheme="majorEastAsia"/>
          <w:lang w:eastAsia="en-US"/>
        </w:rPr>
        <w:t>r</w:t>
      </w:r>
      <w:r w:rsidRPr="00DB3D39">
        <w:rPr>
          <w:rFonts w:eastAsiaTheme="majorEastAsia"/>
          <w:lang w:eastAsia="en-US"/>
        </w:rPr>
        <w:t>ibociclib</w:t>
      </w:r>
      <w:r w:rsidR="00471E7E" w:rsidRPr="00DB3D39">
        <w:rPr>
          <w:rFonts w:eastAsia="Calibri"/>
        </w:rPr>
        <w:t xml:space="preserve">; iDFS = </w:t>
      </w:r>
      <w:r w:rsidR="00471E7E">
        <w:rPr>
          <w:rFonts w:eastAsia="Calibri"/>
        </w:rPr>
        <w:t>i</w:t>
      </w:r>
      <w:r w:rsidR="00471E7E" w:rsidRPr="00DB3D39">
        <w:rPr>
          <w:rFonts w:eastAsia="Calibri"/>
        </w:rPr>
        <w:t>nvasive disease-free survival</w:t>
      </w:r>
      <w:r w:rsidR="00471E7E">
        <w:rPr>
          <w:rFonts w:eastAsia="Calibri"/>
        </w:rPr>
        <w:t>; DRFS = distant recurrent-free survival; OS = overall survival</w:t>
      </w:r>
    </w:p>
    <w:p w14:paraId="649BF32F" w14:textId="7188B0F3" w:rsidR="007714AD" w:rsidRPr="00DB3D39" w:rsidRDefault="007714AD" w:rsidP="00C0158B">
      <w:pPr>
        <w:pStyle w:val="TableFigureFooter"/>
        <w:keepNext/>
        <w:jc w:val="both"/>
        <w:rPr>
          <w:rFonts w:eastAsiaTheme="majorEastAsia"/>
          <w:lang w:eastAsia="en-US"/>
        </w:rPr>
      </w:pPr>
      <w:r w:rsidRPr="00DB3D39">
        <w:rPr>
          <w:rFonts w:eastAsiaTheme="majorEastAsia"/>
          <w:lang w:eastAsia="en-US"/>
        </w:rPr>
        <w:t xml:space="preserve">* </w:t>
      </w:r>
      <w:r w:rsidR="00F22961">
        <w:rPr>
          <w:rFonts w:eastAsiaTheme="majorEastAsia"/>
          <w:lang w:eastAsia="en-US"/>
        </w:rPr>
        <w:t xml:space="preserve">Both </w:t>
      </w:r>
      <w:r w:rsidR="00017536">
        <w:rPr>
          <w:rFonts w:eastAsiaTheme="majorEastAsia"/>
          <w:lang w:eastAsia="en-US"/>
        </w:rPr>
        <w:t xml:space="preserve">Cohort 1 </w:t>
      </w:r>
      <w:r w:rsidR="00F22961">
        <w:rPr>
          <w:rFonts w:eastAsiaTheme="majorEastAsia"/>
          <w:lang w:eastAsia="en-US"/>
        </w:rPr>
        <w:t>and ad</w:t>
      </w:r>
      <w:r w:rsidR="009151B5">
        <w:rPr>
          <w:rFonts w:eastAsiaTheme="majorEastAsia"/>
          <w:lang w:eastAsia="en-US"/>
        </w:rPr>
        <w:t>juvant AI subgroup</w:t>
      </w:r>
      <w:r w:rsidR="00DA247E">
        <w:rPr>
          <w:rFonts w:eastAsiaTheme="majorEastAsia"/>
          <w:lang w:eastAsia="en-US"/>
        </w:rPr>
        <w:t>s</w:t>
      </w:r>
      <w:r w:rsidR="009151B5">
        <w:rPr>
          <w:rFonts w:eastAsiaTheme="majorEastAsia"/>
          <w:lang w:eastAsia="en-US"/>
        </w:rPr>
        <w:t xml:space="preserve"> </w:t>
      </w:r>
      <w:r w:rsidR="00F22961">
        <w:rPr>
          <w:rFonts w:eastAsiaTheme="majorEastAsia"/>
          <w:lang w:eastAsia="en-US"/>
        </w:rPr>
        <w:t>were</w:t>
      </w:r>
      <w:r w:rsidR="009151B5">
        <w:rPr>
          <w:rFonts w:eastAsiaTheme="majorEastAsia"/>
          <w:lang w:eastAsia="en-US"/>
        </w:rPr>
        <w:t xml:space="preserve"> prespecified. </w:t>
      </w:r>
    </w:p>
    <w:p w14:paraId="5A5622EC" w14:textId="77777777" w:rsidR="00225B2B" w:rsidRDefault="004F0E49" w:rsidP="00C0158B">
      <w:pPr>
        <w:pStyle w:val="TableFigureFooter"/>
        <w:keepNext/>
        <w:jc w:val="both"/>
        <w:rPr>
          <w:rFonts w:eastAsiaTheme="majorEastAsia"/>
          <w:lang w:eastAsia="en-US"/>
        </w:rPr>
      </w:pPr>
      <w:r w:rsidRPr="00DB3D39">
        <w:rPr>
          <w:rFonts w:eastAsiaTheme="majorEastAsia"/>
          <w:lang w:eastAsia="en-US"/>
        </w:rPr>
        <w:t>^ Post-hoc subgroup</w:t>
      </w:r>
      <w:r w:rsidR="00225B2B">
        <w:rPr>
          <w:rFonts w:eastAsiaTheme="majorEastAsia"/>
          <w:lang w:eastAsia="en-US"/>
        </w:rPr>
        <w:t xml:space="preserve"> </w:t>
      </w:r>
    </w:p>
    <w:p w14:paraId="4DCD2CF6" w14:textId="1398B02E" w:rsidR="004F0E49" w:rsidRPr="00DB3D39" w:rsidRDefault="004F0E49" w:rsidP="00C0158B">
      <w:pPr>
        <w:pStyle w:val="TableFigureFooter"/>
        <w:keepNext/>
        <w:jc w:val="both"/>
        <w:rPr>
          <w:rFonts w:eastAsiaTheme="majorEastAsia"/>
          <w:lang w:eastAsia="en-US"/>
        </w:rPr>
      </w:pPr>
      <w:r w:rsidRPr="00DB3D39">
        <w:rPr>
          <w:rFonts w:eastAsiaTheme="majorEastAsia"/>
          <w:lang w:eastAsia="en-US"/>
        </w:rPr>
        <w:t>An indirect comparison hazard ratio &gt;1 favours treatment with abemaciclib.</w:t>
      </w:r>
    </w:p>
    <w:p w14:paraId="5342BFDE" w14:textId="77777777" w:rsidR="007714AD" w:rsidRPr="00DB3D39" w:rsidRDefault="007714AD" w:rsidP="00C0158B">
      <w:pPr>
        <w:pStyle w:val="TableFigureFooter"/>
        <w:keepNext/>
        <w:jc w:val="both"/>
        <w:rPr>
          <w:rFonts w:eastAsiaTheme="majorEastAsia"/>
          <w:lang w:eastAsia="en-US"/>
        </w:rPr>
      </w:pPr>
      <w:r w:rsidRPr="00DB3D39">
        <w:rPr>
          <w:rFonts w:eastAsiaTheme="majorEastAsia"/>
          <w:lang w:eastAsia="en-US"/>
        </w:rPr>
        <w:t>Median follow-up time was 40.3 months for the whole trial population in NATALEE and 54 months for monarchE.</w:t>
      </w:r>
    </w:p>
    <w:p w14:paraId="42C79412" w14:textId="77777777" w:rsidR="00445072" w:rsidRDefault="00445072" w:rsidP="00C0158B">
      <w:pPr>
        <w:pStyle w:val="TableFigureFooter"/>
        <w:keepNext/>
        <w:jc w:val="both"/>
        <w:rPr>
          <w:lang w:eastAsia="en-US"/>
        </w:rPr>
      </w:pPr>
      <w:r w:rsidRPr="00DB3D39">
        <w:rPr>
          <w:b/>
          <w:bCs/>
          <w:lang w:eastAsia="en-US"/>
        </w:rPr>
        <w:t>Bold</w:t>
      </w:r>
      <w:r w:rsidRPr="00DB3D39">
        <w:rPr>
          <w:lang w:eastAsia="en-US"/>
        </w:rPr>
        <w:t xml:space="preserve"> indicates statistically significant difference. </w:t>
      </w:r>
    </w:p>
    <w:p w14:paraId="3C98D1DA" w14:textId="0581C4CF" w:rsidR="00C0158B" w:rsidRPr="00C0158B" w:rsidRDefault="00C0158B" w:rsidP="00C0158B">
      <w:pPr>
        <w:pStyle w:val="TableFigureFooter"/>
        <w:jc w:val="both"/>
        <w:rPr>
          <w:rFonts w:eastAsiaTheme="majorEastAsia"/>
          <w:lang w:eastAsia="en-US"/>
        </w:rPr>
      </w:pPr>
      <w:r w:rsidRPr="00225B2B">
        <w:rPr>
          <w:i/>
          <w:iCs/>
        </w:rPr>
        <w:t>Note that the results presented in Table 7 are derived from post-hoc analyses conducted by the applicant</w:t>
      </w:r>
      <w:r w:rsidR="00AB2E39">
        <w:rPr>
          <w:i/>
          <w:iCs/>
        </w:rPr>
        <w:t xml:space="preserve"> during the evaluation</w:t>
      </w:r>
      <w:r w:rsidRPr="00225B2B">
        <w:rPr>
          <w:i/>
          <w:iCs/>
        </w:rPr>
        <w:t xml:space="preserve"> specifically for the purposes of informing the PBAC consideration. These analyses were not part of the pre-specified statistical plan for the NATALEE trial. Interpretation of the results and their application should therefore be limited to seeking to understand the basis for the PBAC outcome and should not be used for any other purpose</w:t>
      </w:r>
      <w:r w:rsidRPr="00224EF4">
        <w:t>.</w:t>
      </w:r>
    </w:p>
    <w:p w14:paraId="7D884A01" w14:textId="7046C402" w:rsidR="004F0E49" w:rsidRPr="00DB3D39" w:rsidRDefault="004F0E49" w:rsidP="007C073C">
      <w:pPr>
        <w:pStyle w:val="3-BodyText"/>
      </w:pPr>
      <w:r w:rsidRPr="00DB3D39">
        <w:t xml:space="preserve">The submission presented the results of PBS </w:t>
      </w:r>
      <w:r w:rsidR="00D35E6A" w:rsidRPr="00DB3D39">
        <w:t xml:space="preserve">subgroup </w:t>
      </w:r>
      <w:r w:rsidRPr="00DB3D39">
        <w:t xml:space="preserve">in the NATALEE trial versus the adjuvant AI subgroup of the monarchE trial (excluding tamoxifen) as the primary ITC results. </w:t>
      </w:r>
      <w:r w:rsidRPr="00112EE5">
        <w:rPr>
          <w:iCs/>
        </w:rPr>
        <w:t xml:space="preserve">However, the patient characteristics for this </w:t>
      </w:r>
      <w:r w:rsidR="00EC3701" w:rsidRPr="00112EE5">
        <w:rPr>
          <w:iCs/>
        </w:rPr>
        <w:t xml:space="preserve">adjuvant AI </w:t>
      </w:r>
      <w:r w:rsidRPr="00112EE5">
        <w:rPr>
          <w:iCs/>
        </w:rPr>
        <w:t>subgroup were not presented in the submission</w:t>
      </w:r>
      <w:r w:rsidR="0056180C" w:rsidRPr="00112EE5">
        <w:rPr>
          <w:iCs/>
        </w:rPr>
        <w:t>;</w:t>
      </w:r>
      <w:r w:rsidRPr="00112EE5">
        <w:rPr>
          <w:iCs/>
        </w:rPr>
        <w:t xml:space="preserve"> therefore</w:t>
      </w:r>
      <w:r w:rsidR="0056180C" w:rsidRPr="00112EE5">
        <w:rPr>
          <w:iCs/>
        </w:rPr>
        <w:t>,</w:t>
      </w:r>
      <w:r w:rsidR="00892FEF">
        <w:rPr>
          <w:iCs/>
        </w:rPr>
        <w:t xml:space="preserve"> </w:t>
      </w:r>
      <w:r w:rsidR="00892FEF" w:rsidRPr="00276A8E">
        <w:rPr>
          <w:iCs/>
        </w:rPr>
        <w:t>the evaluation considered that</w:t>
      </w:r>
      <w:r w:rsidRPr="00112EE5">
        <w:rPr>
          <w:iCs/>
        </w:rPr>
        <w:t xml:space="preserve"> it is uncertain whether this population was representative of the PBS population</w:t>
      </w:r>
      <w:r w:rsidR="00274FE8">
        <w:rPr>
          <w:iCs/>
        </w:rPr>
        <w:t xml:space="preserve"> and that it</w:t>
      </w:r>
      <w:r w:rsidRPr="00112EE5" w:rsidDel="00D35E6A">
        <w:rPr>
          <w:iCs/>
        </w:rPr>
        <w:t xml:space="preserve"> </w:t>
      </w:r>
      <w:r w:rsidR="00D35E6A" w:rsidRPr="00112EE5">
        <w:rPr>
          <w:iCs/>
        </w:rPr>
        <w:t>would</w:t>
      </w:r>
      <w:r w:rsidRPr="00112EE5">
        <w:rPr>
          <w:iCs/>
        </w:rPr>
        <w:t xml:space="preserve"> </w:t>
      </w:r>
      <w:r w:rsidRPr="00112EE5">
        <w:rPr>
          <w:iCs/>
        </w:rPr>
        <w:lastRenderedPageBreak/>
        <w:t xml:space="preserve">have been more appropriate to present the comparison against Cohort 1 of monarchE </w:t>
      </w:r>
      <w:r w:rsidR="006D7332" w:rsidRPr="00112EE5">
        <w:rPr>
          <w:iCs/>
        </w:rPr>
        <w:t xml:space="preserve">as </w:t>
      </w:r>
      <w:r w:rsidRPr="00112EE5">
        <w:rPr>
          <w:iCs/>
        </w:rPr>
        <w:t>the primary results of the ITC.</w:t>
      </w:r>
    </w:p>
    <w:p w14:paraId="708C15E6" w14:textId="0BBB7423" w:rsidR="004F0E49" w:rsidRPr="00DB3D39" w:rsidRDefault="004F0E49" w:rsidP="007C073C">
      <w:pPr>
        <w:pStyle w:val="3-BodyText"/>
      </w:pPr>
      <w:r w:rsidRPr="00276A8E">
        <w:t>The</w:t>
      </w:r>
      <w:r w:rsidR="00892FEF" w:rsidRPr="00276A8E">
        <w:t xml:space="preserve"> evaluation noted that</w:t>
      </w:r>
      <w:r w:rsidR="00892FEF" w:rsidRPr="00892FEF">
        <w:rPr>
          <w:i/>
          <w:iCs/>
        </w:rPr>
        <w:t xml:space="preserve"> </w:t>
      </w:r>
      <w:r w:rsidR="00892FEF" w:rsidRPr="00274FE8">
        <w:t>the</w:t>
      </w:r>
      <w:r w:rsidRPr="00274FE8">
        <w:t xml:space="preserve"> </w:t>
      </w:r>
      <w:r w:rsidRPr="00DB3D39">
        <w:t>main transitivity concerns identified by the submission were:</w:t>
      </w:r>
    </w:p>
    <w:p w14:paraId="49311D67" w14:textId="0419A4C5" w:rsidR="004F0E49" w:rsidRPr="00DB3D39" w:rsidRDefault="00274FE8" w:rsidP="00F43B37">
      <w:pPr>
        <w:pStyle w:val="ListParagraph"/>
      </w:pPr>
      <w:r>
        <w:t>T</w:t>
      </w:r>
      <w:r w:rsidR="004F0E49" w:rsidRPr="00DB3D39">
        <w:t xml:space="preserve">he use of tamoxifen in 31.1% of patients in the ITT population of monarchE. </w:t>
      </w:r>
      <w:r w:rsidR="004F0E49" w:rsidRPr="00112EE5">
        <w:t xml:space="preserve">The exclusion of these patients from the ITC </w:t>
      </w:r>
      <w:r w:rsidR="008A72F3" w:rsidRPr="00112EE5">
        <w:t xml:space="preserve">introduces a deviation from </w:t>
      </w:r>
      <w:r w:rsidR="00050FB4" w:rsidRPr="00112EE5">
        <w:t xml:space="preserve">the </w:t>
      </w:r>
      <w:r w:rsidR="008A72F3" w:rsidRPr="00112EE5">
        <w:t>population for which listing is being sought</w:t>
      </w:r>
      <w:r w:rsidR="004F0E49" w:rsidRPr="00112EE5">
        <w:t xml:space="preserve">. Tamoxifen is part of adjuvant ET used in the Australian target population and is part of the submission’s nominated comparator. </w:t>
      </w:r>
    </w:p>
    <w:p w14:paraId="7C41D434" w14:textId="1E6EC42E" w:rsidR="004F0E49" w:rsidRPr="00DB3D39" w:rsidRDefault="004F0E49" w:rsidP="00F43B37">
      <w:pPr>
        <w:pStyle w:val="ListParagraph"/>
        <w:rPr>
          <w:snapToGrid w:val="0"/>
        </w:rPr>
      </w:pPr>
      <w:r w:rsidRPr="00DB3D39">
        <w:rPr>
          <w:snapToGrid w:val="0"/>
        </w:rPr>
        <w:t xml:space="preserve">The benefit in terms of iDFS </w:t>
      </w:r>
      <w:r w:rsidR="00274FE8">
        <w:rPr>
          <w:snapToGrid w:val="0"/>
        </w:rPr>
        <w:t>for</w:t>
      </w:r>
      <w:r w:rsidRPr="00DB3D39">
        <w:rPr>
          <w:snapToGrid w:val="0"/>
        </w:rPr>
        <w:t xml:space="preserve"> patients treated with abemaciclib plus adjuvant tamoxifen compared to tamoxifen alone was 43.9% (HR 0.561, 95% CI: 0.445, 0.708), whereas the benefit of treating with abemaciclib plus an AI compared to AI alone was 26.2% (HR 0.738, 95% CI: 0.634, 0.959)</w:t>
      </w:r>
      <w:r w:rsidR="00775F05">
        <w:rPr>
          <w:rStyle w:val="FootnoteReference"/>
          <w:snapToGrid w:val="0"/>
        </w:rPr>
        <w:footnoteReference w:id="8"/>
      </w:r>
      <w:r w:rsidRPr="00DB3D39">
        <w:rPr>
          <w:snapToGrid w:val="0"/>
        </w:rPr>
        <w:t xml:space="preserve">. </w:t>
      </w:r>
      <w:r w:rsidRPr="00112EE5">
        <w:rPr>
          <w:snapToGrid w:val="0"/>
        </w:rPr>
        <w:t>This large shift in the observed HR is consistent with studies showing tamoxifen monotherapy may not be as effective as AI monotherapy in preventing breast cancer recurrence,</w:t>
      </w:r>
      <w:r w:rsidRPr="006C0AC6">
        <w:rPr>
          <w:rStyle w:val="FootnoteReference"/>
          <w:rFonts w:asciiTheme="minorHAnsi" w:hAnsiTheme="minorHAnsi" w:cstheme="minorHAnsi"/>
          <w:iCs/>
          <w:snapToGrid w:val="0"/>
          <w:sz w:val="24"/>
        </w:rPr>
        <w:footnoteReference w:id="9"/>
      </w:r>
      <w:r w:rsidRPr="006C0AC6">
        <w:rPr>
          <w:rFonts w:cstheme="minorHAnsi"/>
          <w:snapToGrid w:val="0"/>
        </w:rPr>
        <w:t xml:space="preserve"> </w:t>
      </w:r>
      <w:r w:rsidRPr="00112EE5">
        <w:rPr>
          <w:snapToGrid w:val="0"/>
        </w:rPr>
        <w:t xml:space="preserve">however additional confounders and the possibility that randomisation of monarchE may not be preserved in this newly-defined, non-stratified AI subgroup cannot be precluded. </w:t>
      </w:r>
    </w:p>
    <w:p w14:paraId="0476BC4A" w14:textId="0B8DCCE9" w:rsidR="004F0E49" w:rsidRPr="00DB3D39" w:rsidRDefault="004F0E49" w:rsidP="00F43B37">
      <w:pPr>
        <w:pStyle w:val="ListParagraph"/>
        <w:rPr>
          <w:snapToGrid w:val="0"/>
        </w:rPr>
      </w:pPr>
      <w:r w:rsidRPr="00DB3D39">
        <w:rPr>
          <w:snapToGrid w:val="0"/>
        </w:rPr>
        <w:t>Difference in the median follow-up time: shorter in</w:t>
      </w:r>
      <w:r w:rsidRPr="00DB3D39">
        <w:t xml:space="preserve"> the</w:t>
      </w:r>
      <w:r w:rsidRPr="00DB3D39">
        <w:rPr>
          <w:snapToGrid w:val="0"/>
        </w:rPr>
        <w:t xml:space="preserve"> NATALEE</w:t>
      </w:r>
      <w:r w:rsidR="007B78D7" w:rsidRPr="00DB3D39">
        <w:rPr>
          <w:snapToGrid w:val="0"/>
        </w:rPr>
        <w:t xml:space="preserve"> trial</w:t>
      </w:r>
      <w:r w:rsidRPr="00DB3D39">
        <w:rPr>
          <w:snapToGrid w:val="0"/>
        </w:rPr>
        <w:t xml:space="preserve"> compared to </w:t>
      </w:r>
      <w:r w:rsidRPr="00DB3D39">
        <w:t>the</w:t>
      </w:r>
      <w:r w:rsidRPr="00DB3D39">
        <w:rPr>
          <w:snapToGrid w:val="0"/>
        </w:rPr>
        <w:t xml:space="preserve"> monarchE </w:t>
      </w:r>
      <w:r w:rsidRPr="00DB3D39">
        <w:t xml:space="preserve">trial </w:t>
      </w:r>
      <w:r w:rsidRPr="00DB3D39">
        <w:rPr>
          <w:snapToGrid w:val="0"/>
        </w:rPr>
        <w:t xml:space="preserve">(40.3 months vs 54 months). A comparison of </w:t>
      </w:r>
      <w:r w:rsidRPr="00DB3D39">
        <w:t xml:space="preserve">the </w:t>
      </w:r>
      <w:r w:rsidRPr="00DB3D39">
        <w:rPr>
          <w:snapToGrid w:val="0"/>
        </w:rPr>
        <w:t>ET common references arms in the nominated PBS populations in NAT</w:t>
      </w:r>
      <w:r w:rsidR="00D35E6A" w:rsidRPr="00DB3D39">
        <w:t>A</w:t>
      </w:r>
      <w:r w:rsidRPr="00DB3D39">
        <w:rPr>
          <w:snapToGrid w:val="0"/>
        </w:rPr>
        <w:t>LEE</w:t>
      </w:r>
      <w:r w:rsidRPr="00DB3D39">
        <w:t xml:space="preserve"> </w:t>
      </w:r>
      <w:r w:rsidRPr="00DB3D39">
        <w:rPr>
          <w:snapToGrid w:val="0"/>
        </w:rPr>
        <w:t xml:space="preserve">and monarchE showed </w:t>
      </w:r>
      <w:r w:rsidRPr="00DB3D39">
        <w:t xml:space="preserve">that </w:t>
      </w:r>
      <w:r w:rsidRPr="00DB3D39">
        <w:rPr>
          <w:snapToGrid w:val="0"/>
        </w:rPr>
        <w:t>the two curves overlapp</w:t>
      </w:r>
      <w:r w:rsidRPr="00DB3D39">
        <w:t>ed</w:t>
      </w:r>
      <w:r w:rsidR="00F46B67" w:rsidRPr="00DB3D39">
        <w:t>,</w:t>
      </w:r>
      <w:r w:rsidRPr="00DB3D39">
        <w:rPr>
          <w:snapToGrid w:val="0"/>
        </w:rPr>
        <w:t xml:space="preserve"> indicating consistency. </w:t>
      </w:r>
    </w:p>
    <w:p w14:paraId="1AD3EDA6" w14:textId="344C5C7F" w:rsidR="00D35E6A" w:rsidRPr="00DB3D39" w:rsidRDefault="004F0E49" w:rsidP="00F43B37">
      <w:pPr>
        <w:pStyle w:val="ListParagraph"/>
      </w:pPr>
      <w:r w:rsidRPr="00DB3D39">
        <w:t>Different treatment durations: the maximum treatment duration for ribociclib (NATALEE) was 3 years compared to 2 years for abemaciclib (monarchE). At the July 2023 DCO</w:t>
      </w:r>
      <w:r w:rsidR="004F1151" w:rsidRPr="00DB3D39">
        <w:t>, with a median follow up of 40.3 months</w:t>
      </w:r>
      <w:r w:rsidRPr="00DB3D39">
        <w:t>, 20.7% of patients in NATALEE were still receiving ribociclib.</w:t>
      </w:r>
      <w:r w:rsidR="00DB67D9" w:rsidRPr="00DB3D39">
        <w:t xml:space="preserve"> </w:t>
      </w:r>
      <w:r w:rsidR="00D340F7" w:rsidRPr="00276A8E">
        <w:t>The ESC noted that the sponsor did not provide an update of the median follow-up or the proportion of patients on treatment with ribociclib when updating the ITCs with data from a new DCO in their PSCR.</w:t>
      </w:r>
      <w:r w:rsidR="00D340F7">
        <w:t xml:space="preserve"> </w:t>
      </w:r>
      <w:r w:rsidR="00DB67D9" w:rsidRPr="00DB3D39">
        <w:t xml:space="preserve">In </w:t>
      </w:r>
      <w:r w:rsidR="001E0EC7" w:rsidRPr="00DB3D39">
        <w:t>m</w:t>
      </w:r>
      <w:r w:rsidR="00DB67D9" w:rsidRPr="00DB3D39">
        <w:t xml:space="preserve">onarchE all </w:t>
      </w:r>
      <w:r w:rsidR="00A63423" w:rsidRPr="00DB3D39">
        <w:t>patients</w:t>
      </w:r>
      <w:r w:rsidR="00DB67D9" w:rsidRPr="00DB3D39">
        <w:t xml:space="preserve"> h</w:t>
      </w:r>
      <w:r w:rsidR="001E0EC7" w:rsidRPr="00DB3D39">
        <w:t>ad either completed or discontinued the 2-year treatment phase.</w:t>
      </w:r>
      <w:r w:rsidRPr="00DB3D39">
        <w:t xml:space="preserve"> </w:t>
      </w:r>
    </w:p>
    <w:p w14:paraId="5A221DDA" w14:textId="71360E9A" w:rsidR="004F0E49" w:rsidRPr="00DB3D39" w:rsidRDefault="00BA5FF5" w:rsidP="00F43B37">
      <w:pPr>
        <w:pStyle w:val="ListParagraph"/>
      </w:pPr>
      <w:r w:rsidRPr="00DB3D39">
        <w:t xml:space="preserve">NATALEE </w:t>
      </w:r>
      <w:r w:rsidR="004F0E49" w:rsidRPr="00DB3D39">
        <w:t xml:space="preserve">safety results </w:t>
      </w:r>
      <w:r w:rsidRPr="00DB3D39">
        <w:t>are incomplete</w:t>
      </w:r>
      <w:r w:rsidR="004F0E49" w:rsidRPr="00DB3D39">
        <w:t xml:space="preserve"> </w:t>
      </w:r>
      <w:r w:rsidRPr="00DB3D39">
        <w:t xml:space="preserve">which </w:t>
      </w:r>
      <w:r w:rsidR="004F0E49" w:rsidRPr="00DB3D39">
        <w:t xml:space="preserve">may bias </w:t>
      </w:r>
      <w:r w:rsidRPr="00DB3D39">
        <w:t>the ITC</w:t>
      </w:r>
      <w:r w:rsidR="004F0E49" w:rsidRPr="00DB3D39">
        <w:t xml:space="preserve"> in favour of ribociclib due to </w:t>
      </w:r>
      <w:r w:rsidR="000108D3" w:rsidRPr="00DB3D39">
        <w:t>patient</w:t>
      </w:r>
      <w:r w:rsidR="00F60B1E" w:rsidRPr="00DB3D39">
        <w:t>s</w:t>
      </w:r>
      <w:r w:rsidR="000108D3" w:rsidRPr="00DB3D39">
        <w:t xml:space="preserve"> still being on treatment</w:t>
      </w:r>
      <w:r w:rsidR="004F0E49" w:rsidRPr="00DB3D39">
        <w:t xml:space="preserve">. ITC in safety was performed </w:t>
      </w:r>
      <w:r w:rsidR="004F0E49" w:rsidRPr="00DB3D39">
        <w:lastRenderedPageBreak/>
        <w:t>using a subgroup (74.2%)</w:t>
      </w:r>
      <w:r w:rsidR="008669D3">
        <w:rPr>
          <w:rStyle w:val="FootnoteReference"/>
          <w:snapToGrid w:val="0"/>
        </w:rPr>
        <w:footnoteReference w:id="10"/>
      </w:r>
      <w:r w:rsidR="004F0E49" w:rsidRPr="00DB3D39">
        <w:t xml:space="preserve"> of NATALEE aligned to the ITT population of mona</w:t>
      </w:r>
      <w:r w:rsidR="00D35E6A" w:rsidRPr="00DB3D39">
        <w:t>r</w:t>
      </w:r>
      <w:r w:rsidR="004F0E49" w:rsidRPr="00DB3D39">
        <w:t>chE.</w:t>
      </w:r>
      <w:r w:rsidR="00A57503" w:rsidRPr="00DB3D39">
        <w:t xml:space="preserve"> The</w:t>
      </w:r>
      <w:r w:rsidR="00AB20D1" w:rsidRPr="00DB3D39">
        <w:t xml:space="preserve"> </w:t>
      </w:r>
      <w:r w:rsidR="00121ECF" w:rsidRPr="00DB3D39">
        <w:t xml:space="preserve">adverse </w:t>
      </w:r>
      <w:r w:rsidR="009D0126" w:rsidRPr="00DB3D39">
        <w:t>events</w:t>
      </w:r>
      <w:r w:rsidR="00AB20D1" w:rsidRPr="00DB3D39">
        <w:t xml:space="preserve"> </w:t>
      </w:r>
      <w:r w:rsidR="00A57503" w:rsidRPr="00DB3D39">
        <w:t xml:space="preserve">in the ET only </w:t>
      </w:r>
      <w:r w:rsidR="00A63423" w:rsidRPr="00DB3D39">
        <w:t>were consistent across</w:t>
      </w:r>
      <w:r w:rsidR="009D0126" w:rsidRPr="00DB3D39">
        <w:t xml:space="preserve"> the two </w:t>
      </w:r>
      <w:r w:rsidR="00A63423" w:rsidRPr="00DB3D39">
        <w:t>trials</w:t>
      </w:r>
      <w:r w:rsidR="004F0E49" w:rsidRPr="00112EE5">
        <w:t>.</w:t>
      </w:r>
      <w:r w:rsidR="00121ECF" w:rsidRPr="00112EE5">
        <w:t xml:space="preserve"> </w:t>
      </w:r>
    </w:p>
    <w:p w14:paraId="41F2DFAD" w14:textId="77777777" w:rsidR="00B60939" w:rsidRPr="00DB3D39" w:rsidRDefault="00B60939" w:rsidP="00D86231">
      <w:pPr>
        <w:pStyle w:val="4-SubsectionHeading"/>
      </w:pPr>
      <w:bookmarkStart w:id="38" w:name="_Toc177475549"/>
      <w:r w:rsidRPr="00DB3D39">
        <w:t>Comparative harms</w:t>
      </w:r>
      <w:bookmarkEnd w:id="38"/>
    </w:p>
    <w:p w14:paraId="4481743D" w14:textId="15DDB34D" w:rsidR="00C60430" w:rsidRPr="00DB3D39" w:rsidRDefault="0094799B" w:rsidP="007C073C">
      <w:pPr>
        <w:pStyle w:val="3-BodyText"/>
      </w:pPr>
      <w:r w:rsidRPr="00DB3D39">
        <w:t>A summary of adverse events (AEs) for ribociclib and abemaciclib is presented in</w:t>
      </w:r>
      <w:r w:rsidR="00D46017" w:rsidRPr="00DB3D39">
        <w:t xml:space="preserve"> </w:t>
      </w:r>
      <w:r w:rsidR="00D46017" w:rsidRPr="00DB3D39">
        <w:fldChar w:fldCharType="begin" w:fldLock="1"/>
      </w:r>
      <w:r w:rsidR="00D46017" w:rsidRPr="00DB3D39">
        <w:instrText xml:space="preserve"> REF _Ref176777904 \h </w:instrText>
      </w:r>
      <w:r w:rsidR="00D46017" w:rsidRPr="00DB3D39">
        <w:fldChar w:fldCharType="separate"/>
      </w:r>
      <w:r w:rsidR="00FF083B" w:rsidRPr="00DB3D39">
        <w:t xml:space="preserve">Table </w:t>
      </w:r>
      <w:r w:rsidR="00FF083B">
        <w:rPr>
          <w:noProof/>
        </w:rPr>
        <w:t>8</w:t>
      </w:r>
      <w:r w:rsidR="00D46017" w:rsidRPr="00DB3D39">
        <w:fldChar w:fldCharType="end"/>
      </w:r>
      <w:r w:rsidR="00D46017" w:rsidRPr="00DB3D39">
        <w:t xml:space="preserve">. </w:t>
      </w:r>
      <w:r w:rsidR="00BC09D3" w:rsidRPr="00DB3D39">
        <w:t>The</w:t>
      </w:r>
      <w:r w:rsidR="00BC09D3" w:rsidRPr="00DB3D39" w:rsidDel="00BC09D3">
        <w:t xml:space="preserve"> </w:t>
      </w:r>
      <w:r w:rsidR="00BC09D3" w:rsidRPr="00DB3D39">
        <w:t xml:space="preserve">safety outcomes </w:t>
      </w:r>
      <w:r w:rsidR="00923535" w:rsidRPr="00DB3D39">
        <w:t>were</w:t>
      </w:r>
      <w:r w:rsidR="00BC09D3" w:rsidRPr="00DB3D39">
        <w:t xml:space="preserve"> presented for the </w:t>
      </w:r>
      <w:r w:rsidR="007215BC" w:rsidRPr="00DB3D39">
        <w:t xml:space="preserve">safety population </w:t>
      </w:r>
      <w:r w:rsidR="00AF7AFF" w:rsidRPr="00DB3D39">
        <w:t xml:space="preserve">for </w:t>
      </w:r>
      <w:r w:rsidR="00BC09D3" w:rsidRPr="00DB3D39">
        <w:t>patients in NATALEE who would be eligible for the</w:t>
      </w:r>
      <w:r w:rsidR="00970D63" w:rsidRPr="00DB3D39">
        <w:t xml:space="preserve"> P</w:t>
      </w:r>
      <w:r w:rsidR="006429BC">
        <w:t>B</w:t>
      </w:r>
      <w:r w:rsidR="00970D63" w:rsidRPr="00DB3D39">
        <w:t>S population (</w:t>
      </w:r>
      <w:r w:rsidR="00DE7F15" w:rsidRPr="00DB3D39">
        <w:t>64.9% of NATALEE ITT population</w:t>
      </w:r>
      <w:r w:rsidR="00970D63" w:rsidRPr="00DB3D39">
        <w:t>)</w:t>
      </w:r>
      <w:r w:rsidR="00BC09D3" w:rsidRPr="00DB3D39">
        <w:t xml:space="preserve"> </w:t>
      </w:r>
      <w:r w:rsidR="00DE7F15" w:rsidRPr="00DB3D39">
        <w:t xml:space="preserve">and </w:t>
      </w:r>
      <w:r w:rsidR="00BC09D3" w:rsidRPr="00DB3D39">
        <w:t xml:space="preserve">ITT population of monarchE (72.1% of NATALEE ITT population) </w:t>
      </w:r>
      <w:r w:rsidR="00AF7AFF" w:rsidRPr="00DB3D39">
        <w:t>and</w:t>
      </w:r>
      <w:r w:rsidR="00BC09D3" w:rsidRPr="00DB3D39">
        <w:t xml:space="preserve"> the safety population in monarchE (99% of ITT). </w:t>
      </w:r>
      <w:r w:rsidR="006F6BC7" w:rsidRPr="00DB3D39">
        <w:t>B</w:t>
      </w:r>
      <w:r w:rsidR="004F0E49" w:rsidRPr="00DB3D39">
        <w:t>oth trials show that ribociclib and abemaciclib have significantly higher rates of AE compared to the ET alone arm.</w:t>
      </w:r>
      <w:r w:rsidR="00082940" w:rsidRPr="00112EE5">
        <w:t xml:space="preserve"> The </w:t>
      </w:r>
      <w:r w:rsidR="008809EB" w:rsidRPr="00112EE5">
        <w:t>safety profile</w:t>
      </w:r>
      <w:r w:rsidR="000A17AC" w:rsidRPr="00112EE5">
        <w:t xml:space="preserve"> </w:t>
      </w:r>
      <w:r w:rsidR="00180624" w:rsidRPr="00112EE5">
        <w:rPr>
          <w:iCs/>
        </w:rPr>
        <w:t>of the two</w:t>
      </w:r>
      <w:r w:rsidR="009244A5" w:rsidRPr="00112EE5">
        <w:rPr>
          <w:iCs/>
        </w:rPr>
        <w:t xml:space="preserve"> subgroup</w:t>
      </w:r>
      <w:r w:rsidR="00180624" w:rsidRPr="00112EE5">
        <w:rPr>
          <w:iCs/>
        </w:rPr>
        <w:t xml:space="preserve"> populations from</w:t>
      </w:r>
      <w:r w:rsidR="000A17AC" w:rsidRPr="00112EE5">
        <w:t xml:space="preserve"> the NATALEE </w:t>
      </w:r>
      <w:r w:rsidR="00180624" w:rsidRPr="00112EE5">
        <w:rPr>
          <w:iCs/>
        </w:rPr>
        <w:t>trial</w:t>
      </w:r>
      <w:r w:rsidR="00865C69" w:rsidRPr="00112EE5">
        <w:t xml:space="preserve"> </w:t>
      </w:r>
      <w:r w:rsidR="00393C70" w:rsidRPr="00112EE5">
        <w:t xml:space="preserve">are </w:t>
      </w:r>
      <w:r w:rsidR="009F7F5F" w:rsidRPr="00112EE5">
        <w:rPr>
          <w:iCs/>
        </w:rPr>
        <w:t>similar</w:t>
      </w:r>
      <w:r w:rsidR="009244A5" w:rsidRPr="00112EE5">
        <w:rPr>
          <w:iCs/>
        </w:rPr>
        <w:t xml:space="preserve"> to each other and to</w:t>
      </w:r>
      <w:r w:rsidR="00892FEF">
        <w:rPr>
          <w:iCs/>
        </w:rPr>
        <w:t xml:space="preserve"> the</w:t>
      </w:r>
      <w:r w:rsidR="009244A5" w:rsidRPr="00112EE5">
        <w:rPr>
          <w:iCs/>
        </w:rPr>
        <w:t xml:space="preserve"> NATALEE ITT</w:t>
      </w:r>
      <w:r w:rsidR="00892FEF">
        <w:rPr>
          <w:iCs/>
        </w:rPr>
        <w:t xml:space="preserve"> population</w:t>
      </w:r>
      <w:r w:rsidR="009F7F5F" w:rsidRPr="00112EE5">
        <w:rPr>
          <w:iCs/>
        </w:rPr>
        <w:t xml:space="preserve">. </w:t>
      </w:r>
    </w:p>
    <w:p w14:paraId="27667CF9" w14:textId="65C9D4FD" w:rsidR="00692DDB" w:rsidRPr="00DB3D39" w:rsidRDefault="00692DDB" w:rsidP="007C073C">
      <w:pPr>
        <w:pStyle w:val="3-BodyText"/>
      </w:pPr>
      <w:r w:rsidRPr="00DB3D39">
        <w:t xml:space="preserve">The treatment phase in NATALEE was aligned with the </w:t>
      </w:r>
      <w:r w:rsidR="00AC03E7" w:rsidRPr="00DB3D39">
        <w:t>duration of ET (5 years) and in monarchE</w:t>
      </w:r>
      <w:r w:rsidR="00F848DD" w:rsidRPr="00DB3D39">
        <w:t xml:space="preserve"> </w:t>
      </w:r>
      <w:r w:rsidR="00022661" w:rsidRPr="00DB3D39">
        <w:t xml:space="preserve">the treatment phase was aligned with duration of abemaciclib (2 </w:t>
      </w:r>
      <w:r w:rsidR="00F848DD" w:rsidRPr="00DB3D39">
        <w:t>years</w:t>
      </w:r>
      <w:r w:rsidR="00022661" w:rsidRPr="00DB3D39">
        <w:t>)</w:t>
      </w:r>
      <w:r w:rsidR="00F848DD" w:rsidRPr="00DB3D39">
        <w:t xml:space="preserve">. </w:t>
      </w:r>
      <w:r w:rsidR="00DB34B0" w:rsidRPr="00DB3D39">
        <w:t xml:space="preserve">The submission stated that this difference is likely to </w:t>
      </w:r>
      <w:r w:rsidR="00697675" w:rsidRPr="00DB3D39">
        <w:t>bias the results for safety against ribociclib</w:t>
      </w:r>
      <w:r w:rsidR="00E2656D">
        <w:t xml:space="preserve"> given the longer duration</w:t>
      </w:r>
      <w:r w:rsidR="00697675" w:rsidRPr="00DB3D39">
        <w:t>.</w:t>
      </w:r>
    </w:p>
    <w:p w14:paraId="711580BA" w14:textId="16314937" w:rsidR="00C5607A" w:rsidRPr="00112EE5" w:rsidRDefault="00C5607A" w:rsidP="007C073C">
      <w:pPr>
        <w:pStyle w:val="3-BodyText"/>
      </w:pPr>
      <w:r>
        <w:t xml:space="preserve">The </w:t>
      </w:r>
      <w:r w:rsidR="00A93CBF">
        <w:t xml:space="preserve">discontinuation of treatment </w:t>
      </w:r>
      <w:r w:rsidR="00053B87">
        <w:t xml:space="preserve">due to </w:t>
      </w:r>
      <w:r w:rsidR="00BD2EC7">
        <w:t>AEs</w:t>
      </w:r>
      <w:r w:rsidR="00053B87">
        <w:t xml:space="preserve"> </w:t>
      </w:r>
      <w:r w:rsidR="00A93CBF">
        <w:t xml:space="preserve">was </w:t>
      </w:r>
      <w:r w:rsidR="00073720">
        <w:t>reported</w:t>
      </w:r>
      <w:r w:rsidR="00A93CBF">
        <w:t xml:space="preserve"> in 2</w:t>
      </w:r>
      <w:r w:rsidR="00D45842">
        <w:t xml:space="preserve">0.8% of </w:t>
      </w:r>
      <w:r w:rsidR="00BD2EC7">
        <w:t xml:space="preserve">patients in the </w:t>
      </w:r>
      <w:r w:rsidR="00D45842">
        <w:t xml:space="preserve">ribociclib plus adjuvant ET arms </w:t>
      </w:r>
      <w:r w:rsidR="00073720">
        <w:t>compared</w:t>
      </w:r>
      <w:r w:rsidR="00D45842">
        <w:t xml:space="preserve"> to 5.5%</w:t>
      </w:r>
      <w:r w:rsidR="00BD2EC7">
        <w:t xml:space="preserve"> of patients</w:t>
      </w:r>
      <w:r w:rsidR="00D45842">
        <w:t xml:space="preserve"> in</w:t>
      </w:r>
      <w:r w:rsidR="00BD2EC7">
        <w:t xml:space="preserve"> the</w:t>
      </w:r>
      <w:r w:rsidR="00D45842">
        <w:t xml:space="preserve"> ET arms alone</w:t>
      </w:r>
      <w:bookmarkStart w:id="39" w:name="_Ref190426954"/>
      <w:r w:rsidR="00EF341A">
        <w:rPr>
          <w:rStyle w:val="FootnoteReference"/>
        </w:rPr>
        <w:footnoteReference w:id="11"/>
      </w:r>
      <w:bookmarkEnd w:id="39"/>
      <w:r w:rsidR="00D45842">
        <w:t xml:space="preserve">. </w:t>
      </w:r>
      <w:r w:rsidR="00073720" w:rsidRPr="00112EE5">
        <w:t>The</w:t>
      </w:r>
      <w:r w:rsidR="00892FEF">
        <w:t xml:space="preserve"> Clinical Evaluation Report</w:t>
      </w:r>
      <w:r w:rsidR="00073720" w:rsidRPr="00112EE5">
        <w:t xml:space="preserve"> </w:t>
      </w:r>
      <w:r w:rsidR="00892FEF">
        <w:t>(</w:t>
      </w:r>
      <w:r w:rsidR="00073720" w:rsidRPr="00112EE5">
        <w:t>CER</w:t>
      </w:r>
      <w:r w:rsidR="00892FEF">
        <w:t>)</w:t>
      </w:r>
      <w:r w:rsidR="00073720" w:rsidRPr="00112EE5">
        <w:t xml:space="preserve"> stated </w:t>
      </w:r>
      <w:r w:rsidR="001C18FA" w:rsidRPr="00112EE5">
        <w:t xml:space="preserve">the reported 4-fold </w:t>
      </w:r>
      <w:r w:rsidR="00834F59" w:rsidRPr="00112EE5">
        <w:t xml:space="preserve">increase in </w:t>
      </w:r>
      <w:r w:rsidR="001C076F" w:rsidRPr="00112EE5">
        <w:t>discontinuation</w:t>
      </w:r>
      <w:r w:rsidR="00834F59" w:rsidRPr="00112EE5">
        <w:t xml:space="preserve"> due to AEs </w:t>
      </w:r>
      <w:r w:rsidR="00D54406" w:rsidRPr="00112EE5">
        <w:t xml:space="preserve">compared to ET alone </w:t>
      </w:r>
      <w:r w:rsidR="00073720" w:rsidRPr="00112EE5">
        <w:rPr>
          <w:iCs/>
        </w:rPr>
        <w:t>support</w:t>
      </w:r>
      <w:r w:rsidR="002861FD" w:rsidRPr="00112EE5">
        <w:rPr>
          <w:iCs/>
        </w:rPr>
        <w:t>ed</w:t>
      </w:r>
      <w:r w:rsidR="00073720" w:rsidRPr="00112EE5">
        <w:t xml:space="preserve"> the need for close monitoring </w:t>
      </w:r>
      <w:r w:rsidR="002861FD" w:rsidRPr="00112EE5">
        <w:rPr>
          <w:iCs/>
        </w:rPr>
        <w:t>of AEs</w:t>
      </w:r>
      <w:r w:rsidR="00A54B79" w:rsidRPr="00761959">
        <w:rPr>
          <w:iCs/>
          <w:vertAlign w:val="superscript"/>
        </w:rPr>
        <w:fldChar w:fldCharType="begin" w:fldLock="1"/>
      </w:r>
      <w:r w:rsidR="00A54B79" w:rsidRPr="00761959">
        <w:rPr>
          <w:iCs/>
          <w:vertAlign w:val="superscript"/>
        </w:rPr>
        <w:instrText xml:space="preserve"> NOTEREF _Ref190426954 \h </w:instrText>
      </w:r>
      <w:r w:rsidR="00761959">
        <w:rPr>
          <w:iCs/>
          <w:vertAlign w:val="superscript"/>
        </w:rPr>
        <w:instrText xml:space="preserve"> \* MERGEFORMAT </w:instrText>
      </w:r>
      <w:r w:rsidR="00A54B79" w:rsidRPr="00761959">
        <w:rPr>
          <w:iCs/>
          <w:vertAlign w:val="superscript"/>
        </w:rPr>
      </w:r>
      <w:r w:rsidR="00A54B79" w:rsidRPr="00761959">
        <w:rPr>
          <w:iCs/>
          <w:vertAlign w:val="superscript"/>
        </w:rPr>
        <w:fldChar w:fldCharType="separate"/>
      </w:r>
      <w:r w:rsidR="00A54B79" w:rsidRPr="00761959">
        <w:rPr>
          <w:iCs/>
          <w:vertAlign w:val="superscript"/>
        </w:rPr>
        <w:t>10</w:t>
      </w:r>
      <w:r w:rsidR="00A54B79" w:rsidRPr="00761959">
        <w:rPr>
          <w:iCs/>
          <w:vertAlign w:val="superscript"/>
        </w:rPr>
        <w:fldChar w:fldCharType="end"/>
      </w:r>
      <w:r w:rsidR="00073720" w:rsidRPr="00112EE5">
        <w:t>.</w:t>
      </w:r>
    </w:p>
    <w:p w14:paraId="6362FDC3" w14:textId="07DC85FB" w:rsidR="004070B4" w:rsidRPr="00112EE5" w:rsidRDefault="00D35E6A" w:rsidP="007C073C">
      <w:pPr>
        <w:pStyle w:val="3-BodyText"/>
      </w:pPr>
      <w:r w:rsidRPr="00112EE5">
        <w:t xml:space="preserve">More patients in the NATALEE trial compared </w:t>
      </w:r>
      <w:r w:rsidR="00BD2EC7">
        <w:t xml:space="preserve">to </w:t>
      </w:r>
      <w:r w:rsidRPr="00112EE5">
        <w:t>the monarchE trial experience</w:t>
      </w:r>
      <w:r w:rsidR="0094504F" w:rsidRPr="00112EE5">
        <w:t>d</w:t>
      </w:r>
      <w:r w:rsidRPr="00112EE5">
        <w:t xml:space="preserve"> Grade 3/4 </w:t>
      </w:r>
      <w:r w:rsidR="0082177B">
        <w:t>AEs</w:t>
      </w:r>
      <w:r w:rsidR="00556B4D" w:rsidRPr="00112EE5">
        <w:t xml:space="preserve"> in the treatment arms</w:t>
      </w:r>
      <w:r w:rsidR="00D17F57" w:rsidRPr="00112EE5">
        <w:t xml:space="preserve"> </w:t>
      </w:r>
      <w:r w:rsidR="00674437" w:rsidRPr="00112EE5">
        <w:t xml:space="preserve">compared to </w:t>
      </w:r>
      <w:r w:rsidR="0082177B">
        <w:t xml:space="preserve">the </w:t>
      </w:r>
      <w:r w:rsidR="00674437" w:rsidRPr="00112EE5">
        <w:t>ET arms</w:t>
      </w:r>
      <w:r w:rsidR="00D17F57" w:rsidRPr="00112EE5">
        <w:t xml:space="preserve"> (</w:t>
      </w:r>
      <w:r w:rsidR="008A6E92" w:rsidRPr="00112EE5">
        <w:fldChar w:fldCharType="begin" w:fldLock="1"/>
      </w:r>
      <w:r w:rsidR="008A6E92" w:rsidRPr="00112EE5">
        <w:instrText xml:space="preserve"> REF _Ref176777904 \h  \* MERGEFORMAT </w:instrText>
      </w:r>
      <w:r w:rsidR="008A6E92" w:rsidRPr="00112EE5">
        <w:fldChar w:fldCharType="separate"/>
      </w:r>
      <w:r w:rsidR="00FF083B" w:rsidRPr="00112EE5">
        <w:t>Table 8</w:t>
      </w:r>
      <w:r w:rsidR="008A6E92" w:rsidRPr="00112EE5">
        <w:fldChar w:fldCharType="end"/>
      </w:r>
      <w:r w:rsidR="00D17F57" w:rsidRPr="00112EE5">
        <w:t>)</w:t>
      </w:r>
      <w:r w:rsidRPr="00112EE5">
        <w:t xml:space="preserve">. In the NATALEE </w:t>
      </w:r>
      <w:r w:rsidR="00590AD5" w:rsidRPr="00112EE5">
        <w:t>trial 63.9%</w:t>
      </w:r>
      <w:r w:rsidR="0082177B">
        <w:t xml:space="preserve"> of patients</w:t>
      </w:r>
      <w:r w:rsidR="00590AD5" w:rsidRPr="00112EE5">
        <w:t xml:space="preserve"> in the riboc</w:t>
      </w:r>
      <w:r w:rsidR="00372AC6" w:rsidRPr="00112EE5">
        <w:t xml:space="preserve">iclib plus ET arm </w:t>
      </w:r>
      <w:r w:rsidR="00590AD5" w:rsidRPr="00112EE5">
        <w:t>versus 18.9%</w:t>
      </w:r>
      <w:r w:rsidR="0082177B">
        <w:t xml:space="preserve"> of patients</w:t>
      </w:r>
      <w:r w:rsidR="00590AD5" w:rsidRPr="00112EE5">
        <w:t xml:space="preserve"> </w:t>
      </w:r>
      <w:r w:rsidR="00372AC6" w:rsidRPr="00112EE5">
        <w:t xml:space="preserve">in the ET alone arm experienced a Grade 3/4 event. In the </w:t>
      </w:r>
      <w:r w:rsidRPr="00112EE5">
        <w:t>monarchE trial, 49.9%</w:t>
      </w:r>
      <w:r w:rsidR="0082177B">
        <w:t xml:space="preserve"> of</w:t>
      </w:r>
      <w:r w:rsidRPr="00112EE5">
        <w:t xml:space="preserve"> patients </w:t>
      </w:r>
      <w:r w:rsidR="00372AC6" w:rsidRPr="00112EE5">
        <w:t xml:space="preserve">in the abemaciclib plus ET arm versus </w:t>
      </w:r>
      <w:r w:rsidR="00BD2EC7">
        <w:t xml:space="preserve">16.9% </w:t>
      </w:r>
      <w:r w:rsidR="007D2745" w:rsidRPr="00112EE5">
        <w:t xml:space="preserve">in </w:t>
      </w:r>
      <w:r w:rsidR="00BD2EC7">
        <w:t xml:space="preserve">the </w:t>
      </w:r>
      <w:r w:rsidR="007D2745" w:rsidRPr="00112EE5">
        <w:t>ET alone arm experienced a Grade 3/4 adverse event</w:t>
      </w:r>
      <w:r w:rsidR="00761959" w:rsidRPr="00761959">
        <w:rPr>
          <w:iCs/>
          <w:vertAlign w:val="superscript"/>
        </w:rPr>
        <w:fldChar w:fldCharType="begin" w:fldLock="1"/>
      </w:r>
      <w:r w:rsidR="00761959" w:rsidRPr="00761959">
        <w:rPr>
          <w:iCs/>
          <w:vertAlign w:val="superscript"/>
        </w:rPr>
        <w:instrText xml:space="preserve"> NOTEREF _Ref190426954 \h </w:instrText>
      </w:r>
      <w:r w:rsidR="00761959">
        <w:rPr>
          <w:iCs/>
          <w:vertAlign w:val="superscript"/>
        </w:rPr>
        <w:instrText xml:space="preserve"> \* MERGEFORMAT </w:instrText>
      </w:r>
      <w:r w:rsidR="00761959" w:rsidRPr="00761959">
        <w:rPr>
          <w:iCs/>
          <w:vertAlign w:val="superscript"/>
        </w:rPr>
      </w:r>
      <w:r w:rsidR="00761959" w:rsidRPr="00761959">
        <w:rPr>
          <w:iCs/>
          <w:vertAlign w:val="superscript"/>
        </w:rPr>
        <w:fldChar w:fldCharType="separate"/>
      </w:r>
      <w:r w:rsidR="00761959" w:rsidRPr="00761959">
        <w:rPr>
          <w:iCs/>
          <w:vertAlign w:val="superscript"/>
        </w:rPr>
        <w:t>10</w:t>
      </w:r>
      <w:r w:rsidR="00761959" w:rsidRPr="00761959">
        <w:rPr>
          <w:iCs/>
          <w:vertAlign w:val="superscript"/>
        </w:rPr>
        <w:fldChar w:fldCharType="end"/>
      </w:r>
      <w:r w:rsidRPr="00112EE5">
        <w:t xml:space="preserve">. </w:t>
      </w:r>
      <w:r w:rsidR="00953DCF" w:rsidRPr="00112EE5">
        <w:t>The</w:t>
      </w:r>
      <w:r w:rsidR="004070B4" w:rsidRPr="00112EE5">
        <w:t xml:space="preserve"> </w:t>
      </w:r>
      <w:r w:rsidR="00953DCF" w:rsidRPr="00112EE5">
        <w:t>risk difference</w:t>
      </w:r>
      <w:r w:rsidR="00B83026" w:rsidRPr="00112EE5">
        <w:t xml:space="preserve"> (RD)</w:t>
      </w:r>
      <w:r w:rsidR="004070B4" w:rsidRPr="00112EE5">
        <w:t xml:space="preserve"> for ribo</w:t>
      </w:r>
      <w:r w:rsidR="00953DCF" w:rsidRPr="00112EE5">
        <w:t>ciclib</w:t>
      </w:r>
      <w:r w:rsidR="004070B4" w:rsidRPr="00112EE5">
        <w:t xml:space="preserve"> </w:t>
      </w:r>
      <w:r w:rsidR="00953DCF" w:rsidRPr="00112EE5">
        <w:t>plus</w:t>
      </w:r>
      <w:r w:rsidR="004070B4" w:rsidRPr="00112EE5">
        <w:t xml:space="preserve"> ET </w:t>
      </w:r>
      <w:r w:rsidR="00953DCF" w:rsidRPr="00112EE5">
        <w:t>versus</w:t>
      </w:r>
      <w:r w:rsidR="004070B4" w:rsidRPr="00112EE5">
        <w:t xml:space="preserve"> ET </w:t>
      </w:r>
      <w:r w:rsidR="00953DCF" w:rsidRPr="00112EE5">
        <w:t xml:space="preserve">alone </w:t>
      </w:r>
      <w:r w:rsidR="004070B4" w:rsidRPr="00112EE5">
        <w:t>was 0.45 (</w:t>
      </w:r>
      <w:r w:rsidR="00953DCF" w:rsidRPr="00112EE5">
        <w:t>95% CI</w:t>
      </w:r>
      <w:r w:rsidR="0082177B">
        <w:t>:</w:t>
      </w:r>
      <w:r w:rsidR="00953DCF" w:rsidRPr="00112EE5">
        <w:t xml:space="preserve"> </w:t>
      </w:r>
      <w:r w:rsidR="004070B4" w:rsidRPr="00112EE5">
        <w:t>0.42, 0.48) while the</w:t>
      </w:r>
      <w:r w:rsidR="004070B4" w:rsidRPr="00112EE5" w:rsidDel="00B83026">
        <w:t xml:space="preserve"> </w:t>
      </w:r>
      <w:r w:rsidR="00B83026" w:rsidRPr="00112EE5">
        <w:t>RD</w:t>
      </w:r>
      <w:r w:rsidR="004070B4" w:rsidRPr="00112EE5">
        <w:t xml:space="preserve"> for abe</w:t>
      </w:r>
      <w:r w:rsidR="007C71AB" w:rsidRPr="00112EE5">
        <w:t>maciclib plus ET</w:t>
      </w:r>
      <w:r w:rsidR="004070B4" w:rsidRPr="00112EE5">
        <w:t xml:space="preserve"> v</w:t>
      </w:r>
      <w:r w:rsidR="007C71AB" w:rsidRPr="00112EE5">
        <w:t>ersus</w:t>
      </w:r>
      <w:r w:rsidR="007D2745" w:rsidRPr="00112EE5">
        <w:t xml:space="preserve"> </w:t>
      </w:r>
      <w:r w:rsidR="004070B4" w:rsidRPr="00112EE5">
        <w:t>was 0.33 (</w:t>
      </w:r>
      <w:r w:rsidR="007C71AB" w:rsidRPr="00112EE5">
        <w:t>95% CI</w:t>
      </w:r>
      <w:r w:rsidR="0082177B">
        <w:t>:</w:t>
      </w:r>
      <w:r w:rsidR="007C71AB" w:rsidRPr="00112EE5">
        <w:t xml:space="preserve"> </w:t>
      </w:r>
      <w:r w:rsidR="004070B4" w:rsidRPr="00112EE5">
        <w:t>0.31, 0.35)</w:t>
      </w:r>
      <w:r w:rsidR="00761959" w:rsidRPr="00761959">
        <w:rPr>
          <w:iCs/>
          <w:vertAlign w:val="superscript"/>
        </w:rPr>
        <w:fldChar w:fldCharType="begin" w:fldLock="1"/>
      </w:r>
      <w:r w:rsidR="00761959" w:rsidRPr="00761959">
        <w:rPr>
          <w:iCs/>
          <w:vertAlign w:val="superscript"/>
        </w:rPr>
        <w:instrText xml:space="preserve"> NOTEREF _Ref190426954 \h </w:instrText>
      </w:r>
      <w:r w:rsidR="00761959">
        <w:rPr>
          <w:iCs/>
          <w:vertAlign w:val="superscript"/>
        </w:rPr>
        <w:instrText xml:space="preserve"> \* MERGEFORMAT </w:instrText>
      </w:r>
      <w:r w:rsidR="00761959" w:rsidRPr="00761959">
        <w:rPr>
          <w:iCs/>
          <w:vertAlign w:val="superscript"/>
        </w:rPr>
      </w:r>
      <w:r w:rsidR="00761959" w:rsidRPr="00761959">
        <w:rPr>
          <w:iCs/>
          <w:vertAlign w:val="superscript"/>
        </w:rPr>
        <w:fldChar w:fldCharType="separate"/>
      </w:r>
      <w:r w:rsidR="00761959" w:rsidRPr="00761959">
        <w:rPr>
          <w:iCs/>
          <w:vertAlign w:val="superscript"/>
        </w:rPr>
        <w:t>10</w:t>
      </w:r>
      <w:r w:rsidR="00761959" w:rsidRPr="00761959">
        <w:rPr>
          <w:iCs/>
          <w:vertAlign w:val="superscript"/>
        </w:rPr>
        <w:fldChar w:fldCharType="end"/>
      </w:r>
      <w:r w:rsidR="00D55507" w:rsidRPr="00112EE5">
        <w:t xml:space="preserve">. </w:t>
      </w:r>
      <w:r w:rsidR="00023E62" w:rsidRPr="00112EE5">
        <w:t>The resulting</w:t>
      </w:r>
      <w:r w:rsidR="00023E62" w:rsidRPr="00112EE5" w:rsidDel="00B83026">
        <w:t xml:space="preserve"> </w:t>
      </w:r>
      <w:r w:rsidR="00B83026" w:rsidRPr="00112EE5">
        <w:t>RD</w:t>
      </w:r>
      <w:r w:rsidR="00023E62" w:rsidRPr="00112EE5">
        <w:t xml:space="preserve"> between ribociclib and </w:t>
      </w:r>
      <w:r w:rsidR="0013531E" w:rsidRPr="00112EE5">
        <w:t>abemaciclib</w:t>
      </w:r>
      <w:r w:rsidR="008243E7" w:rsidRPr="00112EE5">
        <w:t xml:space="preserve"> </w:t>
      </w:r>
      <w:r w:rsidR="00DD4F4C" w:rsidRPr="00112EE5">
        <w:t xml:space="preserve">would be 0.12 noting that the </w:t>
      </w:r>
      <w:r w:rsidR="00191DC5" w:rsidRPr="00112EE5">
        <w:t>95% CI do not overlap</w:t>
      </w:r>
      <w:r w:rsidR="00761959" w:rsidRPr="00761959">
        <w:rPr>
          <w:iCs/>
          <w:vertAlign w:val="superscript"/>
        </w:rPr>
        <w:fldChar w:fldCharType="begin" w:fldLock="1"/>
      </w:r>
      <w:r w:rsidR="00761959" w:rsidRPr="00761959">
        <w:rPr>
          <w:iCs/>
          <w:vertAlign w:val="superscript"/>
        </w:rPr>
        <w:instrText xml:space="preserve"> NOTEREF _Ref190426954 \h </w:instrText>
      </w:r>
      <w:r w:rsidR="00761959">
        <w:rPr>
          <w:iCs/>
          <w:vertAlign w:val="superscript"/>
        </w:rPr>
        <w:instrText xml:space="preserve"> \* MERGEFORMAT </w:instrText>
      </w:r>
      <w:r w:rsidR="00761959" w:rsidRPr="00761959">
        <w:rPr>
          <w:iCs/>
          <w:vertAlign w:val="superscript"/>
        </w:rPr>
      </w:r>
      <w:r w:rsidR="00761959" w:rsidRPr="00761959">
        <w:rPr>
          <w:iCs/>
          <w:vertAlign w:val="superscript"/>
        </w:rPr>
        <w:fldChar w:fldCharType="separate"/>
      </w:r>
      <w:r w:rsidR="00761959" w:rsidRPr="00761959">
        <w:rPr>
          <w:iCs/>
          <w:vertAlign w:val="superscript"/>
        </w:rPr>
        <w:t>10</w:t>
      </w:r>
      <w:r w:rsidR="00761959" w:rsidRPr="00761959">
        <w:rPr>
          <w:iCs/>
          <w:vertAlign w:val="superscript"/>
        </w:rPr>
        <w:fldChar w:fldCharType="end"/>
      </w:r>
      <w:r w:rsidR="00191DC5" w:rsidRPr="00112EE5">
        <w:t xml:space="preserve">. </w:t>
      </w:r>
      <w:r w:rsidR="00CB06CF" w:rsidRPr="00112EE5">
        <w:t xml:space="preserve">This result </w:t>
      </w:r>
      <w:r w:rsidR="00C479C8">
        <w:t>was</w:t>
      </w:r>
      <w:r w:rsidR="00CB06CF" w:rsidRPr="00112EE5">
        <w:t xml:space="preserve"> calculated by the evaluation noting that the study was not powered to detect any difference. Therefore</w:t>
      </w:r>
      <w:r w:rsidR="0059468E" w:rsidRPr="00112EE5">
        <w:t>,</w:t>
      </w:r>
      <w:r w:rsidR="00CB06CF" w:rsidRPr="00112EE5">
        <w:t xml:space="preserve"> </w:t>
      </w:r>
      <w:r w:rsidR="00892FEF" w:rsidRPr="00276A8E">
        <w:t>the evaluation considered that</w:t>
      </w:r>
      <w:r w:rsidR="00892FEF">
        <w:t xml:space="preserve"> </w:t>
      </w:r>
      <w:r w:rsidR="00CB06CF" w:rsidRPr="00112EE5">
        <w:t>this result should be considered indicative only.</w:t>
      </w:r>
    </w:p>
    <w:p w14:paraId="0CF81FC0" w14:textId="3C097558" w:rsidR="006326F6" w:rsidRPr="00112EE5" w:rsidRDefault="006326F6" w:rsidP="007C073C">
      <w:pPr>
        <w:pStyle w:val="3-BodyText"/>
      </w:pPr>
      <w:r w:rsidRPr="00112EE5">
        <w:lastRenderedPageBreak/>
        <w:t xml:space="preserve">The CER noted a 2-fold increase in </w:t>
      </w:r>
      <w:r w:rsidR="009C0F1B" w:rsidRPr="00112EE5">
        <w:t xml:space="preserve">venous thrombotic and embolic events in the ribociclib plus ET </w:t>
      </w:r>
      <w:r w:rsidR="00EC7BD3" w:rsidRPr="00112EE5">
        <w:t xml:space="preserve">compared to </w:t>
      </w:r>
      <w:r w:rsidR="008478FC" w:rsidRPr="00112EE5">
        <w:t>ET alone, 38 versus 19 participants respectively</w:t>
      </w:r>
      <w:bookmarkStart w:id="40" w:name="_Ref190427115"/>
      <w:r w:rsidR="00786329">
        <w:rPr>
          <w:rStyle w:val="FootnoteReference"/>
        </w:rPr>
        <w:footnoteReference w:id="12"/>
      </w:r>
      <w:bookmarkEnd w:id="40"/>
      <w:r w:rsidR="008478FC" w:rsidRPr="00112EE5">
        <w:t xml:space="preserve">. </w:t>
      </w:r>
      <w:r w:rsidR="00436597" w:rsidRPr="00112EE5">
        <w:t xml:space="preserve">Within these patients </w:t>
      </w:r>
      <w:r w:rsidR="007628DA" w:rsidRPr="00112EE5">
        <w:t>18 (0.71%) patients had pulmonary emboli (three events being fatal) compared with 5 events in the ET arm</w:t>
      </w:r>
      <w:r w:rsidR="00786329" w:rsidRPr="00786329">
        <w:rPr>
          <w:vertAlign w:val="superscript"/>
        </w:rPr>
        <w:fldChar w:fldCharType="begin" w:fldLock="1"/>
      </w:r>
      <w:r w:rsidR="00786329" w:rsidRPr="00786329">
        <w:rPr>
          <w:vertAlign w:val="superscript"/>
        </w:rPr>
        <w:instrText xml:space="preserve"> NOTEREF _Ref190427115 \h </w:instrText>
      </w:r>
      <w:r w:rsidR="00786329">
        <w:rPr>
          <w:vertAlign w:val="superscript"/>
        </w:rPr>
        <w:instrText xml:space="preserve"> \* MERGEFORMAT </w:instrText>
      </w:r>
      <w:r w:rsidR="00786329" w:rsidRPr="00786329">
        <w:rPr>
          <w:vertAlign w:val="superscript"/>
        </w:rPr>
      </w:r>
      <w:r w:rsidR="00786329" w:rsidRPr="00786329">
        <w:rPr>
          <w:vertAlign w:val="superscript"/>
        </w:rPr>
        <w:fldChar w:fldCharType="separate"/>
      </w:r>
      <w:r w:rsidR="00786329" w:rsidRPr="00786329">
        <w:rPr>
          <w:vertAlign w:val="superscript"/>
        </w:rPr>
        <w:t>11</w:t>
      </w:r>
      <w:r w:rsidR="00786329" w:rsidRPr="00786329">
        <w:rPr>
          <w:vertAlign w:val="superscript"/>
        </w:rPr>
        <w:fldChar w:fldCharType="end"/>
      </w:r>
      <w:r w:rsidR="007628DA" w:rsidRPr="00112EE5">
        <w:t xml:space="preserve">. </w:t>
      </w:r>
      <w:r w:rsidR="00035EDC" w:rsidRPr="00112EE5">
        <w:rPr>
          <w:iCs/>
        </w:rPr>
        <w:t xml:space="preserve">The CER also determined that deaths from pulmonary emboli, infection and cardiac events warrant closer inspection to determine if these are chance findings or indicative of a higher risk </w:t>
      </w:r>
      <w:r w:rsidR="00E3470D" w:rsidRPr="00112EE5">
        <w:rPr>
          <w:iCs/>
        </w:rPr>
        <w:t xml:space="preserve">of death </w:t>
      </w:r>
      <w:r w:rsidR="00035EDC" w:rsidRPr="00112EE5">
        <w:rPr>
          <w:iCs/>
        </w:rPr>
        <w:t>with the addition of ribociclib to ET</w:t>
      </w:r>
      <w:r w:rsidR="00805EE5" w:rsidRPr="00112EE5">
        <w:rPr>
          <w:iCs/>
        </w:rPr>
        <w:t>. T</w:t>
      </w:r>
      <w:r w:rsidR="00035EDC" w:rsidRPr="00112EE5">
        <w:rPr>
          <w:iCs/>
        </w:rPr>
        <w:t xml:space="preserve">he TGA requested the </w:t>
      </w:r>
      <w:r w:rsidR="00E3470D" w:rsidRPr="00112EE5">
        <w:rPr>
          <w:iCs/>
        </w:rPr>
        <w:t>S</w:t>
      </w:r>
      <w:r w:rsidR="00035EDC" w:rsidRPr="00112EE5">
        <w:rPr>
          <w:iCs/>
        </w:rPr>
        <w:t>ponsor present additional data for these adverse events.</w:t>
      </w:r>
    </w:p>
    <w:p w14:paraId="17CF426D" w14:textId="6B0A2D21" w:rsidR="001D1217" w:rsidRPr="00112EE5" w:rsidRDefault="007F2F1C" w:rsidP="007C073C">
      <w:pPr>
        <w:pStyle w:val="3-BodyText"/>
      </w:pPr>
      <w:r w:rsidRPr="00112EE5">
        <w:rPr>
          <w:lang w:eastAsia="en-US"/>
        </w:rPr>
        <w:t xml:space="preserve">The submission reported </w:t>
      </w:r>
      <w:r w:rsidR="00BD2EC7" w:rsidRPr="00112EE5">
        <w:rPr>
          <w:lang w:eastAsia="en-US"/>
        </w:rPr>
        <w:t>rates</w:t>
      </w:r>
      <w:r w:rsidR="002215C6" w:rsidRPr="00112EE5">
        <w:rPr>
          <w:lang w:eastAsia="en-US"/>
        </w:rPr>
        <w:t xml:space="preserve"> for all deaths</w:t>
      </w:r>
      <w:r w:rsidRPr="00112EE5">
        <w:rPr>
          <w:lang w:eastAsia="en-US"/>
        </w:rPr>
        <w:t xml:space="preserve"> in NATALEE </w:t>
      </w:r>
      <w:r w:rsidR="002215C6" w:rsidRPr="00112EE5">
        <w:rPr>
          <w:lang w:eastAsia="en-US"/>
        </w:rPr>
        <w:t xml:space="preserve">and </w:t>
      </w:r>
      <w:r w:rsidR="00885179" w:rsidRPr="00112EE5">
        <w:rPr>
          <w:lang w:eastAsia="en-US"/>
        </w:rPr>
        <w:t xml:space="preserve">deaths due to treatment emergent adverse event (TEAE) in </w:t>
      </w:r>
      <w:r w:rsidRPr="00112EE5">
        <w:rPr>
          <w:lang w:eastAsia="en-US"/>
        </w:rPr>
        <w:t>monarchE</w:t>
      </w:r>
      <w:r w:rsidR="00885179" w:rsidRPr="00112EE5">
        <w:rPr>
          <w:lang w:eastAsia="en-US"/>
        </w:rPr>
        <w:t>.</w:t>
      </w:r>
      <w:r w:rsidRPr="00112EE5">
        <w:rPr>
          <w:lang w:eastAsia="en-US"/>
        </w:rPr>
        <w:t xml:space="preserve"> </w:t>
      </w:r>
      <w:r w:rsidR="00D157E6" w:rsidRPr="00112EE5">
        <w:t>D</w:t>
      </w:r>
      <w:r w:rsidR="00635651" w:rsidRPr="00112EE5">
        <w:t xml:space="preserve">eath </w:t>
      </w:r>
      <w:r w:rsidR="00D157E6" w:rsidRPr="00112EE5">
        <w:t xml:space="preserve">was </w:t>
      </w:r>
      <w:r w:rsidR="00635651" w:rsidRPr="00112EE5">
        <w:t xml:space="preserve">a serious but rare TEAE, </w:t>
      </w:r>
      <w:r w:rsidR="00D157E6" w:rsidRPr="00112EE5">
        <w:t xml:space="preserve">with </w:t>
      </w:r>
      <w:r w:rsidR="00635651" w:rsidRPr="00112EE5">
        <w:t xml:space="preserve">more than twice as many deaths in patients treated with ribociclib plus ET compared to ET alone (20 versus 9, respectively) </w:t>
      </w:r>
      <w:r w:rsidR="007A2859" w:rsidRPr="00112EE5" w:rsidDel="00673613">
        <w:t>and</w:t>
      </w:r>
      <w:r w:rsidR="00635651" w:rsidRPr="00112EE5" w:rsidDel="00673613">
        <w:t xml:space="preserve"> a</w:t>
      </w:r>
      <w:r w:rsidR="00CD6C1D" w:rsidRPr="00112EE5" w:rsidDel="00673613">
        <w:t xml:space="preserve"> </w:t>
      </w:r>
      <w:r w:rsidR="00BA12AE">
        <w:t>relative risk</w:t>
      </w:r>
      <w:r w:rsidR="00CD6C1D" w:rsidRPr="00112EE5" w:rsidDel="00673613">
        <w:t xml:space="preserve"> of 0.00 </w:t>
      </w:r>
      <w:r w:rsidR="00F411E9" w:rsidRPr="00112EE5" w:rsidDel="00673613">
        <w:t xml:space="preserve">(95% CI </w:t>
      </w:r>
      <w:r w:rsidR="00CD6C1D" w:rsidRPr="00112EE5" w:rsidDel="00673613">
        <w:t>0.00, 0.01</w:t>
      </w:r>
      <w:r w:rsidR="00E571E8" w:rsidRPr="00112EE5" w:rsidDel="00673613">
        <w:t>,</w:t>
      </w:r>
      <w:r w:rsidR="00CD6C1D" w:rsidRPr="00112EE5" w:rsidDel="00673613">
        <w:t xml:space="preserve"> </w:t>
      </w:r>
      <w:r w:rsidR="00CC25A7" w:rsidRPr="00112EE5" w:rsidDel="00673613">
        <w:t>p</w:t>
      </w:r>
      <w:r w:rsidR="00CC25A7">
        <w:t> </w:t>
      </w:r>
      <w:r w:rsidR="00CD6C1D" w:rsidRPr="00112EE5" w:rsidDel="00673613">
        <w:t>=</w:t>
      </w:r>
      <w:r w:rsidR="00CC25A7">
        <w:t> </w:t>
      </w:r>
      <w:r w:rsidR="00CD6C1D" w:rsidRPr="00112EE5" w:rsidDel="00673613">
        <w:t>0.05</w:t>
      </w:r>
      <w:r w:rsidR="00F411E9" w:rsidRPr="00112EE5" w:rsidDel="00673613">
        <w:t xml:space="preserve">) and </w:t>
      </w:r>
      <w:r w:rsidR="00BA12AE">
        <w:t>odds ratio</w:t>
      </w:r>
      <w:r w:rsidR="00E571E8" w:rsidRPr="00112EE5" w:rsidDel="00673613">
        <w:t xml:space="preserve"> of 2.16 (95% CI 0.98, 4.75, p = 0.06)</w:t>
      </w:r>
      <w:r w:rsidR="00D157E6" w:rsidRPr="00112EE5" w:rsidDel="00673613">
        <w:t xml:space="preserve">, noting borderline statistical </w:t>
      </w:r>
      <w:r w:rsidR="00D157E6" w:rsidRPr="00112EE5">
        <w:t>significance</w:t>
      </w:r>
      <w:r w:rsidR="00786329" w:rsidRPr="00786329">
        <w:rPr>
          <w:vertAlign w:val="superscript"/>
        </w:rPr>
        <w:fldChar w:fldCharType="begin" w:fldLock="1"/>
      </w:r>
      <w:r w:rsidR="00786329" w:rsidRPr="00786329">
        <w:rPr>
          <w:vertAlign w:val="superscript"/>
        </w:rPr>
        <w:instrText xml:space="preserve"> NOTEREF _Ref190427115 \h </w:instrText>
      </w:r>
      <w:r w:rsidR="00786329">
        <w:rPr>
          <w:vertAlign w:val="superscript"/>
        </w:rPr>
        <w:instrText xml:space="preserve"> \* MERGEFORMAT </w:instrText>
      </w:r>
      <w:r w:rsidR="00786329" w:rsidRPr="00786329">
        <w:rPr>
          <w:vertAlign w:val="superscript"/>
        </w:rPr>
      </w:r>
      <w:r w:rsidR="00786329" w:rsidRPr="00786329">
        <w:rPr>
          <w:vertAlign w:val="superscript"/>
        </w:rPr>
        <w:fldChar w:fldCharType="separate"/>
      </w:r>
      <w:r w:rsidR="00786329" w:rsidRPr="00786329">
        <w:rPr>
          <w:vertAlign w:val="superscript"/>
        </w:rPr>
        <w:t>11</w:t>
      </w:r>
      <w:r w:rsidR="00786329" w:rsidRPr="00786329">
        <w:rPr>
          <w:vertAlign w:val="superscript"/>
        </w:rPr>
        <w:fldChar w:fldCharType="end"/>
      </w:r>
      <w:r w:rsidR="00635651" w:rsidRPr="00112EE5">
        <w:t>.</w:t>
      </w:r>
      <w:r w:rsidR="00D157E6" w:rsidRPr="00112EE5">
        <w:t xml:space="preserve"> Comparing the ribociclib </w:t>
      </w:r>
      <w:r w:rsidR="006870C8" w:rsidRPr="00112EE5">
        <w:t>plus adjuvant</w:t>
      </w:r>
      <w:r w:rsidR="00D157E6" w:rsidRPr="00112EE5">
        <w:t xml:space="preserve"> ET arm to the ET alone arm,</w:t>
      </w:r>
      <w:r w:rsidR="00635651" w:rsidRPr="00112EE5">
        <w:t xml:space="preserve"> 6 versus 1 were related to COVID-19/COVID-19 pneumonia; 2 </w:t>
      </w:r>
      <w:r w:rsidR="00D35E6A" w:rsidRPr="00112EE5">
        <w:t>versus</w:t>
      </w:r>
      <w:r w:rsidR="00635651" w:rsidRPr="00112EE5">
        <w:t xml:space="preserve"> 0 were from pulmonary embolisms, 1 </w:t>
      </w:r>
      <w:r w:rsidR="00D35E6A" w:rsidRPr="00112EE5">
        <w:t>versus</w:t>
      </w:r>
      <w:r w:rsidR="00635651" w:rsidRPr="00112EE5">
        <w:t xml:space="preserve"> 0 was a cardiac arrest</w:t>
      </w:r>
      <w:r w:rsidR="00786329" w:rsidRPr="00786329">
        <w:rPr>
          <w:vertAlign w:val="superscript"/>
        </w:rPr>
        <w:fldChar w:fldCharType="begin" w:fldLock="1"/>
      </w:r>
      <w:r w:rsidR="00786329" w:rsidRPr="00786329">
        <w:rPr>
          <w:vertAlign w:val="superscript"/>
        </w:rPr>
        <w:instrText xml:space="preserve"> NOTEREF _Ref190427115 \h </w:instrText>
      </w:r>
      <w:r w:rsidR="00786329">
        <w:rPr>
          <w:vertAlign w:val="superscript"/>
        </w:rPr>
        <w:instrText xml:space="preserve"> \* MERGEFORMAT </w:instrText>
      </w:r>
      <w:r w:rsidR="00786329" w:rsidRPr="00786329">
        <w:rPr>
          <w:vertAlign w:val="superscript"/>
        </w:rPr>
      </w:r>
      <w:r w:rsidR="00786329" w:rsidRPr="00786329">
        <w:rPr>
          <w:vertAlign w:val="superscript"/>
        </w:rPr>
        <w:fldChar w:fldCharType="separate"/>
      </w:r>
      <w:r w:rsidR="00786329" w:rsidRPr="00786329">
        <w:rPr>
          <w:vertAlign w:val="superscript"/>
        </w:rPr>
        <w:t>11</w:t>
      </w:r>
      <w:r w:rsidR="00786329" w:rsidRPr="00786329">
        <w:rPr>
          <w:vertAlign w:val="superscript"/>
        </w:rPr>
        <w:fldChar w:fldCharType="end"/>
      </w:r>
      <w:r w:rsidR="00635651" w:rsidRPr="00112EE5">
        <w:t>. None of the ribociclib deaths were attributed to treatment by the investigator</w:t>
      </w:r>
      <w:r w:rsidR="33DE6DC0" w:rsidRPr="00112EE5">
        <w:t>s</w:t>
      </w:r>
      <w:r w:rsidR="00635651" w:rsidRPr="00112EE5">
        <w:t>, noting the open label trial design</w:t>
      </w:r>
      <w:r w:rsidR="004414DC" w:rsidRPr="00112EE5">
        <w:t>; when considering</w:t>
      </w:r>
      <w:r w:rsidR="00045171" w:rsidRPr="00112EE5">
        <w:t xml:space="preserve"> the number of deaths between the arms of NATALEE</w:t>
      </w:r>
      <w:r w:rsidR="004414DC" w:rsidRPr="00112EE5">
        <w:t xml:space="preserve">, the </w:t>
      </w:r>
      <w:r w:rsidR="00BA12AE">
        <w:t>relative risk</w:t>
      </w:r>
      <w:r w:rsidR="004414DC" w:rsidRPr="00112EE5">
        <w:t xml:space="preserve"> p-value of 0.05 suggests it may be unlikely that </w:t>
      </w:r>
      <w:r w:rsidR="00045171" w:rsidRPr="00112EE5">
        <w:t xml:space="preserve">the </w:t>
      </w:r>
      <w:r w:rsidR="00B94181" w:rsidRPr="00112EE5">
        <w:t xml:space="preserve">increased risk of death in the ribociclib arm </w:t>
      </w:r>
      <w:r w:rsidR="00045171" w:rsidRPr="00112EE5">
        <w:t>was due to chance alone</w:t>
      </w:r>
      <w:r w:rsidR="00B94181" w:rsidRPr="00112EE5">
        <w:t>, noting the randomised, large cohort design of the trial</w:t>
      </w:r>
      <w:r w:rsidR="7F0C5570" w:rsidRPr="00112EE5">
        <w:t>.</w:t>
      </w:r>
      <w:r w:rsidR="001D1217" w:rsidRPr="00112EE5">
        <w:t xml:space="preserve"> The CER </w:t>
      </w:r>
      <w:r w:rsidR="003D11B7" w:rsidRPr="00112EE5">
        <w:t xml:space="preserve">stated </w:t>
      </w:r>
      <w:r w:rsidR="00DB5F35" w:rsidRPr="00112EE5">
        <w:t>‘There was a small but marked increase in early deaths in those receiving ribociclib in addition to E</w:t>
      </w:r>
      <w:r w:rsidR="00B15D34" w:rsidRPr="00112EE5">
        <w:t>T</w:t>
      </w:r>
      <w:r w:rsidR="00DB5F35" w:rsidRPr="00112EE5">
        <w:t xml:space="preserve">, and </w:t>
      </w:r>
      <w:r w:rsidR="00B15D34" w:rsidRPr="00112EE5">
        <w:t>i</w:t>
      </w:r>
      <w:r w:rsidR="00DB5F35" w:rsidRPr="00112EE5">
        <w:t>nfections and pulmonary emboli were the most common causes</w:t>
      </w:r>
      <w:r w:rsidR="00086C75" w:rsidRPr="00112EE5">
        <w:t>’.</w:t>
      </w:r>
      <w:r w:rsidR="000C31DE" w:rsidRPr="00112EE5">
        <w:t xml:space="preserve"> Furthermore, the CER stated that </w:t>
      </w:r>
      <w:r w:rsidR="00CF0274" w:rsidRPr="00112EE5">
        <w:t>two</w:t>
      </w:r>
      <w:r w:rsidR="00C84665" w:rsidRPr="00112EE5">
        <w:t xml:space="preserve"> </w:t>
      </w:r>
      <w:r w:rsidR="00FB6AB7" w:rsidRPr="00112EE5">
        <w:t xml:space="preserve">deaths </w:t>
      </w:r>
      <w:r w:rsidR="000029EF" w:rsidRPr="00112EE5">
        <w:t xml:space="preserve">occurred after </w:t>
      </w:r>
      <w:r w:rsidR="00256453" w:rsidRPr="00112EE5">
        <w:t xml:space="preserve">the 30-day window </w:t>
      </w:r>
      <w:r w:rsidR="005A298C" w:rsidRPr="00112EE5">
        <w:t>post ribociclib interruption/discontinuation</w:t>
      </w:r>
      <w:r w:rsidR="00734AB8" w:rsidRPr="00112EE5">
        <w:t xml:space="preserve"> and were not counted as deaths due to TEAE</w:t>
      </w:r>
      <w:r w:rsidR="00552406" w:rsidRPr="00112EE5">
        <w:t>;</w:t>
      </w:r>
      <w:r w:rsidR="00CD7E75" w:rsidRPr="00112EE5">
        <w:t xml:space="preserve"> however, t</w:t>
      </w:r>
      <w:r w:rsidR="00B310C2" w:rsidRPr="00112EE5">
        <w:t xml:space="preserve">he onset of symptoms </w:t>
      </w:r>
      <w:r w:rsidR="000D42D8" w:rsidRPr="00112EE5">
        <w:t xml:space="preserve">and positive SARS-COV-2 test result </w:t>
      </w:r>
      <w:r w:rsidR="00930DAB" w:rsidRPr="00112EE5">
        <w:t>occurred within the 30</w:t>
      </w:r>
      <w:r w:rsidR="00552406" w:rsidRPr="00112EE5">
        <w:t>-</w:t>
      </w:r>
      <w:r w:rsidR="00930DAB" w:rsidRPr="00112EE5">
        <w:t>day</w:t>
      </w:r>
      <w:r w:rsidR="009203E1" w:rsidRPr="00112EE5">
        <w:t xml:space="preserve"> safety window</w:t>
      </w:r>
      <w:r w:rsidR="00552406" w:rsidRPr="00112EE5">
        <w:t>.</w:t>
      </w:r>
      <w:r w:rsidR="00117723" w:rsidRPr="00112EE5">
        <w:t xml:space="preserve"> </w:t>
      </w:r>
    </w:p>
    <w:p w14:paraId="3D92A08F" w14:textId="3AD572E5" w:rsidR="005158DB" w:rsidRPr="00112EE5" w:rsidRDefault="003A61E2" w:rsidP="007C073C">
      <w:pPr>
        <w:pStyle w:val="3-BodyText"/>
      </w:pPr>
      <w:bookmarkStart w:id="41" w:name="_Ref183184879"/>
      <w:r w:rsidRPr="00112EE5">
        <w:t>The submission</w:t>
      </w:r>
      <w:r w:rsidR="00F204BB" w:rsidRPr="00112EE5">
        <w:t xml:space="preserve"> presented a</w:t>
      </w:r>
      <w:r w:rsidR="0073474B" w:rsidRPr="00112EE5">
        <w:t>n updated</w:t>
      </w:r>
      <w:r w:rsidR="00F204BB" w:rsidRPr="00112EE5">
        <w:t xml:space="preserve"> </w:t>
      </w:r>
      <w:r w:rsidR="00E408B9" w:rsidRPr="00112EE5">
        <w:t>safety report</w:t>
      </w:r>
      <w:r w:rsidR="005940FD" w:rsidRPr="00112EE5">
        <w:t xml:space="preserve">, which </w:t>
      </w:r>
      <w:r w:rsidR="004B2B87" w:rsidRPr="00112EE5">
        <w:t xml:space="preserve">provided </w:t>
      </w:r>
      <w:r w:rsidR="00E408B9" w:rsidRPr="00112EE5">
        <w:t xml:space="preserve">outcomes for </w:t>
      </w:r>
      <w:r w:rsidR="00E267B7" w:rsidRPr="00112EE5">
        <w:t xml:space="preserve">10,046 </w:t>
      </w:r>
      <w:r w:rsidR="00E408B9" w:rsidRPr="00112EE5">
        <w:t>patients treated with ribociclib</w:t>
      </w:r>
      <w:r w:rsidR="000E21B4" w:rsidRPr="00112EE5">
        <w:t xml:space="preserve"> over </w:t>
      </w:r>
      <w:r w:rsidR="000406C5" w:rsidRPr="00112EE5">
        <w:t xml:space="preserve">a </w:t>
      </w:r>
      <w:r w:rsidR="000E21B4" w:rsidRPr="00112EE5">
        <w:t>reporting period</w:t>
      </w:r>
      <w:r w:rsidR="007B2736" w:rsidRPr="00112EE5">
        <w:t xml:space="preserve"> of March 2021 to March</w:t>
      </w:r>
      <w:r w:rsidR="00CC25A7">
        <w:t> </w:t>
      </w:r>
      <w:r w:rsidR="007B2736" w:rsidRPr="00112EE5">
        <w:t>2023</w:t>
      </w:r>
      <w:r w:rsidR="00A84015" w:rsidRPr="00112EE5">
        <w:t>. In these two years</w:t>
      </w:r>
      <w:r w:rsidR="000E21B4" w:rsidRPr="00112EE5">
        <w:t xml:space="preserve">, there were 2,829 cases of myelosuppression of which 1,730 were reported as serious and 37 were life-threatening or fatal. </w:t>
      </w:r>
      <w:r w:rsidR="00A84015" w:rsidRPr="00112EE5">
        <w:t xml:space="preserve">There were also </w:t>
      </w:r>
      <w:r w:rsidR="000E21B4" w:rsidRPr="00112EE5">
        <w:t xml:space="preserve">260 cases of QT interval prolongation reported of which all cases were </w:t>
      </w:r>
      <w:r w:rsidR="00F675E4" w:rsidRPr="00112EE5">
        <w:t>serious,</w:t>
      </w:r>
      <w:r w:rsidR="000E21B4" w:rsidRPr="00112EE5">
        <w:t xml:space="preserve"> and </w:t>
      </w:r>
      <w:r w:rsidR="00CC25A7" w:rsidRPr="00112EE5">
        <w:t>32</w:t>
      </w:r>
      <w:r w:rsidR="00CC25A7">
        <w:t> </w:t>
      </w:r>
      <w:r w:rsidR="000E21B4" w:rsidRPr="00112EE5">
        <w:t>cases were life-threatening (N = 7) or fatal (N = 25)</w:t>
      </w:r>
      <w:r w:rsidR="55A14555" w:rsidRPr="00112EE5">
        <w:t xml:space="preserve">, and 31 cases of fatal </w:t>
      </w:r>
      <w:r w:rsidR="00F662A0" w:rsidRPr="00112EE5">
        <w:t>hepatobiliary</w:t>
      </w:r>
      <w:r w:rsidR="55A14555" w:rsidRPr="00112EE5">
        <w:t xml:space="preserve"> toxicity</w:t>
      </w:r>
      <w:r w:rsidR="0006590B" w:rsidRPr="00786329">
        <w:rPr>
          <w:vertAlign w:val="superscript"/>
        </w:rPr>
        <w:fldChar w:fldCharType="begin" w:fldLock="1"/>
      </w:r>
      <w:r w:rsidR="0006590B" w:rsidRPr="00786329">
        <w:rPr>
          <w:vertAlign w:val="superscript"/>
        </w:rPr>
        <w:instrText xml:space="preserve"> NOTEREF _Ref190427115 \h </w:instrText>
      </w:r>
      <w:r w:rsidR="0006590B">
        <w:rPr>
          <w:vertAlign w:val="superscript"/>
        </w:rPr>
        <w:instrText xml:space="preserve"> \* MERGEFORMAT </w:instrText>
      </w:r>
      <w:r w:rsidR="0006590B" w:rsidRPr="00786329">
        <w:rPr>
          <w:vertAlign w:val="superscript"/>
        </w:rPr>
      </w:r>
      <w:r w:rsidR="0006590B" w:rsidRPr="00786329">
        <w:rPr>
          <w:vertAlign w:val="superscript"/>
        </w:rPr>
        <w:fldChar w:fldCharType="separate"/>
      </w:r>
      <w:r w:rsidR="0006590B" w:rsidRPr="00786329">
        <w:rPr>
          <w:vertAlign w:val="superscript"/>
        </w:rPr>
        <w:t>11</w:t>
      </w:r>
      <w:r w:rsidR="0006590B" w:rsidRPr="00786329">
        <w:rPr>
          <w:vertAlign w:val="superscript"/>
        </w:rPr>
        <w:fldChar w:fldCharType="end"/>
      </w:r>
      <w:r w:rsidR="55A14555" w:rsidRPr="00112EE5">
        <w:t xml:space="preserve">. </w:t>
      </w:r>
      <w:r w:rsidR="4D5DF6A3" w:rsidRPr="00112EE5">
        <w:t xml:space="preserve">Considered together, there were 56 fatal events recorded, and </w:t>
      </w:r>
      <w:r w:rsidR="749506AA" w:rsidRPr="00112EE5">
        <w:t>37 classified</w:t>
      </w:r>
      <w:r w:rsidR="749506AA" w:rsidRPr="00DB3D39">
        <w:t xml:space="preserve"> </w:t>
      </w:r>
      <w:r w:rsidR="749506AA" w:rsidRPr="00112EE5">
        <w:t xml:space="preserve">as “life-threatening or fatal", leading to a total of </w:t>
      </w:r>
      <w:r w:rsidR="0E895D96" w:rsidRPr="00112EE5">
        <w:t>93/10,046 (</w:t>
      </w:r>
      <w:r w:rsidR="044CC9D7" w:rsidRPr="00112EE5">
        <w:t>0.</w:t>
      </w:r>
      <w:r w:rsidR="0E895D96" w:rsidRPr="00112EE5">
        <w:t>9%) patients with a life-threatening or fatal event</w:t>
      </w:r>
      <w:r w:rsidR="30C645B7" w:rsidRPr="00112EE5">
        <w:t xml:space="preserve">, a similar </w:t>
      </w:r>
      <w:r w:rsidR="006F237C" w:rsidRPr="00112EE5">
        <w:t xml:space="preserve">proportion </w:t>
      </w:r>
      <w:r w:rsidR="30C645B7" w:rsidRPr="00112EE5">
        <w:t>to the 20/2</w:t>
      </w:r>
      <w:r w:rsidR="00F4DFB1" w:rsidRPr="00112EE5">
        <w:t>,</w:t>
      </w:r>
      <w:r w:rsidR="30C645B7" w:rsidRPr="00112EE5">
        <w:t xml:space="preserve">525 (0.8%) </w:t>
      </w:r>
      <w:r w:rsidR="000A00F3" w:rsidRPr="00112EE5">
        <w:t xml:space="preserve">on </w:t>
      </w:r>
      <w:r w:rsidR="00D25DAD" w:rsidRPr="00112EE5">
        <w:t xml:space="preserve">treatment </w:t>
      </w:r>
      <w:r w:rsidR="30C645B7" w:rsidRPr="00112EE5">
        <w:t>deaths recorded in the ribociclib arm of NATALEE</w:t>
      </w:r>
      <w:r w:rsidR="0006590B" w:rsidRPr="00786329">
        <w:rPr>
          <w:vertAlign w:val="superscript"/>
        </w:rPr>
        <w:fldChar w:fldCharType="begin" w:fldLock="1"/>
      </w:r>
      <w:r w:rsidR="0006590B" w:rsidRPr="00786329">
        <w:rPr>
          <w:vertAlign w:val="superscript"/>
        </w:rPr>
        <w:instrText xml:space="preserve"> NOTEREF _Ref190427115 \h </w:instrText>
      </w:r>
      <w:r w:rsidR="0006590B">
        <w:rPr>
          <w:vertAlign w:val="superscript"/>
        </w:rPr>
        <w:instrText xml:space="preserve"> \* MERGEFORMAT </w:instrText>
      </w:r>
      <w:r w:rsidR="0006590B" w:rsidRPr="00786329">
        <w:rPr>
          <w:vertAlign w:val="superscript"/>
        </w:rPr>
      </w:r>
      <w:r w:rsidR="0006590B" w:rsidRPr="00786329">
        <w:rPr>
          <w:vertAlign w:val="superscript"/>
        </w:rPr>
        <w:fldChar w:fldCharType="separate"/>
      </w:r>
      <w:r w:rsidR="0006590B" w:rsidRPr="00786329">
        <w:rPr>
          <w:vertAlign w:val="superscript"/>
        </w:rPr>
        <w:t>11</w:t>
      </w:r>
      <w:r w:rsidR="0006590B" w:rsidRPr="00786329">
        <w:rPr>
          <w:vertAlign w:val="superscript"/>
        </w:rPr>
        <w:fldChar w:fldCharType="end"/>
      </w:r>
      <w:r w:rsidR="30C645B7" w:rsidRPr="00112EE5">
        <w:t>.</w:t>
      </w:r>
      <w:bookmarkEnd w:id="41"/>
    </w:p>
    <w:p w14:paraId="7E0CCF29" w14:textId="7AADF0A0" w:rsidR="002447B6" w:rsidRPr="00112EE5" w:rsidRDefault="0015523E" w:rsidP="007C073C">
      <w:pPr>
        <w:pStyle w:val="3-BodyText"/>
        <w:rPr>
          <w:iCs/>
        </w:rPr>
      </w:pPr>
      <w:r w:rsidRPr="00DB3D39">
        <w:rPr>
          <w:lang w:eastAsia="en-US"/>
        </w:rPr>
        <w:lastRenderedPageBreak/>
        <w:t xml:space="preserve">The discontinuation due to adverse events </w:t>
      </w:r>
      <w:r w:rsidR="00DE6638" w:rsidRPr="00DB3D39">
        <w:rPr>
          <w:lang w:eastAsia="en-US"/>
        </w:rPr>
        <w:t xml:space="preserve">was higher in the ribociclib plus ET arm compared to the ET arm alone </w:t>
      </w:r>
      <w:r w:rsidR="00D0044E" w:rsidRPr="00DB3D39">
        <w:rPr>
          <w:lang w:eastAsia="en-US"/>
        </w:rPr>
        <w:t>with a RD of 0.</w:t>
      </w:r>
      <w:r w:rsidR="00E97FD9" w:rsidRPr="00DB3D39">
        <w:rPr>
          <w:lang w:eastAsia="en-US"/>
        </w:rPr>
        <w:t>1</w:t>
      </w:r>
      <w:r w:rsidR="00D0044E" w:rsidRPr="00DB3D39">
        <w:rPr>
          <w:lang w:eastAsia="en-US"/>
        </w:rPr>
        <w:t>5 (</w:t>
      </w:r>
      <w:r w:rsidR="00AC5263" w:rsidRPr="00DB3D39">
        <w:rPr>
          <w:lang w:eastAsia="en-US"/>
        </w:rPr>
        <w:t>95% CI</w:t>
      </w:r>
      <w:r w:rsidR="00BA12AE">
        <w:rPr>
          <w:lang w:eastAsia="en-US"/>
        </w:rPr>
        <w:t>:</w:t>
      </w:r>
      <w:r w:rsidR="00AC5263" w:rsidRPr="00DB3D39">
        <w:rPr>
          <w:lang w:eastAsia="en-US"/>
        </w:rPr>
        <w:t xml:space="preserve"> </w:t>
      </w:r>
      <w:r w:rsidR="00D0044E" w:rsidRPr="00DB3D39">
        <w:rPr>
          <w:lang w:eastAsia="en-US"/>
        </w:rPr>
        <w:t>0.</w:t>
      </w:r>
      <w:r w:rsidR="00927519" w:rsidRPr="00DB3D39">
        <w:rPr>
          <w:lang w:eastAsia="en-US"/>
        </w:rPr>
        <w:t>13</w:t>
      </w:r>
      <w:r w:rsidR="00AC5263" w:rsidRPr="00DB3D39">
        <w:rPr>
          <w:lang w:eastAsia="en-US"/>
        </w:rPr>
        <w:t>, 0.</w:t>
      </w:r>
      <w:r w:rsidR="00927519" w:rsidRPr="00DB3D39">
        <w:rPr>
          <w:lang w:eastAsia="en-US"/>
        </w:rPr>
        <w:t>17</w:t>
      </w:r>
      <w:r w:rsidR="00AC5263" w:rsidRPr="00DB3D39">
        <w:rPr>
          <w:lang w:eastAsia="en-US"/>
        </w:rPr>
        <w:t>; p&lt;0.0001)</w:t>
      </w:r>
      <w:bookmarkStart w:id="42" w:name="_Ref190427278"/>
      <w:r w:rsidR="00F247D5">
        <w:rPr>
          <w:rStyle w:val="FootnoteReference"/>
          <w:lang w:eastAsia="en-US"/>
        </w:rPr>
        <w:footnoteReference w:id="13"/>
      </w:r>
      <w:bookmarkEnd w:id="42"/>
      <w:r w:rsidR="00E97FD9" w:rsidRPr="00DB3D39">
        <w:rPr>
          <w:lang w:eastAsia="en-US"/>
        </w:rPr>
        <w:t xml:space="preserve">. In comparison, the discontinuation due to adverse events in monarchE led to </w:t>
      </w:r>
      <w:r w:rsidR="00927519" w:rsidRPr="00DB3D39">
        <w:rPr>
          <w:lang w:eastAsia="en-US"/>
        </w:rPr>
        <w:t xml:space="preserve">a </w:t>
      </w:r>
      <w:r w:rsidR="00E97FD9" w:rsidRPr="00DB3D39">
        <w:rPr>
          <w:lang w:eastAsia="en-US"/>
        </w:rPr>
        <w:t>RD of 0.05 (95% CI</w:t>
      </w:r>
      <w:r w:rsidR="00BA12AE">
        <w:rPr>
          <w:lang w:eastAsia="en-US"/>
        </w:rPr>
        <w:t>:</w:t>
      </w:r>
      <w:r w:rsidR="00E97FD9" w:rsidRPr="00DB3D39">
        <w:rPr>
          <w:lang w:eastAsia="en-US"/>
        </w:rPr>
        <w:t xml:space="preserve"> 0.04, 0.06; p&lt;0.00001</w:t>
      </w:r>
      <w:r w:rsidR="00927519" w:rsidRPr="00DB3D39">
        <w:rPr>
          <w:lang w:eastAsia="en-US"/>
        </w:rPr>
        <w:t>)</w:t>
      </w:r>
      <w:r w:rsidR="00FC78D4" w:rsidRPr="00DB3D39">
        <w:rPr>
          <w:lang w:eastAsia="en-US"/>
        </w:rPr>
        <w:t xml:space="preserve"> (</w:t>
      </w:r>
      <w:r w:rsidR="00B37B07">
        <w:rPr>
          <w:lang w:eastAsia="en-US"/>
        </w:rPr>
        <w:fldChar w:fldCharType="begin" w:fldLock="1"/>
      </w:r>
      <w:r w:rsidR="00B37B07">
        <w:rPr>
          <w:lang w:eastAsia="en-US"/>
        </w:rPr>
        <w:instrText xml:space="preserve"> REF _Ref176777904 \h </w:instrText>
      </w:r>
      <w:r w:rsidR="00B37B07">
        <w:rPr>
          <w:lang w:eastAsia="en-US"/>
        </w:rPr>
      </w:r>
      <w:r w:rsidR="00B37B07">
        <w:rPr>
          <w:lang w:eastAsia="en-US"/>
        </w:rPr>
        <w:fldChar w:fldCharType="separate"/>
      </w:r>
      <w:r w:rsidR="00FF083B" w:rsidRPr="00DB3D39">
        <w:t xml:space="preserve">Table </w:t>
      </w:r>
      <w:r w:rsidR="00FF083B">
        <w:rPr>
          <w:noProof/>
        </w:rPr>
        <w:t>8</w:t>
      </w:r>
      <w:r w:rsidR="00B37B07">
        <w:rPr>
          <w:lang w:eastAsia="en-US"/>
        </w:rPr>
        <w:fldChar w:fldCharType="end"/>
      </w:r>
      <w:r w:rsidR="00FC78D4" w:rsidRPr="00DB3D39">
        <w:rPr>
          <w:lang w:eastAsia="en-US"/>
        </w:rPr>
        <w:t>)</w:t>
      </w:r>
      <w:r w:rsidR="00F247D5" w:rsidRPr="00F247D5">
        <w:rPr>
          <w:vertAlign w:val="superscript"/>
          <w:lang w:eastAsia="en-US"/>
        </w:rPr>
        <w:fldChar w:fldCharType="begin" w:fldLock="1"/>
      </w:r>
      <w:r w:rsidR="00F247D5" w:rsidRPr="00F247D5">
        <w:rPr>
          <w:vertAlign w:val="superscript"/>
          <w:lang w:eastAsia="en-US"/>
        </w:rPr>
        <w:instrText xml:space="preserve"> NOTEREF _Ref190427278 \h </w:instrText>
      </w:r>
      <w:r w:rsidR="00F247D5">
        <w:rPr>
          <w:vertAlign w:val="superscript"/>
          <w:lang w:eastAsia="en-US"/>
        </w:rPr>
        <w:instrText xml:space="preserve"> \* MERGEFORMAT </w:instrText>
      </w:r>
      <w:r w:rsidR="00F247D5" w:rsidRPr="00F247D5">
        <w:rPr>
          <w:vertAlign w:val="superscript"/>
          <w:lang w:eastAsia="en-US"/>
        </w:rPr>
      </w:r>
      <w:r w:rsidR="00F247D5" w:rsidRPr="00F247D5">
        <w:rPr>
          <w:vertAlign w:val="superscript"/>
          <w:lang w:eastAsia="en-US"/>
        </w:rPr>
        <w:fldChar w:fldCharType="separate"/>
      </w:r>
      <w:r w:rsidR="00F247D5" w:rsidRPr="00F247D5">
        <w:rPr>
          <w:vertAlign w:val="superscript"/>
          <w:lang w:eastAsia="en-US"/>
        </w:rPr>
        <w:t>12</w:t>
      </w:r>
      <w:r w:rsidR="00F247D5" w:rsidRPr="00F247D5">
        <w:rPr>
          <w:vertAlign w:val="superscript"/>
          <w:lang w:eastAsia="en-US"/>
        </w:rPr>
        <w:fldChar w:fldCharType="end"/>
      </w:r>
      <w:r w:rsidR="00927519" w:rsidRPr="00DB3D39">
        <w:rPr>
          <w:lang w:eastAsia="en-US"/>
        </w:rPr>
        <w:t>.</w:t>
      </w:r>
      <w:r w:rsidR="0036439C" w:rsidRPr="00DB3D39">
        <w:rPr>
          <w:lang w:eastAsia="en-US"/>
        </w:rPr>
        <w:t xml:space="preserve"> </w:t>
      </w:r>
      <w:r w:rsidR="00064313" w:rsidRPr="00DB3D39">
        <w:rPr>
          <w:lang w:eastAsia="en-US"/>
        </w:rPr>
        <w:t>The submission stated that the NATALEE trial included patients who discontinued any treatment component whereas monarchE only included those who discontinued both treatment components. The submission stated that this was likely to bias the results against ribociclib plus adjuvant ET. The submission stated that the discontinuation rate of ribociclib in NATALEE of 19.5% was similar to the discontinuation rate of abemaciclib in monarchE</w:t>
      </w:r>
      <w:r w:rsidR="00BA12AE">
        <w:rPr>
          <w:lang w:eastAsia="en-US"/>
        </w:rPr>
        <w:t xml:space="preserve"> (</w:t>
      </w:r>
      <w:r w:rsidR="00064313" w:rsidRPr="00DB3D39">
        <w:rPr>
          <w:lang w:eastAsia="en-US"/>
        </w:rPr>
        <w:t>18.5%)</w:t>
      </w:r>
      <w:r w:rsidR="00F247D5" w:rsidRPr="00F247D5">
        <w:rPr>
          <w:vertAlign w:val="superscript"/>
          <w:lang w:eastAsia="en-US"/>
        </w:rPr>
        <w:fldChar w:fldCharType="begin" w:fldLock="1"/>
      </w:r>
      <w:r w:rsidR="00F247D5" w:rsidRPr="00F247D5">
        <w:rPr>
          <w:vertAlign w:val="superscript"/>
          <w:lang w:eastAsia="en-US"/>
        </w:rPr>
        <w:instrText xml:space="preserve"> NOTEREF _Ref190427278 \h </w:instrText>
      </w:r>
      <w:r w:rsidR="00F247D5">
        <w:rPr>
          <w:vertAlign w:val="superscript"/>
          <w:lang w:eastAsia="en-US"/>
        </w:rPr>
        <w:instrText xml:space="preserve"> \* MERGEFORMAT </w:instrText>
      </w:r>
      <w:r w:rsidR="00F247D5" w:rsidRPr="00F247D5">
        <w:rPr>
          <w:vertAlign w:val="superscript"/>
          <w:lang w:eastAsia="en-US"/>
        </w:rPr>
      </w:r>
      <w:r w:rsidR="00F247D5" w:rsidRPr="00F247D5">
        <w:rPr>
          <w:vertAlign w:val="superscript"/>
          <w:lang w:eastAsia="en-US"/>
        </w:rPr>
        <w:fldChar w:fldCharType="separate"/>
      </w:r>
      <w:r w:rsidR="00F247D5" w:rsidRPr="00F247D5">
        <w:rPr>
          <w:vertAlign w:val="superscript"/>
          <w:lang w:eastAsia="en-US"/>
        </w:rPr>
        <w:t>12</w:t>
      </w:r>
      <w:r w:rsidR="00F247D5" w:rsidRPr="00F247D5">
        <w:rPr>
          <w:vertAlign w:val="superscript"/>
          <w:lang w:eastAsia="en-US"/>
        </w:rPr>
        <w:fldChar w:fldCharType="end"/>
      </w:r>
      <w:r w:rsidR="00064313" w:rsidRPr="00DB3D39">
        <w:rPr>
          <w:lang w:eastAsia="en-US"/>
        </w:rPr>
        <w:t>.</w:t>
      </w:r>
    </w:p>
    <w:p w14:paraId="2DD05AD2" w14:textId="3D011D00" w:rsidR="00B60939" w:rsidRPr="00DB3D39" w:rsidRDefault="00D6076E" w:rsidP="007632BC">
      <w:pPr>
        <w:pStyle w:val="TableFigureHeading"/>
        <w:widowControl w:val="0"/>
        <w:rPr>
          <w:rStyle w:val="CommentReference"/>
          <w:b w:val="0"/>
        </w:rPr>
      </w:pPr>
      <w:bookmarkStart w:id="43" w:name="_Ref176777904"/>
      <w:r w:rsidRPr="00DB3D39">
        <w:lastRenderedPageBreak/>
        <w:t xml:space="preserve">Table </w:t>
      </w:r>
      <w:r w:rsidR="00FF083B">
        <w:fldChar w:fldCharType="begin" w:fldLock="1"/>
      </w:r>
      <w:r w:rsidR="00FF083B">
        <w:instrText xml:space="preserve"> SEQ Table \* ARABIC </w:instrText>
      </w:r>
      <w:r w:rsidR="00FF083B">
        <w:fldChar w:fldCharType="separate"/>
      </w:r>
      <w:r w:rsidR="00FF083B">
        <w:rPr>
          <w:noProof/>
        </w:rPr>
        <w:t>8</w:t>
      </w:r>
      <w:r w:rsidR="00FF083B">
        <w:rPr>
          <w:noProof/>
        </w:rPr>
        <w:fldChar w:fldCharType="end"/>
      </w:r>
      <w:bookmarkEnd w:id="43"/>
      <w:r w:rsidRPr="00DB3D39">
        <w:t xml:space="preserve">: </w:t>
      </w:r>
      <w:r w:rsidR="005D26B4" w:rsidRPr="00DB3D39">
        <w:rPr>
          <w:rStyle w:val="CommentReference"/>
        </w:rPr>
        <w:t>Summary of key adverse events in the trials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9"/>
        <w:gridCol w:w="2231"/>
        <w:gridCol w:w="1814"/>
        <w:gridCol w:w="2642"/>
      </w:tblGrid>
      <w:tr w:rsidR="004F0E49" w:rsidRPr="00DB3D39" w14:paraId="36F214EC" w14:textId="77777777" w:rsidTr="00BA6D7E">
        <w:trPr>
          <w:cantSplit/>
          <w:tblHeader/>
        </w:trPr>
        <w:tc>
          <w:tcPr>
            <w:tcW w:w="1292" w:type="pct"/>
            <w:vAlign w:val="center"/>
          </w:tcPr>
          <w:p w14:paraId="2D3906AD" w14:textId="77777777" w:rsidR="004F0E49" w:rsidRPr="00DB3D39" w:rsidRDefault="004F0E49">
            <w:pPr>
              <w:pStyle w:val="In-tableHeading"/>
              <w:rPr>
                <w:szCs w:val="20"/>
                <w:lang w:val="en-AU"/>
              </w:rPr>
            </w:pPr>
            <w:r w:rsidRPr="00DB3D39">
              <w:rPr>
                <w:szCs w:val="20"/>
                <w:lang w:val="en-AU"/>
              </w:rPr>
              <w:t>Trial ID / AEs</w:t>
            </w:r>
          </w:p>
        </w:tc>
        <w:tc>
          <w:tcPr>
            <w:tcW w:w="1237" w:type="pct"/>
            <w:vAlign w:val="center"/>
          </w:tcPr>
          <w:p w14:paraId="7FC1F342" w14:textId="77777777" w:rsidR="004F0E49" w:rsidRPr="00DB3D39" w:rsidRDefault="004F0E49" w:rsidP="00512B87">
            <w:pPr>
              <w:pStyle w:val="In-tableHeading"/>
              <w:jc w:val="center"/>
              <w:rPr>
                <w:szCs w:val="20"/>
                <w:lang w:val="en-AU"/>
              </w:rPr>
            </w:pPr>
            <w:r w:rsidRPr="00DB3D39">
              <w:rPr>
                <w:szCs w:val="20"/>
                <w:lang w:val="en-AU"/>
              </w:rPr>
              <w:t>Ribociclib + ET</w:t>
            </w:r>
          </w:p>
          <w:p w14:paraId="4E9E3811" w14:textId="77777777" w:rsidR="004F0E49" w:rsidRPr="00DB3D39" w:rsidRDefault="004F0E49" w:rsidP="00512B87">
            <w:pPr>
              <w:pStyle w:val="In-tableHeading"/>
              <w:jc w:val="center"/>
              <w:rPr>
                <w:szCs w:val="20"/>
                <w:lang w:val="en-AU"/>
              </w:rPr>
            </w:pPr>
            <w:r w:rsidRPr="00DB3D39">
              <w:rPr>
                <w:szCs w:val="20"/>
                <w:lang w:val="en-AU"/>
              </w:rPr>
              <w:t>n with event/N (%)</w:t>
            </w:r>
          </w:p>
        </w:tc>
        <w:tc>
          <w:tcPr>
            <w:tcW w:w="1006" w:type="pct"/>
            <w:vAlign w:val="center"/>
          </w:tcPr>
          <w:p w14:paraId="26D9BF37" w14:textId="77777777" w:rsidR="004F0E49" w:rsidRPr="00DB3D39" w:rsidRDefault="004F0E49" w:rsidP="00512B87">
            <w:pPr>
              <w:pStyle w:val="In-tableHeading"/>
              <w:jc w:val="center"/>
              <w:rPr>
                <w:szCs w:val="20"/>
                <w:lang w:val="en-AU"/>
              </w:rPr>
            </w:pPr>
            <w:r w:rsidRPr="00DB3D39">
              <w:rPr>
                <w:szCs w:val="20"/>
                <w:lang w:val="en-AU"/>
              </w:rPr>
              <w:t>ET alone</w:t>
            </w:r>
          </w:p>
          <w:p w14:paraId="0A896F0F" w14:textId="77777777" w:rsidR="004F0E49" w:rsidRPr="00DB3D39" w:rsidRDefault="004F0E49" w:rsidP="00512B87">
            <w:pPr>
              <w:pStyle w:val="In-tableHeading"/>
              <w:jc w:val="center"/>
              <w:rPr>
                <w:szCs w:val="20"/>
                <w:lang w:val="en-AU"/>
              </w:rPr>
            </w:pPr>
            <w:r w:rsidRPr="00DB3D39">
              <w:rPr>
                <w:szCs w:val="20"/>
                <w:lang w:val="en-AU"/>
              </w:rPr>
              <w:t>n with event/N (%)</w:t>
            </w:r>
          </w:p>
        </w:tc>
        <w:tc>
          <w:tcPr>
            <w:tcW w:w="1465" w:type="pct"/>
            <w:vAlign w:val="center"/>
          </w:tcPr>
          <w:p w14:paraId="55765044" w14:textId="4E07B598" w:rsidR="004F0E49" w:rsidRPr="00DB3D39" w:rsidRDefault="004F0E49" w:rsidP="00512B87">
            <w:pPr>
              <w:pStyle w:val="In-tableHeading"/>
              <w:jc w:val="center"/>
              <w:rPr>
                <w:szCs w:val="20"/>
                <w:lang w:val="en-AU"/>
              </w:rPr>
            </w:pPr>
            <w:r w:rsidRPr="00DB3D39">
              <w:rPr>
                <w:szCs w:val="20"/>
                <w:lang w:val="en-AU"/>
              </w:rPr>
              <w:t>RD (95% CI)</w:t>
            </w:r>
          </w:p>
        </w:tc>
      </w:tr>
      <w:tr w:rsidR="00F23460" w:rsidRPr="00DB3D39" w14:paraId="1C16AF53" w14:textId="77777777" w:rsidTr="00BA6D7E">
        <w:trPr>
          <w:cantSplit/>
        </w:trPr>
        <w:tc>
          <w:tcPr>
            <w:tcW w:w="1292" w:type="pct"/>
            <w:vAlign w:val="center"/>
          </w:tcPr>
          <w:p w14:paraId="7693C9D0" w14:textId="6389939E" w:rsidR="00F23460" w:rsidRPr="00DB3D39" w:rsidRDefault="00F23460" w:rsidP="00F23460">
            <w:pPr>
              <w:pStyle w:val="In-tableHeading"/>
              <w:rPr>
                <w:b w:val="0"/>
                <w:szCs w:val="20"/>
                <w:lang w:val="en-AU"/>
              </w:rPr>
            </w:pPr>
            <w:r w:rsidRPr="00DB3D39">
              <w:rPr>
                <w:b w:val="0"/>
                <w:bCs/>
                <w:szCs w:val="20"/>
                <w:lang w:val="en-AU"/>
              </w:rPr>
              <w:t>Mean duration of exposure months (SD)</w:t>
            </w:r>
          </w:p>
        </w:tc>
        <w:tc>
          <w:tcPr>
            <w:tcW w:w="1237" w:type="pct"/>
            <w:vAlign w:val="center"/>
          </w:tcPr>
          <w:p w14:paraId="1EB22381" w14:textId="68A454C9" w:rsidR="00F23460" w:rsidRPr="00DB3D39" w:rsidRDefault="00F23460" w:rsidP="00512B87">
            <w:pPr>
              <w:pStyle w:val="In-tableHeading"/>
              <w:jc w:val="center"/>
              <w:rPr>
                <w:b w:val="0"/>
                <w:szCs w:val="20"/>
                <w:lang w:val="en-AU"/>
              </w:rPr>
            </w:pPr>
            <w:r w:rsidRPr="00DB3D39">
              <w:rPr>
                <w:b w:val="0"/>
                <w:lang w:val="en-AU"/>
              </w:rPr>
              <w:t>32.8 (12.83)</w:t>
            </w:r>
          </w:p>
        </w:tc>
        <w:tc>
          <w:tcPr>
            <w:tcW w:w="1006" w:type="pct"/>
            <w:vAlign w:val="center"/>
          </w:tcPr>
          <w:p w14:paraId="3308D7EB" w14:textId="0D970058" w:rsidR="00F23460" w:rsidRPr="00DB3D39" w:rsidRDefault="00F23460" w:rsidP="00512B87">
            <w:pPr>
              <w:pStyle w:val="In-tableHeading"/>
              <w:jc w:val="center"/>
              <w:rPr>
                <w:b w:val="0"/>
                <w:szCs w:val="20"/>
                <w:lang w:val="en-AU"/>
              </w:rPr>
            </w:pPr>
            <w:r w:rsidRPr="00DB3D39">
              <w:rPr>
                <w:b w:val="0"/>
                <w:lang w:val="en-AU"/>
              </w:rPr>
              <w:t>31.9 (13.66)</w:t>
            </w:r>
          </w:p>
        </w:tc>
        <w:tc>
          <w:tcPr>
            <w:tcW w:w="1465" w:type="pct"/>
            <w:vAlign w:val="center"/>
          </w:tcPr>
          <w:p w14:paraId="755013DB" w14:textId="77777777" w:rsidR="00F23460" w:rsidRPr="00DB3D39" w:rsidRDefault="00F23460" w:rsidP="00512B87">
            <w:pPr>
              <w:pStyle w:val="In-tableHeading"/>
              <w:jc w:val="center"/>
              <w:rPr>
                <w:b w:val="0"/>
                <w:szCs w:val="20"/>
                <w:lang w:val="en-AU"/>
              </w:rPr>
            </w:pPr>
          </w:p>
        </w:tc>
      </w:tr>
      <w:tr w:rsidR="004F0E49" w:rsidRPr="00DB3D39" w14:paraId="6D97FD35" w14:textId="77777777" w:rsidTr="007632BC">
        <w:trPr>
          <w:cantSplit/>
        </w:trPr>
        <w:tc>
          <w:tcPr>
            <w:tcW w:w="5000" w:type="pct"/>
            <w:gridSpan w:val="4"/>
            <w:vAlign w:val="center"/>
          </w:tcPr>
          <w:p w14:paraId="001981DF" w14:textId="64726550" w:rsidR="004F0E49" w:rsidRPr="00DB3D39" w:rsidRDefault="004F0E49">
            <w:pPr>
              <w:pStyle w:val="TableText0"/>
              <w:rPr>
                <w:b/>
                <w:bCs w:val="0"/>
                <w:szCs w:val="20"/>
              </w:rPr>
            </w:pPr>
            <w:r w:rsidRPr="00DB3D39">
              <w:rPr>
                <w:b/>
                <w:bCs w:val="0"/>
                <w:szCs w:val="20"/>
              </w:rPr>
              <w:t>NATALEE (safety set population) July 2023 DCO (median follow-up 40.3 mths)</w:t>
            </w:r>
          </w:p>
        </w:tc>
      </w:tr>
      <w:tr w:rsidR="004F0E49" w:rsidRPr="00DB3D39" w14:paraId="6F14AFBB" w14:textId="77777777" w:rsidTr="00BA6D7E">
        <w:trPr>
          <w:cantSplit/>
        </w:trPr>
        <w:tc>
          <w:tcPr>
            <w:tcW w:w="1292" w:type="pct"/>
          </w:tcPr>
          <w:p w14:paraId="7AD9D91B" w14:textId="77777777" w:rsidR="004F0E49" w:rsidRPr="00DB3D39" w:rsidRDefault="004F0E49">
            <w:pPr>
              <w:pStyle w:val="TableText0"/>
              <w:rPr>
                <w:bCs w:val="0"/>
                <w:szCs w:val="20"/>
              </w:rPr>
            </w:pPr>
            <w:r w:rsidRPr="00DB3D39">
              <w:rPr>
                <w:bCs w:val="0"/>
                <w:szCs w:val="20"/>
              </w:rPr>
              <w:t>Any TEAE</w:t>
            </w:r>
          </w:p>
        </w:tc>
        <w:tc>
          <w:tcPr>
            <w:tcW w:w="1237" w:type="pct"/>
          </w:tcPr>
          <w:p w14:paraId="126ADC38" w14:textId="2B28DDF7" w:rsidR="004F0E49" w:rsidRPr="00DB3D39" w:rsidRDefault="004F0E49" w:rsidP="00512B87">
            <w:pPr>
              <w:pStyle w:val="TableText0"/>
              <w:jc w:val="center"/>
              <w:rPr>
                <w:szCs w:val="20"/>
              </w:rPr>
            </w:pPr>
            <w:r w:rsidRPr="00DB3D39">
              <w:rPr>
                <w:szCs w:val="20"/>
              </w:rPr>
              <w:t>2474/2525 (98.0%)</w:t>
            </w:r>
          </w:p>
        </w:tc>
        <w:tc>
          <w:tcPr>
            <w:tcW w:w="1006" w:type="pct"/>
          </w:tcPr>
          <w:p w14:paraId="288F0A1D" w14:textId="77777777" w:rsidR="004F0E49" w:rsidRPr="00DB3D39" w:rsidRDefault="004F0E49" w:rsidP="00512B87">
            <w:pPr>
              <w:pStyle w:val="TableText0"/>
              <w:jc w:val="center"/>
              <w:rPr>
                <w:szCs w:val="20"/>
              </w:rPr>
            </w:pPr>
            <w:r w:rsidRPr="00DB3D39">
              <w:rPr>
                <w:szCs w:val="20"/>
              </w:rPr>
              <w:t>2145 / 2442 (87.8%)</w:t>
            </w:r>
          </w:p>
        </w:tc>
        <w:tc>
          <w:tcPr>
            <w:tcW w:w="1465" w:type="pct"/>
            <w:vAlign w:val="center"/>
          </w:tcPr>
          <w:p w14:paraId="66B95592" w14:textId="2FE6EBC4" w:rsidR="004F0E49" w:rsidRPr="00DB3D39" w:rsidRDefault="008765DE" w:rsidP="00512B87">
            <w:pPr>
              <w:pStyle w:val="TableText0"/>
              <w:jc w:val="center"/>
              <w:rPr>
                <w:szCs w:val="20"/>
              </w:rPr>
            </w:pPr>
            <w:r w:rsidRPr="00DB3D39">
              <w:rPr>
                <w:szCs w:val="20"/>
              </w:rPr>
              <w:t>NR</w:t>
            </w:r>
          </w:p>
        </w:tc>
      </w:tr>
      <w:tr w:rsidR="004F0E49" w:rsidRPr="00DB3D39" w14:paraId="7A7DD184" w14:textId="77777777" w:rsidTr="00BA6D7E">
        <w:trPr>
          <w:cantSplit/>
        </w:trPr>
        <w:tc>
          <w:tcPr>
            <w:tcW w:w="1292" w:type="pct"/>
          </w:tcPr>
          <w:p w14:paraId="07A69624" w14:textId="77777777" w:rsidR="004F0E49" w:rsidRPr="00DB3D39" w:rsidRDefault="004F0E49">
            <w:pPr>
              <w:pStyle w:val="TableText0"/>
              <w:rPr>
                <w:bCs w:val="0"/>
                <w:szCs w:val="20"/>
              </w:rPr>
            </w:pPr>
            <w:r w:rsidRPr="00DB3D39">
              <w:rPr>
                <w:bCs w:val="0"/>
                <w:szCs w:val="20"/>
              </w:rPr>
              <w:t xml:space="preserve">Grade </w:t>
            </w:r>
            <w:r w:rsidRPr="00DB3D39">
              <w:rPr>
                <w:rFonts w:cs="Calibri"/>
                <w:bCs w:val="0"/>
                <w:szCs w:val="20"/>
              </w:rPr>
              <w:t>≥</w:t>
            </w:r>
            <w:r w:rsidRPr="00DB3D39">
              <w:rPr>
                <w:bCs w:val="0"/>
                <w:szCs w:val="20"/>
              </w:rPr>
              <w:t xml:space="preserve"> 3 TEAE</w:t>
            </w:r>
          </w:p>
        </w:tc>
        <w:tc>
          <w:tcPr>
            <w:tcW w:w="1237" w:type="pct"/>
          </w:tcPr>
          <w:p w14:paraId="1CDAAAA3" w14:textId="59D8103D" w:rsidR="004F0E49" w:rsidRPr="00DB3D39" w:rsidRDefault="004F0E49" w:rsidP="00512B87">
            <w:pPr>
              <w:pStyle w:val="TableText0"/>
              <w:jc w:val="center"/>
              <w:rPr>
                <w:szCs w:val="20"/>
              </w:rPr>
            </w:pPr>
            <w:r w:rsidRPr="00DB3D39">
              <w:rPr>
                <w:szCs w:val="20"/>
              </w:rPr>
              <w:t>1607/2525 (63.6%)</w:t>
            </w:r>
          </w:p>
        </w:tc>
        <w:tc>
          <w:tcPr>
            <w:tcW w:w="1006" w:type="pct"/>
          </w:tcPr>
          <w:p w14:paraId="0BD0F49A" w14:textId="77777777" w:rsidR="004F0E49" w:rsidRPr="00DB3D39" w:rsidRDefault="004F0E49" w:rsidP="00512B87">
            <w:pPr>
              <w:pStyle w:val="TableText0"/>
              <w:jc w:val="center"/>
              <w:rPr>
                <w:szCs w:val="20"/>
              </w:rPr>
            </w:pPr>
            <w:r w:rsidRPr="00DB3D39">
              <w:rPr>
                <w:szCs w:val="20"/>
              </w:rPr>
              <w:t>469 / 2442 (19.2%)</w:t>
            </w:r>
          </w:p>
        </w:tc>
        <w:tc>
          <w:tcPr>
            <w:tcW w:w="1465" w:type="pct"/>
            <w:vAlign w:val="center"/>
          </w:tcPr>
          <w:p w14:paraId="5EFF12B7" w14:textId="0B643C91" w:rsidR="004F0E49" w:rsidRPr="00DB3D39" w:rsidRDefault="004F0E49" w:rsidP="00512B87">
            <w:pPr>
              <w:pStyle w:val="TableText0"/>
              <w:jc w:val="center"/>
              <w:rPr>
                <w:szCs w:val="20"/>
              </w:rPr>
            </w:pPr>
          </w:p>
        </w:tc>
      </w:tr>
      <w:tr w:rsidR="004F0E49" w:rsidRPr="00DB3D39" w14:paraId="2C86B177" w14:textId="77777777" w:rsidTr="00BA6D7E">
        <w:trPr>
          <w:cantSplit/>
        </w:trPr>
        <w:tc>
          <w:tcPr>
            <w:tcW w:w="1292" w:type="pct"/>
          </w:tcPr>
          <w:p w14:paraId="47DBA964" w14:textId="77777777" w:rsidR="004F0E49" w:rsidRPr="00DB3D39" w:rsidRDefault="004F0E49">
            <w:pPr>
              <w:pStyle w:val="TableText0"/>
              <w:rPr>
                <w:bCs w:val="0"/>
                <w:szCs w:val="20"/>
              </w:rPr>
            </w:pPr>
            <w:r w:rsidRPr="00DB3D39">
              <w:rPr>
                <w:bCs w:val="0"/>
                <w:szCs w:val="20"/>
              </w:rPr>
              <w:t>Any SAE</w:t>
            </w:r>
          </w:p>
        </w:tc>
        <w:tc>
          <w:tcPr>
            <w:tcW w:w="1237" w:type="pct"/>
          </w:tcPr>
          <w:p w14:paraId="50FE45A8" w14:textId="50F3E740" w:rsidR="004F0E49" w:rsidRPr="00DB3D39" w:rsidRDefault="004F0E49" w:rsidP="00512B87">
            <w:pPr>
              <w:pStyle w:val="TableText0"/>
              <w:jc w:val="center"/>
              <w:rPr>
                <w:szCs w:val="20"/>
              </w:rPr>
            </w:pPr>
            <w:r w:rsidRPr="00DB3D39">
              <w:rPr>
                <w:szCs w:val="20"/>
              </w:rPr>
              <w:t>357/2525 (14.1%)</w:t>
            </w:r>
          </w:p>
        </w:tc>
        <w:tc>
          <w:tcPr>
            <w:tcW w:w="1006" w:type="pct"/>
          </w:tcPr>
          <w:p w14:paraId="45C32030" w14:textId="77777777" w:rsidR="004F0E49" w:rsidRPr="00DB3D39" w:rsidRDefault="004F0E49" w:rsidP="00512B87">
            <w:pPr>
              <w:pStyle w:val="TableText0"/>
              <w:jc w:val="center"/>
              <w:rPr>
                <w:szCs w:val="20"/>
              </w:rPr>
            </w:pPr>
            <w:r w:rsidRPr="00DB3D39">
              <w:rPr>
                <w:szCs w:val="20"/>
              </w:rPr>
              <w:t>256 / 2442 (10.5%)</w:t>
            </w:r>
          </w:p>
        </w:tc>
        <w:tc>
          <w:tcPr>
            <w:tcW w:w="1465" w:type="pct"/>
            <w:vAlign w:val="center"/>
          </w:tcPr>
          <w:p w14:paraId="1F8AD7D4" w14:textId="1A3C7130" w:rsidR="004F0E49" w:rsidRPr="00DB3D39" w:rsidRDefault="008765DE" w:rsidP="00512B87">
            <w:pPr>
              <w:pStyle w:val="TableText0"/>
              <w:jc w:val="center"/>
              <w:rPr>
                <w:szCs w:val="20"/>
              </w:rPr>
            </w:pPr>
            <w:r w:rsidRPr="00DB3D39">
              <w:rPr>
                <w:szCs w:val="20"/>
              </w:rPr>
              <w:t>NR</w:t>
            </w:r>
          </w:p>
        </w:tc>
      </w:tr>
      <w:tr w:rsidR="004F0E49" w:rsidRPr="00DB3D39" w14:paraId="35B2ED48" w14:textId="77777777" w:rsidTr="00BA6D7E">
        <w:trPr>
          <w:cantSplit/>
        </w:trPr>
        <w:tc>
          <w:tcPr>
            <w:tcW w:w="1292" w:type="pct"/>
          </w:tcPr>
          <w:p w14:paraId="4652E6B7" w14:textId="3CDAC370" w:rsidR="004F0E49" w:rsidRPr="00DB3D39" w:rsidRDefault="004F0E49">
            <w:pPr>
              <w:pStyle w:val="TableText0"/>
              <w:rPr>
                <w:bCs w:val="0"/>
                <w:szCs w:val="20"/>
              </w:rPr>
            </w:pPr>
            <w:r w:rsidRPr="00DB3D39">
              <w:rPr>
                <w:bCs w:val="0"/>
                <w:szCs w:val="20"/>
              </w:rPr>
              <w:t>Discontinuation due to AEs</w:t>
            </w:r>
            <w:r w:rsidR="007C626C" w:rsidRPr="007C626C">
              <w:rPr>
                <w:bCs w:val="0"/>
                <w:szCs w:val="20"/>
                <w:vertAlign w:val="superscript"/>
              </w:rPr>
              <w:t>a</w:t>
            </w:r>
          </w:p>
        </w:tc>
        <w:tc>
          <w:tcPr>
            <w:tcW w:w="1237" w:type="pct"/>
          </w:tcPr>
          <w:p w14:paraId="7569D511" w14:textId="37FB5C17" w:rsidR="004F0E49" w:rsidRPr="00DB3D39" w:rsidRDefault="004F0E49" w:rsidP="00512B87">
            <w:pPr>
              <w:pStyle w:val="TableText0"/>
              <w:jc w:val="center"/>
              <w:rPr>
                <w:szCs w:val="20"/>
              </w:rPr>
            </w:pPr>
            <w:r w:rsidRPr="00DB3D39">
              <w:rPr>
                <w:szCs w:val="20"/>
              </w:rPr>
              <w:t>524/2525 (20.8)</w:t>
            </w:r>
          </w:p>
        </w:tc>
        <w:tc>
          <w:tcPr>
            <w:tcW w:w="1006" w:type="pct"/>
          </w:tcPr>
          <w:p w14:paraId="781FDE2A" w14:textId="77777777" w:rsidR="004F0E49" w:rsidRPr="00DB3D39" w:rsidRDefault="004F0E49" w:rsidP="00512B87">
            <w:pPr>
              <w:pStyle w:val="TableText0"/>
              <w:jc w:val="center"/>
              <w:rPr>
                <w:szCs w:val="20"/>
              </w:rPr>
            </w:pPr>
            <w:r w:rsidRPr="00DB3D39">
              <w:rPr>
                <w:szCs w:val="20"/>
              </w:rPr>
              <w:t>134 / 2442 (5.5%)</w:t>
            </w:r>
          </w:p>
        </w:tc>
        <w:tc>
          <w:tcPr>
            <w:tcW w:w="1465" w:type="pct"/>
            <w:vAlign w:val="center"/>
          </w:tcPr>
          <w:p w14:paraId="47AF934E" w14:textId="173E739D" w:rsidR="004F0E49" w:rsidRPr="00DB3D39" w:rsidRDefault="008765DE" w:rsidP="00512B87">
            <w:pPr>
              <w:pStyle w:val="TableText0"/>
              <w:jc w:val="center"/>
              <w:rPr>
                <w:szCs w:val="20"/>
              </w:rPr>
            </w:pPr>
            <w:r w:rsidRPr="00DB3D39">
              <w:rPr>
                <w:szCs w:val="20"/>
              </w:rPr>
              <w:t>NR</w:t>
            </w:r>
          </w:p>
        </w:tc>
      </w:tr>
      <w:tr w:rsidR="004F0E49" w:rsidRPr="00DB3D39" w14:paraId="766B1D9B" w14:textId="77777777" w:rsidTr="00BA6D7E">
        <w:trPr>
          <w:cantSplit/>
        </w:trPr>
        <w:tc>
          <w:tcPr>
            <w:tcW w:w="1292" w:type="pct"/>
          </w:tcPr>
          <w:p w14:paraId="2C45A3BF" w14:textId="77777777" w:rsidR="004F0E49" w:rsidRPr="00DB3D39" w:rsidRDefault="004F0E49">
            <w:pPr>
              <w:pStyle w:val="TableText0"/>
              <w:rPr>
                <w:bCs w:val="0"/>
                <w:szCs w:val="20"/>
              </w:rPr>
            </w:pPr>
            <w:r w:rsidRPr="00DB3D39">
              <w:rPr>
                <w:bCs w:val="0"/>
                <w:szCs w:val="20"/>
              </w:rPr>
              <w:t>AEs of special interest</w:t>
            </w:r>
          </w:p>
        </w:tc>
        <w:tc>
          <w:tcPr>
            <w:tcW w:w="1237" w:type="pct"/>
          </w:tcPr>
          <w:p w14:paraId="06A79FE5" w14:textId="4108B007" w:rsidR="004F0E49" w:rsidRPr="00DB3D39" w:rsidRDefault="004F0E49" w:rsidP="00512B87">
            <w:pPr>
              <w:pStyle w:val="TableText0"/>
              <w:jc w:val="center"/>
              <w:rPr>
                <w:szCs w:val="20"/>
              </w:rPr>
            </w:pPr>
            <w:r w:rsidRPr="00DB3D39">
              <w:rPr>
                <w:szCs w:val="20"/>
              </w:rPr>
              <w:t>2183/2525 (86.5%)</w:t>
            </w:r>
          </w:p>
        </w:tc>
        <w:tc>
          <w:tcPr>
            <w:tcW w:w="1006" w:type="pct"/>
          </w:tcPr>
          <w:p w14:paraId="67ADCEEF" w14:textId="77777777" w:rsidR="004F0E49" w:rsidRPr="00DB3D39" w:rsidRDefault="004F0E49" w:rsidP="00512B87">
            <w:pPr>
              <w:pStyle w:val="TableText0"/>
              <w:jc w:val="center"/>
              <w:rPr>
                <w:szCs w:val="20"/>
              </w:rPr>
            </w:pPr>
            <w:r w:rsidRPr="00DB3D39">
              <w:rPr>
                <w:szCs w:val="20"/>
              </w:rPr>
              <w:t>1179 / 2442 (48.3%)</w:t>
            </w:r>
          </w:p>
        </w:tc>
        <w:tc>
          <w:tcPr>
            <w:tcW w:w="1465" w:type="pct"/>
            <w:vAlign w:val="center"/>
          </w:tcPr>
          <w:p w14:paraId="21F2B088" w14:textId="7024ED97" w:rsidR="004F0E49" w:rsidRPr="00DB3D39" w:rsidRDefault="008765DE" w:rsidP="00512B87">
            <w:pPr>
              <w:pStyle w:val="TableText0"/>
              <w:jc w:val="center"/>
              <w:rPr>
                <w:szCs w:val="20"/>
              </w:rPr>
            </w:pPr>
            <w:r w:rsidRPr="00DB3D39">
              <w:rPr>
                <w:szCs w:val="20"/>
              </w:rPr>
              <w:t>NR</w:t>
            </w:r>
          </w:p>
        </w:tc>
      </w:tr>
      <w:tr w:rsidR="004F0E49" w:rsidRPr="00DB3D39" w14:paraId="1D73B15C" w14:textId="77777777" w:rsidTr="00BA6D7E">
        <w:trPr>
          <w:cantSplit/>
        </w:trPr>
        <w:tc>
          <w:tcPr>
            <w:tcW w:w="1292" w:type="pct"/>
          </w:tcPr>
          <w:p w14:paraId="065BB91A" w14:textId="18CE6043" w:rsidR="004F0E49" w:rsidRPr="00DB3D39" w:rsidRDefault="004F0E49">
            <w:pPr>
              <w:pStyle w:val="TableText0"/>
              <w:rPr>
                <w:bCs w:val="0"/>
                <w:szCs w:val="20"/>
              </w:rPr>
            </w:pPr>
            <w:r w:rsidRPr="00DB3D39">
              <w:rPr>
                <w:bCs w:val="0"/>
                <w:szCs w:val="20"/>
              </w:rPr>
              <w:t>All deaths</w:t>
            </w:r>
          </w:p>
        </w:tc>
        <w:tc>
          <w:tcPr>
            <w:tcW w:w="1237" w:type="pct"/>
          </w:tcPr>
          <w:p w14:paraId="07D8BC3E" w14:textId="0555D5F0" w:rsidR="004F0E49" w:rsidRPr="00DB3D39" w:rsidRDefault="004F0E49" w:rsidP="00512B87">
            <w:pPr>
              <w:pStyle w:val="TableText0"/>
              <w:jc w:val="center"/>
              <w:rPr>
                <w:szCs w:val="20"/>
              </w:rPr>
            </w:pPr>
            <w:r w:rsidRPr="00DB3D39">
              <w:rPr>
                <w:szCs w:val="20"/>
              </w:rPr>
              <w:t>83/2525 (3.3%)</w:t>
            </w:r>
          </w:p>
        </w:tc>
        <w:tc>
          <w:tcPr>
            <w:tcW w:w="1006" w:type="pct"/>
          </w:tcPr>
          <w:p w14:paraId="20BA46EE" w14:textId="77777777" w:rsidR="004F0E49" w:rsidRPr="00DB3D39" w:rsidRDefault="004F0E49" w:rsidP="00512B87">
            <w:pPr>
              <w:pStyle w:val="TableText0"/>
              <w:jc w:val="center"/>
              <w:rPr>
                <w:szCs w:val="20"/>
              </w:rPr>
            </w:pPr>
            <w:r w:rsidRPr="00DB3D39">
              <w:rPr>
                <w:szCs w:val="20"/>
              </w:rPr>
              <w:t>89 / 2442 (3.6%)</w:t>
            </w:r>
          </w:p>
        </w:tc>
        <w:tc>
          <w:tcPr>
            <w:tcW w:w="1465" w:type="pct"/>
            <w:vAlign w:val="center"/>
          </w:tcPr>
          <w:p w14:paraId="253FD8FA" w14:textId="4366D034" w:rsidR="004F0E49" w:rsidRPr="00DB3D39" w:rsidRDefault="008765DE" w:rsidP="00512B87">
            <w:pPr>
              <w:pStyle w:val="TableText0"/>
              <w:jc w:val="center"/>
              <w:rPr>
                <w:b/>
                <w:bCs w:val="0"/>
                <w:szCs w:val="20"/>
              </w:rPr>
            </w:pPr>
            <w:r w:rsidRPr="00DB3D39">
              <w:rPr>
                <w:szCs w:val="20"/>
              </w:rPr>
              <w:t>NR</w:t>
            </w:r>
          </w:p>
        </w:tc>
      </w:tr>
      <w:tr w:rsidR="0024662C" w:rsidRPr="00DB3D39" w14:paraId="1DF93489" w14:textId="77777777" w:rsidTr="00BA6D7E">
        <w:trPr>
          <w:cantSplit/>
        </w:trPr>
        <w:tc>
          <w:tcPr>
            <w:tcW w:w="1292" w:type="pct"/>
          </w:tcPr>
          <w:p w14:paraId="01A60B9A" w14:textId="6AA31619" w:rsidR="0024662C" w:rsidRPr="00DB3D39" w:rsidRDefault="0024662C" w:rsidP="0024662C">
            <w:pPr>
              <w:pStyle w:val="TableText0"/>
              <w:rPr>
                <w:iCs/>
                <w:szCs w:val="20"/>
              </w:rPr>
            </w:pPr>
            <w:r w:rsidRPr="00DB3D39">
              <w:rPr>
                <w:iCs/>
                <w:szCs w:val="20"/>
              </w:rPr>
              <w:t>On treatment deaths</w:t>
            </w:r>
            <w:r w:rsidR="00F07C73" w:rsidRPr="00DB3D39">
              <w:rPr>
                <w:iCs/>
                <w:szCs w:val="20"/>
              </w:rPr>
              <w:t>*</w:t>
            </w:r>
          </w:p>
        </w:tc>
        <w:tc>
          <w:tcPr>
            <w:tcW w:w="1237" w:type="pct"/>
          </w:tcPr>
          <w:p w14:paraId="5A17D6E7" w14:textId="2CF7BE7A" w:rsidR="0024662C" w:rsidRPr="00DB3D39" w:rsidRDefault="0024662C" w:rsidP="00512B87">
            <w:pPr>
              <w:pStyle w:val="TableText0"/>
              <w:jc w:val="center"/>
              <w:rPr>
                <w:iCs/>
                <w:szCs w:val="20"/>
              </w:rPr>
            </w:pPr>
            <w:r w:rsidRPr="00DB3D39">
              <w:rPr>
                <w:rFonts w:cs="Times New Roman"/>
                <w:iCs/>
                <w:snapToGrid w:val="0"/>
                <w:szCs w:val="20"/>
              </w:rPr>
              <w:t>20/2525 (0.8%)</w:t>
            </w:r>
          </w:p>
        </w:tc>
        <w:tc>
          <w:tcPr>
            <w:tcW w:w="1006" w:type="pct"/>
          </w:tcPr>
          <w:p w14:paraId="5F9C5274" w14:textId="051A41EE" w:rsidR="0024662C" w:rsidRPr="00DB3D39" w:rsidRDefault="0024662C" w:rsidP="00512B87">
            <w:pPr>
              <w:pStyle w:val="TableText0"/>
              <w:jc w:val="center"/>
              <w:rPr>
                <w:iCs/>
                <w:szCs w:val="20"/>
              </w:rPr>
            </w:pPr>
            <w:r w:rsidRPr="00DB3D39">
              <w:rPr>
                <w:rFonts w:cs="Times New Roman"/>
                <w:iCs/>
                <w:snapToGrid w:val="0"/>
                <w:szCs w:val="20"/>
              </w:rPr>
              <w:t>9 / 2442 (0.4%)</w:t>
            </w:r>
          </w:p>
        </w:tc>
        <w:tc>
          <w:tcPr>
            <w:tcW w:w="1465" w:type="pct"/>
            <w:vAlign w:val="center"/>
          </w:tcPr>
          <w:p w14:paraId="0B141F16" w14:textId="1A6C4A9A" w:rsidR="0024662C" w:rsidRPr="00DB3D39" w:rsidRDefault="008765DE" w:rsidP="00512B87">
            <w:pPr>
              <w:pStyle w:val="TableText0"/>
              <w:jc w:val="center"/>
              <w:rPr>
                <w:iCs/>
                <w:szCs w:val="20"/>
              </w:rPr>
            </w:pPr>
            <w:r w:rsidRPr="00DB3D39">
              <w:rPr>
                <w:iCs/>
                <w:szCs w:val="20"/>
              </w:rPr>
              <w:t>NR</w:t>
            </w:r>
          </w:p>
        </w:tc>
      </w:tr>
      <w:tr w:rsidR="63BAC379" w:rsidRPr="00DB3D39" w14:paraId="5C5D3486" w14:textId="77777777" w:rsidTr="007632BC">
        <w:trPr>
          <w:cantSplit/>
          <w:trHeight w:val="300"/>
        </w:trPr>
        <w:tc>
          <w:tcPr>
            <w:tcW w:w="5000" w:type="pct"/>
            <w:gridSpan w:val="4"/>
          </w:tcPr>
          <w:p w14:paraId="36F3EFD6" w14:textId="6282F3A8" w:rsidR="04F3190C" w:rsidRPr="00DB3D39" w:rsidRDefault="04F3190C" w:rsidP="00281F24">
            <w:pPr>
              <w:pStyle w:val="TableText0"/>
              <w:rPr>
                <w:b/>
                <w:bCs w:val="0"/>
                <w:szCs w:val="20"/>
              </w:rPr>
            </w:pPr>
            <w:r w:rsidRPr="00DB3D39">
              <w:rPr>
                <w:b/>
                <w:bCs w:val="0"/>
                <w:szCs w:val="20"/>
              </w:rPr>
              <w:t>NATALEE (safety set matching PBS subgroup) July 2023 DCO (median follow-up 40.3 mths)</w:t>
            </w:r>
          </w:p>
        </w:tc>
      </w:tr>
      <w:tr w:rsidR="00C5361B" w:rsidRPr="00DB3D39" w14:paraId="0A7A95C9" w14:textId="77777777" w:rsidTr="00BA6D7E">
        <w:trPr>
          <w:cantSplit/>
          <w:trHeight w:val="206"/>
        </w:trPr>
        <w:tc>
          <w:tcPr>
            <w:tcW w:w="1292" w:type="pct"/>
          </w:tcPr>
          <w:p w14:paraId="78358925" w14:textId="1F4FA4B5" w:rsidR="00C5361B" w:rsidRPr="00DB3D39" w:rsidRDefault="00C5361B" w:rsidP="00281F24">
            <w:pPr>
              <w:pStyle w:val="TableText0"/>
              <w:rPr>
                <w:szCs w:val="20"/>
              </w:rPr>
            </w:pPr>
            <w:r w:rsidRPr="00DB3D39">
              <w:rPr>
                <w:bCs w:val="0"/>
                <w:szCs w:val="20"/>
              </w:rPr>
              <w:t>Any TEAE</w:t>
            </w:r>
          </w:p>
        </w:tc>
        <w:tc>
          <w:tcPr>
            <w:tcW w:w="1237" w:type="pct"/>
          </w:tcPr>
          <w:p w14:paraId="51A038B2" w14:textId="0A24B67F" w:rsidR="00C5361B" w:rsidRPr="00DB3D39" w:rsidRDefault="00A615FF" w:rsidP="00512B87">
            <w:pPr>
              <w:pStyle w:val="TableText0"/>
              <w:jc w:val="center"/>
              <w:rPr>
                <w:rFonts w:cs="Times New Roman"/>
                <w:szCs w:val="20"/>
              </w:rPr>
            </w:pPr>
            <w:r w:rsidRPr="00DB3D39">
              <w:rPr>
                <w:rFonts w:cs="Times New Roman"/>
                <w:szCs w:val="20"/>
              </w:rPr>
              <w:t>1616</w:t>
            </w:r>
            <w:r w:rsidR="00AE0C28" w:rsidRPr="00DB3D39">
              <w:rPr>
                <w:rFonts w:cs="Times New Roman"/>
                <w:szCs w:val="20"/>
              </w:rPr>
              <w:t>/</w:t>
            </w:r>
            <w:r w:rsidR="005F77A9" w:rsidRPr="00DB3D39">
              <w:rPr>
                <w:rFonts w:cs="Times New Roman"/>
                <w:szCs w:val="20"/>
              </w:rPr>
              <w:t>1644 (98.3%)</w:t>
            </w:r>
          </w:p>
        </w:tc>
        <w:tc>
          <w:tcPr>
            <w:tcW w:w="1006" w:type="pct"/>
          </w:tcPr>
          <w:p w14:paraId="2DF61089" w14:textId="672E2A0B" w:rsidR="00C5361B" w:rsidRPr="00DB3D39" w:rsidRDefault="0008087E" w:rsidP="00512B87">
            <w:pPr>
              <w:pStyle w:val="TableText0"/>
              <w:jc w:val="center"/>
              <w:rPr>
                <w:rFonts w:cs="Times New Roman"/>
                <w:szCs w:val="20"/>
              </w:rPr>
            </w:pPr>
            <w:r w:rsidRPr="00DB3D39">
              <w:rPr>
                <w:rFonts w:cs="Times New Roman"/>
                <w:szCs w:val="20"/>
              </w:rPr>
              <w:t>1369</w:t>
            </w:r>
            <w:r w:rsidR="005F77A9" w:rsidRPr="00DB3D39">
              <w:rPr>
                <w:rFonts w:cs="Times New Roman"/>
                <w:szCs w:val="20"/>
              </w:rPr>
              <w:t xml:space="preserve"> / 1562</w:t>
            </w:r>
            <w:r w:rsidR="00F165FD" w:rsidRPr="00DB3D39">
              <w:rPr>
                <w:rFonts w:cs="Times New Roman"/>
                <w:szCs w:val="20"/>
              </w:rPr>
              <w:t>(87.6%)</w:t>
            </w:r>
          </w:p>
        </w:tc>
        <w:tc>
          <w:tcPr>
            <w:tcW w:w="1465" w:type="pct"/>
            <w:vAlign w:val="center"/>
          </w:tcPr>
          <w:p w14:paraId="07010F48" w14:textId="02D6BB37" w:rsidR="00C5361B" w:rsidRPr="00DB3D39" w:rsidRDefault="008765DE" w:rsidP="00512B87">
            <w:pPr>
              <w:pStyle w:val="TableText0"/>
              <w:jc w:val="center"/>
              <w:rPr>
                <w:szCs w:val="20"/>
              </w:rPr>
            </w:pPr>
            <w:r w:rsidRPr="00DB3D39">
              <w:rPr>
                <w:szCs w:val="20"/>
              </w:rPr>
              <w:t>NR</w:t>
            </w:r>
          </w:p>
        </w:tc>
      </w:tr>
      <w:tr w:rsidR="00C5361B" w:rsidRPr="00DB3D39" w14:paraId="6D886C23" w14:textId="77777777" w:rsidTr="00BA6D7E">
        <w:trPr>
          <w:cantSplit/>
          <w:trHeight w:val="143"/>
        </w:trPr>
        <w:tc>
          <w:tcPr>
            <w:tcW w:w="1292" w:type="pct"/>
          </w:tcPr>
          <w:p w14:paraId="5AD0809B" w14:textId="4D6E7B03" w:rsidR="00C5361B" w:rsidRPr="00DB3D39" w:rsidRDefault="00C5361B" w:rsidP="00281F24">
            <w:pPr>
              <w:pStyle w:val="TableText0"/>
              <w:rPr>
                <w:szCs w:val="20"/>
              </w:rPr>
            </w:pPr>
            <w:r w:rsidRPr="00DB3D39">
              <w:rPr>
                <w:bCs w:val="0"/>
                <w:szCs w:val="20"/>
              </w:rPr>
              <w:t xml:space="preserve">Grade </w:t>
            </w:r>
            <w:r w:rsidRPr="00DB3D39">
              <w:rPr>
                <w:rFonts w:cs="Calibri"/>
                <w:bCs w:val="0"/>
                <w:szCs w:val="20"/>
              </w:rPr>
              <w:t>≥</w:t>
            </w:r>
            <w:r w:rsidRPr="00DB3D39">
              <w:rPr>
                <w:bCs w:val="0"/>
                <w:szCs w:val="20"/>
              </w:rPr>
              <w:t xml:space="preserve"> 3 TEAE</w:t>
            </w:r>
          </w:p>
        </w:tc>
        <w:tc>
          <w:tcPr>
            <w:tcW w:w="1237" w:type="pct"/>
          </w:tcPr>
          <w:p w14:paraId="3752716E" w14:textId="05D216E5" w:rsidR="00C5361B" w:rsidRPr="00DB3D39" w:rsidRDefault="00AC702C" w:rsidP="00512B87">
            <w:pPr>
              <w:pStyle w:val="TableText0"/>
              <w:jc w:val="center"/>
              <w:rPr>
                <w:rFonts w:cs="Times New Roman"/>
                <w:szCs w:val="20"/>
              </w:rPr>
            </w:pPr>
            <w:r w:rsidRPr="00DB3D39">
              <w:rPr>
                <w:rFonts w:cs="Times New Roman"/>
                <w:szCs w:val="20"/>
              </w:rPr>
              <w:t>1070</w:t>
            </w:r>
            <w:r w:rsidR="00167A76" w:rsidRPr="00DB3D39">
              <w:rPr>
                <w:rFonts w:cs="Times New Roman"/>
                <w:szCs w:val="20"/>
              </w:rPr>
              <w:t>/1644 (65.1%)</w:t>
            </w:r>
          </w:p>
        </w:tc>
        <w:tc>
          <w:tcPr>
            <w:tcW w:w="1006" w:type="pct"/>
          </w:tcPr>
          <w:p w14:paraId="15D85AFA" w14:textId="53CA8968" w:rsidR="00C5361B" w:rsidRPr="00DB3D39" w:rsidRDefault="00FC7C98" w:rsidP="00512B87">
            <w:pPr>
              <w:pStyle w:val="TableText0"/>
              <w:jc w:val="center"/>
              <w:rPr>
                <w:rFonts w:cs="Times New Roman"/>
                <w:szCs w:val="20"/>
              </w:rPr>
            </w:pPr>
            <w:r w:rsidRPr="00DB3D39">
              <w:rPr>
                <w:rFonts w:cs="Times New Roman"/>
                <w:szCs w:val="20"/>
              </w:rPr>
              <w:t>301</w:t>
            </w:r>
            <w:r w:rsidR="001D17D0" w:rsidRPr="00DB3D39">
              <w:rPr>
                <w:rFonts w:cs="Times New Roman"/>
                <w:szCs w:val="20"/>
              </w:rPr>
              <w:t xml:space="preserve"> / 1562 (19.3%)</w:t>
            </w:r>
          </w:p>
        </w:tc>
        <w:tc>
          <w:tcPr>
            <w:tcW w:w="1465" w:type="pct"/>
            <w:vAlign w:val="center"/>
          </w:tcPr>
          <w:p w14:paraId="751BCD32" w14:textId="2D558A8A" w:rsidR="00C5361B" w:rsidRPr="00DB3D39" w:rsidRDefault="008765DE" w:rsidP="00512B87">
            <w:pPr>
              <w:pStyle w:val="TableText0"/>
              <w:jc w:val="center"/>
              <w:rPr>
                <w:szCs w:val="20"/>
              </w:rPr>
            </w:pPr>
            <w:r w:rsidRPr="00DB3D39">
              <w:rPr>
                <w:szCs w:val="20"/>
              </w:rPr>
              <w:t>NR</w:t>
            </w:r>
          </w:p>
        </w:tc>
      </w:tr>
      <w:tr w:rsidR="00C5361B" w:rsidRPr="00DB3D39" w14:paraId="4205004C" w14:textId="77777777" w:rsidTr="00BA6D7E">
        <w:trPr>
          <w:cantSplit/>
          <w:trHeight w:val="260"/>
        </w:trPr>
        <w:tc>
          <w:tcPr>
            <w:tcW w:w="1292" w:type="pct"/>
          </w:tcPr>
          <w:p w14:paraId="5779763A" w14:textId="2271F1F7" w:rsidR="00C5361B" w:rsidRPr="00DB3D39" w:rsidRDefault="00C5361B" w:rsidP="00281F24">
            <w:pPr>
              <w:pStyle w:val="TableText0"/>
              <w:rPr>
                <w:szCs w:val="20"/>
              </w:rPr>
            </w:pPr>
            <w:r w:rsidRPr="00DB3D39">
              <w:rPr>
                <w:bCs w:val="0"/>
                <w:szCs w:val="20"/>
              </w:rPr>
              <w:t>Any SAE</w:t>
            </w:r>
          </w:p>
        </w:tc>
        <w:tc>
          <w:tcPr>
            <w:tcW w:w="1237" w:type="pct"/>
          </w:tcPr>
          <w:p w14:paraId="74E44B4E" w14:textId="67C4F3E7" w:rsidR="00C5361B" w:rsidRPr="00DB3D39" w:rsidRDefault="000E47FC" w:rsidP="00512B87">
            <w:pPr>
              <w:pStyle w:val="TableText0"/>
              <w:jc w:val="center"/>
              <w:rPr>
                <w:rFonts w:cs="Times New Roman"/>
                <w:szCs w:val="20"/>
              </w:rPr>
            </w:pPr>
            <w:r w:rsidRPr="00DB3D39">
              <w:rPr>
                <w:rFonts w:cs="Times New Roman"/>
                <w:szCs w:val="20"/>
              </w:rPr>
              <w:t>232</w:t>
            </w:r>
            <w:r w:rsidR="005F77A9" w:rsidRPr="00DB3D39">
              <w:rPr>
                <w:rFonts w:cs="Times New Roman"/>
                <w:szCs w:val="20"/>
              </w:rPr>
              <w:t>/1644</w:t>
            </w:r>
            <w:r w:rsidR="000768DE" w:rsidRPr="00DB3D39">
              <w:rPr>
                <w:rFonts w:cs="Times New Roman"/>
                <w:szCs w:val="20"/>
              </w:rPr>
              <w:t xml:space="preserve"> (</w:t>
            </w:r>
            <w:r w:rsidR="00997B70" w:rsidRPr="00DB3D39">
              <w:rPr>
                <w:rFonts w:cs="Times New Roman"/>
                <w:szCs w:val="20"/>
              </w:rPr>
              <w:t>2.6%)</w:t>
            </w:r>
          </w:p>
        </w:tc>
        <w:tc>
          <w:tcPr>
            <w:tcW w:w="1006" w:type="pct"/>
          </w:tcPr>
          <w:p w14:paraId="0272EC41" w14:textId="64A036E9" w:rsidR="00C5361B" w:rsidRPr="00DB3D39" w:rsidRDefault="00321A25" w:rsidP="00512B87">
            <w:pPr>
              <w:pStyle w:val="TableText0"/>
              <w:jc w:val="center"/>
              <w:rPr>
                <w:rFonts w:cs="Times New Roman"/>
                <w:szCs w:val="20"/>
              </w:rPr>
            </w:pPr>
            <w:r w:rsidRPr="00DB3D39">
              <w:rPr>
                <w:rFonts w:cs="Times New Roman"/>
                <w:szCs w:val="20"/>
              </w:rPr>
              <w:t>171</w:t>
            </w:r>
            <w:r w:rsidR="005F77A9" w:rsidRPr="00DB3D39">
              <w:rPr>
                <w:rFonts w:cs="Times New Roman"/>
                <w:szCs w:val="20"/>
              </w:rPr>
              <w:t>/ 1562</w:t>
            </w:r>
            <w:r w:rsidR="00836E1D" w:rsidRPr="00DB3D39">
              <w:rPr>
                <w:rFonts w:cs="Times New Roman"/>
                <w:szCs w:val="20"/>
              </w:rPr>
              <w:t xml:space="preserve"> </w:t>
            </w:r>
            <w:r w:rsidR="00627A7C" w:rsidRPr="00DB3D39">
              <w:rPr>
                <w:rFonts w:cs="Times New Roman"/>
                <w:szCs w:val="20"/>
              </w:rPr>
              <w:t>(</w:t>
            </w:r>
            <w:r w:rsidR="000E2CA3" w:rsidRPr="00DB3D39">
              <w:rPr>
                <w:rFonts w:cs="Times New Roman"/>
                <w:szCs w:val="20"/>
              </w:rPr>
              <w:t>10.9%)</w:t>
            </w:r>
          </w:p>
        </w:tc>
        <w:tc>
          <w:tcPr>
            <w:tcW w:w="1465" w:type="pct"/>
            <w:vAlign w:val="center"/>
          </w:tcPr>
          <w:p w14:paraId="710FB1FF" w14:textId="066A7DF2" w:rsidR="00C5361B" w:rsidRPr="00DB3D39" w:rsidRDefault="008765DE" w:rsidP="00512B87">
            <w:pPr>
              <w:pStyle w:val="TableText0"/>
              <w:jc w:val="center"/>
              <w:rPr>
                <w:szCs w:val="20"/>
              </w:rPr>
            </w:pPr>
            <w:r w:rsidRPr="00DB3D39">
              <w:rPr>
                <w:szCs w:val="20"/>
              </w:rPr>
              <w:t>NR</w:t>
            </w:r>
          </w:p>
        </w:tc>
      </w:tr>
      <w:tr w:rsidR="00C5361B" w:rsidRPr="00DB3D39" w14:paraId="19401522" w14:textId="77777777" w:rsidTr="00BA6D7E">
        <w:trPr>
          <w:cantSplit/>
          <w:trHeight w:val="170"/>
        </w:trPr>
        <w:tc>
          <w:tcPr>
            <w:tcW w:w="1292" w:type="pct"/>
          </w:tcPr>
          <w:p w14:paraId="0402480D" w14:textId="3F91264C" w:rsidR="00C5361B" w:rsidRPr="00DB3D39" w:rsidRDefault="00C5361B" w:rsidP="00281F24">
            <w:pPr>
              <w:pStyle w:val="TableText0"/>
              <w:rPr>
                <w:szCs w:val="20"/>
              </w:rPr>
            </w:pPr>
            <w:r w:rsidRPr="00DB3D39">
              <w:rPr>
                <w:bCs w:val="0"/>
                <w:szCs w:val="20"/>
              </w:rPr>
              <w:t>Discontinuation due to AEs</w:t>
            </w:r>
            <w:r w:rsidR="007C626C" w:rsidRPr="007C626C">
              <w:rPr>
                <w:bCs w:val="0"/>
                <w:szCs w:val="20"/>
                <w:vertAlign w:val="superscript"/>
              </w:rPr>
              <w:t xml:space="preserve"> a</w:t>
            </w:r>
          </w:p>
        </w:tc>
        <w:tc>
          <w:tcPr>
            <w:tcW w:w="1237" w:type="pct"/>
          </w:tcPr>
          <w:p w14:paraId="0FF3A247" w14:textId="09CDE546" w:rsidR="00C5361B" w:rsidRPr="00DB3D39" w:rsidRDefault="00B6134C" w:rsidP="00512B87">
            <w:pPr>
              <w:pStyle w:val="TableText0"/>
              <w:jc w:val="center"/>
              <w:rPr>
                <w:rFonts w:cs="Times New Roman"/>
                <w:szCs w:val="20"/>
              </w:rPr>
            </w:pPr>
            <w:r w:rsidRPr="00DB3D39">
              <w:rPr>
                <w:rFonts w:cs="Times New Roman"/>
                <w:szCs w:val="20"/>
              </w:rPr>
              <w:t>328</w:t>
            </w:r>
            <w:r w:rsidR="005F77A9" w:rsidRPr="00DB3D39">
              <w:rPr>
                <w:rFonts w:cs="Times New Roman"/>
                <w:szCs w:val="20"/>
              </w:rPr>
              <w:t>/1644</w:t>
            </w:r>
            <w:r w:rsidR="00997B70" w:rsidRPr="00DB3D39">
              <w:rPr>
                <w:rFonts w:cs="Times New Roman"/>
                <w:szCs w:val="20"/>
              </w:rPr>
              <w:t>(20.0%)</w:t>
            </w:r>
          </w:p>
        </w:tc>
        <w:tc>
          <w:tcPr>
            <w:tcW w:w="1006" w:type="pct"/>
          </w:tcPr>
          <w:p w14:paraId="30667F6A" w14:textId="5494D0AB" w:rsidR="00C5361B" w:rsidRPr="00DB3D39" w:rsidRDefault="00CC17CD" w:rsidP="00512B87">
            <w:pPr>
              <w:pStyle w:val="TableText0"/>
              <w:jc w:val="center"/>
              <w:rPr>
                <w:rFonts w:cs="Times New Roman"/>
                <w:szCs w:val="20"/>
              </w:rPr>
            </w:pPr>
            <w:r w:rsidRPr="00DB3D39">
              <w:rPr>
                <w:rFonts w:cs="Times New Roman"/>
                <w:szCs w:val="20"/>
              </w:rPr>
              <w:t>74</w:t>
            </w:r>
            <w:r w:rsidR="005F77A9" w:rsidRPr="00DB3D39">
              <w:rPr>
                <w:rFonts w:cs="Times New Roman"/>
                <w:szCs w:val="20"/>
              </w:rPr>
              <w:t>/ 1562</w:t>
            </w:r>
            <w:r w:rsidR="000E2CA3" w:rsidRPr="00DB3D39">
              <w:rPr>
                <w:rFonts w:cs="Times New Roman"/>
                <w:szCs w:val="20"/>
              </w:rPr>
              <w:t xml:space="preserve"> (4.7%)</w:t>
            </w:r>
          </w:p>
        </w:tc>
        <w:tc>
          <w:tcPr>
            <w:tcW w:w="1465" w:type="pct"/>
            <w:vAlign w:val="center"/>
          </w:tcPr>
          <w:p w14:paraId="09587B5C" w14:textId="27232F3A" w:rsidR="00C5361B" w:rsidRPr="00DB3D39" w:rsidRDefault="008765DE" w:rsidP="00512B87">
            <w:pPr>
              <w:pStyle w:val="TableText0"/>
              <w:jc w:val="center"/>
              <w:rPr>
                <w:szCs w:val="20"/>
              </w:rPr>
            </w:pPr>
            <w:r w:rsidRPr="00DB3D39">
              <w:rPr>
                <w:szCs w:val="20"/>
              </w:rPr>
              <w:t>NR</w:t>
            </w:r>
          </w:p>
        </w:tc>
      </w:tr>
      <w:tr w:rsidR="00C5361B" w:rsidRPr="00DB3D39" w14:paraId="02C46F77" w14:textId="77777777" w:rsidTr="00BA6D7E">
        <w:trPr>
          <w:cantSplit/>
          <w:trHeight w:val="206"/>
        </w:trPr>
        <w:tc>
          <w:tcPr>
            <w:tcW w:w="1292" w:type="pct"/>
          </w:tcPr>
          <w:p w14:paraId="58CF1C78" w14:textId="5A4F0D48" w:rsidR="00C5361B" w:rsidRPr="00DB3D39" w:rsidRDefault="00C5361B" w:rsidP="00281F24">
            <w:pPr>
              <w:pStyle w:val="TableText0"/>
              <w:rPr>
                <w:szCs w:val="20"/>
              </w:rPr>
            </w:pPr>
            <w:r w:rsidRPr="00DB3D39">
              <w:rPr>
                <w:bCs w:val="0"/>
                <w:szCs w:val="20"/>
              </w:rPr>
              <w:t>AEs of special interest</w:t>
            </w:r>
          </w:p>
        </w:tc>
        <w:tc>
          <w:tcPr>
            <w:tcW w:w="1237" w:type="pct"/>
          </w:tcPr>
          <w:p w14:paraId="4E4CECEA" w14:textId="3AE167AD" w:rsidR="00C5361B" w:rsidRPr="00DB3D39" w:rsidRDefault="00F42C87" w:rsidP="00512B87">
            <w:pPr>
              <w:pStyle w:val="TableText0"/>
              <w:jc w:val="center"/>
              <w:rPr>
                <w:rFonts w:cs="Times New Roman"/>
                <w:szCs w:val="20"/>
              </w:rPr>
            </w:pPr>
            <w:r w:rsidRPr="00DB3D39">
              <w:rPr>
                <w:rFonts w:cs="Times New Roman"/>
                <w:szCs w:val="20"/>
              </w:rPr>
              <w:t>1437</w:t>
            </w:r>
            <w:r w:rsidR="005F77A9" w:rsidRPr="00DB3D39">
              <w:rPr>
                <w:rFonts w:cs="Times New Roman"/>
                <w:szCs w:val="20"/>
              </w:rPr>
              <w:t>/1644</w:t>
            </w:r>
            <w:r w:rsidR="008B55B8" w:rsidRPr="00DB3D39">
              <w:rPr>
                <w:rFonts w:cs="Times New Roman"/>
                <w:szCs w:val="20"/>
              </w:rPr>
              <w:t xml:space="preserve"> (87.4%)</w:t>
            </w:r>
          </w:p>
        </w:tc>
        <w:tc>
          <w:tcPr>
            <w:tcW w:w="1006" w:type="pct"/>
          </w:tcPr>
          <w:p w14:paraId="26E8D859" w14:textId="75167CC9" w:rsidR="00C5361B" w:rsidRPr="00DB3D39" w:rsidRDefault="000F0503" w:rsidP="00512B87">
            <w:pPr>
              <w:pStyle w:val="TableText0"/>
              <w:jc w:val="center"/>
              <w:rPr>
                <w:rFonts w:cs="Times New Roman"/>
                <w:szCs w:val="20"/>
              </w:rPr>
            </w:pPr>
            <w:r w:rsidRPr="00DB3D39">
              <w:rPr>
                <w:rFonts w:cs="Times New Roman"/>
                <w:szCs w:val="20"/>
              </w:rPr>
              <w:t>763</w:t>
            </w:r>
            <w:r w:rsidR="005F77A9" w:rsidRPr="00DB3D39">
              <w:rPr>
                <w:rFonts w:cs="Times New Roman"/>
                <w:szCs w:val="20"/>
              </w:rPr>
              <w:t>/ 1562</w:t>
            </w:r>
            <w:r w:rsidR="000E2CA3" w:rsidRPr="00DB3D39">
              <w:rPr>
                <w:rFonts w:cs="Times New Roman"/>
                <w:szCs w:val="20"/>
              </w:rPr>
              <w:t xml:space="preserve"> (</w:t>
            </w:r>
            <w:r w:rsidR="0053085C" w:rsidRPr="00DB3D39">
              <w:rPr>
                <w:rFonts w:cs="Times New Roman"/>
                <w:szCs w:val="20"/>
              </w:rPr>
              <w:t>48.8%)</w:t>
            </w:r>
          </w:p>
        </w:tc>
        <w:tc>
          <w:tcPr>
            <w:tcW w:w="1465" w:type="pct"/>
            <w:vAlign w:val="center"/>
          </w:tcPr>
          <w:p w14:paraId="32FBE594" w14:textId="4CD74193" w:rsidR="00C5361B" w:rsidRPr="00DB3D39" w:rsidRDefault="008765DE" w:rsidP="00512B87">
            <w:pPr>
              <w:pStyle w:val="TableText0"/>
              <w:jc w:val="center"/>
              <w:rPr>
                <w:szCs w:val="20"/>
              </w:rPr>
            </w:pPr>
            <w:r w:rsidRPr="00DB3D39">
              <w:rPr>
                <w:szCs w:val="20"/>
              </w:rPr>
              <w:t>NR</w:t>
            </w:r>
          </w:p>
        </w:tc>
      </w:tr>
      <w:tr w:rsidR="00C5361B" w:rsidRPr="00DB3D39" w14:paraId="074C1EC3" w14:textId="77777777" w:rsidTr="00BA6D7E">
        <w:trPr>
          <w:cantSplit/>
          <w:trHeight w:val="233"/>
        </w:trPr>
        <w:tc>
          <w:tcPr>
            <w:tcW w:w="1292" w:type="pct"/>
          </w:tcPr>
          <w:p w14:paraId="0C7BA57F" w14:textId="25BD6C48" w:rsidR="00C5361B" w:rsidRPr="00DB3D39" w:rsidRDefault="00C5361B" w:rsidP="00281F24">
            <w:pPr>
              <w:pStyle w:val="TableText0"/>
              <w:rPr>
                <w:szCs w:val="20"/>
              </w:rPr>
            </w:pPr>
            <w:r w:rsidRPr="00DB3D39">
              <w:rPr>
                <w:bCs w:val="0"/>
                <w:szCs w:val="20"/>
              </w:rPr>
              <w:t>All deaths</w:t>
            </w:r>
          </w:p>
        </w:tc>
        <w:tc>
          <w:tcPr>
            <w:tcW w:w="1237" w:type="pct"/>
          </w:tcPr>
          <w:p w14:paraId="6878E6DB" w14:textId="47A4F9EC" w:rsidR="00C5361B" w:rsidRPr="00DB3D39" w:rsidRDefault="00767AD5" w:rsidP="00512B87">
            <w:pPr>
              <w:pStyle w:val="TableText0"/>
              <w:jc w:val="center"/>
              <w:rPr>
                <w:rFonts w:cs="Times New Roman"/>
                <w:szCs w:val="20"/>
              </w:rPr>
            </w:pPr>
            <w:r w:rsidRPr="00DB3D39">
              <w:rPr>
                <w:rFonts w:cs="Times New Roman"/>
                <w:szCs w:val="20"/>
              </w:rPr>
              <w:t>68/</w:t>
            </w:r>
            <w:r w:rsidR="00FD0DE1" w:rsidRPr="00DB3D39">
              <w:rPr>
                <w:rFonts w:cs="Times New Roman"/>
                <w:szCs w:val="20"/>
              </w:rPr>
              <w:t>1644 (</w:t>
            </w:r>
            <w:r w:rsidR="00B23BE6" w:rsidRPr="00DB3D39">
              <w:rPr>
                <w:rFonts w:cs="Times New Roman"/>
                <w:szCs w:val="20"/>
              </w:rPr>
              <w:t>4.1%</w:t>
            </w:r>
            <w:r w:rsidR="00FD0DE1" w:rsidRPr="00DB3D39">
              <w:rPr>
                <w:rFonts w:cs="Times New Roman"/>
                <w:szCs w:val="20"/>
              </w:rPr>
              <w:t>)</w:t>
            </w:r>
          </w:p>
        </w:tc>
        <w:tc>
          <w:tcPr>
            <w:tcW w:w="1006" w:type="pct"/>
          </w:tcPr>
          <w:p w14:paraId="56CF1523" w14:textId="1CBB3DF8" w:rsidR="00C5361B" w:rsidRPr="00DB3D39" w:rsidRDefault="004C407D" w:rsidP="00512B87">
            <w:pPr>
              <w:pStyle w:val="TableText0"/>
              <w:jc w:val="center"/>
              <w:rPr>
                <w:rFonts w:cs="Times New Roman"/>
                <w:szCs w:val="20"/>
              </w:rPr>
            </w:pPr>
            <w:r w:rsidRPr="00DB3D39">
              <w:rPr>
                <w:rFonts w:cs="Times New Roman"/>
                <w:szCs w:val="20"/>
              </w:rPr>
              <w:t>72 / 1562 (4.6%)</w:t>
            </w:r>
          </w:p>
        </w:tc>
        <w:tc>
          <w:tcPr>
            <w:tcW w:w="1465" w:type="pct"/>
            <w:vAlign w:val="center"/>
          </w:tcPr>
          <w:p w14:paraId="3AF0CDDE" w14:textId="7B0F264B" w:rsidR="00C5361B" w:rsidRPr="00DB3D39" w:rsidRDefault="008765DE" w:rsidP="00512B87">
            <w:pPr>
              <w:pStyle w:val="TableText0"/>
              <w:jc w:val="center"/>
              <w:rPr>
                <w:szCs w:val="20"/>
              </w:rPr>
            </w:pPr>
            <w:r w:rsidRPr="00DB3D39">
              <w:rPr>
                <w:szCs w:val="20"/>
              </w:rPr>
              <w:t>NR</w:t>
            </w:r>
          </w:p>
        </w:tc>
      </w:tr>
      <w:tr w:rsidR="00C7753E" w:rsidRPr="00DB3D39" w14:paraId="47CBB9D7" w14:textId="77777777" w:rsidTr="00BA6D7E">
        <w:trPr>
          <w:cantSplit/>
          <w:trHeight w:val="170"/>
        </w:trPr>
        <w:tc>
          <w:tcPr>
            <w:tcW w:w="1292" w:type="pct"/>
          </w:tcPr>
          <w:p w14:paraId="7204F845" w14:textId="12A39910" w:rsidR="00C7753E" w:rsidRPr="00DB3D39" w:rsidRDefault="00C7753E" w:rsidP="00C7753E">
            <w:pPr>
              <w:pStyle w:val="TableText0"/>
              <w:rPr>
                <w:iCs/>
                <w:szCs w:val="20"/>
              </w:rPr>
            </w:pPr>
            <w:r w:rsidRPr="00DB3D39">
              <w:rPr>
                <w:iCs/>
                <w:szCs w:val="20"/>
              </w:rPr>
              <w:t>On treatment deaths</w:t>
            </w:r>
          </w:p>
        </w:tc>
        <w:tc>
          <w:tcPr>
            <w:tcW w:w="1237" w:type="pct"/>
          </w:tcPr>
          <w:p w14:paraId="43B56F45" w14:textId="745328FE" w:rsidR="00C7753E" w:rsidRPr="00DB3D39" w:rsidRDefault="00C7753E" w:rsidP="00512B87">
            <w:pPr>
              <w:pStyle w:val="TableText0"/>
              <w:jc w:val="center"/>
              <w:rPr>
                <w:rFonts w:cs="Times New Roman"/>
                <w:iCs/>
                <w:szCs w:val="20"/>
              </w:rPr>
            </w:pPr>
            <w:r w:rsidRPr="00DB3D39">
              <w:rPr>
                <w:rFonts w:cs="Times New Roman"/>
                <w:iCs/>
                <w:szCs w:val="20"/>
              </w:rPr>
              <w:t>13/1644 (0.8%)</w:t>
            </w:r>
          </w:p>
        </w:tc>
        <w:tc>
          <w:tcPr>
            <w:tcW w:w="1006" w:type="pct"/>
          </w:tcPr>
          <w:p w14:paraId="227A7BD1" w14:textId="6F7A9808" w:rsidR="00C7753E" w:rsidRPr="00DB3D39" w:rsidRDefault="00C7753E" w:rsidP="00512B87">
            <w:pPr>
              <w:pStyle w:val="TableText0"/>
              <w:jc w:val="center"/>
              <w:rPr>
                <w:rFonts w:cs="Times New Roman"/>
                <w:iCs/>
                <w:szCs w:val="20"/>
              </w:rPr>
            </w:pPr>
            <w:r w:rsidRPr="00DB3D39">
              <w:rPr>
                <w:rFonts w:cs="Times New Roman"/>
                <w:iCs/>
                <w:szCs w:val="20"/>
              </w:rPr>
              <w:t>6 / 1562 (0.4%)</w:t>
            </w:r>
          </w:p>
        </w:tc>
        <w:tc>
          <w:tcPr>
            <w:tcW w:w="1465" w:type="pct"/>
          </w:tcPr>
          <w:p w14:paraId="4FECBAEB" w14:textId="53794C8D" w:rsidR="00C7753E" w:rsidRPr="00DB3D39" w:rsidRDefault="00C7753E" w:rsidP="00512B87">
            <w:pPr>
              <w:pStyle w:val="TableText0"/>
              <w:jc w:val="center"/>
              <w:rPr>
                <w:iCs/>
                <w:szCs w:val="20"/>
              </w:rPr>
            </w:pPr>
            <w:r w:rsidRPr="00DB3D39">
              <w:rPr>
                <w:iCs/>
                <w:szCs w:val="20"/>
              </w:rPr>
              <w:t>NR</w:t>
            </w:r>
          </w:p>
        </w:tc>
      </w:tr>
      <w:tr w:rsidR="004F0E49" w:rsidRPr="00DB3D39" w14:paraId="7C6E3A91" w14:textId="77777777" w:rsidTr="007632BC">
        <w:trPr>
          <w:cantSplit/>
        </w:trPr>
        <w:tc>
          <w:tcPr>
            <w:tcW w:w="5000" w:type="pct"/>
            <w:gridSpan w:val="4"/>
          </w:tcPr>
          <w:p w14:paraId="7A67D549" w14:textId="3152DBC2" w:rsidR="004F0E49" w:rsidRPr="00DB3D39" w:rsidRDefault="004F0E49">
            <w:pPr>
              <w:pStyle w:val="TableText0"/>
              <w:rPr>
                <w:szCs w:val="20"/>
              </w:rPr>
            </w:pPr>
            <w:r w:rsidRPr="00DB3D39">
              <w:rPr>
                <w:b/>
                <w:bCs w:val="0"/>
                <w:szCs w:val="20"/>
              </w:rPr>
              <w:t>NATALEE (</w:t>
            </w:r>
            <w:r w:rsidR="00180624" w:rsidRPr="00DB3D39">
              <w:rPr>
                <w:b/>
                <w:bCs w:val="0"/>
                <w:szCs w:val="20"/>
              </w:rPr>
              <w:t>safety set matching the monarchE ITT eligible</w:t>
            </w:r>
            <w:r w:rsidRPr="00DB3D39">
              <w:rPr>
                <w:b/>
                <w:bCs w:val="0"/>
                <w:szCs w:val="20"/>
              </w:rPr>
              <w:t>) July 2023 DCO (median follow-up 40.3 mths)</w:t>
            </w:r>
          </w:p>
        </w:tc>
      </w:tr>
      <w:tr w:rsidR="004F0E49" w:rsidRPr="00DB3D39" w14:paraId="3A0A94B3" w14:textId="77777777" w:rsidTr="00BA6D7E">
        <w:trPr>
          <w:cantSplit/>
        </w:trPr>
        <w:tc>
          <w:tcPr>
            <w:tcW w:w="1292" w:type="pct"/>
          </w:tcPr>
          <w:p w14:paraId="2BC9BFFE" w14:textId="77777777" w:rsidR="004F0E49" w:rsidRPr="00DB3D39" w:rsidRDefault="004F0E49">
            <w:pPr>
              <w:pStyle w:val="TableText0"/>
              <w:rPr>
                <w:bCs w:val="0"/>
                <w:szCs w:val="20"/>
              </w:rPr>
            </w:pPr>
            <w:r w:rsidRPr="00DB3D39">
              <w:rPr>
                <w:bCs w:val="0"/>
                <w:szCs w:val="20"/>
              </w:rPr>
              <w:t>Any TEAE</w:t>
            </w:r>
          </w:p>
        </w:tc>
        <w:tc>
          <w:tcPr>
            <w:tcW w:w="1237" w:type="pct"/>
            <w:vAlign w:val="center"/>
          </w:tcPr>
          <w:p w14:paraId="75D73BBA" w14:textId="77777777" w:rsidR="004F0E49" w:rsidRPr="00DB3D39" w:rsidRDefault="004F0E49" w:rsidP="00DB0083">
            <w:pPr>
              <w:pStyle w:val="TableText0"/>
              <w:jc w:val="center"/>
              <w:rPr>
                <w:szCs w:val="20"/>
              </w:rPr>
            </w:pPr>
            <w:r w:rsidRPr="00DB3D39">
              <w:rPr>
                <w:rFonts w:cs="Times New Roman"/>
                <w:snapToGrid w:val="0"/>
              </w:rPr>
              <w:t>1,851 / 1888 (98.0)</w:t>
            </w:r>
          </w:p>
        </w:tc>
        <w:tc>
          <w:tcPr>
            <w:tcW w:w="1006" w:type="pct"/>
            <w:vAlign w:val="center"/>
          </w:tcPr>
          <w:p w14:paraId="5D1B4136" w14:textId="77777777" w:rsidR="004F0E49" w:rsidRPr="00DB3D39" w:rsidRDefault="004F0E49" w:rsidP="00DB0083">
            <w:pPr>
              <w:pStyle w:val="TableText0"/>
              <w:jc w:val="center"/>
              <w:rPr>
                <w:szCs w:val="20"/>
              </w:rPr>
            </w:pPr>
            <w:r w:rsidRPr="00DB3D39">
              <w:rPr>
                <w:rFonts w:cs="Times New Roman"/>
                <w:snapToGrid w:val="0"/>
              </w:rPr>
              <w:t>1,556 / 1789 (87.0)</w:t>
            </w:r>
          </w:p>
        </w:tc>
        <w:tc>
          <w:tcPr>
            <w:tcW w:w="1465" w:type="pct"/>
            <w:vAlign w:val="center"/>
          </w:tcPr>
          <w:p w14:paraId="456475DE" w14:textId="5A8510F3" w:rsidR="004F0E49" w:rsidRPr="00DB3D39" w:rsidRDefault="004F0E49" w:rsidP="00512B87">
            <w:pPr>
              <w:jc w:val="center"/>
              <w:rPr>
                <w:rFonts w:ascii="Arial Narrow" w:hAnsi="Arial Narrow" w:cs="Times New Roman"/>
                <w:b/>
                <w:sz w:val="20"/>
                <w:szCs w:val="20"/>
              </w:rPr>
            </w:pPr>
            <w:r w:rsidRPr="00DB3D39">
              <w:rPr>
                <w:rFonts w:ascii="Arial Narrow" w:hAnsi="Arial Narrow"/>
                <w:b/>
                <w:sz w:val="20"/>
                <w:szCs w:val="20"/>
              </w:rPr>
              <w:t xml:space="preserve">0.11 </w:t>
            </w:r>
            <w:r w:rsidR="00B24172" w:rsidRPr="00DB3D39">
              <w:rPr>
                <w:rFonts w:ascii="Arial Narrow" w:hAnsi="Arial Narrow"/>
                <w:b/>
                <w:sz w:val="20"/>
                <w:szCs w:val="20"/>
              </w:rPr>
              <w:t>(</w:t>
            </w:r>
            <w:r w:rsidRPr="00DB3D39">
              <w:rPr>
                <w:rFonts w:ascii="Arial Narrow" w:hAnsi="Arial Narrow"/>
                <w:b/>
                <w:sz w:val="20"/>
                <w:szCs w:val="20"/>
              </w:rPr>
              <w:t>0.09, 0.13</w:t>
            </w:r>
            <w:r w:rsidR="00B24172" w:rsidRPr="00DB3D39">
              <w:rPr>
                <w:rFonts w:ascii="Arial Narrow" w:hAnsi="Arial Narrow"/>
                <w:b/>
                <w:sz w:val="20"/>
                <w:szCs w:val="20"/>
              </w:rPr>
              <w:t>)</w:t>
            </w:r>
            <w:r w:rsidR="00BA6D7E">
              <w:rPr>
                <w:rFonts w:ascii="Arial Narrow" w:hAnsi="Arial Narrow"/>
                <w:b/>
                <w:sz w:val="20"/>
                <w:szCs w:val="20"/>
              </w:rPr>
              <w:t xml:space="preserve">; </w:t>
            </w:r>
            <w:r w:rsidRPr="00DB3D39">
              <w:rPr>
                <w:rFonts w:ascii="Arial Narrow" w:hAnsi="Arial Narrow"/>
                <w:b/>
                <w:sz w:val="20"/>
                <w:szCs w:val="20"/>
              </w:rPr>
              <w:t>p &lt; 0.0001</w:t>
            </w:r>
          </w:p>
        </w:tc>
      </w:tr>
      <w:tr w:rsidR="004F0E49" w:rsidRPr="00DB3D39" w14:paraId="34B7155D" w14:textId="77777777" w:rsidTr="00BA6D7E">
        <w:trPr>
          <w:cantSplit/>
        </w:trPr>
        <w:tc>
          <w:tcPr>
            <w:tcW w:w="1292" w:type="pct"/>
          </w:tcPr>
          <w:p w14:paraId="42F762B4" w14:textId="4BB6231F" w:rsidR="004F0E49" w:rsidRPr="00DB3D39" w:rsidRDefault="004F0E49">
            <w:pPr>
              <w:pStyle w:val="TableText0"/>
              <w:rPr>
                <w:bCs w:val="0"/>
                <w:szCs w:val="20"/>
              </w:rPr>
            </w:pPr>
            <w:r w:rsidRPr="00DB3D39">
              <w:rPr>
                <w:bCs w:val="0"/>
                <w:szCs w:val="20"/>
              </w:rPr>
              <w:t xml:space="preserve">Grade </w:t>
            </w:r>
            <w:r w:rsidRPr="00DB3D39">
              <w:rPr>
                <w:rFonts w:cs="Calibri"/>
                <w:bCs w:val="0"/>
                <w:szCs w:val="20"/>
              </w:rPr>
              <w:t>≥</w:t>
            </w:r>
            <w:r w:rsidRPr="00DB3D39">
              <w:rPr>
                <w:bCs w:val="0"/>
                <w:szCs w:val="20"/>
              </w:rPr>
              <w:t xml:space="preserve"> 3 TEAE</w:t>
            </w:r>
            <w:r w:rsidR="007C626C">
              <w:rPr>
                <w:bCs w:val="0"/>
                <w:szCs w:val="20"/>
                <w:vertAlign w:val="superscript"/>
              </w:rPr>
              <w:t>b</w:t>
            </w:r>
          </w:p>
        </w:tc>
        <w:tc>
          <w:tcPr>
            <w:tcW w:w="1237" w:type="pct"/>
            <w:vAlign w:val="center"/>
          </w:tcPr>
          <w:p w14:paraId="27927EC4" w14:textId="77777777" w:rsidR="004F0E49" w:rsidRPr="00DB3D39" w:rsidRDefault="004F0E49" w:rsidP="00DB0083">
            <w:pPr>
              <w:pStyle w:val="TableText0"/>
              <w:jc w:val="center"/>
              <w:rPr>
                <w:szCs w:val="20"/>
              </w:rPr>
            </w:pPr>
            <w:r w:rsidRPr="00DB3D39">
              <w:rPr>
                <w:rFonts w:cs="Times New Roman"/>
                <w:snapToGrid w:val="0"/>
              </w:rPr>
              <w:t>1,206 / 1888 (63.9%)</w:t>
            </w:r>
          </w:p>
        </w:tc>
        <w:tc>
          <w:tcPr>
            <w:tcW w:w="1006" w:type="pct"/>
            <w:vAlign w:val="center"/>
          </w:tcPr>
          <w:p w14:paraId="3A15E3D8" w14:textId="77777777" w:rsidR="004F0E49" w:rsidRPr="00DB3D39" w:rsidRDefault="004F0E49" w:rsidP="00DB0083">
            <w:pPr>
              <w:pStyle w:val="TableText0"/>
              <w:jc w:val="center"/>
              <w:rPr>
                <w:szCs w:val="20"/>
              </w:rPr>
            </w:pPr>
            <w:r w:rsidRPr="00DB3D39">
              <w:rPr>
                <w:rFonts w:cs="Times New Roman"/>
                <w:snapToGrid w:val="0"/>
              </w:rPr>
              <w:t>339 / 1789</w:t>
            </w:r>
            <w:r w:rsidRPr="00DB3D39">
              <w:rPr>
                <w:rFonts w:cstheme="minorBidi"/>
                <w:snapToGrid w:val="0"/>
                <w:szCs w:val="20"/>
              </w:rPr>
              <w:t xml:space="preserve"> (18.9%)</w:t>
            </w:r>
          </w:p>
        </w:tc>
        <w:tc>
          <w:tcPr>
            <w:tcW w:w="1465" w:type="pct"/>
            <w:vAlign w:val="center"/>
          </w:tcPr>
          <w:p w14:paraId="50C1C533" w14:textId="2F29DAA3" w:rsidR="004F0E49" w:rsidRPr="00DB3D39" w:rsidRDefault="004F0E49" w:rsidP="00512B87">
            <w:pPr>
              <w:jc w:val="center"/>
              <w:rPr>
                <w:rFonts w:ascii="Arial Narrow" w:hAnsi="Arial Narrow" w:cs="Times New Roman"/>
                <w:b/>
                <w:sz w:val="20"/>
                <w:szCs w:val="20"/>
              </w:rPr>
            </w:pPr>
            <w:r w:rsidRPr="007C626C">
              <w:rPr>
                <w:rFonts w:ascii="Arial Narrow" w:hAnsi="Arial Narrow"/>
                <w:b/>
                <w:sz w:val="20"/>
                <w:szCs w:val="20"/>
              </w:rPr>
              <w:t xml:space="preserve">0.45 </w:t>
            </w:r>
            <w:r w:rsidR="00B24172" w:rsidRPr="007C626C">
              <w:rPr>
                <w:rFonts w:ascii="Arial Narrow" w:hAnsi="Arial Narrow"/>
                <w:b/>
                <w:sz w:val="20"/>
                <w:szCs w:val="20"/>
              </w:rPr>
              <w:t>(</w:t>
            </w:r>
            <w:r w:rsidRPr="007C626C">
              <w:rPr>
                <w:rFonts w:ascii="Arial Narrow" w:hAnsi="Arial Narrow"/>
                <w:b/>
                <w:sz w:val="20"/>
                <w:szCs w:val="20"/>
              </w:rPr>
              <w:t>0.42, 0.48</w:t>
            </w:r>
            <w:r w:rsidR="00B24172" w:rsidRPr="007C626C">
              <w:rPr>
                <w:rFonts w:ascii="Arial Narrow" w:hAnsi="Arial Narrow"/>
                <w:b/>
                <w:sz w:val="20"/>
                <w:szCs w:val="20"/>
              </w:rPr>
              <w:t>)</w:t>
            </w:r>
            <w:r w:rsidR="00BA6D7E">
              <w:rPr>
                <w:rFonts w:ascii="Arial Narrow" w:hAnsi="Arial Narrow"/>
                <w:b/>
                <w:sz w:val="20"/>
                <w:szCs w:val="20"/>
              </w:rPr>
              <w:t xml:space="preserve">; </w:t>
            </w:r>
            <w:r w:rsidRPr="007C626C">
              <w:rPr>
                <w:rFonts w:ascii="Arial Narrow" w:hAnsi="Arial Narrow"/>
                <w:b/>
                <w:sz w:val="20"/>
                <w:szCs w:val="20"/>
              </w:rPr>
              <w:t>p &lt; 0.0001</w:t>
            </w:r>
          </w:p>
        </w:tc>
      </w:tr>
      <w:tr w:rsidR="004F0E49" w:rsidRPr="00DB3D39" w14:paraId="6BCE44FB" w14:textId="77777777" w:rsidTr="00BA6D7E">
        <w:trPr>
          <w:cantSplit/>
        </w:trPr>
        <w:tc>
          <w:tcPr>
            <w:tcW w:w="1292" w:type="pct"/>
          </w:tcPr>
          <w:p w14:paraId="6EBB5079" w14:textId="77777777" w:rsidR="004F0E49" w:rsidRPr="00DB3D39" w:rsidRDefault="004F0E49">
            <w:pPr>
              <w:pStyle w:val="TableText0"/>
              <w:rPr>
                <w:bCs w:val="0"/>
                <w:szCs w:val="20"/>
              </w:rPr>
            </w:pPr>
            <w:r w:rsidRPr="00DB3D39">
              <w:rPr>
                <w:bCs w:val="0"/>
                <w:szCs w:val="20"/>
              </w:rPr>
              <w:t>Any SAE</w:t>
            </w:r>
          </w:p>
        </w:tc>
        <w:tc>
          <w:tcPr>
            <w:tcW w:w="1237" w:type="pct"/>
            <w:vAlign w:val="center"/>
          </w:tcPr>
          <w:p w14:paraId="230B1AEF" w14:textId="77777777" w:rsidR="004F0E49" w:rsidRPr="00DB3D39" w:rsidRDefault="004F0E49" w:rsidP="00DB0083">
            <w:pPr>
              <w:pStyle w:val="TableText0"/>
              <w:jc w:val="center"/>
              <w:rPr>
                <w:szCs w:val="20"/>
              </w:rPr>
            </w:pPr>
            <w:r w:rsidRPr="00DB3D39">
              <w:rPr>
                <w:rFonts w:cs="Times New Roman"/>
                <w:snapToGrid w:val="0"/>
              </w:rPr>
              <w:t>270 / 1888 (14.3%)</w:t>
            </w:r>
          </w:p>
        </w:tc>
        <w:tc>
          <w:tcPr>
            <w:tcW w:w="1006" w:type="pct"/>
            <w:vAlign w:val="center"/>
          </w:tcPr>
          <w:p w14:paraId="7C1508BB" w14:textId="77777777" w:rsidR="004F0E49" w:rsidRPr="00DB3D39" w:rsidRDefault="004F0E49" w:rsidP="00DB0083">
            <w:pPr>
              <w:pStyle w:val="TableText0"/>
              <w:jc w:val="center"/>
              <w:rPr>
                <w:szCs w:val="20"/>
              </w:rPr>
            </w:pPr>
            <w:r w:rsidRPr="00DB3D39">
              <w:rPr>
                <w:rFonts w:cs="Times New Roman"/>
                <w:snapToGrid w:val="0"/>
              </w:rPr>
              <w:t>183 / 1789 (10.2%)</w:t>
            </w:r>
          </w:p>
        </w:tc>
        <w:tc>
          <w:tcPr>
            <w:tcW w:w="1465" w:type="pct"/>
            <w:vAlign w:val="center"/>
          </w:tcPr>
          <w:p w14:paraId="783D896E" w14:textId="1027FE00" w:rsidR="004F0E49" w:rsidRPr="00DB3D39" w:rsidRDefault="004F0E49" w:rsidP="00512B87">
            <w:pPr>
              <w:jc w:val="center"/>
              <w:rPr>
                <w:rFonts w:ascii="Arial Narrow" w:hAnsi="Arial Narrow" w:cs="Times New Roman"/>
                <w:b/>
                <w:sz w:val="20"/>
                <w:szCs w:val="20"/>
              </w:rPr>
            </w:pPr>
            <w:r w:rsidRPr="00DB3D39">
              <w:rPr>
                <w:rFonts w:ascii="Arial Narrow" w:hAnsi="Arial Narrow"/>
                <w:b/>
                <w:sz w:val="20"/>
                <w:szCs w:val="20"/>
              </w:rPr>
              <w:t xml:space="preserve">0.04 </w:t>
            </w:r>
            <w:r w:rsidR="00B24172" w:rsidRPr="00DB3D39">
              <w:rPr>
                <w:rFonts w:ascii="Arial Narrow" w:hAnsi="Arial Narrow"/>
                <w:b/>
                <w:sz w:val="20"/>
                <w:szCs w:val="20"/>
              </w:rPr>
              <w:t>(</w:t>
            </w:r>
            <w:r w:rsidRPr="00DB3D39">
              <w:rPr>
                <w:rFonts w:ascii="Arial Narrow" w:hAnsi="Arial Narrow"/>
                <w:b/>
                <w:sz w:val="20"/>
                <w:szCs w:val="20"/>
              </w:rPr>
              <w:t>0.02, 0.06</w:t>
            </w:r>
            <w:r w:rsidR="00B24172" w:rsidRPr="00DB3D39">
              <w:rPr>
                <w:rFonts w:ascii="Arial Narrow" w:hAnsi="Arial Narrow"/>
                <w:b/>
                <w:sz w:val="20"/>
                <w:szCs w:val="20"/>
              </w:rPr>
              <w:t>)</w:t>
            </w:r>
            <w:r w:rsidR="00BA6D7E">
              <w:rPr>
                <w:rFonts w:ascii="Arial Narrow" w:hAnsi="Arial Narrow"/>
                <w:b/>
                <w:sz w:val="20"/>
                <w:szCs w:val="20"/>
              </w:rPr>
              <w:t xml:space="preserve">; </w:t>
            </w:r>
            <w:r w:rsidRPr="00DB3D39">
              <w:rPr>
                <w:rFonts w:ascii="Arial Narrow" w:hAnsi="Arial Narrow"/>
                <w:b/>
                <w:sz w:val="20"/>
                <w:szCs w:val="20"/>
              </w:rPr>
              <w:t>p &lt; 0.0001</w:t>
            </w:r>
          </w:p>
        </w:tc>
      </w:tr>
      <w:tr w:rsidR="004F0E49" w:rsidRPr="00DB3D39" w14:paraId="374B2A68" w14:textId="77777777" w:rsidTr="00BA6D7E">
        <w:trPr>
          <w:cantSplit/>
        </w:trPr>
        <w:tc>
          <w:tcPr>
            <w:tcW w:w="1292" w:type="pct"/>
          </w:tcPr>
          <w:p w14:paraId="6339537B" w14:textId="76669E93" w:rsidR="004F0E49" w:rsidRPr="00DB3D39" w:rsidRDefault="004F0E49">
            <w:pPr>
              <w:pStyle w:val="TableText0"/>
              <w:rPr>
                <w:bCs w:val="0"/>
                <w:szCs w:val="20"/>
              </w:rPr>
            </w:pPr>
            <w:r w:rsidRPr="00DB3D39">
              <w:rPr>
                <w:bCs w:val="0"/>
                <w:szCs w:val="20"/>
              </w:rPr>
              <w:t>Discontinuation due to AEs</w:t>
            </w:r>
            <w:r w:rsidR="007C626C" w:rsidRPr="007C626C">
              <w:rPr>
                <w:bCs w:val="0"/>
                <w:szCs w:val="20"/>
                <w:vertAlign w:val="superscript"/>
              </w:rPr>
              <w:t xml:space="preserve"> a</w:t>
            </w:r>
          </w:p>
        </w:tc>
        <w:tc>
          <w:tcPr>
            <w:tcW w:w="1237" w:type="pct"/>
            <w:vAlign w:val="center"/>
          </w:tcPr>
          <w:p w14:paraId="29449118" w14:textId="77777777" w:rsidR="004F0E49" w:rsidRPr="00DB3D39" w:rsidRDefault="004F0E49" w:rsidP="00DB0083">
            <w:pPr>
              <w:pStyle w:val="TableText0"/>
              <w:jc w:val="center"/>
              <w:rPr>
                <w:szCs w:val="20"/>
              </w:rPr>
            </w:pPr>
            <w:r w:rsidRPr="00DB3D39">
              <w:rPr>
                <w:rFonts w:cs="Times New Roman"/>
                <w:snapToGrid w:val="0"/>
              </w:rPr>
              <w:t>376 / 1888 (19.9%)</w:t>
            </w:r>
          </w:p>
        </w:tc>
        <w:tc>
          <w:tcPr>
            <w:tcW w:w="1006" w:type="pct"/>
            <w:vAlign w:val="center"/>
          </w:tcPr>
          <w:p w14:paraId="467EFF6A" w14:textId="77777777" w:rsidR="004F0E49" w:rsidRPr="00DB3D39" w:rsidRDefault="004F0E49" w:rsidP="00DB0083">
            <w:pPr>
              <w:pStyle w:val="TableText0"/>
              <w:jc w:val="center"/>
              <w:rPr>
                <w:szCs w:val="20"/>
              </w:rPr>
            </w:pPr>
            <w:r w:rsidRPr="00DB3D39">
              <w:rPr>
                <w:rFonts w:cs="Times New Roman"/>
                <w:snapToGrid w:val="0"/>
              </w:rPr>
              <w:t>87 / 1789 (4.9%)</w:t>
            </w:r>
          </w:p>
        </w:tc>
        <w:tc>
          <w:tcPr>
            <w:tcW w:w="1465" w:type="pct"/>
            <w:vAlign w:val="center"/>
          </w:tcPr>
          <w:p w14:paraId="14A2740F" w14:textId="47725FAA" w:rsidR="004F0E49" w:rsidRPr="00DB3D39" w:rsidRDefault="004F0E49" w:rsidP="00512B87">
            <w:pPr>
              <w:jc w:val="center"/>
              <w:rPr>
                <w:rFonts w:ascii="Arial Narrow" w:hAnsi="Arial Narrow" w:cs="Times New Roman"/>
                <w:b/>
                <w:sz w:val="20"/>
                <w:szCs w:val="20"/>
              </w:rPr>
            </w:pPr>
            <w:r w:rsidRPr="00DB3D39">
              <w:rPr>
                <w:rFonts w:ascii="Arial Narrow" w:hAnsi="Arial Narrow"/>
                <w:b/>
                <w:sz w:val="20"/>
                <w:szCs w:val="20"/>
              </w:rPr>
              <w:t xml:space="preserve">0.15 </w:t>
            </w:r>
            <w:r w:rsidR="00B24172" w:rsidRPr="00DB3D39">
              <w:rPr>
                <w:rFonts w:ascii="Arial Narrow" w:hAnsi="Arial Narrow"/>
                <w:b/>
                <w:sz w:val="20"/>
                <w:szCs w:val="20"/>
              </w:rPr>
              <w:t>(</w:t>
            </w:r>
            <w:r w:rsidRPr="00DB3D39">
              <w:rPr>
                <w:rFonts w:ascii="Arial Narrow" w:hAnsi="Arial Narrow"/>
                <w:b/>
                <w:sz w:val="20"/>
                <w:szCs w:val="20"/>
              </w:rPr>
              <w:t>0.13, 0.17</w:t>
            </w:r>
            <w:r w:rsidR="00B24172" w:rsidRPr="00DB3D39">
              <w:rPr>
                <w:rFonts w:ascii="Arial Narrow" w:hAnsi="Arial Narrow"/>
                <w:b/>
                <w:sz w:val="20"/>
                <w:szCs w:val="20"/>
              </w:rPr>
              <w:t>)</w:t>
            </w:r>
            <w:r w:rsidR="00BA6D7E">
              <w:rPr>
                <w:rFonts w:ascii="Arial Narrow" w:hAnsi="Arial Narrow"/>
                <w:b/>
                <w:sz w:val="20"/>
                <w:szCs w:val="20"/>
              </w:rPr>
              <w:t xml:space="preserve">; </w:t>
            </w:r>
            <w:r w:rsidRPr="00DB3D39">
              <w:rPr>
                <w:rFonts w:ascii="Arial Narrow" w:hAnsi="Arial Narrow"/>
                <w:b/>
                <w:sz w:val="20"/>
                <w:szCs w:val="20"/>
              </w:rPr>
              <w:t>p &lt; 0.0001</w:t>
            </w:r>
          </w:p>
        </w:tc>
      </w:tr>
      <w:tr w:rsidR="004F0E49" w:rsidRPr="00DB3D39" w14:paraId="5AFFDD6B" w14:textId="77777777" w:rsidTr="00BA6D7E">
        <w:trPr>
          <w:cantSplit/>
        </w:trPr>
        <w:tc>
          <w:tcPr>
            <w:tcW w:w="1292" w:type="pct"/>
          </w:tcPr>
          <w:p w14:paraId="59A6B225" w14:textId="77777777" w:rsidR="004F0E49" w:rsidRPr="00DB3D39" w:rsidRDefault="004F0E49">
            <w:pPr>
              <w:pStyle w:val="TableText0"/>
              <w:rPr>
                <w:bCs w:val="0"/>
                <w:szCs w:val="20"/>
              </w:rPr>
            </w:pPr>
            <w:r w:rsidRPr="00DB3D39">
              <w:rPr>
                <w:bCs w:val="0"/>
                <w:szCs w:val="20"/>
              </w:rPr>
              <w:t>AEs of special interest</w:t>
            </w:r>
          </w:p>
        </w:tc>
        <w:tc>
          <w:tcPr>
            <w:tcW w:w="1237" w:type="pct"/>
            <w:vAlign w:val="center"/>
          </w:tcPr>
          <w:p w14:paraId="6B0D1187" w14:textId="77777777" w:rsidR="004F0E49" w:rsidRPr="00DB3D39" w:rsidRDefault="004F0E49" w:rsidP="00DB0083">
            <w:pPr>
              <w:pStyle w:val="TableText0"/>
              <w:jc w:val="center"/>
              <w:rPr>
                <w:szCs w:val="20"/>
              </w:rPr>
            </w:pPr>
            <w:r w:rsidRPr="00DB3D39">
              <w:rPr>
                <w:rFonts w:cs="Times New Roman"/>
                <w:snapToGrid w:val="0"/>
              </w:rPr>
              <w:t>1,640 / 1888 (86.9%)</w:t>
            </w:r>
          </w:p>
        </w:tc>
        <w:tc>
          <w:tcPr>
            <w:tcW w:w="1006" w:type="pct"/>
            <w:vAlign w:val="center"/>
          </w:tcPr>
          <w:p w14:paraId="6F664AF2" w14:textId="77777777" w:rsidR="004F0E49" w:rsidRPr="00DB3D39" w:rsidRDefault="004F0E49" w:rsidP="00DB0083">
            <w:pPr>
              <w:pStyle w:val="TableText0"/>
              <w:jc w:val="center"/>
              <w:rPr>
                <w:szCs w:val="20"/>
              </w:rPr>
            </w:pPr>
            <w:r w:rsidRPr="00DB3D39">
              <w:rPr>
                <w:rFonts w:cs="Times New Roman"/>
                <w:snapToGrid w:val="0"/>
              </w:rPr>
              <w:t>859 / 1789 (48.0%)</w:t>
            </w:r>
          </w:p>
        </w:tc>
        <w:tc>
          <w:tcPr>
            <w:tcW w:w="1465" w:type="pct"/>
            <w:vAlign w:val="center"/>
          </w:tcPr>
          <w:p w14:paraId="7CA82E29" w14:textId="6CC095C4" w:rsidR="004F0E49" w:rsidRPr="00DB3D39" w:rsidRDefault="008959D2" w:rsidP="00512B87">
            <w:pPr>
              <w:jc w:val="center"/>
              <w:rPr>
                <w:rFonts w:ascii="Arial Narrow" w:hAnsi="Arial Narrow" w:cs="Times New Roman"/>
                <w:b/>
                <w:sz w:val="20"/>
                <w:szCs w:val="20"/>
              </w:rPr>
            </w:pPr>
            <w:r w:rsidRPr="00DB3D39">
              <w:rPr>
                <w:rFonts w:ascii="Arial Narrow" w:hAnsi="Arial Narrow"/>
                <w:sz w:val="20"/>
                <w:szCs w:val="20"/>
              </w:rPr>
              <w:t>NR</w:t>
            </w:r>
          </w:p>
        </w:tc>
      </w:tr>
      <w:tr w:rsidR="004F0E49" w:rsidRPr="00DB3D39" w14:paraId="16C4CFDC" w14:textId="77777777" w:rsidTr="00BA6D7E">
        <w:trPr>
          <w:cantSplit/>
        </w:trPr>
        <w:tc>
          <w:tcPr>
            <w:tcW w:w="1292" w:type="pct"/>
          </w:tcPr>
          <w:p w14:paraId="24DE3BE6" w14:textId="77777777" w:rsidR="004F0E49" w:rsidRPr="00DB3D39" w:rsidRDefault="004F0E49">
            <w:pPr>
              <w:pStyle w:val="TableText0"/>
              <w:rPr>
                <w:bCs w:val="0"/>
                <w:szCs w:val="20"/>
              </w:rPr>
            </w:pPr>
            <w:r w:rsidRPr="00DB3D39">
              <w:rPr>
                <w:bCs w:val="0"/>
                <w:szCs w:val="20"/>
              </w:rPr>
              <w:t>All deaths</w:t>
            </w:r>
          </w:p>
        </w:tc>
        <w:tc>
          <w:tcPr>
            <w:tcW w:w="1237" w:type="pct"/>
            <w:vAlign w:val="center"/>
          </w:tcPr>
          <w:p w14:paraId="7CAC9ADA" w14:textId="0239421C" w:rsidR="004F0E49" w:rsidRPr="00DB3D39" w:rsidRDefault="004F0E49" w:rsidP="00DB0083">
            <w:pPr>
              <w:pStyle w:val="TableText0"/>
              <w:jc w:val="center"/>
              <w:rPr>
                <w:szCs w:val="20"/>
              </w:rPr>
            </w:pPr>
            <w:r w:rsidRPr="00DB3D39">
              <w:rPr>
                <w:rFonts w:cs="Times New Roman"/>
                <w:snapToGrid w:val="0"/>
              </w:rPr>
              <w:t>71 / 1888 (3.8%)</w:t>
            </w:r>
          </w:p>
        </w:tc>
        <w:tc>
          <w:tcPr>
            <w:tcW w:w="1006" w:type="pct"/>
            <w:vAlign w:val="center"/>
          </w:tcPr>
          <w:p w14:paraId="04BD9529" w14:textId="68E6DE90" w:rsidR="004F0E49" w:rsidRPr="00DB3D39" w:rsidRDefault="004F0E49" w:rsidP="00DB0083">
            <w:pPr>
              <w:pStyle w:val="TableText0"/>
              <w:jc w:val="center"/>
              <w:rPr>
                <w:szCs w:val="20"/>
              </w:rPr>
            </w:pPr>
            <w:r w:rsidRPr="00DB3D39">
              <w:rPr>
                <w:rFonts w:cs="Times New Roman"/>
                <w:snapToGrid w:val="0"/>
              </w:rPr>
              <w:t xml:space="preserve">74 / 1789 </w:t>
            </w:r>
            <w:r w:rsidRPr="00DB3D39">
              <w:rPr>
                <w:rFonts w:cstheme="minorBidi"/>
                <w:snapToGrid w:val="0"/>
                <w:szCs w:val="20"/>
              </w:rPr>
              <w:t>(4.1%)</w:t>
            </w:r>
          </w:p>
        </w:tc>
        <w:tc>
          <w:tcPr>
            <w:tcW w:w="1465" w:type="pct"/>
            <w:vAlign w:val="center"/>
          </w:tcPr>
          <w:p w14:paraId="780FF206" w14:textId="45DD1256" w:rsidR="004F0E49" w:rsidRPr="00DB3D39" w:rsidRDefault="008959D2" w:rsidP="00512B87">
            <w:pPr>
              <w:jc w:val="center"/>
              <w:rPr>
                <w:rFonts w:ascii="Arial Narrow" w:hAnsi="Arial Narrow" w:cs="Times New Roman"/>
                <w:sz w:val="20"/>
                <w:szCs w:val="20"/>
              </w:rPr>
            </w:pPr>
            <w:r w:rsidRPr="00DB3D39">
              <w:rPr>
                <w:rFonts w:ascii="Arial Narrow" w:hAnsi="Arial Narrow"/>
                <w:sz w:val="20"/>
                <w:szCs w:val="20"/>
              </w:rPr>
              <w:t>NR</w:t>
            </w:r>
          </w:p>
        </w:tc>
      </w:tr>
      <w:tr w:rsidR="00FD04B4" w:rsidRPr="00DB3D39" w14:paraId="5086F25F" w14:textId="77777777" w:rsidTr="00BA6D7E">
        <w:trPr>
          <w:cantSplit/>
        </w:trPr>
        <w:tc>
          <w:tcPr>
            <w:tcW w:w="1292" w:type="pct"/>
          </w:tcPr>
          <w:p w14:paraId="218F189E" w14:textId="1BC2938F" w:rsidR="00FD04B4" w:rsidRPr="00DB3D39" w:rsidRDefault="00FD04B4" w:rsidP="00FD04B4">
            <w:pPr>
              <w:pStyle w:val="TableText0"/>
              <w:rPr>
                <w:iCs/>
                <w:szCs w:val="20"/>
              </w:rPr>
            </w:pPr>
            <w:r w:rsidRPr="00DB3D39">
              <w:rPr>
                <w:iCs/>
                <w:szCs w:val="20"/>
              </w:rPr>
              <w:t>On treatment deaths</w:t>
            </w:r>
          </w:p>
        </w:tc>
        <w:tc>
          <w:tcPr>
            <w:tcW w:w="1237" w:type="pct"/>
            <w:vAlign w:val="center"/>
          </w:tcPr>
          <w:p w14:paraId="09B02E75" w14:textId="792400F1" w:rsidR="00FD04B4" w:rsidRPr="00DB3D39" w:rsidRDefault="00025249" w:rsidP="00DB0083">
            <w:pPr>
              <w:pStyle w:val="TableText0"/>
              <w:jc w:val="center"/>
              <w:rPr>
                <w:rFonts w:cs="Times New Roman"/>
                <w:iCs/>
                <w:snapToGrid w:val="0"/>
              </w:rPr>
            </w:pPr>
            <w:r w:rsidRPr="00DB3D39">
              <w:rPr>
                <w:iCs/>
                <w:szCs w:val="20"/>
              </w:rPr>
              <w:t>20 (0.8%)</w:t>
            </w:r>
          </w:p>
        </w:tc>
        <w:tc>
          <w:tcPr>
            <w:tcW w:w="1006" w:type="pct"/>
            <w:vAlign w:val="center"/>
          </w:tcPr>
          <w:p w14:paraId="46F2F5CD" w14:textId="62AE6B50" w:rsidR="00FD04B4" w:rsidRPr="00DB3D39" w:rsidRDefault="00025249" w:rsidP="00DB0083">
            <w:pPr>
              <w:pStyle w:val="TableText0"/>
              <w:jc w:val="center"/>
              <w:rPr>
                <w:rFonts w:cs="Times New Roman"/>
                <w:iCs/>
                <w:snapToGrid w:val="0"/>
              </w:rPr>
            </w:pPr>
            <w:r w:rsidRPr="00DB3D39">
              <w:rPr>
                <w:iCs/>
                <w:szCs w:val="20"/>
              </w:rPr>
              <w:t>9 (0.4%)</w:t>
            </w:r>
          </w:p>
        </w:tc>
        <w:tc>
          <w:tcPr>
            <w:tcW w:w="1465" w:type="pct"/>
          </w:tcPr>
          <w:p w14:paraId="71CC9542" w14:textId="50201C42" w:rsidR="00FD04B4" w:rsidRPr="00DB3D39" w:rsidRDefault="00AC240A" w:rsidP="00512B87">
            <w:pPr>
              <w:jc w:val="center"/>
              <w:rPr>
                <w:rFonts w:ascii="Arial Narrow" w:hAnsi="Arial Narrow"/>
                <w:iCs/>
                <w:sz w:val="20"/>
                <w:szCs w:val="20"/>
              </w:rPr>
            </w:pPr>
            <w:r w:rsidRPr="00DB3D39">
              <w:rPr>
                <w:rFonts w:ascii="Arial Narrow" w:hAnsi="Arial Narrow"/>
                <w:b/>
                <w:iCs/>
                <w:sz w:val="20"/>
                <w:szCs w:val="20"/>
              </w:rPr>
              <w:t>NR</w:t>
            </w:r>
          </w:p>
        </w:tc>
      </w:tr>
      <w:tr w:rsidR="004F0E49" w:rsidRPr="00DB3D39" w14:paraId="49F5C8FC" w14:textId="77777777" w:rsidTr="007632BC">
        <w:trPr>
          <w:cantSplit/>
        </w:trPr>
        <w:tc>
          <w:tcPr>
            <w:tcW w:w="5000" w:type="pct"/>
            <w:gridSpan w:val="4"/>
            <w:vAlign w:val="center"/>
          </w:tcPr>
          <w:p w14:paraId="4BB3C0BC" w14:textId="77777777" w:rsidR="004F0E49" w:rsidRPr="00DB3D39" w:rsidRDefault="004F0E49">
            <w:pPr>
              <w:pStyle w:val="TableText0"/>
              <w:rPr>
                <w:b/>
                <w:bCs w:val="0"/>
                <w:szCs w:val="20"/>
              </w:rPr>
            </w:pPr>
            <w:r w:rsidRPr="00DB3D39">
              <w:rPr>
                <w:b/>
                <w:bCs w:val="0"/>
                <w:szCs w:val="20"/>
              </w:rPr>
              <w:t>monarchE (safety population) July 2022 DCO (median follow up 42 mths)</w:t>
            </w:r>
          </w:p>
        </w:tc>
      </w:tr>
      <w:tr w:rsidR="004F0E49" w:rsidRPr="00DB3D39" w14:paraId="1AB59D99" w14:textId="77777777" w:rsidTr="00BA6D7E">
        <w:trPr>
          <w:cantSplit/>
        </w:trPr>
        <w:tc>
          <w:tcPr>
            <w:tcW w:w="1292" w:type="pct"/>
            <w:shd w:val="clear" w:color="auto" w:fill="auto"/>
          </w:tcPr>
          <w:p w14:paraId="752C3978" w14:textId="77777777" w:rsidR="004F0E49" w:rsidRPr="00DB3D39" w:rsidRDefault="004F0E49">
            <w:pPr>
              <w:pStyle w:val="TableText0"/>
              <w:rPr>
                <w:szCs w:val="20"/>
              </w:rPr>
            </w:pPr>
          </w:p>
        </w:tc>
        <w:tc>
          <w:tcPr>
            <w:tcW w:w="1237" w:type="pct"/>
            <w:shd w:val="clear" w:color="auto" w:fill="auto"/>
          </w:tcPr>
          <w:p w14:paraId="3CA5AD33" w14:textId="77777777" w:rsidR="004F0E49" w:rsidRPr="00DB3D39" w:rsidRDefault="004F0E49" w:rsidP="00512B87">
            <w:pPr>
              <w:pStyle w:val="TableText0"/>
              <w:jc w:val="center"/>
              <w:rPr>
                <w:b/>
                <w:bCs w:val="0"/>
                <w:szCs w:val="20"/>
              </w:rPr>
            </w:pPr>
            <w:r w:rsidRPr="00DB3D39">
              <w:rPr>
                <w:b/>
                <w:bCs w:val="0"/>
                <w:szCs w:val="20"/>
              </w:rPr>
              <w:t>Abemaciclib + ET</w:t>
            </w:r>
          </w:p>
          <w:p w14:paraId="3AF25A10" w14:textId="77777777" w:rsidR="004F0E49" w:rsidRPr="00DB3D39" w:rsidRDefault="004F0E49" w:rsidP="00512B87">
            <w:pPr>
              <w:pStyle w:val="TableText0"/>
              <w:jc w:val="center"/>
              <w:rPr>
                <w:b/>
                <w:bCs w:val="0"/>
                <w:szCs w:val="20"/>
              </w:rPr>
            </w:pPr>
            <w:r w:rsidRPr="00DB3D39">
              <w:rPr>
                <w:b/>
                <w:bCs w:val="0"/>
                <w:szCs w:val="20"/>
              </w:rPr>
              <w:t>n with event/N (%)</w:t>
            </w:r>
          </w:p>
        </w:tc>
        <w:tc>
          <w:tcPr>
            <w:tcW w:w="1006" w:type="pct"/>
            <w:shd w:val="clear" w:color="auto" w:fill="auto"/>
          </w:tcPr>
          <w:p w14:paraId="7E75FE29" w14:textId="77777777" w:rsidR="004F0E49" w:rsidRPr="00DB3D39" w:rsidRDefault="004F0E49" w:rsidP="00512B87">
            <w:pPr>
              <w:pStyle w:val="TableText0"/>
              <w:jc w:val="center"/>
              <w:rPr>
                <w:b/>
                <w:bCs w:val="0"/>
                <w:szCs w:val="20"/>
              </w:rPr>
            </w:pPr>
            <w:r w:rsidRPr="00DB3D39">
              <w:rPr>
                <w:b/>
                <w:bCs w:val="0"/>
                <w:szCs w:val="20"/>
              </w:rPr>
              <w:t>ET alone</w:t>
            </w:r>
          </w:p>
          <w:p w14:paraId="0FA46FBF" w14:textId="77777777" w:rsidR="004F0E49" w:rsidRPr="00DB3D39" w:rsidRDefault="004F0E49" w:rsidP="00512B87">
            <w:pPr>
              <w:pStyle w:val="TableText0"/>
              <w:jc w:val="center"/>
              <w:rPr>
                <w:b/>
                <w:bCs w:val="0"/>
                <w:szCs w:val="20"/>
              </w:rPr>
            </w:pPr>
            <w:r w:rsidRPr="00DB3D39">
              <w:rPr>
                <w:b/>
                <w:bCs w:val="0"/>
                <w:szCs w:val="20"/>
              </w:rPr>
              <w:t>n with event/N (%)</w:t>
            </w:r>
          </w:p>
        </w:tc>
        <w:tc>
          <w:tcPr>
            <w:tcW w:w="1465" w:type="pct"/>
            <w:shd w:val="clear" w:color="auto" w:fill="auto"/>
          </w:tcPr>
          <w:p w14:paraId="325FA7D0" w14:textId="77777777" w:rsidR="004F0E49" w:rsidRPr="00DB3D39" w:rsidRDefault="004F0E49" w:rsidP="00512B87">
            <w:pPr>
              <w:pStyle w:val="TableText0"/>
              <w:jc w:val="center"/>
              <w:rPr>
                <w:b/>
                <w:bCs w:val="0"/>
                <w:szCs w:val="20"/>
              </w:rPr>
            </w:pPr>
            <w:r w:rsidRPr="00DB3D39">
              <w:rPr>
                <w:b/>
                <w:bCs w:val="0"/>
                <w:szCs w:val="20"/>
              </w:rPr>
              <w:t>RD (95% CI)</w:t>
            </w:r>
          </w:p>
        </w:tc>
      </w:tr>
      <w:tr w:rsidR="004F0E49" w:rsidRPr="00DB3D39" w14:paraId="15DD2EB8" w14:textId="77777777" w:rsidTr="00BA6D7E">
        <w:trPr>
          <w:cantSplit/>
        </w:trPr>
        <w:tc>
          <w:tcPr>
            <w:tcW w:w="1292" w:type="pct"/>
            <w:shd w:val="clear" w:color="auto" w:fill="auto"/>
          </w:tcPr>
          <w:p w14:paraId="446BB18D" w14:textId="77777777" w:rsidR="004F0E49" w:rsidRPr="00DB3D39" w:rsidRDefault="004F0E49">
            <w:pPr>
              <w:pStyle w:val="TableText0"/>
              <w:rPr>
                <w:szCs w:val="20"/>
              </w:rPr>
            </w:pPr>
            <w:r w:rsidRPr="00DB3D39">
              <w:rPr>
                <w:rFonts w:cstheme="minorBidi"/>
                <w:szCs w:val="20"/>
              </w:rPr>
              <w:t>Any TEAE</w:t>
            </w:r>
          </w:p>
        </w:tc>
        <w:tc>
          <w:tcPr>
            <w:tcW w:w="1237" w:type="pct"/>
            <w:shd w:val="clear" w:color="auto" w:fill="auto"/>
            <w:vAlign w:val="center"/>
          </w:tcPr>
          <w:p w14:paraId="72874630" w14:textId="77777777" w:rsidR="004F0E49" w:rsidRPr="00DB3D39" w:rsidRDefault="004F0E49" w:rsidP="00DB0083">
            <w:pPr>
              <w:pStyle w:val="TableText0"/>
              <w:jc w:val="center"/>
              <w:rPr>
                <w:b/>
                <w:bCs w:val="0"/>
                <w:szCs w:val="20"/>
              </w:rPr>
            </w:pPr>
            <w:r w:rsidRPr="00DB3D39">
              <w:rPr>
                <w:rFonts w:cstheme="minorBidi"/>
                <w:szCs w:val="20"/>
              </w:rPr>
              <w:t>2,746 / 2791 (98.4%)</w:t>
            </w:r>
          </w:p>
        </w:tc>
        <w:tc>
          <w:tcPr>
            <w:tcW w:w="1006" w:type="pct"/>
            <w:shd w:val="clear" w:color="auto" w:fill="auto"/>
            <w:vAlign w:val="center"/>
          </w:tcPr>
          <w:p w14:paraId="4A9C82B8" w14:textId="77777777" w:rsidR="004F0E49" w:rsidRPr="00DB3D39" w:rsidRDefault="004F0E49" w:rsidP="00DB0083">
            <w:pPr>
              <w:pStyle w:val="TableText0"/>
              <w:jc w:val="center"/>
              <w:rPr>
                <w:b/>
                <w:bCs w:val="0"/>
                <w:szCs w:val="20"/>
              </w:rPr>
            </w:pPr>
            <w:r w:rsidRPr="00DB3D39">
              <w:rPr>
                <w:rFonts w:cstheme="minorBidi"/>
                <w:szCs w:val="20"/>
              </w:rPr>
              <w:t>2,488 / 2800 (88.9%)</w:t>
            </w:r>
          </w:p>
        </w:tc>
        <w:tc>
          <w:tcPr>
            <w:tcW w:w="1465" w:type="pct"/>
            <w:shd w:val="clear" w:color="auto" w:fill="auto"/>
          </w:tcPr>
          <w:p w14:paraId="714F9A3E" w14:textId="48247719" w:rsidR="004F0E49" w:rsidRPr="00DB3D39" w:rsidRDefault="004F0E49" w:rsidP="00512B87">
            <w:pPr>
              <w:jc w:val="center"/>
              <w:rPr>
                <w:rFonts w:ascii="Arial Narrow" w:hAnsi="Arial Narrow" w:cs="Times New Roman"/>
                <w:b/>
                <w:iCs/>
                <w:sz w:val="20"/>
                <w:szCs w:val="20"/>
              </w:rPr>
            </w:pPr>
            <w:r w:rsidRPr="00DB3D39">
              <w:rPr>
                <w:rFonts w:ascii="Arial Narrow" w:hAnsi="Arial Narrow"/>
                <w:b/>
                <w:iCs/>
                <w:sz w:val="20"/>
                <w:szCs w:val="20"/>
              </w:rPr>
              <w:t xml:space="preserve">0.10 </w:t>
            </w:r>
            <w:r w:rsidR="00B24172" w:rsidRPr="00DB3D39">
              <w:rPr>
                <w:rFonts w:ascii="Arial Narrow" w:hAnsi="Arial Narrow"/>
                <w:b/>
                <w:iCs/>
                <w:sz w:val="20"/>
                <w:szCs w:val="20"/>
              </w:rPr>
              <w:t>(</w:t>
            </w:r>
            <w:r w:rsidRPr="00DB3D39">
              <w:rPr>
                <w:rFonts w:ascii="Arial Narrow" w:hAnsi="Arial Narrow"/>
                <w:b/>
                <w:iCs/>
                <w:sz w:val="20"/>
                <w:szCs w:val="20"/>
              </w:rPr>
              <w:t>0.08, 0.11</w:t>
            </w:r>
            <w:r w:rsidR="00B24172" w:rsidRPr="00DB3D39">
              <w:rPr>
                <w:rFonts w:ascii="Arial Narrow" w:hAnsi="Arial Narrow"/>
                <w:b/>
                <w:iCs/>
                <w:sz w:val="20"/>
                <w:szCs w:val="20"/>
              </w:rPr>
              <w:t>)</w:t>
            </w:r>
            <w:r w:rsidRPr="00DB3D39">
              <w:rPr>
                <w:rFonts w:ascii="Arial Narrow" w:hAnsi="Arial Narrow"/>
                <w:b/>
                <w:iCs/>
                <w:sz w:val="20"/>
                <w:szCs w:val="20"/>
              </w:rPr>
              <w:t>; p&lt;0.00001</w:t>
            </w:r>
          </w:p>
        </w:tc>
      </w:tr>
      <w:tr w:rsidR="004F0E49" w:rsidRPr="00DB3D39" w14:paraId="317EE5B2" w14:textId="77777777" w:rsidTr="00BA6D7E">
        <w:trPr>
          <w:cantSplit/>
        </w:trPr>
        <w:tc>
          <w:tcPr>
            <w:tcW w:w="1292" w:type="pct"/>
            <w:shd w:val="clear" w:color="auto" w:fill="auto"/>
          </w:tcPr>
          <w:p w14:paraId="6155F56D" w14:textId="067ED12D" w:rsidR="004F0E49" w:rsidRPr="00DB3D39" w:rsidRDefault="004F0E49">
            <w:pPr>
              <w:pStyle w:val="TableText0"/>
              <w:rPr>
                <w:szCs w:val="20"/>
              </w:rPr>
            </w:pPr>
            <w:r w:rsidRPr="00DB3D39">
              <w:rPr>
                <w:rFonts w:cstheme="minorBidi"/>
                <w:szCs w:val="20"/>
              </w:rPr>
              <w:t xml:space="preserve">Grade </w:t>
            </w:r>
            <w:r w:rsidRPr="00DB3D39">
              <w:rPr>
                <w:rFonts w:cs="Calibri"/>
                <w:szCs w:val="20"/>
              </w:rPr>
              <w:t>≥ 3 TEAE</w:t>
            </w:r>
            <w:r w:rsidR="007C626C">
              <w:rPr>
                <w:rFonts w:cs="Calibri"/>
                <w:szCs w:val="20"/>
                <w:vertAlign w:val="superscript"/>
              </w:rPr>
              <w:t>b</w:t>
            </w:r>
          </w:p>
        </w:tc>
        <w:tc>
          <w:tcPr>
            <w:tcW w:w="1237" w:type="pct"/>
            <w:shd w:val="clear" w:color="auto" w:fill="auto"/>
            <w:vAlign w:val="center"/>
          </w:tcPr>
          <w:p w14:paraId="39B5335C" w14:textId="77777777" w:rsidR="004F0E49" w:rsidRPr="00DB3D39" w:rsidRDefault="004F0E49" w:rsidP="00DB0083">
            <w:pPr>
              <w:pStyle w:val="TableText0"/>
              <w:jc w:val="center"/>
              <w:rPr>
                <w:b/>
                <w:bCs w:val="0"/>
                <w:szCs w:val="20"/>
              </w:rPr>
            </w:pPr>
            <w:r w:rsidRPr="00DB3D39">
              <w:rPr>
                <w:rFonts w:cstheme="minorBidi"/>
                <w:szCs w:val="20"/>
              </w:rPr>
              <w:t>1,393 / 2791 (49.9%)</w:t>
            </w:r>
          </w:p>
        </w:tc>
        <w:tc>
          <w:tcPr>
            <w:tcW w:w="1006" w:type="pct"/>
            <w:shd w:val="clear" w:color="auto" w:fill="auto"/>
            <w:vAlign w:val="center"/>
          </w:tcPr>
          <w:p w14:paraId="77802550" w14:textId="2515462F" w:rsidR="004F0E49" w:rsidRPr="00DB3D39" w:rsidRDefault="004F0E49" w:rsidP="00DB0083">
            <w:pPr>
              <w:pStyle w:val="TableText0"/>
              <w:jc w:val="center"/>
              <w:rPr>
                <w:b/>
                <w:bCs w:val="0"/>
                <w:szCs w:val="20"/>
              </w:rPr>
            </w:pPr>
            <w:r w:rsidRPr="00DB3D39">
              <w:rPr>
                <w:rFonts w:cstheme="minorBidi"/>
                <w:szCs w:val="20"/>
              </w:rPr>
              <w:t>472 / 2800 (16.9%)</w:t>
            </w:r>
          </w:p>
        </w:tc>
        <w:tc>
          <w:tcPr>
            <w:tcW w:w="1465" w:type="pct"/>
            <w:shd w:val="clear" w:color="auto" w:fill="auto"/>
          </w:tcPr>
          <w:p w14:paraId="0A24668D" w14:textId="29350E0A" w:rsidR="004F0E49" w:rsidRPr="007C626C" w:rsidRDefault="004F0E49" w:rsidP="00512B87">
            <w:pPr>
              <w:jc w:val="center"/>
              <w:rPr>
                <w:rFonts w:ascii="Arial Narrow" w:hAnsi="Arial Narrow" w:cs="Times New Roman"/>
                <w:b/>
                <w:iCs/>
                <w:sz w:val="20"/>
                <w:szCs w:val="20"/>
              </w:rPr>
            </w:pPr>
            <w:r w:rsidRPr="007C626C">
              <w:rPr>
                <w:rFonts w:ascii="Arial Narrow" w:hAnsi="Arial Narrow"/>
                <w:b/>
                <w:iCs/>
                <w:sz w:val="20"/>
                <w:szCs w:val="20"/>
              </w:rPr>
              <w:t xml:space="preserve">0.33 </w:t>
            </w:r>
            <w:r w:rsidR="00B24172" w:rsidRPr="007C626C">
              <w:rPr>
                <w:rFonts w:ascii="Arial Narrow" w:hAnsi="Arial Narrow"/>
                <w:b/>
                <w:iCs/>
                <w:sz w:val="20"/>
                <w:szCs w:val="20"/>
              </w:rPr>
              <w:t>(</w:t>
            </w:r>
            <w:r w:rsidRPr="007C626C">
              <w:rPr>
                <w:rFonts w:ascii="Arial Narrow" w:hAnsi="Arial Narrow"/>
                <w:b/>
                <w:iCs/>
                <w:sz w:val="20"/>
                <w:szCs w:val="20"/>
              </w:rPr>
              <w:t>0.31, 0.35</w:t>
            </w:r>
            <w:r w:rsidR="00B24172" w:rsidRPr="007C626C">
              <w:rPr>
                <w:rFonts w:ascii="Arial Narrow" w:hAnsi="Arial Narrow"/>
                <w:b/>
                <w:iCs/>
                <w:sz w:val="20"/>
                <w:szCs w:val="20"/>
              </w:rPr>
              <w:t>)</w:t>
            </w:r>
            <w:r w:rsidRPr="007C626C">
              <w:rPr>
                <w:rFonts w:ascii="Arial Narrow" w:hAnsi="Arial Narrow"/>
                <w:b/>
                <w:iCs/>
                <w:sz w:val="20"/>
                <w:szCs w:val="20"/>
              </w:rPr>
              <w:t>; p&lt;0.00001</w:t>
            </w:r>
          </w:p>
        </w:tc>
      </w:tr>
      <w:tr w:rsidR="004F0E49" w:rsidRPr="00DB3D39" w14:paraId="42F1F21B" w14:textId="77777777" w:rsidTr="00BA6D7E">
        <w:trPr>
          <w:cantSplit/>
        </w:trPr>
        <w:tc>
          <w:tcPr>
            <w:tcW w:w="1292" w:type="pct"/>
            <w:shd w:val="clear" w:color="auto" w:fill="auto"/>
          </w:tcPr>
          <w:p w14:paraId="6C3EB986" w14:textId="77777777" w:rsidR="004F0E49" w:rsidRPr="00DB3D39" w:rsidRDefault="004F0E49">
            <w:pPr>
              <w:pStyle w:val="TableText0"/>
              <w:rPr>
                <w:szCs w:val="20"/>
              </w:rPr>
            </w:pPr>
            <w:r w:rsidRPr="00DB3D39">
              <w:rPr>
                <w:rFonts w:cstheme="minorBidi"/>
                <w:szCs w:val="20"/>
              </w:rPr>
              <w:t>Any SAE</w:t>
            </w:r>
          </w:p>
        </w:tc>
        <w:tc>
          <w:tcPr>
            <w:tcW w:w="1237" w:type="pct"/>
            <w:shd w:val="clear" w:color="auto" w:fill="auto"/>
            <w:vAlign w:val="center"/>
          </w:tcPr>
          <w:p w14:paraId="3D603E0B" w14:textId="71F061DA" w:rsidR="004F0E49" w:rsidRPr="00DB3D39" w:rsidRDefault="004F0E49" w:rsidP="00DB0083">
            <w:pPr>
              <w:pStyle w:val="TableText0"/>
              <w:jc w:val="center"/>
              <w:rPr>
                <w:rFonts w:cstheme="minorBidi"/>
                <w:szCs w:val="20"/>
              </w:rPr>
            </w:pPr>
            <w:r w:rsidRPr="00DB3D39">
              <w:rPr>
                <w:rFonts w:cstheme="minorBidi"/>
                <w:szCs w:val="20"/>
              </w:rPr>
              <w:t>433 / 2791 (15.5%)</w:t>
            </w:r>
          </w:p>
        </w:tc>
        <w:tc>
          <w:tcPr>
            <w:tcW w:w="1006" w:type="pct"/>
            <w:shd w:val="clear" w:color="auto" w:fill="auto"/>
            <w:vAlign w:val="center"/>
          </w:tcPr>
          <w:p w14:paraId="30390948" w14:textId="1BA3C163" w:rsidR="004F0E49" w:rsidRPr="00DB3D39" w:rsidRDefault="004F0E49" w:rsidP="00DB0083">
            <w:pPr>
              <w:pStyle w:val="TableText0"/>
              <w:jc w:val="center"/>
              <w:rPr>
                <w:rFonts w:cstheme="minorBidi"/>
                <w:szCs w:val="20"/>
              </w:rPr>
            </w:pPr>
            <w:r w:rsidRPr="00DB3D39">
              <w:rPr>
                <w:rFonts w:cstheme="minorBidi"/>
                <w:szCs w:val="20"/>
              </w:rPr>
              <w:t>256 / 2800 (9.1%)</w:t>
            </w:r>
          </w:p>
        </w:tc>
        <w:tc>
          <w:tcPr>
            <w:tcW w:w="1465" w:type="pct"/>
            <w:shd w:val="clear" w:color="auto" w:fill="auto"/>
          </w:tcPr>
          <w:p w14:paraId="253A26DF" w14:textId="13DE2B69" w:rsidR="004F0E49" w:rsidRPr="00BA6D7E" w:rsidRDefault="004F0E49" w:rsidP="00512B87">
            <w:pPr>
              <w:jc w:val="center"/>
              <w:rPr>
                <w:rFonts w:ascii="Arial Narrow" w:hAnsi="Arial Narrow" w:cstheme="minorBidi"/>
                <w:b/>
                <w:i/>
                <w:sz w:val="20"/>
                <w:szCs w:val="20"/>
              </w:rPr>
            </w:pPr>
            <w:r w:rsidRPr="00BA6D7E">
              <w:rPr>
                <w:rFonts w:ascii="Arial Narrow" w:hAnsi="Arial Narrow"/>
                <w:b/>
                <w:iCs/>
                <w:sz w:val="20"/>
                <w:szCs w:val="20"/>
              </w:rPr>
              <w:t xml:space="preserve">0.06 </w:t>
            </w:r>
            <w:r w:rsidR="00B24172" w:rsidRPr="00BA6D7E">
              <w:rPr>
                <w:rFonts w:ascii="Arial Narrow" w:hAnsi="Arial Narrow"/>
                <w:b/>
                <w:iCs/>
                <w:sz w:val="20"/>
                <w:szCs w:val="20"/>
              </w:rPr>
              <w:t>(</w:t>
            </w:r>
            <w:r w:rsidRPr="00BA6D7E">
              <w:rPr>
                <w:rFonts w:ascii="Arial Narrow" w:hAnsi="Arial Narrow"/>
                <w:b/>
                <w:iCs/>
                <w:sz w:val="20"/>
                <w:szCs w:val="20"/>
              </w:rPr>
              <w:t>0.05, 0.08</w:t>
            </w:r>
            <w:r w:rsidR="00B24172" w:rsidRPr="00BA6D7E">
              <w:rPr>
                <w:rFonts w:ascii="Arial Narrow" w:hAnsi="Arial Narrow"/>
                <w:b/>
                <w:iCs/>
                <w:sz w:val="20"/>
                <w:szCs w:val="20"/>
              </w:rPr>
              <w:t>)</w:t>
            </w:r>
            <w:r w:rsidRPr="00BA6D7E">
              <w:rPr>
                <w:rFonts w:ascii="Arial Narrow" w:hAnsi="Arial Narrow"/>
                <w:b/>
                <w:iCs/>
                <w:sz w:val="20"/>
                <w:szCs w:val="20"/>
              </w:rPr>
              <w:t>;</w:t>
            </w:r>
            <w:r w:rsidR="00BA6D7E" w:rsidRPr="00BA6D7E">
              <w:rPr>
                <w:rFonts w:ascii="Arial Narrow" w:hAnsi="Arial Narrow"/>
                <w:b/>
                <w:iCs/>
                <w:sz w:val="20"/>
                <w:szCs w:val="20"/>
              </w:rPr>
              <w:t xml:space="preserve"> </w:t>
            </w:r>
            <w:r w:rsidRPr="00BA6D7E">
              <w:rPr>
                <w:rFonts w:ascii="Arial Narrow" w:hAnsi="Arial Narrow"/>
                <w:b/>
                <w:iCs/>
                <w:sz w:val="20"/>
                <w:szCs w:val="20"/>
              </w:rPr>
              <w:t>p&lt;0.00001</w:t>
            </w:r>
          </w:p>
        </w:tc>
      </w:tr>
      <w:tr w:rsidR="004F0E49" w:rsidRPr="00DB3D39" w14:paraId="4D9DFC09" w14:textId="77777777" w:rsidTr="00BA6D7E">
        <w:trPr>
          <w:cantSplit/>
        </w:trPr>
        <w:tc>
          <w:tcPr>
            <w:tcW w:w="1292" w:type="pct"/>
            <w:shd w:val="clear" w:color="auto" w:fill="auto"/>
          </w:tcPr>
          <w:p w14:paraId="56E1DF62" w14:textId="06E23239" w:rsidR="004F0E49" w:rsidRPr="00DB3D39" w:rsidRDefault="004F0E49">
            <w:pPr>
              <w:pStyle w:val="TableText0"/>
              <w:rPr>
                <w:szCs w:val="20"/>
              </w:rPr>
            </w:pPr>
            <w:r w:rsidRPr="00DB3D39">
              <w:rPr>
                <w:rFonts w:cstheme="minorBidi"/>
                <w:szCs w:val="20"/>
              </w:rPr>
              <w:t>Discontinuation due to AEs</w:t>
            </w:r>
            <w:r w:rsidR="007C626C" w:rsidRPr="007C626C">
              <w:rPr>
                <w:bCs w:val="0"/>
                <w:szCs w:val="20"/>
                <w:vertAlign w:val="superscript"/>
              </w:rPr>
              <w:t xml:space="preserve"> a</w:t>
            </w:r>
          </w:p>
        </w:tc>
        <w:tc>
          <w:tcPr>
            <w:tcW w:w="1237" w:type="pct"/>
            <w:shd w:val="clear" w:color="auto" w:fill="auto"/>
            <w:vAlign w:val="center"/>
          </w:tcPr>
          <w:p w14:paraId="324389D2" w14:textId="77777777" w:rsidR="004F0E49" w:rsidRPr="00DB3D39" w:rsidRDefault="004F0E49" w:rsidP="00DB0083">
            <w:pPr>
              <w:pStyle w:val="TableText0"/>
              <w:jc w:val="center"/>
              <w:rPr>
                <w:szCs w:val="20"/>
              </w:rPr>
            </w:pPr>
            <w:r w:rsidRPr="00DB3D39">
              <w:rPr>
                <w:rFonts w:cstheme="minorBidi"/>
                <w:szCs w:val="20"/>
              </w:rPr>
              <w:t>180 / 2791 (6.4%)</w:t>
            </w:r>
          </w:p>
        </w:tc>
        <w:tc>
          <w:tcPr>
            <w:tcW w:w="1006" w:type="pct"/>
            <w:shd w:val="clear" w:color="auto" w:fill="auto"/>
            <w:vAlign w:val="center"/>
          </w:tcPr>
          <w:p w14:paraId="640B013F" w14:textId="49DA22C8" w:rsidR="004F0E49" w:rsidRPr="00DB3D39" w:rsidRDefault="004F0E49" w:rsidP="00DB0083">
            <w:pPr>
              <w:pStyle w:val="TableText0"/>
              <w:jc w:val="center"/>
              <w:rPr>
                <w:szCs w:val="20"/>
              </w:rPr>
            </w:pPr>
            <w:r w:rsidRPr="00DB3D39">
              <w:rPr>
                <w:rFonts w:cstheme="minorBidi"/>
                <w:szCs w:val="20"/>
              </w:rPr>
              <w:t>30 / 2800 (1.1%)</w:t>
            </w:r>
          </w:p>
        </w:tc>
        <w:tc>
          <w:tcPr>
            <w:tcW w:w="1465" w:type="pct"/>
            <w:shd w:val="clear" w:color="auto" w:fill="auto"/>
          </w:tcPr>
          <w:p w14:paraId="30EB4AB6" w14:textId="62133092" w:rsidR="004F0E49" w:rsidRPr="00BA6D7E" w:rsidRDefault="004F0E49" w:rsidP="00512B87">
            <w:pPr>
              <w:jc w:val="center"/>
              <w:rPr>
                <w:rFonts w:ascii="Arial Narrow" w:hAnsi="Arial Narrow"/>
                <w:b/>
                <w:iCs/>
                <w:sz w:val="20"/>
                <w:szCs w:val="20"/>
              </w:rPr>
            </w:pPr>
            <w:r w:rsidRPr="00BA6D7E">
              <w:rPr>
                <w:rFonts w:ascii="Arial Narrow" w:hAnsi="Arial Narrow"/>
                <w:b/>
                <w:iCs/>
                <w:sz w:val="20"/>
                <w:szCs w:val="20"/>
              </w:rPr>
              <w:t xml:space="preserve">0.05 </w:t>
            </w:r>
            <w:r w:rsidR="00B24172" w:rsidRPr="00BA6D7E">
              <w:rPr>
                <w:rFonts w:ascii="Arial Narrow" w:hAnsi="Arial Narrow"/>
                <w:b/>
                <w:iCs/>
                <w:sz w:val="20"/>
                <w:szCs w:val="20"/>
              </w:rPr>
              <w:t>(</w:t>
            </w:r>
            <w:r w:rsidRPr="00BA6D7E">
              <w:rPr>
                <w:rFonts w:ascii="Arial Narrow" w:hAnsi="Arial Narrow"/>
                <w:b/>
                <w:iCs/>
                <w:sz w:val="20"/>
                <w:szCs w:val="20"/>
              </w:rPr>
              <w:t>0.04, 0.06</w:t>
            </w:r>
            <w:r w:rsidR="00B24172" w:rsidRPr="00BA6D7E">
              <w:rPr>
                <w:rFonts w:ascii="Arial Narrow" w:hAnsi="Arial Narrow"/>
                <w:b/>
                <w:iCs/>
                <w:sz w:val="20"/>
                <w:szCs w:val="20"/>
              </w:rPr>
              <w:t>)</w:t>
            </w:r>
            <w:r w:rsidRPr="00BA6D7E">
              <w:rPr>
                <w:rFonts w:ascii="Arial Narrow" w:hAnsi="Arial Narrow"/>
                <w:b/>
                <w:iCs/>
                <w:sz w:val="20"/>
                <w:szCs w:val="20"/>
              </w:rPr>
              <w:t>;</w:t>
            </w:r>
            <w:r w:rsidR="00BA6D7E" w:rsidRPr="00BA6D7E">
              <w:rPr>
                <w:rFonts w:ascii="Arial Narrow" w:hAnsi="Arial Narrow"/>
                <w:b/>
                <w:iCs/>
                <w:sz w:val="20"/>
                <w:szCs w:val="20"/>
              </w:rPr>
              <w:t xml:space="preserve"> </w:t>
            </w:r>
            <w:r w:rsidRPr="00BA6D7E">
              <w:rPr>
                <w:rFonts w:ascii="Arial Narrow" w:hAnsi="Arial Narrow"/>
                <w:b/>
                <w:iCs/>
                <w:sz w:val="20"/>
                <w:szCs w:val="20"/>
              </w:rPr>
              <w:t>p&lt;0.00001</w:t>
            </w:r>
          </w:p>
        </w:tc>
      </w:tr>
      <w:tr w:rsidR="004F0E49" w:rsidRPr="00EA73FF" w14:paraId="66B9FCF8" w14:textId="77777777" w:rsidTr="00BA6D7E">
        <w:trPr>
          <w:cantSplit/>
        </w:trPr>
        <w:tc>
          <w:tcPr>
            <w:tcW w:w="1292" w:type="pct"/>
            <w:shd w:val="clear" w:color="auto" w:fill="auto"/>
          </w:tcPr>
          <w:p w14:paraId="40DACFE5" w14:textId="77777777" w:rsidR="004F0E49" w:rsidRPr="00EA73FF" w:rsidRDefault="004F0E49" w:rsidP="00EA73FF">
            <w:pPr>
              <w:pStyle w:val="TableText0"/>
            </w:pPr>
            <w:r w:rsidRPr="00EA73FF">
              <w:t>Deaths due to TEAE</w:t>
            </w:r>
          </w:p>
        </w:tc>
        <w:tc>
          <w:tcPr>
            <w:tcW w:w="1237" w:type="pct"/>
            <w:shd w:val="clear" w:color="auto" w:fill="auto"/>
            <w:vAlign w:val="center"/>
          </w:tcPr>
          <w:p w14:paraId="256649E0" w14:textId="77777777" w:rsidR="004F0E49" w:rsidRPr="00EA73FF" w:rsidRDefault="004F0E49" w:rsidP="0082177B">
            <w:pPr>
              <w:pStyle w:val="TableText0"/>
              <w:jc w:val="center"/>
            </w:pPr>
            <w:r w:rsidRPr="00EA73FF">
              <w:t>15 / 2791 (0.5%)</w:t>
            </w:r>
          </w:p>
        </w:tc>
        <w:tc>
          <w:tcPr>
            <w:tcW w:w="1006" w:type="pct"/>
            <w:shd w:val="clear" w:color="auto" w:fill="auto"/>
            <w:vAlign w:val="center"/>
          </w:tcPr>
          <w:p w14:paraId="602CED5D" w14:textId="3F07643B" w:rsidR="004F0E49" w:rsidRPr="00EA73FF" w:rsidRDefault="004F0E49" w:rsidP="0082177B">
            <w:pPr>
              <w:pStyle w:val="TableText0"/>
              <w:jc w:val="center"/>
            </w:pPr>
            <w:r w:rsidRPr="00EA73FF">
              <w:t>11 / 2800 (0.4%)</w:t>
            </w:r>
          </w:p>
        </w:tc>
        <w:tc>
          <w:tcPr>
            <w:tcW w:w="1465" w:type="pct"/>
            <w:shd w:val="clear" w:color="auto" w:fill="auto"/>
          </w:tcPr>
          <w:p w14:paraId="740B0B36" w14:textId="19B50DBE" w:rsidR="004F0E49" w:rsidRPr="00EA73FF" w:rsidRDefault="00B24172" w:rsidP="00512B87">
            <w:pPr>
              <w:pStyle w:val="TableText0"/>
              <w:jc w:val="center"/>
            </w:pPr>
            <w:r w:rsidRPr="00EA73FF">
              <w:t>(</w:t>
            </w:r>
            <w:r w:rsidR="004F0E49" w:rsidRPr="00EA73FF">
              <w:t>-0.00, 0.01</w:t>
            </w:r>
            <w:r w:rsidRPr="00EA73FF">
              <w:t>)</w:t>
            </w:r>
            <w:r w:rsidR="004F0E49" w:rsidRPr="00EA73FF">
              <w:t>;</w:t>
            </w:r>
            <w:r w:rsidR="00BA6D7E">
              <w:t xml:space="preserve"> </w:t>
            </w:r>
            <w:r w:rsidR="004F0E49" w:rsidRPr="00EA73FF">
              <w:t>p = 0.43</w:t>
            </w:r>
          </w:p>
        </w:tc>
      </w:tr>
    </w:tbl>
    <w:p w14:paraId="082A94BB" w14:textId="7034DBE8" w:rsidR="00FD2988" w:rsidRPr="00DB3D39" w:rsidRDefault="00FD2988" w:rsidP="00FD2988">
      <w:pPr>
        <w:pStyle w:val="TableFigureFooter"/>
      </w:pPr>
      <w:r w:rsidRPr="00DB3D39">
        <w:t>Source: Table 2.5-15, p125</w:t>
      </w:r>
      <w:r w:rsidR="00422946" w:rsidRPr="00DB3D39">
        <w:t>,</w:t>
      </w:r>
      <w:r w:rsidRPr="00DB3D39">
        <w:t xml:space="preserve"> </w:t>
      </w:r>
      <w:r w:rsidRPr="00DB3D39">
        <w:rPr>
          <w:rFonts w:eastAsiaTheme="minorHAnsi"/>
          <w:lang w:eastAsia="en-US"/>
        </w:rPr>
        <w:t>Table 2.5-16, p127</w:t>
      </w:r>
      <w:r w:rsidRPr="00DB3D39">
        <w:t xml:space="preserve"> </w:t>
      </w:r>
      <w:r w:rsidR="00422946" w:rsidRPr="00DB3D39">
        <w:t>Table 2.6-9, p135 of the submission</w:t>
      </w:r>
      <w:r w:rsidRPr="00DB3D39">
        <w:t>.</w:t>
      </w:r>
      <w:r w:rsidR="00767496" w:rsidRPr="00DB3D39">
        <w:t xml:space="preserve"> Table</w:t>
      </w:r>
      <w:r w:rsidR="001617E7" w:rsidRPr="00DB3D39">
        <w:t xml:space="preserve"> 12-1e </w:t>
      </w:r>
      <w:r w:rsidR="002619EC" w:rsidRPr="00DB3D39">
        <w:t>of aus_hta_t12</w:t>
      </w:r>
      <w:r w:rsidR="005576B9" w:rsidRPr="00DB3D39">
        <w:t>_01e o</w:t>
      </w:r>
      <w:r w:rsidR="00627A7C" w:rsidRPr="00DB3D39">
        <w:t>f</w:t>
      </w:r>
      <w:r w:rsidR="005576B9" w:rsidRPr="00DB3D39">
        <w:t xml:space="preserve"> Appendix 10.</w:t>
      </w:r>
    </w:p>
    <w:p w14:paraId="5D408D64" w14:textId="1F7445B1" w:rsidR="00865BB1" w:rsidRPr="00DB3D39" w:rsidRDefault="00FD2988" w:rsidP="00FD2988">
      <w:pPr>
        <w:pStyle w:val="TableFigureFooter"/>
      </w:pPr>
      <w:r w:rsidRPr="00DB3D39">
        <w:t xml:space="preserve">AEs = </w:t>
      </w:r>
      <w:r w:rsidR="00330C58" w:rsidRPr="00DB3D39">
        <w:t>a</w:t>
      </w:r>
      <w:r w:rsidRPr="00DB3D39">
        <w:t xml:space="preserve">dverse events; CI = </w:t>
      </w:r>
      <w:r w:rsidR="00330C58" w:rsidRPr="00DB3D39">
        <w:t>c</w:t>
      </w:r>
      <w:r w:rsidRPr="00DB3D39">
        <w:t xml:space="preserve">onfidence interval; DCO = </w:t>
      </w:r>
      <w:r w:rsidR="00330C58" w:rsidRPr="00DB3D39">
        <w:t>d</w:t>
      </w:r>
      <w:r w:rsidRPr="00DB3D39">
        <w:t xml:space="preserve">ata cut-off; ET = </w:t>
      </w:r>
      <w:r w:rsidR="00C4696B" w:rsidRPr="00DB3D39">
        <w:t>e</w:t>
      </w:r>
      <w:r w:rsidRPr="00DB3D39">
        <w:t xml:space="preserve">ndocrine therapy; mths = months; n = number of participants with event; N = total participants in group; </w:t>
      </w:r>
      <w:r w:rsidR="008E6927" w:rsidRPr="00DB3D39">
        <w:t xml:space="preserve">NR= not reported; </w:t>
      </w:r>
      <w:r w:rsidRPr="00DB3D39">
        <w:t xml:space="preserve">RD = risk difference; SAE = serious adverse events; TEAE = </w:t>
      </w:r>
      <w:r w:rsidR="00330C58" w:rsidRPr="00DB3D39">
        <w:t>t</w:t>
      </w:r>
      <w:r w:rsidRPr="00DB3D39">
        <w:t xml:space="preserve">reatment-emerging adverse event; SAE = </w:t>
      </w:r>
      <w:r w:rsidR="00330C58" w:rsidRPr="00DB3D39">
        <w:t>s</w:t>
      </w:r>
      <w:r w:rsidRPr="00DB3D39">
        <w:t>erious adverse event</w:t>
      </w:r>
      <w:r w:rsidR="00865BB1" w:rsidRPr="00DB3D39">
        <w:t>.</w:t>
      </w:r>
    </w:p>
    <w:p w14:paraId="594B0639" w14:textId="4D5D466D" w:rsidR="00667C03" w:rsidRPr="00DB3D39" w:rsidRDefault="007C626C" w:rsidP="00942392">
      <w:pPr>
        <w:pStyle w:val="TableFigureFooter"/>
      </w:pPr>
      <w:r w:rsidRPr="007C626C">
        <w:rPr>
          <w:bCs/>
          <w:szCs w:val="20"/>
          <w:vertAlign w:val="superscript"/>
        </w:rPr>
        <w:t>a</w:t>
      </w:r>
      <w:r w:rsidRPr="00DB3D39" w:rsidDel="007C626C">
        <w:t xml:space="preserve"> </w:t>
      </w:r>
      <w:r w:rsidR="00942392" w:rsidRPr="00DB3D39">
        <w:t>Discontinuation rate refers to any treatment component in NATALEE and all treatment components in monarchE.</w:t>
      </w:r>
    </w:p>
    <w:p w14:paraId="65090CC8" w14:textId="71DD374A" w:rsidR="007C626C" w:rsidRDefault="007C626C" w:rsidP="00FD2988">
      <w:pPr>
        <w:pStyle w:val="TableFigureFooter"/>
        <w:rPr>
          <w:b/>
          <w:bCs/>
          <w:lang w:eastAsia="en-US"/>
        </w:rPr>
      </w:pPr>
      <w:r>
        <w:rPr>
          <w:iCs/>
          <w:vertAlign w:val="superscript"/>
          <w:lang w:eastAsia="en-US"/>
        </w:rPr>
        <w:t xml:space="preserve">b </w:t>
      </w:r>
      <w:r>
        <w:rPr>
          <w:iCs/>
          <w:lang w:eastAsia="en-US"/>
        </w:rPr>
        <w:t>C</w:t>
      </w:r>
      <w:r w:rsidRPr="00112EE5">
        <w:rPr>
          <w:iCs/>
          <w:lang w:eastAsia="en-US"/>
        </w:rPr>
        <w:t>alculations conducted during the evaluation.</w:t>
      </w:r>
    </w:p>
    <w:p w14:paraId="08C9718F" w14:textId="77777777" w:rsidR="004B7D93" w:rsidRDefault="00FD2988" w:rsidP="004B7D93">
      <w:pPr>
        <w:pStyle w:val="TableFigureFooter"/>
        <w:jc w:val="both"/>
        <w:rPr>
          <w:lang w:eastAsia="en-US"/>
        </w:rPr>
      </w:pPr>
      <w:r w:rsidRPr="00DB3D39">
        <w:rPr>
          <w:b/>
          <w:bCs/>
          <w:lang w:eastAsia="en-US"/>
        </w:rPr>
        <w:t xml:space="preserve">Bold </w:t>
      </w:r>
      <w:r w:rsidRPr="00DB3D39">
        <w:rPr>
          <w:lang w:eastAsia="en-US"/>
        </w:rPr>
        <w:t>indicated statistically significant results</w:t>
      </w:r>
      <w:r w:rsidR="00F07C73" w:rsidRPr="00DB3D39">
        <w:rPr>
          <w:lang w:eastAsia="en-US"/>
        </w:rPr>
        <w:t xml:space="preserve"> </w:t>
      </w:r>
    </w:p>
    <w:p w14:paraId="6885D03E" w14:textId="06E7E5C1" w:rsidR="00FD2988" w:rsidRPr="004B7D93" w:rsidRDefault="004B7D93" w:rsidP="004B7D93">
      <w:pPr>
        <w:pStyle w:val="TableFigureFooter"/>
        <w:jc w:val="both"/>
        <w:rPr>
          <w:rFonts w:eastAsiaTheme="majorEastAsia"/>
          <w:lang w:eastAsia="en-US"/>
        </w:rPr>
      </w:pPr>
      <w:r w:rsidRPr="00225B2B">
        <w:rPr>
          <w:i/>
          <w:iCs/>
        </w:rPr>
        <w:t xml:space="preserve">Note that the results presented in Table </w:t>
      </w:r>
      <w:r>
        <w:rPr>
          <w:i/>
          <w:iCs/>
        </w:rPr>
        <w:t>8</w:t>
      </w:r>
      <w:r w:rsidRPr="00225B2B">
        <w:rPr>
          <w:i/>
          <w:iCs/>
        </w:rPr>
        <w:t xml:space="preserve"> are derived from post-hoc analyses conducted by the applicant</w:t>
      </w:r>
      <w:r w:rsidR="002C421C">
        <w:rPr>
          <w:i/>
          <w:iCs/>
        </w:rPr>
        <w:t xml:space="preserve"> during the eval</w:t>
      </w:r>
      <w:r w:rsidR="007102E3">
        <w:rPr>
          <w:i/>
          <w:iCs/>
        </w:rPr>
        <w:t>uation</w:t>
      </w:r>
      <w:r w:rsidRPr="00225B2B">
        <w:rPr>
          <w:i/>
          <w:iCs/>
        </w:rPr>
        <w:t xml:space="preserve"> specifically for the purposes of informing the PBAC consideration. These analyses were not part of the pre-specified statistical plan for the NATALEE trial. Interpretation of the results and their application should therefore be limited to seeking to understand the basis for the PBAC outcome and should not be used for any other purpose</w:t>
      </w:r>
      <w:r w:rsidRPr="00224EF4">
        <w:t>.</w:t>
      </w:r>
    </w:p>
    <w:p w14:paraId="275C5427" w14:textId="1A250A63" w:rsidR="00780388" w:rsidRPr="00DB3D39" w:rsidRDefault="00780388" w:rsidP="007C073C">
      <w:pPr>
        <w:pStyle w:val="3-BodyText"/>
        <w:rPr>
          <w:lang w:eastAsia="en-US"/>
        </w:rPr>
      </w:pPr>
      <w:r w:rsidRPr="00DB3D39">
        <w:rPr>
          <w:lang w:eastAsia="en-US"/>
        </w:rPr>
        <w:t xml:space="preserve">The </w:t>
      </w:r>
      <w:r w:rsidR="008A45DB" w:rsidRPr="00DB3D39">
        <w:rPr>
          <w:lang w:eastAsia="en-US"/>
        </w:rPr>
        <w:t>summary of</w:t>
      </w:r>
      <w:r w:rsidRPr="00DB3D39">
        <w:rPr>
          <w:lang w:eastAsia="en-US"/>
        </w:rPr>
        <w:t xml:space="preserve"> Grade ≥ 3 TEAEs of interest is presented in</w:t>
      </w:r>
      <w:r w:rsidR="00B37B07">
        <w:rPr>
          <w:lang w:eastAsia="en-US"/>
        </w:rPr>
        <w:t xml:space="preserve"> </w:t>
      </w:r>
      <w:r w:rsidR="00B37B07">
        <w:rPr>
          <w:lang w:eastAsia="en-US"/>
        </w:rPr>
        <w:fldChar w:fldCharType="begin" w:fldLock="1"/>
      </w:r>
      <w:r w:rsidR="00B37B07">
        <w:rPr>
          <w:lang w:eastAsia="en-US"/>
        </w:rPr>
        <w:instrText xml:space="preserve"> REF _Ref176777870 \h </w:instrText>
      </w:r>
      <w:r w:rsidR="00B37B07">
        <w:rPr>
          <w:lang w:eastAsia="en-US"/>
        </w:rPr>
      </w:r>
      <w:r w:rsidR="00B37B07">
        <w:rPr>
          <w:lang w:eastAsia="en-US"/>
        </w:rPr>
        <w:fldChar w:fldCharType="separate"/>
      </w:r>
      <w:r w:rsidR="00FF083B" w:rsidRPr="00DB3D39">
        <w:t xml:space="preserve">Table </w:t>
      </w:r>
      <w:r w:rsidR="00FF083B">
        <w:rPr>
          <w:noProof/>
        </w:rPr>
        <w:t>9</w:t>
      </w:r>
      <w:r w:rsidR="00B37B07">
        <w:rPr>
          <w:lang w:eastAsia="en-US"/>
        </w:rPr>
        <w:fldChar w:fldCharType="end"/>
      </w:r>
      <w:r w:rsidRPr="00DB3D39">
        <w:rPr>
          <w:lang w:eastAsia="en-US"/>
        </w:rPr>
        <w:t xml:space="preserve">. There were statistically significantly more patients treated with ribociclib </w:t>
      </w:r>
      <w:r w:rsidR="00B83026" w:rsidRPr="00DB3D39">
        <w:rPr>
          <w:lang w:eastAsia="en-US"/>
        </w:rPr>
        <w:t xml:space="preserve">plus </w:t>
      </w:r>
      <w:r w:rsidRPr="00DB3D39">
        <w:rPr>
          <w:lang w:eastAsia="en-US"/>
        </w:rPr>
        <w:t xml:space="preserve">adjuvant ET experienced Grade ≥ 3 neutropenia (RD 0.09, 95% CI: 0.07, 0.12; p &lt; 0.0001) and ALT </w:t>
      </w:r>
      <w:r w:rsidRPr="00DB3D39">
        <w:rPr>
          <w:lang w:eastAsia="en-US"/>
        </w:rPr>
        <w:lastRenderedPageBreak/>
        <w:t>increased (RD 0.04, 95% CI: 0.03, 0.05; p &lt; 0.0001)</w:t>
      </w:r>
      <w:bookmarkStart w:id="44" w:name="_Ref190427400"/>
      <w:r w:rsidR="004224A6">
        <w:rPr>
          <w:rStyle w:val="FootnoteReference"/>
          <w:lang w:eastAsia="en-US"/>
        </w:rPr>
        <w:footnoteReference w:id="14"/>
      </w:r>
      <w:bookmarkEnd w:id="44"/>
      <w:r w:rsidRPr="00DB3D39">
        <w:rPr>
          <w:lang w:eastAsia="en-US"/>
        </w:rPr>
        <w:t>. Similarly, there were statistically significantly more patients treated with abemaciclib that experienced diarrhoea compared to ribociclib (RD=-0.07; 95% CI: -0.08, -0.06; p &lt; 0.0001)</w:t>
      </w:r>
      <w:r w:rsidR="009D4BB9" w:rsidRPr="009D4BB9">
        <w:rPr>
          <w:vertAlign w:val="superscript"/>
          <w:lang w:eastAsia="en-US"/>
        </w:rPr>
        <w:fldChar w:fldCharType="begin" w:fldLock="1"/>
      </w:r>
      <w:r w:rsidR="009D4BB9" w:rsidRPr="009D4BB9">
        <w:rPr>
          <w:vertAlign w:val="superscript"/>
          <w:lang w:eastAsia="en-US"/>
        </w:rPr>
        <w:instrText xml:space="preserve"> NOTEREF _Ref190427400 \h </w:instrText>
      </w:r>
      <w:r w:rsidR="009D4BB9">
        <w:rPr>
          <w:vertAlign w:val="superscript"/>
          <w:lang w:eastAsia="en-US"/>
        </w:rPr>
        <w:instrText xml:space="preserve"> \* MERGEFORMAT </w:instrText>
      </w:r>
      <w:r w:rsidR="009D4BB9" w:rsidRPr="009D4BB9">
        <w:rPr>
          <w:vertAlign w:val="superscript"/>
          <w:lang w:eastAsia="en-US"/>
        </w:rPr>
      </w:r>
      <w:r w:rsidR="009D4BB9" w:rsidRPr="009D4BB9">
        <w:rPr>
          <w:vertAlign w:val="superscript"/>
          <w:lang w:eastAsia="en-US"/>
        </w:rPr>
        <w:fldChar w:fldCharType="separate"/>
      </w:r>
      <w:r w:rsidR="009D4BB9" w:rsidRPr="009D4BB9">
        <w:rPr>
          <w:vertAlign w:val="superscript"/>
          <w:lang w:eastAsia="en-US"/>
        </w:rPr>
        <w:t>13</w:t>
      </w:r>
      <w:r w:rsidR="009D4BB9" w:rsidRPr="009D4BB9">
        <w:rPr>
          <w:vertAlign w:val="superscript"/>
          <w:lang w:eastAsia="en-US"/>
        </w:rPr>
        <w:fldChar w:fldCharType="end"/>
      </w:r>
      <w:r w:rsidRPr="00DB3D39">
        <w:rPr>
          <w:lang w:eastAsia="en-US"/>
        </w:rPr>
        <w:t xml:space="preserve">. </w:t>
      </w:r>
      <w:r w:rsidRPr="00276A8E">
        <w:rPr>
          <w:iCs/>
          <w:lang w:eastAsia="en-US"/>
        </w:rPr>
        <w:t>The</w:t>
      </w:r>
      <w:r w:rsidR="00892FEF" w:rsidRPr="00276A8E">
        <w:rPr>
          <w:iCs/>
          <w:lang w:eastAsia="en-US"/>
        </w:rPr>
        <w:t xml:space="preserve"> evaluation considered that</w:t>
      </w:r>
      <w:r w:rsidR="00892FEF" w:rsidRPr="00892FEF">
        <w:rPr>
          <w:i/>
          <w:lang w:eastAsia="en-US"/>
        </w:rPr>
        <w:t xml:space="preserve"> </w:t>
      </w:r>
      <w:r w:rsidR="00892FEF" w:rsidRPr="00C479C8">
        <w:rPr>
          <w:iCs/>
          <w:lang w:eastAsia="en-US"/>
        </w:rPr>
        <w:t>the</w:t>
      </w:r>
      <w:r w:rsidRPr="00112EE5">
        <w:rPr>
          <w:iCs/>
          <w:lang w:eastAsia="en-US"/>
        </w:rPr>
        <w:t xml:space="preserve"> latter suggests that safety profiles of the two drugs are different. </w:t>
      </w:r>
    </w:p>
    <w:p w14:paraId="32431F44" w14:textId="06EF8A4A" w:rsidR="00EC5B1E" w:rsidRPr="00DB3D39" w:rsidRDefault="0037506D" w:rsidP="007C073C">
      <w:pPr>
        <w:pStyle w:val="3-BodyText"/>
      </w:pPr>
      <w:r w:rsidRPr="00DB3D39">
        <w:rPr>
          <w:iCs/>
        </w:rPr>
        <w:t>R</w:t>
      </w:r>
      <w:r w:rsidR="00EC5B1E" w:rsidRPr="00DB3D39">
        <w:t xml:space="preserve">ibociclib was associated with a statistically higher risk of </w:t>
      </w:r>
      <w:r w:rsidRPr="00DB3D39">
        <w:rPr>
          <w:iCs/>
        </w:rPr>
        <w:t>G</w:t>
      </w:r>
      <w:r w:rsidR="00EC5B1E" w:rsidRPr="00DB3D39">
        <w:t>rade 3 TEAE neutropenia</w:t>
      </w:r>
      <w:r w:rsidR="002C794D" w:rsidRPr="00DB3D39">
        <w:t xml:space="preserve"> </w:t>
      </w:r>
      <w:r w:rsidR="00EC5B1E" w:rsidRPr="00DB3D39">
        <w:t xml:space="preserve">and increased ALT. On the other hand, abemaciclib is associated with a higher risk of </w:t>
      </w:r>
      <w:r w:rsidRPr="00DB3D39">
        <w:rPr>
          <w:iCs/>
        </w:rPr>
        <w:t>G</w:t>
      </w:r>
      <w:r w:rsidR="00EC5B1E" w:rsidRPr="00DB3D39">
        <w:t xml:space="preserve">rade 3 </w:t>
      </w:r>
      <w:r w:rsidR="00512B87" w:rsidRPr="00DB3D39">
        <w:t>leukopenia</w:t>
      </w:r>
      <w:r w:rsidR="002C794D" w:rsidRPr="00DB3D39">
        <w:t xml:space="preserve">, </w:t>
      </w:r>
      <w:r w:rsidR="00512B87" w:rsidRPr="00DB3D39">
        <w:t>lymphopenia</w:t>
      </w:r>
      <w:r w:rsidR="00CC0E54" w:rsidRPr="00DB3D39">
        <w:t xml:space="preserve"> and </w:t>
      </w:r>
      <w:r w:rsidR="00EC5B1E" w:rsidRPr="00DB3D39">
        <w:t xml:space="preserve">diarrhoea. </w:t>
      </w:r>
    </w:p>
    <w:p w14:paraId="54166738" w14:textId="12097F27" w:rsidR="00176E0F" w:rsidRPr="00DB3D39" w:rsidRDefault="009902D8" w:rsidP="007C073C">
      <w:pPr>
        <w:pStyle w:val="3-BodyText"/>
        <w:rPr>
          <w:rFonts w:eastAsia="Calibri"/>
        </w:rPr>
      </w:pPr>
      <w:r w:rsidRPr="00112EE5">
        <w:rPr>
          <w:lang w:eastAsia="en-US"/>
        </w:rPr>
        <w:t>The submission reported specific Grade 3/4 AEs in NATALEE and monarchE (</w:t>
      </w:r>
      <w:r w:rsidRPr="00DB3D39">
        <w:rPr>
          <w:i/>
          <w:lang w:eastAsia="en-US"/>
        </w:rPr>
        <w:fldChar w:fldCharType="begin" w:fldLock="1"/>
      </w:r>
      <w:r w:rsidRPr="00DB3D39">
        <w:rPr>
          <w:i/>
          <w:lang w:eastAsia="en-US"/>
        </w:rPr>
        <w:instrText xml:space="preserve"> REF _Ref176777870 \h </w:instrText>
      </w:r>
      <w:r w:rsidRPr="00DB3D39">
        <w:rPr>
          <w:i/>
          <w:lang w:eastAsia="en-US"/>
        </w:rPr>
      </w:r>
      <w:r w:rsidRPr="00DB3D39">
        <w:rPr>
          <w:i/>
          <w:lang w:eastAsia="en-US"/>
        </w:rPr>
        <w:fldChar w:fldCharType="separate"/>
      </w:r>
      <w:r w:rsidR="00FF083B" w:rsidRPr="00DB3D39">
        <w:t xml:space="preserve">Table </w:t>
      </w:r>
      <w:r w:rsidR="00FF083B">
        <w:rPr>
          <w:noProof/>
        </w:rPr>
        <w:t>9</w:t>
      </w:r>
      <w:r w:rsidRPr="00DB3D39">
        <w:rPr>
          <w:i/>
          <w:lang w:eastAsia="en-US"/>
        </w:rPr>
        <w:fldChar w:fldCharType="end"/>
      </w:r>
      <w:r w:rsidRPr="00112EE5">
        <w:rPr>
          <w:lang w:eastAsia="en-US"/>
        </w:rPr>
        <w:t>), however did not present a comparison of all Grade 3/4 AEs. An anchored comparison performed during the evaluation demonstrated ribociclib was associated with statistically significantly more Grade 3/4 AEs than abemaciclib, with an odds ratio of 1.50 (95% CI 1.25, 1.79), and a significant risk difference of 0.12 (</w:t>
      </w:r>
      <w:r w:rsidRPr="00DB3D39">
        <w:rPr>
          <w:i/>
          <w:lang w:eastAsia="en-US"/>
        </w:rPr>
        <w:fldChar w:fldCharType="begin" w:fldLock="1"/>
      </w:r>
      <w:r w:rsidRPr="00DB3D39">
        <w:rPr>
          <w:i/>
          <w:lang w:eastAsia="en-US"/>
        </w:rPr>
        <w:instrText xml:space="preserve"> REF _Ref176777904 \h </w:instrText>
      </w:r>
      <w:r w:rsidRPr="00DB3D39">
        <w:rPr>
          <w:i/>
          <w:lang w:eastAsia="en-US"/>
        </w:rPr>
      </w:r>
      <w:r w:rsidRPr="00DB3D39">
        <w:rPr>
          <w:i/>
          <w:lang w:eastAsia="en-US"/>
        </w:rPr>
        <w:fldChar w:fldCharType="separate"/>
      </w:r>
      <w:r w:rsidR="00FF083B" w:rsidRPr="00DB3D39">
        <w:t xml:space="preserve">Table </w:t>
      </w:r>
      <w:r w:rsidR="00FF083B">
        <w:rPr>
          <w:noProof/>
        </w:rPr>
        <w:t>8</w:t>
      </w:r>
      <w:r w:rsidRPr="00DB3D39">
        <w:rPr>
          <w:i/>
          <w:lang w:eastAsia="en-US"/>
        </w:rPr>
        <w:fldChar w:fldCharType="end"/>
      </w:r>
      <w:r w:rsidRPr="00112EE5">
        <w:rPr>
          <w:lang w:eastAsia="en-US"/>
        </w:rPr>
        <w:t>)</w:t>
      </w:r>
      <w:r w:rsidR="009D4BB9" w:rsidRPr="009D4BB9">
        <w:rPr>
          <w:vertAlign w:val="superscript"/>
          <w:lang w:eastAsia="en-US"/>
        </w:rPr>
        <w:fldChar w:fldCharType="begin" w:fldLock="1"/>
      </w:r>
      <w:r w:rsidR="009D4BB9" w:rsidRPr="009D4BB9">
        <w:rPr>
          <w:vertAlign w:val="superscript"/>
          <w:lang w:eastAsia="en-US"/>
        </w:rPr>
        <w:instrText xml:space="preserve"> NOTEREF _Ref190427400 \h </w:instrText>
      </w:r>
      <w:r w:rsidR="009D4BB9">
        <w:rPr>
          <w:vertAlign w:val="superscript"/>
          <w:lang w:eastAsia="en-US"/>
        </w:rPr>
        <w:instrText xml:space="preserve"> \* MERGEFORMAT </w:instrText>
      </w:r>
      <w:r w:rsidR="009D4BB9" w:rsidRPr="009D4BB9">
        <w:rPr>
          <w:vertAlign w:val="superscript"/>
          <w:lang w:eastAsia="en-US"/>
        </w:rPr>
      </w:r>
      <w:r w:rsidR="009D4BB9" w:rsidRPr="009D4BB9">
        <w:rPr>
          <w:vertAlign w:val="superscript"/>
          <w:lang w:eastAsia="en-US"/>
        </w:rPr>
        <w:fldChar w:fldCharType="separate"/>
      </w:r>
      <w:r w:rsidR="009D4BB9" w:rsidRPr="009D4BB9">
        <w:rPr>
          <w:vertAlign w:val="superscript"/>
          <w:lang w:eastAsia="en-US"/>
        </w:rPr>
        <w:t>13</w:t>
      </w:r>
      <w:r w:rsidR="009D4BB9" w:rsidRPr="009D4BB9">
        <w:rPr>
          <w:vertAlign w:val="superscript"/>
          <w:lang w:eastAsia="en-US"/>
        </w:rPr>
        <w:fldChar w:fldCharType="end"/>
      </w:r>
      <w:r w:rsidRPr="00112EE5">
        <w:rPr>
          <w:lang w:eastAsia="en-US"/>
        </w:rPr>
        <w:t>. These results suggest that for every 100 patients treated with ribociclib plus ET instead of abemaciclib plus ET, approximately 12 additional Grade 3/4 AEs may be experienced</w:t>
      </w:r>
      <w:r w:rsidR="009D4BB9" w:rsidRPr="009D4BB9">
        <w:rPr>
          <w:vertAlign w:val="superscript"/>
          <w:lang w:eastAsia="en-US"/>
        </w:rPr>
        <w:fldChar w:fldCharType="begin" w:fldLock="1"/>
      </w:r>
      <w:r w:rsidR="009D4BB9" w:rsidRPr="009D4BB9">
        <w:rPr>
          <w:vertAlign w:val="superscript"/>
          <w:lang w:eastAsia="en-US"/>
        </w:rPr>
        <w:instrText xml:space="preserve"> NOTEREF _Ref190427400 \h </w:instrText>
      </w:r>
      <w:r w:rsidR="009D4BB9">
        <w:rPr>
          <w:vertAlign w:val="superscript"/>
          <w:lang w:eastAsia="en-US"/>
        </w:rPr>
        <w:instrText xml:space="preserve"> \* MERGEFORMAT </w:instrText>
      </w:r>
      <w:r w:rsidR="009D4BB9" w:rsidRPr="009D4BB9">
        <w:rPr>
          <w:vertAlign w:val="superscript"/>
          <w:lang w:eastAsia="en-US"/>
        </w:rPr>
      </w:r>
      <w:r w:rsidR="009D4BB9" w:rsidRPr="009D4BB9">
        <w:rPr>
          <w:vertAlign w:val="superscript"/>
          <w:lang w:eastAsia="en-US"/>
        </w:rPr>
        <w:fldChar w:fldCharType="separate"/>
      </w:r>
      <w:r w:rsidR="009D4BB9" w:rsidRPr="009D4BB9">
        <w:rPr>
          <w:vertAlign w:val="superscript"/>
          <w:lang w:eastAsia="en-US"/>
        </w:rPr>
        <w:t>13</w:t>
      </w:r>
      <w:r w:rsidR="009D4BB9" w:rsidRPr="009D4BB9">
        <w:rPr>
          <w:vertAlign w:val="superscript"/>
          <w:lang w:eastAsia="en-US"/>
        </w:rPr>
        <w:fldChar w:fldCharType="end"/>
      </w:r>
      <w:r w:rsidRPr="00112EE5">
        <w:rPr>
          <w:lang w:eastAsia="en-US"/>
        </w:rPr>
        <w:t>. The latter suggests that the claim for non-inferior safety may not hold.</w:t>
      </w:r>
      <w:r w:rsidRPr="00DB3D39">
        <w:t xml:space="preserve"> </w:t>
      </w:r>
      <w:r w:rsidRPr="00112EE5">
        <w:rPr>
          <w:lang w:eastAsia="en-US"/>
        </w:rPr>
        <w:t xml:space="preserve">However, this result </w:t>
      </w:r>
      <w:r w:rsidR="00C479C8">
        <w:rPr>
          <w:lang w:eastAsia="en-US"/>
        </w:rPr>
        <w:t>was</w:t>
      </w:r>
      <w:r w:rsidRPr="00112EE5">
        <w:rPr>
          <w:lang w:eastAsia="en-US"/>
        </w:rPr>
        <w:t xml:space="preserve"> calculated by the evaluation noting that the study was not powered to detect any difference. Therefore</w:t>
      </w:r>
      <w:r w:rsidR="00890FE2" w:rsidRPr="00112EE5">
        <w:rPr>
          <w:lang w:eastAsia="en-US"/>
        </w:rPr>
        <w:t>,</w:t>
      </w:r>
      <w:r w:rsidR="00892FEF">
        <w:rPr>
          <w:lang w:eastAsia="en-US"/>
        </w:rPr>
        <w:t xml:space="preserve"> </w:t>
      </w:r>
      <w:r w:rsidR="00892FEF" w:rsidRPr="00276A8E">
        <w:t>the evaluation considered</w:t>
      </w:r>
      <w:r w:rsidR="00892FEF" w:rsidRPr="00892FEF">
        <w:rPr>
          <w:i/>
        </w:rPr>
        <w:t xml:space="preserve"> </w:t>
      </w:r>
      <w:r w:rsidR="00892FEF" w:rsidRPr="000C077E">
        <w:t>that</w:t>
      </w:r>
      <w:r w:rsidRPr="00112EE5">
        <w:rPr>
          <w:lang w:eastAsia="en-US"/>
        </w:rPr>
        <w:t xml:space="preserve"> this result should be considered indicative only.</w:t>
      </w:r>
    </w:p>
    <w:p w14:paraId="71A98038" w14:textId="7948160D" w:rsidR="00780388" w:rsidRPr="008336EA" w:rsidRDefault="005971EF" w:rsidP="008336EA">
      <w:pPr>
        <w:pStyle w:val="TableHeading"/>
        <w:spacing w:before="0" w:after="0"/>
        <w:rPr>
          <w:rStyle w:val="CommentReference"/>
        </w:rPr>
      </w:pPr>
      <w:bookmarkStart w:id="45" w:name="_Ref176777870"/>
      <w:r w:rsidRPr="008336EA">
        <w:rPr>
          <w:rStyle w:val="CommentReference"/>
        </w:rPr>
        <w:lastRenderedPageBreak/>
        <w:t xml:space="preserve">Table </w:t>
      </w:r>
      <w:r w:rsidR="00FF083B" w:rsidRPr="008336EA">
        <w:rPr>
          <w:rStyle w:val="CommentReference"/>
        </w:rPr>
        <w:fldChar w:fldCharType="begin" w:fldLock="1"/>
      </w:r>
      <w:r w:rsidR="00FF083B" w:rsidRPr="008336EA">
        <w:rPr>
          <w:rStyle w:val="CommentReference"/>
        </w:rPr>
        <w:instrText xml:space="preserve"> SEQ Table \* ARABIC </w:instrText>
      </w:r>
      <w:r w:rsidR="00FF083B" w:rsidRPr="008336EA">
        <w:rPr>
          <w:rStyle w:val="CommentReference"/>
        </w:rPr>
        <w:fldChar w:fldCharType="separate"/>
      </w:r>
      <w:r w:rsidR="00FF083B" w:rsidRPr="008336EA">
        <w:rPr>
          <w:rStyle w:val="CommentReference"/>
        </w:rPr>
        <w:t>9</w:t>
      </w:r>
      <w:r w:rsidR="00FF083B" w:rsidRPr="008336EA">
        <w:rPr>
          <w:rStyle w:val="CommentReference"/>
        </w:rPr>
        <w:fldChar w:fldCharType="end"/>
      </w:r>
      <w:bookmarkEnd w:id="45"/>
      <w:r w:rsidR="004A326B" w:rsidRPr="008336EA">
        <w:rPr>
          <w:rStyle w:val="CommentReference"/>
        </w:rPr>
        <w:t>:</w:t>
      </w:r>
      <w:r w:rsidR="00780388" w:rsidRPr="008336EA">
        <w:rPr>
          <w:rStyle w:val="CommentReference"/>
        </w:rPr>
        <w:t xml:space="preserve"> Summary of Grade ≥ 3 AEs (safety set)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5"/>
        <w:gridCol w:w="1700"/>
        <w:gridCol w:w="1841"/>
        <w:gridCol w:w="2360"/>
      </w:tblGrid>
      <w:tr w:rsidR="00780388" w:rsidRPr="00DB3D39" w14:paraId="2BB96617" w14:textId="77777777" w:rsidTr="008336EA">
        <w:trPr>
          <w:cantSplit/>
          <w:tblHeader/>
        </w:trPr>
        <w:tc>
          <w:tcPr>
            <w:tcW w:w="1727" w:type="pct"/>
            <w:vAlign w:val="center"/>
          </w:tcPr>
          <w:p w14:paraId="0EA8DABC" w14:textId="77777777" w:rsidR="00780388" w:rsidRPr="00DB3D39" w:rsidRDefault="00780388">
            <w:pPr>
              <w:keepNext/>
              <w:keepLines/>
              <w:jc w:val="left"/>
              <w:rPr>
                <w:rFonts w:ascii="Arial Narrow" w:eastAsiaTheme="majorEastAsia" w:hAnsi="Arial Narrow" w:cs="Times New Roman"/>
                <w:b/>
                <w:sz w:val="20"/>
                <w:szCs w:val="20"/>
              </w:rPr>
            </w:pPr>
            <w:r w:rsidRPr="00DB3D39">
              <w:rPr>
                <w:rFonts w:ascii="Arial Narrow" w:eastAsiaTheme="majorEastAsia" w:hAnsi="Arial Narrow" w:cs="Times New Roman"/>
                <w:b/>
                <w:sz w:val="20"/>
                <w:szCs w:val="20"/>
              </w:rPr>
              <w:t>Trial ID / AEs</w:t>
            </w:r>
          </w:p>
        </w:tc>
        <w:tc>
          <w:tcPr>
            <w:tcW w:w="943" w:type="pct"/>
            <w:vAlign w:val="center"/>
          </w:tcPr>
          <w:p w14:paraId="7EDC1178" w14:textId="77777777" w:rsidR="00780388" w:rsidRPr="00DB3D39" w:rsidRDefault="00780388" w:rsidP="00512B87">
            <w:pPr>
              <w:keepNext/>
              <w:keepLines/>
              <w:jc w:val="center"/>
              <w:rPr>
                <w:rFonts w:ascii="Arial Narrow" w:eastAsiaTheme="majorEastAsia" w:hAnsi="Arial Narrow" w:cs="Times New Roman"/>
                <w:b/>
                <w:sz w:val="20"/>
                <w:szCs w:val="20"/>
              </w:rPr>
            </w:pPr>
            <w:r w:rsidRPr="00DB3D39">
              <w:rPr>
                <w:rFonts w:ascii="Arial Narrow" w:eastAsiaTheme="majorEastAsia" w:hAnsi="Arial Narrow" w:cs="Times New Roman"/>
                <w:b/>
                <w:sz w:val="20"/>
                <w:szCs w:val="20"/>
              </w:rPr>
              <w:t>Ribociclib + ET</w:t>
            </w:r>
          </w:p>
          <w:p w14:paraId="5B972B1E" w14:textId="77777777" w:rsidR="00780388" w:rsidRPr="00DB3D39" w:rsidRDefault="00780388" w:rsidP="00512B87">
            <w:pPr>
              <w:keepNext/>
              <w:keepLines/>
              <w:jc w:val="center"/>
              <w:rPr>
                <w:rFonts w:ascii="Arial Narrow" w:eastAsiaTheme="majorEastAsia" w:hAnsi="Arial Narrow" w:cs="Times New Roman"/>
                <w:b/>
                <w:sz w:val="20"/>
                <w:szCs w:val="20"/>
              </w:rPr>
            </w:pPr>
            <w:r w:rsidRPr="00DB3D39">
              <w:rPr>
                <w:rFonts w:ascii="Arial Narrow" w:eastAsiaTheme="majorEastAsia" w:hAnsi="Arial Narrow" w:cs="Times New Roman"/>
                <w:b/>
                <w:sz w:val="20"/>
                <w:szCs w:val="20"/>
              </w:rPr>
              <w:t>n with event/N (%)</w:t>
            </w:r>
          </w:p>
        </w:tc>
        <w:tc>
          <w:tcPr>
            <w:tcW w:w="1021" w:type="pct"/>
            <w:vAlign w:val="center"/>
          </w:tcPr>
          <w:p w14:paraId="515E07EC" w14:textId="77777777" w:rsidR="00780388" w:rsidRPr="00DB3D39" w:rsidRDefault="00780388" w:rsidP="00512B87">
            <w:pPr>
              <w:keepNext/>
              <w:keepLines/>
              <w:jc w:val="center"/>
              <w:rPr>
                <w:rFonts w:ascii="Arial Narrow" w:eastAsiaTheme="majorEastAsia" w:hAnsi="Arial Narrow" w:cs="Times New Roman"/>
                <w:b/>
                <w:sz w:val="20"/>
                <w:szCs w:val="20"/>
              </w:rPr>
            </w:pPr>
            <w:r w:rsidRPr="00DB3D39">
              <w:rPr>
                <w:rFonts w:ascii="Arial Narrow" w:eastAsiaTheme="majorEastAsia" w:hAnsi="Arial Narrow" w:cs="Times New Roman"/>
                <w:b/>
                <w:sz w:val="20"/>
                <w:szCs w:val="20"/>
              </w:rPr>
              <w:t>ET alone</w:t>
            </w:r>
          </w:p>
          <w:p w14:paraId="1F62C366" w14:textId="77777777" w:rsidR="00780388" w:rsidRPr="00DB3D39" w:rsidRDefault="00780388" w:rsidP="00512B87">
            <w:pPr>
              <w:keepNext/>
              <w:keepLines/>
              <w:jc w:val="center"/>
              <w:rPr>
                <w:rFonts w:ascii="Arial Narrow" w:eastAsiaTheme="majorEastAsia" w:hAnsi="Arial Narrow" w:cs="Times New Roman"/>
                <w:b/>
                <w:sz w:val="20"/>
                <w:szCs w:val="20"/>
              </w:rPr>
            </w:pPr>
            <w:r w:rsidRPr="00DB3D39">
              <w:rPr>
                <w:rFonts w:ascii="Arial Narrow" w:eastAsiaTheme="majorEastAsia" w:hAnsi="Arial Narrow" w:cs="Times New Roman"/>
                <w:b/>
                <w:sz w:val="20"/>
                <w:szCs w:val="20"/>
              </w:rPr>
              <w:t>n with event/N (%)</w:t>
            </w:r>
          </w:p>
        </w:tc>
        <w:tc>
          <w:tcPr>
            <w:tcW w:w="1309" w:type="pct"/>
            <w:vAlign w:val="center"/>
          </w:tcPr>
          <w:p w14:paraId="2AEEF1A7" w14:textId="77777777" w:rsidR="00780388" w:rsidRPr="00DB3D39" w:rsidRDefault="00780388" w:rsidP="00512B87">
            <w:pPr>
              <w:keepNext/>
              <w:keepLines/>
              <w:jc w:val="center"/>
              <w:rPr>
                <w:rFonts w:ascii="Arial Narrow" w:eastAsiaTheme="majorEastAsia" w:hAnsi="Arial Narrow" w:cs="Times New Roman"/>
                <w:b/>
                <w:sz w:val="20"/>
                <w:szCs w:val="20"/>
              </w:rPr>
            </w:pPr>
            <w:r w:rsidRPr="00DB3D39">
              <w:rPr>
                <w:rFonts w:ascii="Arial Narrow" w:eastAsiaTheme="majorEastAsia" w:hAnsi="Arial Narrow" w:cs="Times New Roman"/>
                <w:b/>
                <w:sz w:val="20"/>
                <w:szCs w:val="20"/>
              </w:rPr>
              <w:t>RD (95% CI)</w:t>
            </w:r>
          </w:p>
        </w:tc>
      </w:tr>
      <w:tr w:rsidR="00780388" w:rsidRPr="00DB3D39" w14:paraId="29078EC5" w14:textId="77777777">
        <w:trPr>
          <w:cantSplit/>
        </w:trPr>
        <w:tc>
          <w:tcPr>
            <w:tcW w:w="5000" w:type="pct"/>
            <w:gridSpan w:val="4"/>
            <w:vAlign w:val="center"/>
          </w:tcPr>
          <w:p w14:paraId="028E52B5" w14:textId="77777777" w:rsidR="00780388" w:rsidRPr="00DB3D39" w:rsidRDefault="00780388">
            <w:pPr>
              <w:keepNext/>
              <w:keepLines/>
              <w:jc w:val="left"/>
              <w:rPr>
                <w:rFonts w:ascii="Arial Narrow" w:eastAsiaTheme="majorEastAsia" w:hAnsi="Arial Narrow" w:cstheme="majorBidi"/>
                <w:sz w:val="20"/>
                <w:szCs w:val="20"/>
              </w:rPr>
            </w:pPr>
            <w:r w:rsidRPr="00DB3D39">
              <w:rPr>
                <w:rFonts w:ascii="Arial Narrow" w:eastAsiaTheme="majorEastAsia" w:hAnsi="Arial Narrow" w:cstheme="majorBidi"/>
                <w:b/>
                <w:sz w:val="20"/>
                <w:szCs w:val="20"/>
              </w:rPr>
              <w:t>NATALEE (safety set population) July 2023 DCO (median follow-up 40.3 mths)</w:t>
            </w:r>
          </w:p>
        </w:tc>
      </w:tr>
      <w:tr w:rsidR="00780388" w:rsidRPr="00DB3D39" w14:paraId="296B55C0" w14:textId="77777777" w:rsidTr="008336EA">
        <w:trPr>
          <w:cantSplit/>
        </w:trPr>
        <w:tc>
          <w:tcPr>
            <w:tcW w:w="1727" w:type="pct"/>
            <w:tcBorders>
              <w:top w:val="nil"/>
              <w:bottom w:val="nil"/>
            </w:tcBorders>
            <w:shd w:val="clear" w:color="auto" w:fill="auto"/>
          </w:tcPr>
          <w:p w14:paraId="21FCEB12" w14:textId="77777777" w:rsidR="00780388" w:rsidRPr="00DB3D39" w:rsidRDefault="00780388">
            <w:pPr>
              <w:keepNext/>
              <w:keepLines/>
              <w:jc w:val="left"/>
              <w:rPr>
                <w:rFonts w:ascii="Arial Narrow" w:eastAsiaTheme="majorEastAsia" w:hAnsi="Arial Narrow" w:cstheme="majorBidi"/>
                <w:sz w:val="20"/>
                <w:szCs w:val="20"/>
              </w:rPr>
            </w:pPr>
            <w:r w:rsidRPr="00DB3D39">
              <w:rPr>
                <w:rFonts w:ascii="Arial Narrow" w:eastAsiaTheme="majorEastAsia" w:hAnsi="Arial Narrow" w:cstheme="majorBidi"/>
                <w:sz w:val="20"/>
                <w:szCs w:val="20"/>
              </w:rPr>
              <w:t xml:space="preserve">Neutropenia </w:t>
            </w:r>
          </w:p>
        </w:tc>
        <w:tc>
          <w:tcPr>
            <w:tcW w:w="943" w:type="pct"/>
            <w:tcBorders>
              <w:top w:val="nil"/>
              <w:bottom w:val="nil"/>
            </w:tcBorders>
            <w:shd w:val="clear" w:color="auto" w:fill="auto"/>
            <w:vAlign w:val="center"/>
          </w:tcPr>
          <w:p w14:paraId="7ED2D14D" w14:textId="77777777" w:rsidR="00780388" w:rsidRPr="00DB3D39" w:rsidRDefault="00780388" w:rsidP="00DB0083">
            <w:pPr>
              <w:keepNext/>
              <w:keepLines/>
              <w:jc w:val="center"/>
              <w:rPr>
                <w:rFonts w:ascii="Arial Narrow" w:eastAsiaTheme="majorEastAsia" w:hAnsi="Arial Narrow" w:cstheme="majorBidi"/>
                <w:sz w:val="20"/>
                <w:szCs w:val="20"/>
              </w:rPr>
            </w:pPr>
            <w:r w:rsidRPr="00DB3D39">
              <w:rPr>
                <w:rFonts w:ascii="Arial Narrow" w:eastAsiaTheme="majorEastAsia" w:hAnsi="Arial Narrow" w:cstheme="majorBidi"/>
                <w:sz w:val="20"/>
                <w:szCs w:val="20"/>
              </w:rPr>
              <w:t>707</w:t>
            </w:r>
            <w:r w:rsidRPr="00DB3D39">
              <w:rPr>
                <w:rFonts w:ascii="Arial Narrow" w:eastAsiaTheme="majorEastAsia" w:hAnsi="Arial Narrow" w:cstheme="majorBidi"/>
                <w:bCs/>
                <w:sz w:val="20"/>
                <w:szCs w:val="20"/>
              </w:rPr>
              <w:t xml:space="preserve">/2525 </w:t>
            </w:r>
            <w:r w:rsidRPr="00DB3D39">
              <w:rPr>
                <w:rFonts w:ascii="Arial Narrow" w:eastAsiaTheme="majorEastAsia" w:hAnsi="Arial Narrow" w:cstheme="majorBidi"/>
                <w:sz w:val="20"/>
                <w:szCs w:val="20"/>
              </w:rPr>
              <w:t>(28.0%)</w:t>
            </w:r>
          </w:p>
        </w:tc>
        <w:tc>
          <w:tcPr>
            <w:tcW w:w="1021" w:type="pct"/>
            <w:tcBorders>
              <w:top w:val="nil"/>
              <w:bottom w:val="nil"/>
            </w:tcBorders>
            <w:shd w:val="clear" w:color="auto" w:fill="auto"/>
            <w:vAlign w:val="center"/>
          </w:tcPr>
          <w:p w14:paraId="78B466EA" w14:textId="77777777" w:rsidR="00780388" w:rsidRPr="00DB3D39" w:rsidRDefault="00780388" w:rsidP="00DB0083">
            <w:pPr>
              <w:keepNext/>
              <w:keepLines/>
              <w:jc w:val="center"/>
              <w:rPr>
                <w:rFonts w:ascii="Arial Narrow" w:eastAsiaTheme="majorEastAsia" w:hAnsi="Arial Narrow" w:cstheme="majorBidi"/>
                <w:sz w:val="20"/>
                <w:szCs w:val="20"/>
              </w:rPr>
            </w:pPr>
            <w:r w:rsidRPr="00DB3D39">
              <w:rPr>
                <w:rFonts w:ascii="Arial Narrow" w:eastAsiaTheme="majorEastAsia" w:hAnsi="Arial Narrow" w:cstheme="majorBidi"/>
                <w:sz w:val="20"/>
                <w:szCs w:val="20"/>
              </w:rPr>
              <w:t>14</w:t>
            </w:r>
            <w:r w:rsidRPr="00DB3D39">
              <w:rPr>
                <w:rFonts w:ascii="Arial Narrow" w:eastAsiaTheme="majorEastAsia" w:hAnsi="Arial Narrow" w:cstheme="majorBidi"/>
                <w:bCs/>
                <w:sz w:val="20"/>
                <w:szCs w:val="20"/>
              </w:rPr>
              <w:t xml:space="preserve">/2442 </w:t>
            </w:r>
            <w:r w:rsidRPr="00DB3D39">
              <w:rPr>
                <w:rFonts w:ascii="Arial Narrow" w:eastAsiaTheme="majorEastAsia" w:hAnsi="Arial Narrow" w:cstheme="majorBidi"/>
                <w:sz w:val="20"/>
                <w:szCs w:val="20"/>
              </w:rPr>
              <w:t>(0.6%)</w:t>
            </w:r>
          </w:p>
        </w:tc>
        <w:tc>
          <w:tcPr>
            <w:tcW w:w="1309" w:type="pct"/>
            <w:tcBorders>
              <w:top w:val="nil"/>
              <w:bottom w:val="nil"/>
            </w:tcBorders>
            <w:shd w:val="clear" w:color="auto" w:fill="auto"/>
            <w:vAlign w:val="center"/>
          </w:tcPr>
          <w:p w14:paraId="3BDD073C" w14:textId="77777777" w:rsidR="00780388" w:rsidRPr="00DB3D39" w:rsidRDefault="00780388">
            <w:pPr>
              <w:keepNext/>
              <w:keepLines/>
              <w:jc w:val="left"/>
              <w:rPr>
                <w:rFonts w:ascii="Arial Narrow" w:eastAsiaTheme="majorEastAsia" w:hAnsi="Arial Narrow" w:cstheme="majorBidi"/>
                <w:sz w:val="20"/>
                <w:szCs w:val="20"/>
              </w:rPr>
            </w:pPr>
            <w:r w:rsidRPr="00DB3D39">
              <w:rPr>
                <w:rFonts w:ascii="Arial Narrow" w:eastAsiaTheme="majorEastAsia" w:hAnsi="Arial Narrow" w:cstheme="majorBidi"/>
                <w:b/>
                <w:sz w:val="20"/>
                <w:szCs w:val="20"/>
              </w:rPr>
              <w:t>0.27 (0.26, 0.29); p &lt; 0.0001</w:t>
            </w:r>
          </w:p>
        </w:tc>
      </w:tr>
      <w:tr w:rsidR="00780388" w:rsidRPr="00DB3D39" w14:paraId="5B4B05FF" w14:textId="77777777" w:rsidTr="008336EA">
        <w:trPr>
          <w:cantSplit/>
        </w:trPr>
        <w:tc>
          <w:tcPr>
            <w:tcW w:w="1727" w:type="pct"/>
            <w:tcBorders>
              <w:top w:val="nil"/>
              <w:bottom w:val="nil"/>
            </w:tcBorders>
            <w:shd w:val="clear" w:color="auto" w:fill="auto"/>
          </w:tcPr>
          <w:p w14:paraId="15C56F22" w14:textId="77777777" w:rsidR="00780388" w:rsidRPr="00DB3D39" w:rsidRDefault="00780388">
            <w:pPr>
              <w:keepNext/>
              <w:keepLines/>
              <w:jc w:val="left"/>
              <w:rPr>
                <w:rFonts w:ascii="Arial Narrow" w:eastAsiaTheme="majorEastAsia" w:hAnsi="Arial Narrow" w:cstheme="majorBidi"/>
                <w:sz w:val="20"/>
                <w:szCs w:val="20"/>
              </w:rPr>
            </w:pPr>
            <w:r w:rsidRPr="00DB3D39">
              <w:rPr>
                <w:rFonts w:ascii="Arial Narrow" w:eastAsiaTheme="majorEastAsia" w:hAnsi="Arial Narrow" w:cstheme="majorBidi"/>
                <w:sz w:val="20"/>
                <w:szCs w:val="20"/>
              </w:rPr>
              <w:t xml:space="preserve">Neutrophil count decreased </w:t>
            </w:r>
          </w:p>
        </w:tc>
        <w:tc>
          <w:tcPr>
            <w:tcW w:w="943" w:type="pct"/>
            <w:tcBorders>
              <w:top w:val="nil"/>
              <w:bottom w:val="nil"/>
            </w:tcBorders>
            <w:shd w:val="clear" w:color="auto" w:fill="auto"/>
            <w:vAlign w:val="center"/>
          </w:tcPr>
          <w:p w14:paraId="524530A9" w14:textId="77777777" w:rsidR="00780388" w:rsidRPr="00DB3D39" w:rsidRDefault="00780388" w:rsidP="00DB0083">
            <w:pPr>
              <w:keepNext/>
              <w:keepLines/>
              <w:jc w:val="center"/>
              <w:rPr>
                <w:rFonts w:ascii="Arial Narrow" w:eastAsiaTheme="majorEastAsia" w:hAnsi="Arial Narrow" w:cstheme="majorBidi"/>
                <w:sz w:val="20"/>
                <w:szCs w:val="20"/>
              </w:rPr>
            </w:pPr>
            <w:r w:rsidRPr="00DB3D39">
              <w:rPr>
                <w:rFonts w:ascii="Arial Narrow" w:eastAsiaTheme="majorEastAsia" w:hAnsi="Arial Narrow" w:cstheme="majorBidi"/>
                <w:sz w:val="20"/>
                <w:szCs w:val="20"/>
              </w:rPr>
              <w:t>448</w:t>
            </w:r>
            <w:r w:rsidRPr="00DB3D39">
              <w:rPr>
                <w:rFonts w:ascii="Arial Narrow" w:eastAsiaTheme="majorEastAsia" w:hAnsi="Arial Narrow" w:cstheme="majorBidi"/>
                <w:bCs/>
                <w:sz w:val="20"/>
                <w:szCs w:val="20"/>
              </w:rPr>
              <w:t xml:space="preserve">/2525 </w:t>
            </w:r>
            <w:r w:rsidRPr="00DB3D39">
              <w:rPr>
                <w:rFonts w:ascii="Arial Narrow" w:eastAsiaTheme="majorEastAsia" w:hAnsi="Arial Narrow" w:cstheme="majorBidi"/>
                <w:sz w:val="20"/>
                <w:szCs w:val="20"/>
              </w:rPr>
              <w:t>(17.7%)</w:t>
            </w:r>
          </w:p>
        </w:tc>
        <w:tc>
          <w:tcPr>
            <w:tcW w:w="1021" w:type="pct"/>
            <w:tcBorders>
              <w:top w:val="nil"/>
              <w:bottom w:val="nil"/>
            </w:tcBorders>
            <w:shd w:val="clear" w:color="auto" w:fill="auto"/>
            <w:vAlign w:val="center"/>
          </w:tcPr>
          <w:p w14:paraId="43689DE8" w14:textId="77777777" w:rsidR="00780388" w:rsidRPr="00DB3D39" w:rsidRDefault="00780388" w:rsidP="00DB0083">
            <w:pPr>
              <w:keepNext/>
              <w:keepLines/>
              <w:jc w:val="center"/>
              <w:rPr>
                <w:rFonts w:ascii="Arial Narrow" w:eastAsiaTheme="majorEastAsia" w:hAnsi="Arial Narrow" w:cstheme="majorBidi"/>
                <w:sz w:val="20"/>
                <w:szCs w:val="20"/>
              </w:rPr>
            </w:pPr>
            <w:r w:rsidRPr="00DB3D39">
              <w:rPr>
                <w:rFonts w:ascii="Arial Narrow" w:eastAsiaTheme="majorEastAsia" w:hAnsi="Arial Narrow" w:cstheme="majorBidi"/>
                <w:sz w:val="20"/>
                <w:szCs w:val="20"/>
              </w:rPr>
              <w:t>8</w:t>
            </w:r>
            <w:r w:rsidRPr="00DB3D39">
              <w:rPr>
                <w:rFonts w:ascii="Arial Narrow" w:eastAsiaTheme="majorEastAsia" w:hAnsi="Arial Narrow" w:cstheme="majorBidi"/>
                <w:bCs/>
                <w:sz w:val="20"/>
                <w:szCs w:val="20"/>
              </w:rPr>
              <w:t xml:space="preserve">/ 2442 </w:t>
            </w:r>
            <w:r w:rsidRPr="00DB3D39">
              <w:rPr>
                <w:rFonts w:ascii="Arial Narrow" w:eastAsiaTheme="majorEastAsia" w:hAnsi="Arial Narrow" w:cstheme="majorBidi"/>
                <w:sz w:val="20"/>
                <w:szCs w:val="20"/>
              </w:rPr>
              <w:t>(0.3%)</w:t>
            </w:r>
          </w:p>
        </w:tc>
        <w:tc>
          <w:tcPr>
            <w:tcW w:w="1309" w:type="pct"/>
            <w:tcBorders>
              <w:top w:val="nil"/>
              <w:bottom w:val="nil"/>
            </w:tcBorders>
            <w:shd w:val="clear" w:color="auto" w:fill="auto"/>
            <w:vAlign w:val="center"/>
          </w:tcPr>
          <w:p w14:paraId="1F7EB74F" w14:textId="77777777" w:rsidR="00780388" w:rsidRPr="00DB3D39" w:rsidRDefault="00780388">
            <w:pPr>
              <w:keepNext/>
              <w:keepLines/>
              <w:jc w:val="left"/>
              <w:rPr>
                <w:rFonts w:ascii="Arial Narrow" w:eastAsiaTheme="majorEastAsia" w:hAnsi="Arial Narrow" w:cstheme="majorBidi"/>
                <w:sz w:val="20"/>
                <w:szCs w:val="20"/>
              </w:rPr>
            </w:pPr>
            <w:r w:rsidRPr="00DB3D39">
              <w:rPr>
                <w:rFonts w:ascii="Arial Narrow" w:eastAsiaTheme="majorEastAsia" w:hAnsi="Arial Narrow" w:cstheme="majorBidi"/>
                <w:b/>
                <w:sz w:val="20"/>
                <w:szCs w:val="20"/>
              </w:rPr>
              <w:t>0.17 (0.16, 0.19); p &lt; 0.0001</w:t>
            </w:r>
          </w:p>
        </w:tc>
      </w:tr>
      <w:tr w:rsidR="00780388" w:rsidRPr="00DB3D39" w14:paraId="0797ABA4" w14:textId="77777777" w:rsidTr="008336EA">
        <w:trPr>
          <w:cantSplit/>
        </w:trPr>
        <w:tc>
          <w:tcPr>
            <w:tcW w:w="1727" w:type="pct"/>
            <w:tcBorders>
              <w:top w:val="nil"/>
              <w:bottom w:val="nil"/>
            </w:tcBorders>
            <w:shd w:val="clear" w:color="auto" w:fill="auto"/>
          </w:tcPr>
          <w:p w14:paraId="6831FF98" w14:textId="77777777" w:rsidR="00780388" w:rsidRPr="00DB3D39" w:rsidRDefault="00780388">
            <w:pPr>
              <w:keepNext/>
              <w:keepLines/>
              <w:jc w:val="left"/>
              <w:rPr>
                <w:rFonts w:ascii="Arial Narrow" w:eastAsiaTheme="majorEastAsia" w:hAnsi="Arial Narrow" w:cstheme="majorBidi"/>
                <w:sz w:val="20"/>
                <w:szCs w:val="20"/>
              </w:rPr>
            </w:pPr>
            <w:r w:rsidRPr="00DB3D39">
              <w:rPr>
                <w:rFonts w:ascii="Arial Narrow" w:eastAsiaTheme="majorEastAsia" w:hAnsi="Arial Narrow" w:cstheme="majorBidi"/>
                <w:sz w:val="20"/>
                <w:szCs w:val="20"/>
              </w:rPr>
              <w:t xml:space="preserve">Alanine aminotransferase increased </w:t>
            </w:r>
          </w:p>
        </w:tc>
        <w:tc>
          <w:tcPr>
            <w:tcW w:w="943" w:type="pct"/>
            <w:tcBorders>
              <w:top w:val="nil"/>
              <w:bottom w:val="nil"/>
            </w:tcBorders>
            <w:shd w:val="clear" w:color="auto" w:fill="auto"/>
            <w:vAlign w:val="center"/>
          </w:tcPr>
          <w:p w14:paraId="61276300" w14:textId="77777777" w:rsidR="00780388" w:rsidRPr="00DB3D39" w:rsidRDefault="00780388" w:rsidP="00DB0083">
            <w:pPr>
              <w:keepNext/>
              <w:keepLines/>
              <w:jc w:val="center"/>
              <w:rPr>
                <w:rFonts w:ascii="Arial Narrow" w:eastAsiaTheme="majorEastAsia" w:hAnsi="Arial Narrow" w:cstheme="majorBidi"/>
                <w:sz w:val="20"/>
                <w:szCs w:val="20"/>
              </w:rPr>
            </w:pPr>
            <w:r w:rsidRPr="00DB3D39">
              <w:rPr>
                <w:rFonts w:ascii="Arial Narrow" w:eastAsiaTheme="majorEastAsia" w:hAnsi="Arial Narrow" w:cstheme="majorBidi"/>
                <w:sz w:val="20"/>
                <w:szCs w:val="20"/>
              </w:rPr>
              <w:t>192</w:t>
            </w:r>
            <w:r w:rsidRPr="00DB3D39">
              <w:rPr>
                <w:rFonts w:ascii="Arial Narrow" w:eastAsiaTheme="majorEastAsia" w:hAnsi="Arial Narrow" w:cstheme="majorBidi"/>
                <w:bCs/>
                <w:sz w:val="20"/>
                <w:szCs w:val="20"/>
              </w:rPr>
              <w:t xml:space="preserve">/2525 </w:t>
            </w:r>
            <w:r w:rsidRPr="00DB3D39">
              <w:rPr>
                <w:rFonts w:ascii="Arial Narrow" w:eastAsiaTheme="majorEastAsia" w:hAnsi="Arial Narrow" w:cstheme="majorBidi"/>
                <w:sz w:val="20"/>
                <w:szCs w:val="20"/>
              </w:rPr>
              <w:t>(7.6%)</w:t>
            </w:r>
          </w:p>
        </w:tc>
        <w:tc>
          <w:tcPr>
            <w:tcW w:w="1021" w:type="pct"/>
            <w:tcBorders>
              <w:top w:val="nil"/>
              <w:bottom w:val="nil"/>
            </w:tcBorders>
            <w:shd w:val="clear" w:color="auto" w:fill="auto"/>
            <w:vAlign w:val="center"/>
          </w:tcPr>
          <w:p w14:paraId="3F0DEFB6" w14:textId="77777777" w:rsidR="00780388" w:rsidRPr="00DB3D39" w:rsidRDefault="00780388" w:rsidP="00DB0083">
            <w:pPr>
              <w:keepNext/>
              <w:keepLines/>
              <w:jc w:val="center"/>
              <w:rPr>
                <w:rFonts w:ascii="Arial Narrow" w:eastAsiaTheme="majorEastAsia" w:hAnsi="Arial Narrow" w:cstheme="majorBidi"/>
                <w:sz w:val="20"/>
                <w:szCs w:val="20"/>
              </w:rPr>
            </w:pPr>
            <w:r w:rsidRPr="00DB3D39">
              <w:rPr>
                <w:rFonts w:ascii="Arial Narrow" w:eastAsiaTheme="majorEastAsia" w:hAnsi="Arial Narrow" w:cstheme="majorBidi"/>
                <w:sz w:val="20"/>
                <w:szCs w:val="20"/>
              </w:rPr>
              <w:t>17</w:t>
            </w:r>
            <w:r w:rsidRPr="00DB3D39">
              <w:rPr>
                <w:rFonts w:ascii="Arial Narrow" w:eastAsiaTheme="majorEastAsia" w:hAnsi="Arial Narrow" w:cstheme="majorBidi"/>
                <w:bCs/>
                <w:sz w:val="20"/>
                <w:szCs w:val="20"/>
              </w:rPr>
              <w:t xml:space="preserve">/ 2442 </w:t>
            </w:r>
            <w:r w:rsidRPr="00DB3D39">
              <w:rPr>
                <w:rFonts w:ascii="Arial Narrow" w:eastAsiaTheme="majorEastAsia" w:hAnsi="Arial Narrow" w:cstheme="majorBidi"/>
                <w:sz w:val="20"/>
                <w:szCs w:val="20"/>
              </w:rPr>
              <w:t>(0.7%)</w:t>
            </w:r>
          </w:p>
        </w:tc>
        <w:tc>
          <w:tcPr>
            <w:tcW w:w="1309" w:type="pct"/>
            <w:tcBorders>
              <w:top w:val="nil"/>
              <w:bottom w:val="nil"/>
            </w:tcBorders>
            <w:shd w:val="clear" w:color="auto" w:fill="auto"/>
            <w:vAlign w:val="center"/>
          </w:tcPr>
          <w:p w14:paraId="14B1E47F" w14:textId="77777777" w:rsidR="00780388" w:rsidRPr="00DB3D39" w:rsidRDefault="00780388">
            <w:pPr>
              <w:keepNext/>
              <w:keepLines/>
              <w:jc w:val="left"/>
              <w:rPr>
                <w:rFonts w:ascii="Arial Narrow" w:eastAsiaTheme="majorEastAsia" w:hAnsi="Arial Narrow" w:cstheme="majorBidi"/>
                <w:sz w:val="20"/>
                <w:szCs w:val="20"/>
              </w:rPr>
            </w:pPr>
            <w:r w:rsidRPr="00DB3D39">
              <w:rPr>
                <w:rFonts w:ascii="Arial Narrow" w:eastAsiaTheme="majorEastAsia" w:hAnsi="Arial Narrow" w:cstheme="majorBidi"/>
                <w:b/>
                <w:sz w:val="20"/>
                <w:szCs w:val="20"/>
              </w:rPr>
              <w:t>0.07 (0.06, 0.08); p &lt; 0.0001</w:t>
            </w:r>
          </w:p>
        </w:tc>
      </w:tr>
      <w:tr w:rsidR="00780388" w:rsidRPr="00DB3D39" w14:paraId="713F0B5D" w14:textId="77777777" w:rsidTr="008336EA">
        <w:trPr>
          <w:cantSplit/>
        </w:trPr>
        <w:tc>
          <w:tcPr>
            <w:tcW w:w="1727" w:type="pct"/>
            <w:tcBorders>
              <w:top w:val="nil"/>
              <w:bottom w:val="nil"/>
            </w:tcBorders>
            <w:shd w:val="clear" w:color="auto" w:fill="auto"/>
          </w:tcPr>
          <w:p w14:paraId="60A05B56" w14:textId="77777777" w:rsidR="00780388" w:rsidRPr="00DB3D39" w:rsidRDefault="00780388">
            <w:pPr>
              <w:keepNext/>
              <w:keepLines/>
              <w:jc w:val="left"/>
              <w:rPr>
                <w:rFonts w:ascii="Arial Narrow" w:eastAsiaTheme="majorEastAsia" w:hAnsi="Arial Narrow" w:cstheme="majorBidi"/>
                <w:sz w:val="20"/>
                <w:szCs w:val="20"/>
              </w:rPr>
            </w:pPr>
            <w:r w:rsidRPr="00DB3D39">
              <w:rPr>
                <w:rFonts w:ascii="Arial Narrow" w:eastAsiaTheme="majorEastAsia" w:hAnsi="Arial Narrow" w:cstheme="majorBidi"/>
                <w:sz w:val="20"/>
                <w:szCs w:val="20"/>
              </w:rPr>
              <w:t xml:space="preserve">Aspartate aminotransferase increased </w:t>
            </w:r>
          </w:p>
        </w:tc>
        <w:tc>
          <w:tcPr>
            <w:tcW w:w="943" w:type="pct"/>
            <w:tcBorders>
              <w:top w:val="nil"/>
              <w:bottom w:val="nil"/>
            </w:tcBorders>
            <w:shd w:val="clear" w:color="auto" w:fill="auto"/>
            <w:vAlign w:val="center"/>
          </w:tcPr>
          <w:p w14:paraId="02DCEB41" w14:textId="77777777" w:rsidR="00780388" w:rsidRPr="00DB3D39" w:rsidRDefault="00780388" w:rsidP="00DB0083">
            <w:pPr>
              <w:keepNext/>
              <w:keepLines/>
              <w:jc w:val="center"/>
              <w:rPr>
                <w:rFonts w:ascii="Arial Narrow" w:eastAsiaTheme="majorEastAsia" w:hAnsi="Arial Narrow" w:cstheme="majorBidi"/>
                <w:sz w:val="20"/>
                <w:szCs w:val="20"/>
              </w:rPr>
            </w:pPr>
            <w:r w:rsidRPr="00DB3D39">
              <w:rPr>
                <w:rFonts w:ascii="Arial Narrow" w:eastAsiaTheme="majorEastAsia" w:hAnsi="Arial Narrow" w:cstheme="majorBidi"/>
                <w:sz w:val="20"/>
                <w:szCs w:val="20"/>
              </w:rPr>
              <w:t>118</w:t>
            </w:r>
            <w:r w:rsidRPr="00DB3D39">
              <w:rPr>
                <w:rFonts w:ascii="Arial Narrow" w:eastAsiaTheme="majorEastAsia" w:hAnsi="Arial Narrow" w:cstheme="majorBidi"/>
                <w:bCs/>
                <w:sz w:val="20"/>
                <w:szCs w:val="20"/>
              </w:rPr>
              <w:t xml:space="preserve">/2525 </w:t>
            </w:r>
            <w:r w:rsidRPr="00DB3D39">
              <w:rPr>
                <w:rFonts w:ascii="Arial Narrow" w:eastAsiaTheme="majorEastAsia" w:hAnsi="Arial Narrow" w:cstheme="majorBidi"/>
                <w:sz w:val="20"/>
                <w:szCs w:val="20"/>
              </w:rPr>
              <w:t>(4.7%)</w:t>
            </w:r>
          </w:p>
        </w:tc>
        <w:tc>
          <w:tcPr>
            <w:tcW w:w="1021" w:type="pct"/>
            <w:tcBorders>
              <w:top w:val="nil"/>
              <w:bottom w:val="nil"/>
            </w:tcBorders>
            <w:shd w:val="clear" w:color="auto" w:fill="auto"/>
            <w:vAlign w:val="center"/>
          </w:tcPr>
          <w:p w14:paraId="7039DD80" w14:textId="77777777" w:rsidR="00780388" w:rsidRPr="00DB3D39" w:rsidRDefault="00780388" w:rsidP="00DB0083">
            <w:pPr>
              <w:keepNext/>
              <w:keepLines/>
              <w:jc w:val="center"/>
              <w:rPr>
                <w:rFonts w:ascii="Arial Narrow" w:eastAsiaTheme="majorEastAsia" w:hAnsi="Arial Narrow" w:cstheme="majorBidi"/>
                <w:sz w:val="20"/>
                <w:szCs w:val="20"/>
              </w:rPr>
            </w:pPr>
            <w:r w:rsidRPr="00DB3D39">
              <w:rPr>
                <w:rFonts w:ascii="Arial Narrow" w:eastAsiaTheme="majorEastAsia" w:hAnsi="Arial Narrow" w:cstheme="majorBidi"/>
                <w:sz w:val="20"/>
                <w:szCs w:val="20"/>
              </w:rPr>
              <w:t>13</w:t>
            </w:r>
            <w:r w:rsidRPr="00DB3D39">
              <w:rPr>
                <w:rFonts w:ascii="Arial Narrow" w:eastAsiaTheme="majorEastAsia" w:hAnsi="Arial Narrow" w:cstheme="majorBidi"/>
                <w:bCs/>
                <w:sz w:val="20"/>
                <w:szCs w:val="20"/>
              </w:rPr>
              <w:t xml:space="preserve">/ 2442 </w:t>
            </w:r>
            <w:r w:rsidRPr="00DB3D39">
              <w:rPr>
                <w:rFonts w:ascii="Arial Narrow" w:eastAsiaTheme="majorEastAsia" w:hAnsi="Arial Narrow" w:cstheme="majorBidi"/>
                <w:sz w:val="20"/>
                <w:szCs w:val="20"/>
              </w:rPr>
              <w:t>(0.5%)</w:t>
            </w:r>
          </w:p>
        </w:tc>
        <w:tc>
          <w:tcPr>
            <w:tcW w:w="1309" w:type="pct"/>
            <w:tcBorders>
              <w:top w:val="nil"/>
              <w:bottom w:val="nil"/>
            </w:tcBorders>
            <w:shd w:val="clear" w:color="auto" w:fill="auto"/>
            <w:vAlign w:val="center"/>
          </w:tcPr>
          <w:p w14:paraId="76F35CE1" w14:textId="77777777" w:rsidR="00780388" w:rsidRPr="00DB3D39" w:rsidRDefault="00780388">
            <w:pPr>
              <w:keepNext/>
              <w:keepLines/>
              <w:jc w:val="left"/>
              <w:rPr>
                <w:rFonts w:ascii="Arial Narrow" w:eastAsiaTheme="majorEastAsia" w:hAnsi="Arial Narrow" w:cstheme="majorBidi"/>
                <w:sz w:val="20"/>
                <w:szCs w:val="20"/>
              </w:rPr>
            </w:pPr>
            <w:r w:rsidRPr="00DB3D39">
              <w:rPr>
                <w:rFonts w:ascii="Arial Narrow" w:eastAsiaTheme="majorEastAsia" w:hAnsi="Arial Narrow" w:cstheme="majorBidi"/>
                <w:b/>
                <w:sz w:val="20"/>
                <w:szCs w:val="20"/>
              </w:rPr>
              <w:t>0.04 (0.03, 0.05); p &lt; 0.0001</w:t>
            </w:r>
          </w:p>
        </w:tc>
      </w:tr>
      <w:tr w:rsidR="00780388" w:rsidRPr="00DB3D39" w14:paraId="78EAA560" w14:textId="77777777" w:rsidTr="008336EA">
        <w:trPr>
          <w:cantSplit/>
        </w:trPr>
        <w:tc>
          <w:tcPr>
            <w:tcW w:w="1727" w:type="pct"/>
            <w:tcBorders>
              <w:top w:val="nil"/>
              <w:bottom w:val="nil"/>
            </w:tcBorders>
            <w:shd w:val="clear" w:color="auto" w:fill="auto"/>
          </w:tcPr>
          <w:p w14:paraId="1AA3D0B8" w14:textId="77777777" w:rsidR="00780388" w:rsidRPr="00DB3D39" w:rsidRDefault="00780388">
            <w:pPr>
              <w:keepNext/>
              <w:keepLines/>
              <w:jc w:val="left"/>
              <w:rPr>
                <w:rFonts w:ascii="Arial Narrow" w:eastAsiaTheme="majorEastAsia" w:hAnsi="Arial Narrow" w:cstheme="majorBidi"/>
                <w:sz w:val="20"/>
                <w:szCs w:val="20"/>
              </w:rPr>
            </w:pPr>
            <w:r w:rsidRPr="00DB3D39">
              <w:rPr>
                <w:rFonts w:ascii="Arial Narrow" w:eastAsiaTheme="majorEastAsia" w:hAnsi="Arial Narrow" w:cstheme="majorBidi"/>
                <w:sz w:val="20"/>
                <w:szCs w:val="20"/>
              </w:rPr>
              <w:t xml:space="preserve">White blood cell count decreased </w:t>
            </w:r>
          </w:p>
        </w:tc>
        <w:tc>
          <w:tcPr>
            <w:tcW w:w="943" w:type="pct"/>
            <w:tcBorders>
              <w:top w:val="nil"/>
              <w:bottom w:val="nil"/>
            </w:tcBorders>
            <w:shd w:val="clear" w:color="auto" w:fill="auto"/>
            <w:vAlign w:val="center"/>
          </w:tcPr>
          <w:p w14:paraId="198AE5E8" w14:textId="77777777" w:rsidR="00780388" w:rsidRPr="00DB3D39" w:rsidRDefault="00780388" w:rsidP="00DB0083">
            <w:pPr>
              <w:keepNext/>
              <w:keepLines/>
              <w:jc w:val="center"/>
              <w:rPr>
                <w:rFonts w:ascii="Arial Narrow" w:eastAsiaTheme="majorEastAsia" w:hAnsi="Arial Narrow" w:cstheme="majorBidi"/>
                <w:sz w:val="20"/>
                <w:szCs w:val="20"/>
              </w:rPr>
            </w:pPr>
            <w:r w:rsidRPr="00DB3D39">
              <w:rPr>
                <w:rFonts w:ascii="Arial Narrow" w:eastAsiaTheme="majorEastAsia" w:hAnsi="Arial Narrow" w:cstheme="majorBidi"/>
                <w:sz w:val="20"/>
                <w:szCs w:val="20"/>
              </w:rPr>
              <w:t>94</w:t>
            </w:r>
            <w:r w:rsidRPr="00DB3D39">
              <w:rPr>
                <w:rFonts w:ascii="Arial Narrow" w:eastAsiaTheme="majorEastAsia" w:hAnsi="Arial Narrow" w:cstheme="majorBidi"/>
                <w:bCs/>
                <w:sz w:val="20"/>
                <w:szCs w:val="20"/>
              </w:rPr>
              <w:t xml:space="preserve">/2525 </w:t>
            </w:r>
            <w:r w:rsidRPr="00DB3D39">
              <w:rPr>
                <w:rFonts w:ascii="Arial Narrow" w:eastAsiaTheme="majorEastAsia" w:hAnsi="Arial Narrow" w:cstheme="majorBidi"/>
                <w:sz w:val="20"/>
                <w:szCs w:val="20"/>
              </w:rPr>
              <w:t>(3.7%)</w:t>
            </w:r>
          </w:p>
        </w:tc>
        <w:tc>
          <w:tcPr>
            <w:tcW w:w="1021" w:type="pct"/>
            <w:tcBorders>
              <w:top w:val="nil"/>
              <w:bottom w:val="nil"/>
            </w:tcBorders>
            <w:shd w:val="clear" w:color="auto" w:fill="auto"/>
            <w:vAlign w:val="center"/>
          </w:tcPr>
          <w:p w14:paraId="00A2BE91" w14:textId="77777777" w:rsidR="00780388" w:rsidRPr="00DB3D39" w:rsidRDefault="00780388" w:rsidP="00DB0083">
            <w:pPr>
              <w:keepNext/>
              <w:keepLines/>
              <w:jc w:val="center"/>
              <w:rPr>
                <w:rFonts w:ascii="Arial Narrow" w:eastAsiaTheme="majorEastAsia" w:hAnsi="Arial Narrow" w:cstheme="majorBidi"/>
                <w:sz w:val="20"/>
                <w:szCs w:val="20"/>
              </w:rPr>
            </w:pPr>
            <w:r w:rsidRPr="00DB3D39">
              <w:rPr>
                <w:rFonts w:ascii="Arial Narrow" w:eastAsiaTheme="majorEastAsia" w:hAnsi="Arial Narrow" w:cstheme="majorBidi"/>
                <w:sz w:val="20"/>
                <w:szCs w:val="20"/>
              </w:rPr>
              <w:t>6</w:t>
            </w:r>
            <w:r w:rsidRPr="00DB3D39">
              <w:rPr>
                <w:rFonts w:ascii="Arial Narrow" w:eastAsiaTheme="majorEastAsia" w:hAnsi="Arial Narrow" w:cstheme="majorBidi"/>
                <w:bCs/>
                <w:sz w:val="20"/>
                <w:szCs w:val="20"/>
              </w:rPr>
              <w:t xml:space="preserve">/ 2442 </w:t>
            </w:r>
            <w:r w:rsidRPr="00DB3D39">
              <w:rPr>
                <w:rFonts w:ascii="Arial Narrow" w:eastAsiaTheme="majorEastAsia" w:hAnsi="Arial Narrow" w:cstheme="majorBidi"/>
                <w:sz w:val="20"/>
                <w:szCs w:val="20"/>
              </w:rPr>
              <w:t>(0.3%)</w:t>
            </w:r>
          </w:p>
        </w:tc>
        <w:tc>
          <w:tcPr>
            <w:tcW w:w="1309" w:type="pct"/>
            <w:tcBorders>
              <w:top w:val="nil"/>
              <w:bottom w:val="nil"/>
            </w:tcBorders>
            <w:shd w:val="clear" w:color="auto" w:fill="auto"/>
            <w:vAlign w:val="center"/>
          </w:tcPr>
          <w:p w14:paraId="7E756683" w14:textId="77777777" w:rsidR="00780388" w:rsidRPr="00DB3D39" w:rsidRDefault="00780388">
            <w:pPr>
              <w:keepNext/>
              <w:keepLines/>
              <w:jc w:val="left"/>
              <w:rPr>
                <w:rFonts w:ascii="Arial Narrow" w:eastAsiaTheme="majorEastAsia" w:hAnsi="Arial Narrow" w:cstheme="majorBidi"/>
                <w:sz w:val="20"/>
                <w:szCs w:val="20"/>
              </w:rPr>
            </w:pPr>
            <w:r w:rsidRPr="00DB3D39">
              <w:rPr>
                <w:rFonts w:ascii="Arial Narrow" w:eastAsiaTheme="majorEastAsia" w:hAnsi="Arial Narrow" w:cstheme="majorBidi"/>
                <w:b/>
                <w:sz w:val="20"/>
                <w:szCs w:val="20"/>
              </w:rPr>
              <w:t>0.03 (0.03, 0.04); p &lt; 0.0001</w:t>
            </w:r>
          </w:p>
        </w:tc>
      </w:tr>
      <w:tr w:rsidR="00780388" w:rsidRPr="00DB3D39" w14:paraId="5F3B52F9" w14:textId="77777777" w:rsidTr="008336EA">
        <w:trPr>
          <w:cantSplit/>
        </w:trPr>
        <w:tc>
          <w:tcPr>
            <w:tcW w:w="1727" w:type="pct"/>
            <w:tcBorders>
              <w:top w:val="nil"/>
              <w:bottom w:val="single" w:sz="4" w:space="0" w:color="auto"/>
            </w:tcBorders>
            <w:shd w:val="clear" w:color="auto" w:fill="auto"/>
          </w:tcPr>
          <w:p w14:paraId="5CD74DEF" w14:textId="77777777" w:rsidR="00780388" w:rsidRPr="00DB3D39" w:rsidRDefault="00780388">
            <w:pPr>
              <w:keepNext/>
              <w:keepLines/>
              <w:jc w:val="left"/>
              <w:rPr>
                <w:rFonts w:ascii="Arial Narrow" w:eastAsiaTheme="majorEastAsia" w:hAnsi="Arial Narrow" w:cstheme="majorBidi"/>
                <w:sz w:val="20"/>
                <w:szCs w:val="20"/>
              </w:rPr>
            </w:pPr>
            <w:r w:rsidRPr="00DB3D39">
              <w:rPr>
                <w:rFonts w:ascii="Arial Narrow" w:eastAsiaTheme="majorEastAsia" w:hAnsi="Arial Narrow" w:cstheme="majorBidi"/>
                <w:sz w:val="20"/>
                <w:szCs w:val="20"/>
              </w:rPr>
              <w:t xml:space="preserve">Leukopenia </w:t>
            </w:r>
          </w:p>
        </w:tc>
        <w:tc>
          <w:tcPr>
            <w:tcW w:w="943" w:type="pct"/>
            <w:tcBorders>
              <w:top w:val="nil"/>
              <w:bottom w:val="single" w:sz="4" w:space="0" w:color="auto"/>
            </w:tcBorders>
            <w:shd w:val="clear" w:color="auto" w:fill="auto"/>
            <w:vAlign w:val="center"/>
          </w:tcPr>
          <w:p w14:paraId="4AD59F9E" w14:textId="77777777" w:rsidR="00780388" w:rsidRPr="00DB3D39" w:rsidRDefault="00780388" w:rsidP="00DB0083">
            <w:pPr>
              <w:keepNext/>
              <w:keepLines/>
              <w:jc w:val="center"/>
              <w:rPr>
                <w:rFonts w:ascii="Arial Narrow" w:eastAsiaTheme="majorEastAsia" w:hAnsi="Arial Narrow" w:cstheme="majorBidi"/>
                <w:sz w:val="20"/>
                <w:szCs w:val="20"/>
              </w:rPr>
            </w:pPr>
            <w:r w:rsidRPr="00DB3D39">
              <w:rPr>
                <w:rFonts w:ascii="Arial Narrow" w:eastAsiaTheme="majorEastAsia" w:hAnsi="Arial Narrow" w:cstheme="majorBidi"/>
                <w:sz w:val="20"/>
                <w:szCs w:val="20"/>
              </w:rPr>
              <w:t>94</w:t>
            </w:r>
            <w:r w:rsidRPr="00DB3D39">
              <w:rPr>
                <w:rFonts w:ascii="Arial Narrow" w:eastAsiaTheme="majorEastAsia" w:hAnsi="Arial Narrow" w:cstheme="majorBidi"/>
                <w:bCs/>
                <w:sz w:val="20"/>
                <w:szCs w:val="20"/>
              </w:rPr>
              <w:t xml:space="preserve">/2525 </w:t>
            </w:r>
            <w:r w:rsidRPr="00DB3D39">
              <w:rPr>
                <w:rFonts w:ascii="Arial Narrow" w:eastAsiaTheme="majorEastAsia" w:hAnsi="Arial Narrow" w:cstheme="majorBidi"/>
                <w:sz w:val="20"/>
                <w:szCs w:val="20"/>
              </w:rPr>
              <w:t>(3.7%)</w:t>
            </w:r>
          </w:p>
        </w:tc>
        <w:tc>
          <w:tcPr>
            <w:tcW w:w="1021" w:type="pct"/>
            <w:tcBorders>
              <w:top w:val="nil"/>
              <w:bottom w:val="single" w:sz="4" w:space="0" w:color="auto"/>
            </w:tcBorders>
            <w:shd w:val="clear" w:color="auto" w:fill="auto"/>
            <w:vAlign w:val="center"/>
          </w:tcPr>
          <w:p w14:paraId="0059496B" w14:textId="77777777" w:rsidR="00780388" w:rsidRPr="00DB3D39" w:rsidRDefault="00780388" w:rsidP="00DB0083">
            <w:pPr>
              <w:keepNext/>
              <w:keepLines/>
              <w:jc w:val="center"/>
              <w:rPr>
                <w:rFonts w:ascii="Arial Narrow" w:eastAsiaTheme="majorEastAsia" w:hAnsi="Arial Narrow" w:cstheme="majorBidi"/>
                <w:sz w:val="20"/>
                <w:szCs w:val="20"/>
              </w:rPr>
            </w:pPr>
            <w:r w:rsidRPr="00DB3D39">
              <w:rPr>
                <w:rFonts w:ascii="Arial Narrow" w:eastAsiaTheme="majorEastAsia" w:hAnsi="Arial Narrow" w:cstheme="majorBidi"/>
                <w:sz w:val="20"/>
                <w:szCs w:val="20"/>
              </w:rPr>
              <w:t>2</w:t>
            </w:r>
            <w:r w:rsidRPr="00DB3D39">
              <w:rPr>
                <w:rFonts w:ascii="Arial Narrow" w:eastAsiaTheme="majorEastAsia" w:hAnsi="Arial Narrow" w:cstheme="majorBidi"/>
                <w:bCs/>
                <w:sz w:val="20"/>
                <w:szCs w:val="20"/>
              </w:rPr>
              <w:t xml:space="preserve">/ 2442 </w:t>
            </w:r>
            <w:r w:rsidRPr="00DB3D39">
              <w:rPr>
                <w:rFonts w:ascii="Arial Narrow" w:eastAsiaTheme="majorEastAsia" w:hAnsi="Arial Narrow" w:cstheme="majorBidi"/>
                <w:sz w:val="20"/>
                <w:szCs w:val="20"/>
              </w:rPr>
              <w:t>(0.1%)</w:t>
            </w:r>
          </w:p>
        </w:tc>
        <w:tc>
          <w:tcPr>
            <w:tcW w:w="1309" w:type="pct"/>
            <w:tcBorders>
              <w:top w:val="nil"/>
              <w:bottom w:val="single" w:sz="4" w:space="0" w:color="auto"/>
            </w:tcBorders>
            <w:shd w:val="clear" w:color="auto" w:fill="auto"/>
            <w:vAlign w:val="center"/>
          </w:tcPr>
          <w:p w14:paraId="7C623940" w14:textId="77777777" w:rsidR="00780388" w:rsidRPr="00DB3D39" w:rsidRDefault="00780388">
            <w:pPr>
              <w:keepNext/>
              <w:keepLines/>
              <w:jc w:val="left"/>
              <w:rPr>
                <w:rFonts w:ascii="Arial Narrow" w:eastAsiaTheme="majorEastAsia" w:hAnsi="Arial Narrow" w:cstheme="majorBidi"/>
                <w:sz w:val="20"/>
                <w:szCs w:val="20"/>
              </w:rPr>
            </w:pPr>
            <w:r w:rsidRPr="00DB3D39">
              <w:rPr>
                <w:rFonts w:ascii="Arial Narrow" w:eastAsiaTheme="majorEastAsia" w:hAnsi="Arial Narrow" w:cstheme="majorBidi"/>
                <w:b/>
                <w:sz w:val="20"/>
                <w:szCs w:val="20"/>
              </w:rPr>
              <w:t>0.04 (0.03, 0.04); p &lt; 0.0001</w:t>
            </w:r>
          </w:p>
        </w:tc>
      </w:tr>
      <w:tr w:rsidR="005D57AC" w:rsidRPr="00DB3D39" w14:paraId="4915DF7A" w14:textId="77777777" w:rsidTr="008336EA">
        <w:trPr>
          <w:cantSplit/>
        </w:trPr>
        <w:tc>
          <w:tcPr>
            <w:tcW w:w="1727" w:type="pct"/>
            <w:tcBorders>
              <w:top w:val="nil"/>
              <w:bottom w:val="single" w:sz="4" w:space="0" w:color="auto"/>
            </w:tcBorders>
            <w:shd w:val="clear" w:color="auto" w:fill="auto"/>
          </w:tcPr>
          <w:p w14:paraId="67E91081" w14:textId="719730C8" w:rsidR="005D57AC" w:rsidRPr="00DB3D39" w:rsidRDefault="005D57AC">
            <w:pPr>
              <w:keepNext/>
              <w:keepLines/>
              <w:jc w:val="left"/>
              <w:rPr>
                <w:rFonts w:ascii="Arial Narrow" w:eastAsiaTheme="majorEastAsia" w:hAnsi="Arial Narrow" w:cstheme="majorBidi"/>
                <w:sz w:val="20"/>
                <w:szCs w:val="20"/>
              </w:rPr>
            </w:pPr>
            <w:r w:rsidRPr="00DB3D39">
              <w:rPr>
                <w:rFonts w:ascii="Arial Narrow" w:eastAsiaTheme="majorEastAsia" w:hAnsi="Arial Narrow" w:cstheme="majorBidi"/>
                <w:sz w:val="20"/>
                <w:szCs w:val="20"/>
              </w:rPr>
              <w:t>Diarrhoea</w:t>
            </w:r>
          </w:p>
        </w:tc>
        <w:tc>
          <w:tcPr>
            <w:tcW w:w="943" w:type="pct"/>
            <w:tcBorders>
              <w:top w:val="nil"/>
              <w:bottom w:val="single" w:sz="4" w:space="0" w:color="auto"/>
            </w:tcBorders>
            <w:shd w:val="clear" w:color="auto" w:fill="auto"/>
            <w:vAlign w:val="center"/>
          </w:tcPr>
          <w:p w14:paraId="732B1A46" w14:textId="79639DD9" w:rsidR="005D57AC" w:rsidRPr="00DB3D39" w:rsidRDefault="005D57AC" w:rsidP="00DB0083">
            <w:pPr>
              <w:keepNext/>
              <w:keepLines/>
              <w:jc w:val="center"/>
              <w:rPr>
                <w:rFonts w:ascii="Arial Narrow" w:eastAsiaTheme="majorEastAsia" w:hAnsi="Arial Narrow" w:cstheme="majorBidi"/>
                <w:sz w:val="20"/>
                <w:szCs w:val="20"/>
              </w:rPr>
            </w:pPr>
            <w:r w:rsidRPr="00DB3D39">
              <w:rPr>
                <w:rFonts w:ascii="Arial Narrow" w:eastAsiaTheme="majorEastAsia" w:hAnsi="Arial Narrow" w:cstheme="majorBidi"/>
                <w:sz w:val="20"/>
                <w:szCs w:val="20"/>
              </w:rPr>
              <w:t>366 / 2525 (14.5%)</w:t>
            </w:r>
          </w:p>
        </w:tc>
        <w:tc>
          <w:tcPr>
            <w:tcW w:w="1021" w:type="pct"/>
            <w:tcBorders>
              <w:top w:val="nil"/>
              <w:bottom w:val="single" w:sz="4" w:space="0" w:color="auto"/>
            </w:tcBorders>
            <w:shd w:val="clear" w:color="auto" w:fill="auto"/>
            <w:vAlign w:val="center"/>
          </w:tcPr>
          <w:p w14:paraId="579BE178" w14:textId="365F678A" w:rsidR="005D57AC" w:rsidRPr="00DB3D39" w:rsidRDefault="00563714" w:rsidP="00DB0083">
            <w:pPr>
              <w:keepNext/>
              <w:keepLines/>
              <w:jc w:val="center"/>
              <w:rPr>
                <w:rFonts w:ascii="Arial Narrow" w:eastAsiaTheme="majorEastAsia" w:hAnsi="Arial Narrow" w:cstheme="majorBidi"/>
                <w:sz w:val="20"/>
                <w:szCs w:val="20"/>
              </w:rPr>
            </w:pPr>
            <w:r w:rsidRPr="00DB3D39">
              <w:rPr>
                <w:rFonts w:ascii="Arial Narrow" w:eastAsiaTheme="majorEastAsia" w:hAnsi="Arial Narrow" w:cstheme="majorBidi"/>
                <w:sz w:val="20"/>
                <w:szCs w:val="20"/>
              </w:rPr>
              <w:t>135 / 2442 (5.53%)</w:t>
            </w:r>
          </w:p>
        </w:tc>
        <w:tc>
          <w:tcPr>
            <w:tcW w:w="1309" w:type="pct"/>
            <w:tcBorders>
              <w:top w:val="nil"/>
              <w:bottom w:val="single" w:sz="4" w:space="0" w:color="auto"/>
            </w:tcBorders>
            <w:shd w:val="clear" w:color="auto" w:fill="auto"/>
            <w:vAlign w:val="center"/>
          </w:tcPr>
          <w:p w14:paraId="1225A41E" w14:textId="3CC3BBDE" w:rsidR="005D57AC" w:rsidRPr="00DB3D39" w:rsidRDefault="00563714">
            <w:pPr>
              <w:keepNext/>
              <w:keepLines/>
              <w:jc w:val="left"/>
              <w:rPr>
                <w:rFonts w:ascii="Arial Narrow" w:eastAsiaTheme="majorEastAsia" w:hAnsi="Arial Narrow" w:cstheme="majorBidi"/>
                <w:bCs/>
                <w:sz w:val="20"/>
                <w:szCs w:val="20"/>
              </w:rPr>
            </w:pPr>
            <w:r w:rsidRPr="00DB3D39">
              <w:rPr>
                <w:rFonts w:ascii="Arial Narrow" w:eastAsiaTheme="majorEastAsia" w:hAnsi="Arial Narrow" w:cstheme="majorBidi"/>
                <w:bCs/>
                <w:sz w:val="20"/>
                <w:szCs w:val="20"/>
              </w:rPr>
              <w:t>NR</w:t>
            </w:r>
          </w:p>
        </w:tc>
      </w:tr>
      <w:tr w:rsidR="00021237" w:rsidRPr="00DB3D39" w14:paraId="0F8E7DB5" w14:textId="77777777" w:rsidTr="00021237">
        <w:trPr>
          <w:cantSplit/>
        </w:trPr>
        <w:tc>
          <w:tcPr>
            <w:tcW w:w="5000" w:type="pct"/>
            <w:gridSpan w:val="4"/>
            <w:tcBorders>
              <w:top w:val="nil"/>
              <w:bottom w:val="single" w:sz="4" w:space="0" w:color="auto"/>
            </w:tcBorders>
            <w:shd w:val="clear" w:color="auto" w:fill="auto"/>
          </w:tcPr>
          <w:p w14:paraId="02B25C60" w14:textId="3C1658F7" w:rsidR="00021237" w:rsidRPr="00DB3D39" w:rsidRDefault="00021237">
            <w:pPr>
              <w:keepNext/>
              <w:keepLines/>
              <w:jc w:val="left"/>
              <w:rPr>
                <w:rFonts w:ascii="Arial Narrow" w:eastAsiaTheme="majorEastAsia" w:hAnsi="Arial Narrow" w:cstheme="majorBidi"/>
                <w:b/>
                <w:bCs/>
                <w:sz w:val="20"/>
                <w:szCs w:val="20"/>
              </w:rPr>
            </w:pPr>
            <w:r w:rsidRPr="00DB3D39">
              <w:rPr>
                <w:rFonts w:ascii="Arial Narrow" w:eastAsiaTheme="majorEastAsia" w:hAnsi="Arial Narrow" w:cs="Times New Roman"/>
                <w:b/>
                <w:bCs/>
                <w:snapToGrid w:val="0"/>
                <w:sz w:val="20"/>
                <w:szCs w:val="20"/>
              </w:rPr>
              <w:t>NATALEE (safety set matching the PBS subgroup) July 2023 DCO (median follow-up 40.3 mths)</w:t>
            </w:r>
          </w:p>
        </w:tc>
      </w:tr>
      <w:tr w:rsidR="00021237" w:rsidRPr="00DB3D39" w14:paraId="49C91E77" w14:textId="77777777" w:rsidTr="008336EA">
        <w:trPr>
          <w:cantSplit/>
        </w:trPr>
        <w:tc>
          <w:tcPr>
            <w:tcW w:w="1727" w:type="pct"/>
            <w:tcBorders>
              <w:top w:val="nil"/>
              <w:bottom w:val="single" w:sz="4" w:space="0" w:color="auto"/>
            </w:tcBorders>
            <w:shd w:val="clear" w:color="auto" w:fill="auto"/>
          </w:tcPr>
          <w:p w14:paraId="11D45906" w14:textId="1C86C79F" w:rsidR="00021237" w:rsidRPr="00DB3D39" w:rsidRDefault="00021237" w:rsidP="00021237">
            <w:pPr>
              <w:keepNext/>
              <w:keepLines/>
              <w:jc w:val="left"/>
              <w:rPr>
                <w:rFonts w:ascii="Arial Narrow" w:eastAsiaTheme="majorEastAsia" w:hAnsi="Arial Narrow" w:cstheme="majorBidi"/>
                <w:sz w:val="20"/>
                <w:szCs w:val="20"/>
              </w:rPr>
            </w:pPr>
            <w:r w:rsidRPr="00DB3D39">
              <w:rPr>
                <w:rFonts w:ascii="Arial Narrow" w:eastAsiaTheme="majorEastAsia" w:hAnsi="Arial Narrow" w:cs="Times New Roman"/>
                <w:snapToGrid w:val="0"/>
                <w:sz w:val="20"/>
                <w:szCs w:val="20"/>
              </w:rPr>
              <w:t xml:space="preserve">Neutropenia </w:t>
            </w:r>
          </w:p>
        </w:tc>
        <w:tc>
          <w:tcPr>
            <w:tcW w:w="943" w:type="pct"/>
            <w:tcBorders>
              <w:top w:val="nil"/>
              <w:bottom w:val="single" w:sz="4" w:space="0" w:color="auto"/>
            </w:tcBorders>
            <w:shd w:val="clear" w:color="auto" w:fill="auto"/>
            <w:vAlign w:val="center"/>
          </w:tcPr>
          <w:p w14:paraId="1A6803F0" w14:textId="1B313506" w:rsidR="00021237" w:rsidRPr="00DB3D39" w:rsidRDefault="00021237" w:rsidP="00DB0083">
            <w:pPr>
              <w:keepNext/>
              <w:keepLines/>
              <w:jc w:val="center"/>
              <w:rPr>
                <w:rFonts w:ascii="Arial Narrow" w:eastAsiaTheme="majorEastAsia" w:hAnsi="Arial Narrow" w:cstheme="majorBidi"/>
                <w:sz w:val="20"/>
                <w:szCs w:val="20"/>
              </w:rPr>
            </w:pPr>
            <w:r w:rsidRPr="00DB3D39">
              <w:rPr>
                <w:rFonts w:ascii="Arial Narrow" w:hAnsi="Arial Narrow"/>
                <w:sz w:val="20"/>
                <w:szCs w:val="20"/>
              </w:rPr>
              <w:t>465</w:t>
            </w:r>
            <w:r w:rsidR="000D3872" w:rsidRPr="00DB3D39">
              <w:rPr>
                <w:rFonts w:ascii="Arial Narrow" w:hAnsi="Arial Narrow"/>
                <w:sz w:val="20"/>
                <w:szCs w:val="20"/>
              </w:rPr>
              <w:t xml:space="preserve"> </w:t>
            </w:r>
            <w:r w:rsidR="00167A76" w:rsidRPr="00DB3D39">
              <w:rPr>
                <w:rFonts w:ascii="Arial Narrow" w:hAnsi="Arial Narrow"/>
                <w:sz w:val="20"/>
                <w:szCs w:val="20"/>
              </w:rPr>
              <w:t>/1644 (28.3)</w:t>
            </w:r>
          </w:p>
        </w:tc>
        <w:tc>
          <w:tcPr>
            <w:tcW w:w="1021" w:type="pct"/>
            <w:tcBorders>
              <w:top w:val="nil"/>
              <w:bottom w:val="single" w:sz="4" w:space="0" w:color="auto"/>
            </w:tcBorders>
            <w:shd w:val="clear" w:color="auto" w:fill="auto"/>
            <w:vAlign w:val="center"/>
          </w:tcPr>
          <w:p w14:paraId="236BCFFA" w14:textId="2D3195FC" w:rsidR="00021237" w:rsidRPr="00DB3D39" w:rsidRDefault="00021237" w:rsidP="00DB0083">
            <w:pPr>
              <w:keepNext/>
              <w:keepLines/>
              <w:jc w:val="center"/>
              <w:rPr>
                <w:rFonts w:ascii="Arial Narrow" w:eastAsiaTheme="majorEastAsia" w:hAnsi="Arial Narrow" w:cstheme="majorBidi"/>
                <w:sz w:val="20"/>
                <w:szCs w:val="20"/>
              </w:rPr>
            </w:pPr>
            <w:r w:rsidRPr="00DB3D39">
              <w:rPr>
                <w:rFonts w:ascii="Arial Narrow" w:hAnsi="Arial Narrow"/>
                <w:sz w:val="20"/>
                <w:szCs w:val="20"/>
              </w:rPr>
              <w:t>6</w:t>
            </w:r>
            <w:r w:rsidR="000D3872" w:rsidRPr="00DB3D39">
              <w:rPr>
                <w:rFonts w:ascii="Arial Narrow" w:hAnsi="Arial Narrow"/>
                <w:sz w:val="20"/>
                <w:szCs w:val="20"/>
              </w:rPr>
              <w:t xml:space="preserve"> / </w:t>
            </w:r>
            <w:r w:rsidR="0092107A" w:rsidRPr="00DB3D39">
              <w:rPr>
                <w:rFonts w:ascii="Arial Narrow" w:hAnsi="Arial Narrow"/>
                <w:sz w:val="20"/>
                <w:szCs w:val="20"/>
              </w:rPr>
              <w:t>1562</w:t>
            </w:r>
            <w:r w:rsidR="007E3585" w:rsidRPr="00DB3D39">
              <w:rPr>
                <w:rFonts w:ascii="Arial Narrow" w:hAnsi="Arial Narrow"/>
                <w:sz w:val="20"/>
                <w:szCs w:val="20"/>
              </w:rPr>
              <w:t xml:space="preserve"> (</w:t>
            </w:r>
            <w:r w:rsidR="00112FD1" w:rsidRPr="00DB3D39">
              <w:rPr>
                <w:rFonts w:ascii="Arial Narrow" w:hAnsi="Arial Narrow"/>
                <w:sz w:val="20"/>
                <w:szCs w:val="20"/>
              </w:rPr>
              <w:t>0.4%)</w:t>
            </w:r>
          </w:p>
        </w:tc>
        <w:tc>
          <w:tcPr>
            <w:tcW w:w="1309" w:type="pct"/>
            <w:tcBorders>
              <w:top w:val="nil"/>
              <w:bottom w:val="single" w:sz="4" w:space="0" w:color="auto"/>
            </w:tcBorders>
            <w:shd w:val="clear" w:color="auto" w:fill="auto"/>
            <w:vAlign w:val="center"/>
          </w:tcPr>
          <w:p w14:paraId="7A166FBA" w14:textId="387447E4" w:rsidR="00021237" w:rsidRPr="00DB3D39" w:rsidRDefault="00021237" w:rsidP="00DB0083">
            <w:pPr>
              <w:keepNext/>
              <w:keepLines/>
              <w:jc w:val="center"/>
              <w:rPr>
                <w:rFonts w:ascii="Arial Narrow" w:eastAsiaTheme="majorEastAsia" w:hAnsi="Arial Narrow" w:cstheme="majorBidi"/>
                <w:bCs/>
                <w:sz w:val="20"/>
                <w:szCs w:val="20"/>
              </w:rPr>
            </w:pPr>
            <w:r w:rsidRPr="00DB3D39">
              <w:rPr>
                <w:rFonts w:ascii="Arial Narrow" w:eastAsiaTheme="majorEastAsia" w:hAnsi="Arial Narrow" w:cstheme="majorBidi"/>
                <w:bCs/>
                <w:sz w:val="20"/>
                <w:szCs w:val="20"/>
              </w:rPr>
              <w:t>NR</w:t>
            </w:r>
          </w:p>
        </w:tc>
      </w:tr>
      <w:tr w:rsidR="002E2EE3" w:rsidRPr="00DB3D39" w14:paraId="512F7896" w14:textId="77777777" w:rsidTr="008336EA">
        <w:trPr>
          <w:cantSplit/>
        </w:trPr>
        <w:tc>
          <w:tcPr>
            <w:tcW w:w="1727" w:type="pct"/>
            <w:tcBorders>
              <w:top w:val="nil"/>
              <w:bottom w:val="single" w:sz="4" w:space="0" w:color="auto"/>
            </w:tcBorders>
            <w:shd w:val="clear" w:color="auto" w:fill="auto"/>
          </w:tcPr>
          <w:p w14:paraId="25C1C521" w14:textId="7B6E7E24" w:rsidR="002E2EE3" w:rsidRPr="00DB3D39" w:rsidRDefault="002E2EE3" w:rsidP="002E2EE3">
            <w:pPr>
              <w:keepNext/>
              <w:keepLines/>
              <w:jc w:val="left"/>
              <w:rPr>
                <w:rFonts w:ascii="Arial Narrow" w:eastAsiaTheme="majorEastAsia" w:hAnsi="Arial Narrow" w:cs="Times New Roman"/>
                <w:snapToGrid w:val="0"/>
                <w:sz w:val="20"/>
                <w:szCs w:val="20"/>
              </w:rPr>
            </w:pPr>
            <w:r w:rsidRPr="00DB3D39">
              <w:rPr>
                <w:rFonts w:ascii="Arial Narrow" w:eastAsiaTheme="majorEastAsia" w:hAnsi="Arial Narrow" w:cs="Times New Roman"/>
                <w:snapToGrid w:val="0"/>
                <w:sz w:val="20"/>
                <w:szCs w:val="20"/>
              </w:rPr>
              <w:t xml:space="preserve">Leukopenia </w:t>
            </w:r>
          </w:p>
        </w:tc>
        <w:tc>
          <w:tcPr>
            <w:tcW w:w="943" w:type="pct"/>
            <w:tcBorders>
              <w:top w:val="nil"/>
              <w:bottom w:val="single" w:sz="4" w:space="0" w:color="auto"/>
            </w:tcBorders>
            <w:shd w:val="clear" w:color="auto" w:fill="auto"/>
            <w:vAlign w:val="center"/>
          </w:tcPr>
          <w:p w14:paraId="15B43831" w14:textId="58EA1A58" w:rsidR="002E2EE3" w:rsidRPr="00DB3D39" w:rsidRDefault="002E2EE3" w:rsidP="002E2EE3">
            <w:pPr>
              <w:keepNext/>
              <w:keepLines/>
              <w:jc w:val="center"/>
              <w:rPr>
                <w:rFonts w:ascii="Arial Narrow" w:hAnsi="Arial Narrow"/>
                <w:sz w:val="20"/>
                <w:szCs w:val="20"/>
              </w:rPr>
            </w:pPr>
            <w:r w:rsidRPr="00DB3D39">
              <w:rPr>
                <w:rFonts w:ascii="Arial Narrow" w:hAnsi="Arial Narrow"/>
                <w:sz w:val="20"/>
                <w:szCs w:val="20"/>
              </w:rPr>
              <w:t>61/1644 (3.7%)</w:t>
            </w:r>
          </w:p>
        </w:tc>
        <w:tc>
          <w:tcPr>
            <w:tcW w:w="1021" w:type="pct"/>
            <w:tcBorders>
              <w:top w:val="nil"/>
              <w:bottom w:val="single" w:sz="4" w:space="0" w:color="auto"/>
            </w:tcBorders>
            <w:shd w:val="clear" w:color="auto" w:fill="auto"/>
            <w:vAlign w:val="center"/>
          </w:tcPr>
          <w:p w14:paraId="3DDC61EE" w14:textId="28019822" w:rsidR="002E2EE3" w:rsidRPr="00DB3D39" w:rsidRDefault="002E2EE3" w:rsidP="002E2EE3">
            <w:pPr>
              <w:keepNext/>
              <w:keepLines/>
              <w:jc w:val="center"/>
              <w:rPr>
                <w:rFonts w:ascii="Arial Narrow" w:hAnsi="Arial Narrow"/>
                <w:sz w:val="20"/>
                <w:szCs w:val="20"/>
              </w:rPr>
            </w:pPr>
            <w:r w:rsidRPr="00DB3D39">
              <w:rPr>
                <w:rFonts w:ascii="Arial Narrow" w:hAnsi="Arial Narrow"/>
                <w:sz w:val="20"/>
                <w:szCs w:val="20"/>
              </w:rPr>
              <w:t>2/ 1562 (0.1%)</w:t>
            </w:r>
          </w:p>
        </w:tc>
        <w:tc>
          <w:tcPr>
            <w:tcW w:w="1309" w:type="pct"/>
            <w:tcBorders>
              <w:top w:val="nil"/>
              <w:bottom w:val="single" w:sz="4" w:space="0" w:color="auto"/>
            </w:tcBorders>
            <w:shd w:val="clear" w:color="auto" w:fill="auto"/>
            <w:vAlign w:val="center"/>
          </w:tcPr>
          <w:p w14:paraId="4AA5AECB" w14:textId="03E0FC5E" w:rsidR="002E2EE3" w:rsidRPr="00DB3D39" w:rsidRDefault="00CB39DB" w:rsidP="002E2EE3">
            <w:pPr>
              <w:keepNext/>
              <w:keepLines/>
              <w:jc w:val="center"/>
              <w:rPr>
                <w:rFonts w:ascii="Arial Narrow" w:eastAsiaTheme="majorEastAsia" w:hAnsi="Arial Narrow" w:cstheme="majorBidi"/>
                <w:bCs/>
                <w:sz w:val="20"/>
                <w:szCs w:val="20"/>
              </w:rPr>
            </w:pPr>
            <w:r w:rsidRPr="00DB3D39">
              <w:rPr>
                <w:rFonts w:ascii="Arial Narrow" w:eastAsiaTheme="majorEastAsia" w:hAnsi="Arial Narrow" w:cstheme="majorBidi"/>
                <w:bCs/>
                <w:sz w:val="20"/>
                <w:szCs w:val="20"/>
              </w:rPr>
              <w:t>NR</w:t>
            </w:r>
          </w:p>
        </w:tc>
      </w:tr>
      <w:tr w:rsidR="00C85B8F" w:rsidRPr="00DB3D39" w14:paraId="0492AB63" w14:textId="77777777" w:rsidTr="008336EA">
        <w:trPr>
          <w:cantSplit/>
        </w:trPr>
        <w:tc>
          <w:tcPr>
            <w:tcW w:w="1727" w:type="pct"/>
            <w:tcBorders>
              <w:top w:val="nil"/>
              <w:bottom w:val="single" w:sz="4" w:space="0" w:color="auto"/>
            </w:tcBorders>
            <w:shd w:val="clear" w:color="auto" w:fill="auto"/>
          </w:tcPr>
          <w:p w14:paraId="24266FBC" w14:textId="72152102" w:rsidR="00C85B8F" w:rsidRPr="00DB3D39" w:rsidRDefault="00C85B8F" w:rsidP="00C85B8F">
            <w:pPr>
              <w:keepNext/>
              <w:keepLines/>
              <w:jc w:val="left"/>
              <w:rPr>
                <w:rFonts w:ascii="Arial Narrow" w:eastAsiaTheme="majorEastAsia" w:hAnsi="Arial Narrow" w:cs="Times New Roman"/>
                <w:snapToGrid w:val="0"/>
                <w:sz w:val="20"/>
                <w:szCs w:val="20"/>
              </w:rPr>
            </w:pPr>
            <w:r w:rsidRPr="00DB3D39">
              <w:rPr>
                <w:rFonts w:ascii="Arial Narrow" w:eastAsiaTheme="majorEastAsia" w:hAnsi="Arial Narrow" w:cstheme="majorBidi"/>
                <w:sz w:val="20"/>
                <w:szCs w:val="20"/>
              </w:rPr>
              <w:t>Diarrhoea</w:t>
            </w:r>
          </w:p>
        </w:tc>
        <w:tc>
          <w:tcPr>
            <w:tcW w:w="943" w:type="pct"/>
            <w:tcBorders>
              <w:top w:val="nil"/>
              <w:bottom w:val="single" w:sz="4" w:space="0" w:color="auto"/>
            </w:tcBorders>
            <w:shd w:val="clear" w:color="auto" w:fill="auto"/>
            <w:vAlign w:val="center"/>
          </w:tcPr>
          <w:p w14:paraId="71993970" w14:textId="35303587" w:rsidR="00C85B8F" w:rsidRPr="00DB3D39" w:rsidRDefault="00780A6B" w:rsidP="00C85B8F">
            <w:pPr>
              <w:keepNext/>
              <w:keepLines/>
              <w:jc w:val="center"/>
              <w:rPr>
                <w:rFonts w:ascii="Arial Narrow" w:hAnsi="Arial Narrow"/>
                <w:sz w:val="20"/>
                <w:szCs w:val="20"/>
              </w:rPr>
            </w:pPr>
            <w:r w:rsidRPr="00DB3D39">
              <w:rPr>
                <w:rFonts w:ascii="Arial Narrow" w:hAnsi="Arial Narrow"/>
                <w:sz w:val="20"/>
                <w:szCs w:val="20"/>
              </w:rPr>
              <w:t>7 / 1644 (0.4%)</w:t>
            </w:r>
          </w:p>
        </w:tc>
        <w:tc>
          <w:tcPr>
            <w:tcW w:w="1021" w:type="pct"/>
            <w:tcBorders>
              <w:top w:val="nil"/>
              <w:bottom w:val="single" w:sz="4" w:space="0" w:color="auto"/>
            </w:tcBorders>
            <w:shd w:val="clear" w:color="auto" w:fill="auto"/>
            <w:vAlign w:val="center"/>
          </w:tcPr>
          <w:p w14:paraId="1E3D7C18" w14:textId="5E73596C" w:rsidR="00C85B8F" w:rsidRPr="00DB3D39" w:rsidRDefault="00AE76E2" w:rsidP="00C85B8F">
            <w:pPr>
              <w:keepNext/>
              <w:keepLines/>
              <w:jc w:val="center"/>
              <w:rPr>
                <w:rFonts w:ascii="Arial Narrow" w:hAnsi="Arial Narrow"/>
                <w:sz w:val="20"/>
                <w:szCs w:val="20"/>
              </w:rPr>
            </w:pPr>
            <w:r w:rsidRPr="00DB3D39">
              <w:rPr>
                <w:rFonts w:ascii="Arial Narrow" w:hAnsi="Arial Narrow"/>
                <w:sz w:val="20"/>
                <w:szCs w:val="20"/>
              </w:rPr>
              <w:t>2 / 1562 (0.</w:t>
            </w:r>
            <w:r w:rsidR="008E3009" w:rsidRPr="00DB3D39">
              <w:rPr>
                <w:rFonts w:ascii="Arial Narrow" w:hAnsi="Arial Narrow"/>
                <w:sz w:val="20"/>
                <w:szCs w:val="20"/>
              </w:rPr>
              <w:t>1%</w:t>
            </w:r>
            <w:r w:rsidRPr="00DB3D39">
              <w:rPr>
                <w:rFonts w:ascii="Arial Narrow" w:hAnsi="Arial Narrow"/>
                <w:sz w:val="20"/>
                <w:szCs w:val="20"/>
              </w:rPr>
              <w:t>)</w:t>
            </w:r>
          </w:p>
        </w:tc>
        <w:tc>
          <w:tcPr>
            <w:tcW w:w="1309" w:type="pct"/>
            <w:tcBorders>
              <w:top w:val="nil"/>
              <w:bottom w:val="single" w:sz="4" w:space="0" w:color="auto"/>
            </w:tcBorders>
            <w:shd w:val="clear" w:color="auto" w:fill="auto"/>
            <w:vAlign w:val="center"/>
          </w:tcPr>
          <w:p w14:paraId="37CE68AE" w14:textId="074C540E" w:rsidR="00C85B8F" w:rsidRPr="00DB3D39" w:rsidRDefault="00CB39DB" w:rsidP="00C85B8F">
            <w:pPr>
              <w:keepNext/>
              <w:keepLines/>
              <w:jc w:val="center"/>
              <w:rPr>
                <w:rFonts w:ascii="Arial Narrow" w:eastAsiaTheme="majorEastAsia" w:hAnsi="Arial Narrow" w:cstheme="majorBidi"/>
                <w:bCs/>
                <w:sz w:val="20"/>
                <w:szCs w:val="20"/>
              </w:rPr>
            </w:pPr>
            <w:r w:rsidRPr="00DB3D39">
              <w:rPr>
                <w:rFonts w:ascii="Arial Narrow" w:eastAsiaTheme="majorEastAsia" w:hAnsi="Arial Narrow" w:cstheme="majorBidi"/>
                <w:bCs/>
                <w:sz w:val="20"/>
                <w:szCs w:val="20"/>
              </w:rPr>
              <w:t>NR</w:t>
            </w:r>
          </w:p>
        </w:tc>
      </w:tr>
      <w:tr w:rsidR="00C85B8F" w:rsidRPr="00DB3D39" w14:paraId="4D341017" w14:textId="77777777" w:rsidTr="008336EA">
        <w:trPr>
          <w:cantSplit/>
        </w:trPr>
        <w:tc>
          <w:tcPr>
            <w:tcW w:w="1727" w:type="pct"/>
            <w:tcBorders>
              <w:top w:val="nil"/>
              <w:bottom w:val="single" w:sz="4" w:space="0" w:color="auto"/>
            </w:tcBorders>
            <w:shd w:val="clear" w:color="auto" w:fill="auto"/>
          </w:tcPr>
          <w:p w14:paraId="7F772768" w14:textId="2FA03806" w:rsidR="00C85B8F" w:rsidRPr="00DB3D39" w:rsidRDefault="00C85B8F" w:rsidP="00C85B8F">
            <w:pPr>
              <w:keepNext/>
              <w:keepLines/>
              <w:jc w:val="left"/>
              <w:rPr>
                <w:rFonts w:ascii="Arial Narrow" w:eastAsiaTheme="majorEastAsia" w:hAnsi="Arial Narrow" w:cs="Times New Roman"/>
                <w:snapToGrid w:val="0"/>
                <w:sz w:val="20"/>
                <w:szCs w:val="20"/>
              </w:rPr>
            </w:pPr>
            <w:r w:rsidRPr="00DB3D39">
              <w:rPr>
                <w:rFonts w:ascii="Arial Narrow" w:eastAsiaTheme="majorEastAsia" w:hAnsi="Arial Narrow" w:cstheme="majorBidi"/>
                <w:sz w:val="20"/>
                <w:szCs w:val="20"/>
              </w:rPr>
              <w:t>Lymphopenia</w:t>
            </w:r>
          </w:p>
        </w:tc>
        <w:tc>
          <w:tcPr>
            <w:tcW w:w="943" w:type="pct"/>
            <w:tcBorders>
              <w:top w:val="nil"/>
              <w:bottom w:val="single" w:sz="4" w:space="0" w:color="auto"/>
            </w:tcBorders>
            <w:shd w:val="clear" w:color="auto" w:fill="auto"/>
            <w:vAlign w:val="center"/>
          </w:tcPr>
          <w:p w14:paraId="192FC316" w14:textId="551953F1" w:rsidR="00C85B8F" w:rsidRPr="00DB3D39" w:rsidRDefault="00C85B8F" w:rsidP="00C85B8F">
            <w:pPr>
              <w:keepNext/>
              <w:keepLines/>
              <w:jc w:val="center"/>
              <w:rPr>
                <w:rFonts w:ascii="Arial Narrow" w:hAnsi="Arial Narrow"/>
                <w:sz w:val="20"/>
                <w:szCs w:val="20"/>
              </w:rPr>
            </w:pPr>
            <w:r w:rsidRPr="00DB3D39">
              <w:rPr>
                <w:rFonts w:ascii="Arial Narrow" w:hAnsi="Arial Narrow"/>
                <w:sz w:val="20"/>
                <w:szCs w:val="20"/>
              </w:rPr>
              <w:t>18/1644 (1.1%)</w:t>
            </w:r>
          </w:p>
        </w:tc>
        <w:tc>
          <w:tcPr>
            <w:tcW w:w="1021" w:type="pct"/>
            <w:tcBorders>
              <w:top w:val="nil"/>
              <w:bottom w:val="single" w:sz="4" w:space="0" w:color="auto"/>
            </w:tcBorders>
            <w:shd w:val="clear" w:color="auto" w:fill="auto"/>
            <w:vAlign w:val="center"/>
          </w:tcPr>
          <w:p w14:paraId="585BD1AC" w14:textId="47B62DAD" w:rsidR="00C85B8F" w:rsidRPr="00DB3D39" w:rsidRDefault="00C85B8F" w:rsidP="00C85B8F">
            <w:pPr>
              <w:keepNext/>
              <w:keepLines/>
              <w:jc w:val="center"/>
              <w:rPr>
                <w:rFonts w:ascii="Arial Narrow" w:hAnsi="Arial Narrow"/>
                <w:sz w:val="20"/>
                <w:szCs w:val="20"/>
              </w:rPr>
            </w:pPr>
            <w:r w:rsidRPr="00DB3D39">
              <w:rPr>
                <w:rFonts w:ascii="Arial Narrow" w:hAnsi="Arial Narrow"/>
                <w:sz w:val="20"/>
                <w:szCs w:val="20"/>
              </w:rPr>
              <w:t>2 / 1562 (0.1%)</w:t>
            </w:r>
          </w:p>
        </w:tc>
        <w:tc>
          <w:tcPr>
            <w:tcW w:w="1309" w:type="pct"/>
            <w:tcBorders>
              <w:top w:val="nil"/>
              <w:bottom w:val="single" w:sz="4" w:space="0" w:color="auto"/>
            </w:tcBorders>
            <w:shd w:val="clear" w:color="auto" w:fill="auto"/>
            <w:vAlign w:val="center"/>
          </w:tcPr>
          <w:p w14:paraId="5587938B" w14:textId="3303199E" w:rsidR="00C85B8F" w:rsidRPr="00DB3D39" w:rsidRDefault="00C85B8F" w:rsidP="00C85B8F">
            <w:pPr>
              <w:keepNext/>
              <w:keepLines/>
              <w:jc w:val="center"/>
              <w:rPr>
                <w:rFonts w:ascii="Arial Narrow" w:eastAsiaTheme="majorEastAsia" w:hAnsi="Arial Narrow" w:cstheme="majorBidi"/>
                <w:bCs/>
                <w:sz w:val="20"/>
                <w:szCs w:val="20"/>
              </w:rPr>
            </w:pPr>
            <w:r w:rsidRPr="00DB3D39">
              <w:rPr>
                <w:rFonts w:ascii="Arial Narrow" w:eastAsiaTheme="majorEastAsia" w:hAnsi="Arial Narrow" w:cstheme="majorBidi"/>
                <w:bCs/>
                <w:sz w:val="20"/>
                <w:szCs w:val="20"/>
              </w:rPr>
              <w:t>NR</w:t>
            </w:r>
          </w:p>
        </w:tc>
      </w:tr>
      <w:tr w:rsidR="00C85B8F" w:rsidRPr="00DB3D39" w14:paraId="64A36689" w14:textId="77777777" w:rsidTr="008336EA">
        <w:trPr>
          <w:cantSplit/>
        </w:trPr>
        <w:tc>
          <w:tcPr>
            <w:tcW w:w="1727" w:type="pct"/>
            <w:tcBorders>
              <w:top w:val="nil"/>
              <w:bottom w:val="single" w:sz="4" w:space="0" w:color="auto"/>
            </w:tcBorders>
            <w:shd w:val="clear" w:color="auto" w:fill="auto"/>
          </w:tcPr>
          <w:p w14:paraId="638A90CE" w14:textId="5E1036DF" w:rsidR="00C85B8F" w:rsidRPr="00DB3D39" w:rsidRDefault="00C85B8F" w:rsidP="00C85B8F">
            <w:pPr>
              <w:keepNext/>
              <w:keepLines/>
              <w:jc w:val="left"/>
              <w:rPr>
                <w:rFonts w:ascii="Arial Narrow" w:eastAsiaTheme="majorEastAsia" w:hAnsi="Arial Narrow" w:cstheme="majorBidi"/>
                <w:sz w:val="20"/>
                <w:szCs w:val="20"/>
              </w:rPr>
            </w:pPr>
            <w:r w:rsidRPr="00DB3D39">
              <w:rPr>
                <w:rFonts w:ascii="Arial Narrow" w:eastAsiaTheme="majorEastAsia" w:hAnsi="Arial Narrow" w:cs="Times New Roman"/>
                <w:snapToGrid w:val="0"/>
                <w:sz w:val="20"/>
                <w:szCs w:val="20"/>
              </w:rPr>
              <w:t xml:space="preserve">Neutrophil count decreased </w:t>
            </w:r>
          </w:p>
        </w:tc>
        <w:tc>
          <w:tcPr>
            <w:tcW w:w="943" w:type="pct"/>
            <w:tcBorders>
              <w:top w:val="nil"/>
              <w:bottom w:val="single" w:sz="4" w:space="0" w:color="auto"/>
            </w:tcBorders>
            <w:shd w:val="clear" w:color="auto" w:fill="auto"/>
            <w:vAlign w:val="center"/>
          </w:tcPr>
          <w:p w14:paraId="55E21D34" w14:textId="2A5D0BEC" w:rsidR="00C85B8F" w:rsidRPr="00DB3D39" w:rsidRDefault="00C85B8F" w:rsidP="00C85B8F">
            <w:pPr>
              <w:keepNext/>
              <w:keepLines/>
              <w:jc w:val="center"/>
              <w:rPr>
                <w:rFonts w:ascii="Arial Narrow" w:eastAsiaTheme="majorEastAsia" w:hAnsi="Arial Narrow" w:cstheme="majorBidi"/>
                <w:sz w:val="20"/>
                <w:szCs w:val="20"/>
              </w:rPr>
            </w:pPr>
            <w:r w:rsidRPr="00DB3D39">
              <w:rPr>
                <w:rFonts w:ascii="Arial Narrow" w:hAnsi="Arial Narrow"/>
                <w:sz w:val="20"/>
                <w:szCs w:val="20"/>
              </w:rPr>
              <w:t>317/1644 (19.3%)</w:t>
            </w:r>
          </w:p>
        </w:tc>
        <w:tc>
          <w:tcPr>
            <w:tcW w:w="1021" w:type="pct"/>
            <w:tcBorders>
              <w:top w:val="nil"/>
              <w:bottom w:val="single" w:sz="4" w:space="0" w:color="auto"/>
            </w:tcBorders>
            <w:shd w:val="clear" w:color="auto" w:fill="auto"/>
            <w:vAlign w:val="center"/>
          </w:tcPr>
          <w:p w14:paraId="5E874315" w14:textId="0F05CF39" w:rsidR="00C85B8F" w:rsidRPr="00DB3D39" w:rsidRDefault="00C85B8F" w:rsidP="00C85B8F">
            <w:pPr>
              <w:keepNext/>
              <w:keepLines/>
              <w:jc w:val="center"/>
              <w:rPr>
                <w:rFonts w:ascii="Arial Narrow" w:eastAsiaTheme="majorEastAsia" w:hAnsi="Arial Narrow" w:cstheme="majorBidi"/>
                <w:sz w:val="20"/>
                <w:szCs w:val="20"/>
              </w:rPr>
            </w:pPr>
            <w:r w:rsidRPr="00DB3D39">
              <w:rPr>
                <w:rFonts w:ascii="Arial Narrow" w:hAnsi="Arial Narrow"/>
                <w:sz w:val="20"/>
                <w:szCs w:val="20"/>
              </w:rPr>
              <w:t>6/ 1562(0.4%)</w:t>
            </w:r>
          </w:p>
        </w:tc>
        <w:tc>
          <w:tcPr>
            <w:tcW w:w="1309" w:type="pct"/>
            <w:tcBorders>
              <w:top w:val="nil"/>
              <w:bottom w:val="single" w:sz="4" w:space="0" w:color="auto"/>
            </w:tcBorders>
            <w:shd w:val="clear" w:color="auto" w:fill="auto"/>
            <w:vAlign w:val="center"/>
          </w:tcPr>
          <w:p w14:paraId="06256BC0" w14:textId="75218A59" w:rsidR="00C85B8F" w:rsidRPr="00DB3D39" w:rsidRDefault="00C85B8F" w:rsidP="00C85B8F">
            <w:pPr>
              <w:keepNext/>
              <w:keepLines/>
              <w:jc w:val="center"/>
              <w:rPr>
                <w:rFonts w:ascii="Arial Narrow" w:eastAsiaTheme="majorEastAsia" w:hAnsi="Arial Narrow" w:cstheme="majorBidi"/>
                <w:bCs/>
                <w:sz w:val="20"/>
                <w:szCs w:val="20"/>
              </w:rPr>
            </w:pPr>
            <w:r w:rsidRPr="00DB3D39">
              <w:rPr>
                <w:rFonts w:ascii="Arial Narrow" w:eastAsiaTheme="majorEastAsia" w:hAnsi="Arial Narrow" w:cstheme="majorBidi"/>
                <w:bCs/>
                <w:sz w:val="20"/>
                <w:szCs w:val="20"/>
              </w:rPr>
              <w:t>NR</w:t>
            </w:r>
          </w:p>
        </w:tc>
      </w:tr>
      <w:tr w:rsidR="00C85B8F" w:rsidRPr="00DB3D39" w14:paraId="367FACD5" w14:textId="77777777" w:rsidTr="008336EA">
        <w:trPr>
          <w:cantSplit/>
        </w:trPr>
        <w:tc>
          <w:tcPr>
            <w:tcW w:w="1727" w:type="pct"/>
            <w:tcBorders>
              <w:top w:val="nil"/>
              <w:bottom w:val="single" w:sz="4" w:space="0" w:color="auto"/>
            </w:tcBorders>
            <w:shd w:val="clear" w:color="auto" w:fill="auto"/>
          </w:tcPr>
          <w:p w14:paraId="6432234A" w14:textId="101669EA" w:rsidR="00C85B8F" w:rsidRPr="00DB3D39" w:rsidRDefault="00C85B8F" w:rsidP="00C85B8F">
            <w:pPr>
              <w:keepNext/>
              <w:keepLines/>
              <w:jc w:val="left"/>
              <w:rPr>
                <w:rFonts w:ascii="Arial Narrow" w:eastAsiaTheme="majorEastAsia" w:hAnsi="Arial Narrow" w:cstheme="majorBidi"/>
                <w:sz w:val="20"/>
                <w:szCs w:val="20"/>
              </w:rPr>
            </w:pPr>
            <w:r w:rsidRPr="00DB3D39">
              <w:rPr>
                <w:rFonts w:ascii="Arial Narrow" w:eastAsiaTheme="majorEastAsia" w:hAnsi="Arial Narrow" w:cs="Times New Roman"/>
                <w:snapToGrid w:val="0"/>
                <w:sz w:val="20"/>
                <w:szCs w:val="20"/>
              </w:rPr>
              <w:t xml:space="preserve">Alanine aminotransferase increased </w:t>
            </w:r>
          </w:p>
        </w:tc>
        <w:tc>
          <w:tcPr>
            <w:tcW w:w="943" w:type="pct"/>
            <w:tcBorders>
              <w:top w:val="nil"/>
              <w:bottom w:val="single" w:sz="4" w:space="0" w:color="auto"/>
            </w:tcBorders>
            <w:shd w:val="clear" w:color="auto" w:fill="auto"/>
            <w:vAlign w:val="center"/>
          </w:tcPr>
          <w:p w14:paraId="7280B49B" w14:textId="7A58A320" w:rsidR="00C85B8F" w:rsidRPr="00DB3D39" w:rsidRDefault="00C85B8F" w:rsidP="00C85B8F">
            <w:pPr>
              <w:keepNext/>
              <w:keepLines/>
              <w:jc w:val="center"/>
              <w:rPr>
                <w:rFonts w:ascii="Arial Narrow" w:eastAsiaTheme="majorEastAsia" w:hAnsi="Arial Narrow" w:cstheme="majorBidi"/>
                <w:sz w:val="20"/>
                <w:szCs w:val="20"/>
              </w:rPr>
            </w:pPr>
            <w:r w:rsidRPr="00DB3D39">
              <w:rPr>
                <w:rFonts w:ascii="Arial Narrow" w:hAnsi="Arial Narrow"/>
                <w:sz w:val="20"/>
                <w:szCs w:val="20"/>
              </w:rPr>
              <w:t>115/1644(7.0%)</w:t>
            </w:r>
          </w:p>
        </w:tc>
        <w:tc>
          <w:tcPr>
            <w:tcW w:w="1021" w:type="pct"/>
            <w:tcBorders>
              <w:top w:val="nil"/>
              <w:bottom w:val="single" w:sz="4" w:space="0" w:color="auto"/>
            </w:tcBorders>
            <w:shd w:val="clear" w:color="auto" w:fill="auto"/>
            <w:vAlign w:val="center"/>
          </w:tcPr>
          <w:p w14:paraId="4E9D9FA2" w14:textId="7CEF0B99" w:rsidR="00C85B8F" w:rsidRPr="00DB3D39" w:rsidRDefault="00C85B8F" w:rsidP="00C85B8F">
            <w:pPr>
              <w:keepNext/>
              <w:keepLines/>
              <w:jc w:val="center"/>
              <w:rPr>
                <w:rFonts w:ascii="Arial Narrow" w:eastAsiaTheme="majorEastAsia" w:hAnsi="Arial Narrow" w:cstheme="majorBidi"/>
                <w:sz w:val="20"/>
                <w:szCs w:val="20"/>
              </w:rPr>
            </w:pPr>
            <w:r w:rsidRPr="00DB3D39">
              <w:rPr>
                <w:rFonts w:ascii="Arial Narrow" w:hAnsi="Arial Narrow"/>
                <w:sz w:val="20"/>
                <w:szCs w:val="20"/>
              </w:rPr>
              <w:t>12/ 1562(0.8%)</w:t>
            </w:r>
          </w:p>
        </w:tc>
        <w:tc>
          <w:tcPr>
            <w:tcW w:w="1309" w:type="pct"/>
            <w:tcBorders>
              <w:top w:val="nil"/>
              <w:bottom w:val="single" w:sz="4" w:space="0" w:color="auto"/>
            </w:tcBorders>
            <w:shd w:val="clear" w:color="auto" w:fill="auto"/>
            <w:vAlign w:val="center"/>
          </w:tcPr>
          <w:p w14:paraId="1001F77A" w14:textId="2A1F0ADD" w:rsidR="00C85B8F" w:rsidRPr="00DB3D39" w:rsidRDefault="00C85B8F" w:rsidP="00C85B8F">
            <w:pPr>
              <w:keepNext/>
              <w:keepLines/>
              <w:jc w:val="center"/>
              <w:rPr>
                <w:rFonts w:ascii="Arial Narrow" w:eastAsiaTheme="majorEastAsia" w:hAnsi="Arial Narrow" w:cstheme="majorBidi"/>
                <w:bCs/>
                <w:sz w:val="20"/>
                <w:szCs w:val="20"/>
              </w:rPr>
            </w:pPr>
            <w:r w:rsidRPr="00DB3D39">
              <w:rPr>
                <w:rFonts w:ascii="Arial Narrow" w:eastAsiaTheme="majorEastAsia" w:hAnsi="Arial Narrow" w:cstheme="majorBidi"/>
                <w:bCs/>
                <w:sz w:val="20"/>
                <w:szCs w:val="20"/>
              </w:rPr>
              <w:t>NR</w:t>
            </w:r>
          </w:p>
        </w:tc>
      </w:tr>
      <w:tr w:rsidR="00C85B8F" w:rsidRPr="00DB3D39" w14:paraId="4EEA6B79" w14:textId="77777777" w:rsidTr="008336EA">
        <w:trPr>
          <w:cantSplit/>
        </w:trPr>
        <w:tc>
          <w:tcPr>
            <w:tcW w:w="1727" w:type="pct"/>
            <w:tcBorders>
              <w:top w:val="nil"/>
              <w:bottom w:val="single" w:sz="4" w:space="0" w:color="auto"/>
            </w:tcBorders>
            <w:shd w:val="clear" w:color="auto" w:fill="auto"/>
          </w:tcPr>
          <w:p w14:paraId="3B65F23F" w14:textId="5BFCFB7D" w:rsidR="00C85B8F" w:rsidRPr="00DB3D39" w:rsidRDefault="00C85B8F" w:rsidP="00C85B8F">
            <w:pPr>
              <w:keepNext/>
              <w:keepLines/>
              <w:jc w:val="left"/>
              <w:rPr>
                <w:rFonts w:ascii="Arial Narrow" w:eastAsiaTheme="majorEastAsia" w:hAnsi="Arial Narrow" w:cstheme="majorBidi"/>
                <w:sz w:val="20"/>
                <w:szCs w:val="20"/>
              </w:rPr>
            </w:pPr>
            <w:r w:rsidRPr="00DB3D39">
              <w:rPr>
                <w:rFonts w:ascii="Arial Narrow" w:eastAsiaTheme="majorEastAsia" w:hAnsi="Arial Narrow" w:cs="Times New Roman"/>
                <w:snapToGrid w:val="0"/>
                <w:sz w:val="20"/>
                <w:szCs w:val="20"/>
              </w:rPr>
              <w:t xml:space="preserve">Aspartate aminotransferase increased </w:t>
            </w:r>
          </w:p>
        </w:tc>
        <w:tc>
          <w:tcPr>
            <w:tcW w:w="943" w:type="pct"/>
            <w:tcBorders>
              <w:top w:val="nil"/>
              <w:bottom w:val="single" w:sz="4" w:space="0" w:color="auto"/>
            </w:tcBorders>
            <w:shd w:val="clear" w:color="auto" w:fill="auto"/>
            <w:vAlign w:val="center"/>
          </w:tcPr>
          <w:p w14:paraId="510B201F" w14:textId="41D339CB" w:rsidR="00C85B8F" w:rsidRPr="00DB3D39" w:rsidRDefault="00C85B8F" w:rsidP="00C85B8F">
            <w:pPr>
              <w:keepNext/>
              <w:keepLines/>
              <w:jc w:val="center"/>
              <w:rPr>
                <w:rFonts w:ascii="Arial Narrow" w:eastAsiaTheme="majorEastAsia" w:hAnsi="Arial Narrow" w:cstheme="majorBidi"/>
                <w:sz w:val="20"/>
                <w:szCs w:val="20"/>
              </w:rPr>
            </w:pPr>
            <w:r w:rsidRPr="00DB3D39">
              <w:rPr>
                <w:rFonts w:ascii="Arial Narrow" w:hAnsi="Arial Narrow"/>
                <w:sz w:val="20"/>
                <w:szCs w:val="20"/>
              </w:rPr>
              <w:t>72/1644(4.4%)</w:t>
            </w:r>
          </w:p>
        </w:tc>
        <w:tc>
          <w:tcPr>
            <w:tcW w:w="1021" w:type="pct"/>
            <w:tcBorders>
              <w:top w:val="nil"/>
              <w:bottom w:val="single" w:sz="4" w:space="0" w:color="auto"/>
            </w:tcBorders>
            <w:shd w:val="clear" w:color="auto" w:fill="auto"/>
            <w:vAlign w:val="center"/>
          </w:tcPr>
          <w:p w14:paraId="32DC18CF" w14:textId="60EF458C" w:rsidR="00C85B8F" w:rsidRPr="00DB3D39" w:rsidRDefault="00C85B8F" w:rsidP="00C85B8F">
            <w:pPr>
              <w:keepNext/>
              <w:keepLines/>
              <w:jc w:val="center"/>
              <w:rPr>
                <w:rFonts w:ascii="Arial Narrow" w:eastAsiaTheme="majorEastAsia" w:hAnsi="Arial Narrow" w:cstheme="majorBidi"/>
                <w:sz w:val="20"/>
                <w:szCs w:val="20"/>
              </w:rPr>
            </w:pPr>
            <w:r w:rsidRPr="00DB3D39">
              <w:rPr>
                <w:rFonts w:ascii="Arial Narrow" w:hAnsi="Arial Narrow"/>
                <w:sz w:val="20"/>
                <w:szCs w:val="20"/>
              </w:rPr>
              <w:t>9/ 1562(0.6%)</w:t>
            </w:r>
          </w:p>
        </w:tc>
        <w:tc>
          <w:tcPr>
            <w:tcW w:w="1309" w:type="pct"/>
            <w:tcBorders>
              <w:top w:val="nil"/>
              <w:bottom w:val="single" w:sz="4" w:space="0" w:color="auto"/>
            </w:tcBorders>
            <w:shd w:val="clear" w:color="auto" w:fill="auto"/>
            <w:vAlign w:val="center"/>
          </w:tcPr>
          <w:p w14:paraId="40B084FB" w14:textId="6075A169" w:rsidR="00C85B8F" w:rsidRPr="00DB3D39" w:rsidRDefault="00C85B8F" w:rsidP="00C85B8F">
            <w:pPr>
              <w:keepNext/>
              <w:keepLines/>
              <w:jc w:val="center"/>
              <w:rPr>
                <w:rFonts w:ascii="Arial Narrow" w:eastAsiaTheme="majorEastAsia" w:hAnsi="Arial Narrow" w:cstheme="majorBidi"/>
                <w:bCs/>
                <w:sz w:val="20"/>
                <w:szCs w:val="20"/>
              </w:rPr>
            </w:pPr>
            <w:r w:rsidRPr="00DB3D39">
              <w:rPr>
                <w:rFonts w:ascii="Arial Narrow" w:eastAsiaTheme="majorEastAsia" w:hAnsi="Arial Narrow" w:cstheme="majorBidi"/>
                <w:bCs/>
                <w:sz w:val="20"/>
                <w:szCs w:val="20"/>
              </w:rPr>
              <w:t>NR</w:t>
            </w:r>
          </w:p>
        </w:tc>
      </w:tr>
      <w:tr w:rsidR="00C85B8F" w:rsidRPr="00DB3D39" w14:paraId="16B6FE22" w14:textId="77777777" w:rsidTr="008336EA">
        <w:trPr>
          <w:cantSplit/>
        </w:trPr>
        <w:tc>
          <w:tcPr>
            <w:tcW w:w="1727" w:type="pct"/>
            <w:tcBorders>
              <w:top w:val="nil"/>
              <w:bottom w:val="single" w:sz="4" w:space="0" w:color="auto"/>
            </w:tcBorders>
            <w:shd w:val="clear" w:color="auto" w:fill="auto"/>
          </w:tcPr>
          <w:p w14:paraId="7CC8DD6C" w14:textId="332DCF55" w:rsidR="00C85B8F" w:rsidRPr="00DB3D39" w:rsidRDefault="00C85B8F" w:rsidP="00C85B8F">
            <w:pPr>
              <w:keepNext/>
              <w:keepLines/>
              <w:jc w:val="left"/>
              <w:rPr>
                <w:rFonts w:ascii="Arial Narrow" w:eastAsiaTheme="majorEastAsia" w:hAnsi="Arial Narrow" w:cstheme="majorBidi"/>
                <w:sz w:val="20"/>
                <w:szCs w:val="20"/>
              </w:rPr>
            </w:pPr>
            <w:r w:rsidRPr="00DB3D39">
              <w:rPr>
                <w:rFonts w:ascii="Arial Narrow" w:eastAsiaTheme="majorEastAsia" w:hAnsi="Arial Narrow" w:cs="Times New Roman"/>
                <w:snapToGrid w:val="0"/>
                <w:sz w:val="20"/>
                <w:szCs w:val="20"/>
              </w:rPr>
              <w:t xml:space="preserve">White blood cell count decreased </w:t>
            </w:r>
          </w:p>
        </w:tc>
        <w:tc>
          <w:tcPr>
            <w:tcW w:w="943" w:type="pct"/>
            <w:tcBorders>
              <w:top w:val="nil"/>
              <w:bottom w:val="single" w:sz="4" w:space="0" w:color="auto"/>
            </w:tcBorders>
            <w:shd w:val="clear" w:color="auto" w:fill="auto"/>
            <w:vAlign w:val="center"/>
          </w:tcPr>
          <w:p w14:paraId="40E36029" w14:textId="73DFFC0D" w:rsidR="00C85B8F" w:rsidRPr="00DB3D39" w:rsidRDefault="00C85B8F" w:rsidP="00C85B8F">
            <w:pPr>
              <w:keepNext/>
              <w:keepLines/>
              <w:jc w:val="center"/>
              <w:rPr>
                <w:rFonts w:ascii="Arial Narrow" w:eastAsiaTheme="majorEastAsia" w:hAnsi="Arial Narrow" w:cstheme="majorBidi"/>
                <w:sz w:val="20"/>
                <w:szCs w:val="20"/>
              </w:rPr>
            </w:pPr>
            <w:r w:rsidRPr="00DB3D39">
              <w:rPr>
                <w:rFonts w:ascii="Arial Narrow" w:hAnsi="Arial Narrow"/>
                <w:sz w:val="20"/>
                <w:szCs w:val="20"/>
              </w:rPr>
              <w:t>76/1644(4.6%)</w:t>
            </w:r>
          </w:p>
        </w:tc>
        <w:tc>
          <w:tcPr>
            <w:tcW w:w="1021" w:type="pct"/>
            <w:tcBorders>
              <w:top w:val="nil"/>
              <w:bottom w:val="single" w:sz="4" w:space="0" w:color="auto"/>
            </w:tcBorders>
            <w:shd w:val="clear" w:color="auto" w:fill="auto"/>
            <w:vAlign w:val="center"/>
          </w:tcPr>
          <w:p w14:paraId="6DECDC55" w14:textId="1EC50E5F" w:rsidR="00C85B8F" w:rsidRPr="00DB3D39" w:rsidRDefault="00C85B8F" w:rsidP="00C85B8F">
            <w:pPr>
              <w:keepNext/>
              <w:keepLines/>
              <w:jc w:val="center"/>
              <w:rPr>
                <w:rFonts w:ascii="Arial Narrow" w:eastAsiaTheme="majorEastAsia" w:hAnsi="Arial Narrow" w:cstheme="majorBidi"/>
                <w:sz w:val="20"/>
                <w:szCs w:val="20"/>
              </w:rPr>
            </w:pPr>
            <w:r w:rsidRPr="00DB3D39">
              <w:rPr>
                <w:rFonts w:ascii="Arial Narrow" w:hAnsi="Arial Narrow"/>
                <w:sz w:val="20"/>
                <w:szCs w:val="20"/>
              </w:rPr>
              <w:t>4/ 1562 (0.3%)</w:t>
            </w:r>
          </w:p>
        </w:tc>
        <w:tc>
          <w:tcPr>
            <w:tcW w:w="1309" w:type="pct"/>
            <w:tcBorders>
              <w:top w:val="nil"/>
              <w:bottom w:val="single" w:sz="4" w:space="0" w:color="auto"/>
            </w:tcBorders>
            <w:shd w:val="clear" w:color="auto" w:fill="auto"/>
            <w:vAlign w:val="center"/>
          </w:tcPr>
          <w:p w14:paraId="32CDA81C" w14:textId="05CB5D79" w:rsidR="00C85B8F" w:rsidRPr="00DB3D39" w:rsidRDefault="00C85B8F" w:rsidP="00C85B8F">
            <w:pPr>
              <w:keepNext/>
              <w:keepLines/>
              <w:jc w:val="center"/>
              <w:rPr>
                <w:rFonts w:ascii="Arial Narrow" w:eastAsiaTheme="majorEastAsia" w:hAnsi="Arial Narrow" w:cstheme="majorBidi"/>
                <w:bCs/>
                <w:sz w:val="20"/>
                <w:szCs w:val="20"/>
              </w:rPr>
            </w:pPr>
            <w:r w:rsidRPr="00DB3D39">
              <w:rPr>
                <w:rFonts w:ascii="Arial Narrow" w:eastAsiaTheme="majorEastAsia" w:hAnsi="Arial Narrow" w:cstheme="majorBidi"/>
                <w:bCs/>
                <w:sz w:val="20"/>
                <w:szCs w:val="20"/>
              </w:rPr>
              <w:t>NR</w:t>
            </w:r>
          </w:p>
        </w:tc>
      </w:tr>
      <w:tr w:rsidR="00C85B8F" w:rsidRPr="00DB3D39" w14:paraId="6CE7C4B1" w14:textId="77777777" w:rsidTr="008336EA">
        <w:trPr>
          <w:cantSplit/>
        </w:trPr>
        <w:tc>
          <w:tcPr>
            <w:tcW w:w="1727" w:type="pct"/>
            <w:tcBorders>
              <w:top w:val="nil"/>
              <w:bottom w:val="single" w:sz="4" w:space="0" w:color="auto"/>
            </w:tcBorders>
            <w:shd w:val="clear" w:color="auto" w:fill="auto"/>
          </w:tcPr>
          <w:p w14:paraId="0ACDBFD5" w14:textId="79DFC3F5" w:rsidR="00C85B8F" w:rsidRPr="00DB3D39" w:rsidRDefault="00C85B8F" w:rsidP="00C85B8F">
            <w:pPr>
              <w:keepNext/>
              <w:keepLines/>
              <w:jc w:val="left"/>
              <w:rPr>
                <w:rFonts w:ascii="Arial Narrow" w:eastAsiaTheme="majorEastAsia" w:hAnsi="Arial Narrow" w:cstheme="majorBidi"/>
                <w:sz w:val="20"/>
                <w:szCs w:val="20"/>
              </w:rPr>
            </w:pPr>
            <w:r w:rsidRPr="00DB3D39">
              <w:rPr>
                <w:rFonts w:ascii="Arial Narrow" w:eastAsiaTheme="majorEastAsia" w:hAnsi="Arial Narrow" w:cs="Times New Roman"/>
                <w:snapToGrid w:val="0"/>
                <w:sz w:val="20"/>
                <w:szCs w:val="20"/>
              </w:rPr>
              <w:t xml:space="preserve">Hypertension </w:t>
            </w:r>
          </w:p>
        </w:tc>
        <w:tc>
          <w:tcPr>
            <w:tcW w:w="943" w:type="pct"/>
            <w:tcBorders>
              <w:top w:val="nil"/>
              <w:bottom w:val="single" w:sz="4" w:space="0" w:color="auto"/>
            </w:tcBorders>
            <w:shd w:val="clear" w:color="auto" w:fill="auto"/>
            <w:vAlign w:val="center"/>
          </w:tcPr>
          <w:p w14:paraId="1245108B" w14:textId="641BE356" w:rsidR="00C85B8F" w:rsidRPr="00DB3D39" w:rsidRDefault="00C85B8F" w:rsidP="00C85B8F">
            <w:pPr>
              <w:keepNext/>
              <w:keepLines/>
              <w:jc w:val="center"/>
              <w:rPr>
                <w:rFonts w:ascii="Arial Narrow" w:eastAsiaTheme="majorEastAsia" w:hAnsi="Arial Narrow" w:cstheme="majorBidi"/>
                <w:sz w:val="20"/>
                <w:szCs w:val="20"/>
              </w:rPr>
            </w:pPr>
            <w:r w:rsidRPr="00DB3D39">
              <w:rPr>
                <w:rFonts w:ascii="Arial Narrow" w:hAnsi="Arial Narrow"/>
                <w:sz w:val="20"/>
                <w:szCs w:val="20"/>
              </w:rPr>
              <w:t>36/1644 (2.2%)</w:t>
            </w:r>
          </w:p>
        </w:tc>
        <w:tc>
          <w:tcPr>
            <w:tcW w:w="1021" w:type="pct"/>
            <w:tcBorders>
              <w:top w:val="nil"/>
              <w:bottom w:val="single" w:sz="4" w:space="0" w:color="auto"/>
            </w:tcBorders>
            <w:shd w:val="clear" w:color="auto" w:fill="auto"/>
            <w:vAlign w:val="center"/>
          </w:tcPr>
          <w:p w14:paraId="7E9866E1" w14:textId="1C5C2B1C" w:rsidR="00C85B8F" w:rsidRPr="00DB3D39" w:rsidRDefault="00C85B8F" w:rsidP="00C85B8F">
            <w:pPr>
              <w:keepNext/>
              <w:keepLines/>
              <w:jc w:val="center"/>
              <w:rPr>
                <w:rFonts w:ascii="Arial Narrow" w:eastAsiaTheme="majorEastAsia" w:hAnsi="Arial Narrow" w:cstheme="majorBidi"/>
                <w:sz w:val="20"/>
                <w:szCs w:val="20"/>
              </w:rPr>
            </w:pPr>
            <w:r w:rsidRPr="00DB3D39">
              <w:rPr>
                <w:rFonts w:ascii="Arial Narrow" w:hAnsi="Arial Narrow"/>
                <w:sz w:val="20"/>
                <w:szCs w:val="20"/>
              </w:rPr>
              <w:t>37/ 1562 (2.4%)</w:t>
            </w:r>
          </w:p>
        </w:tc>
        <w:tc>
          <w:tcPr>
            <w:tcW w:w="1309" w:type="pct"/>
            <w:tcBorders>
              <w:top w:val="nil"/>
              <w:bottom w:val="single" w:sz="4" w:space="0" w:color="auto"/>
            </w:tcBorders>
            <w:shd w:val="clear" w:color="auto" w:fill="auto"/>
            <w:vAlign w:val="center"/>
          </w:tcPr>
          <w:p w14:paraId="37AFC365" w14:textId="0C030BDB" w:rsidR="00C85B8F" w:rsidRPr="00DB3D39" w:rsidRDefault="00C85B8F" w:rsidP="00C85B8F">
            <w:pPr>
              <w:keepNext/>
              <w:keepLines/>
              <w:jc w:val="center"/>
              <w:rPr>
                <w:rFonts w:ascii="Arial Narrow" w:eastAsiaTheme="majorEastAsia" w:hAnsi="Arial Narrow" w:cstheme="majorBidi"/>
                <w:bCs/>
                <w:sz w:val="20"/>
                <w:szCs w:val="20"/>
              </w:rPr>
            </w:pPr>
            <w:r w:rsidRPr="00DB3D39">
              <w:rPr>
                <w:rFonts w:ascii="Arial Narrow" w:eastAsiaTheme="majorEastAsia" w:hAnsi="Arial Narrow" w:cstheme="majorBidi"/>
                <w:bCs/>
                <w:sz w:val="20"/>
                <w:szCs w:val="20"/>
              </w:rPr>
              <w:t>NR</w:t>
            </w:r>
          </w:p>
        </w:tc>
      </w:tr>
      <w:tr w:rsidR="00C85B8F" w:rsidRPr="00DB3D39" w14:paraId="3BD2549F" w14:textId="77777777" w:rsidTr="008336EA">
        <w:trPr>
          <w:cantSplit/>
        </w:trPr>
        <w:tc>
          <w:tcPr>
            <w:tcW w:w="1727" w:type="pct"/>
            <w:tcBorders>
              <w:top w:val="nil"/>
              <w:bottom w:val="single" w:sz="4" w:space="0" w:color="auto"/>
            </w:tcBorders>
            <w:shd w:val="clear" w:color="auto" w:fill="auto"/>
          </w:tcPr>
          <w:p w14:paraId="24B3C009" w14:textId="51ADE649" w:rsidR="00C85B8F" w:rsidRPr="00DB3D39" w:rsidRDefault="00C85B8F" w:rsidP="00C85B8F">
            <w:pPr>
              <w:keepNext/>
              <w:keepLines/>
              <w:jc w:val="left"/>
              <w:rPr>
                <w:rFonts w:ascii="Arial Narrow" w:eastAsiaTheme="majorEastAsia" w:hAnsi="Arial Narrow" w:cstheme="majorBidi"/>
                <w:sz w:val="20"/>
                <w:szCs w:val="20"/>
              </w:rPr>
            </w:pPr>
            <w:r w:rsidRPr="00DB3D39">
              <w:rPr>
                <w:rFonts w:ascii="Arial Narrow" w:eastAsiaTheme="majorEastAsia" w:hAnsi="Arial Narrow" w:cs="Times New Roman"/>
                <w:snapToGrid w:val="0"/>
                <w:sz w:val="20"/>
                <w:szCs w:val="20"/>
              </w:rPr>
              <w:t>Arthralgia</w:t>
            </w:r>
          </w:p>
        </w:tc>
        <w:tc>
          <w:tcPr>
            <w:tcW w:w="943" w:type="pct"/>
            <w:tcBorders>
              <w:top w:val="nil"/>
              <w:bottom w:val="single" w:sz="4" w:space="0" w:color="auto"/>
            </w:tcBorders>
            <w:shd w:val="clear" w:color="auto" w:fill="auto"/>
            <w:vAlign w:val="center"/>
          </w:tcPr>
          <w:p w14:paraId="1EDAE4E0" w14:textId="7F35AA55" w:rsidR="00C85B8F" w:rsidRPr="00DB3D39" w:rsidRDefault="00C85B8F" w:rsidP="00C85B8F">
            <w:pPr>
              <w:keepNext/>
              <w:keepLines/>
              <w:jc w:val="center"/>
              <w:rPr>
                <w:rFonts w:ascii="Arial Narrow" w:eastAsiaTheme="majorEastAsia" w:hAnsi="Arial Narrow" w:cstheme="majorBidi"/>
                <w:sz w:val="20"/>
                <w:szCs w:val="20"/>
              </w:rPr>
            </w:pPr>
            <w:r w:rsidRPr="00DB3D39">
              <w:rPr>
                <w:rFonts w:ascii="Arial Narrow" w:hAnsi="Arial Narrow"/>
                <w:sz w:val="20"/>
                <w:szCs w:val="20"/>
              </w:rPr>
              <w:t>19/1644 (1.2%)</w:t>
            </w:r>
          </w:p>
        </w:tc>
        <w:tc>
          <w:tcPr>
            <w:tcW w:w="1021" w:type="pct"/>
            <w:tcBorders>
              <w:top w:val="nil"/>
              <w:bottom w:val="single" w:sz="4" w:space="0" w:color="auto"/>
            </w:tcBorders>
            <w:shd w:val="clear" w:color="auto" w:fill="auto"/>
            <w:vAlign w:val="center"/>
          </w:tcPr>
          <w:p w14:paraId="4E8B236A" w14:textId="408243AF" w:rsidR="00C85B8F" w:rsidRPr="00DB3D39" w:rsidRDefault="00C85B8F" w:rsidP="00C85B8F">
            <w:pPr>
              <w:keepNext/>
              <w:keepLines/>
              <w:jc w:val="center"/>
              <w:rPr>
                <w:rFonts w:ascii="Arial Narrow" w:eastAsiaTheme="majorEastAsia" w:hAnsi="Arial Narrow" w:cstheme="majorBidi"/>
                <w:sz w:val="20"/>
                <w:szCs w:val="20"/>
              </w:rPr>
            </w:pPr>
            <w:r w:rsidRPr="00DB3D39">
              <w:rPr>
                <w:rFonts w:ascii="Arial Narrow" w:hAnsi="Arial Narrow"/>
                <w:sz w:val="20"/>
                <w:szCs w:val="20"/>
              </w:rPr>
              <w:t>17/ 1562 (1.1%)</w:t>
            </w:r>
          </w:p>
        </w:tc>
        <w:tc>
          <w:tcPr>
            <w:tcW w:w="1309" w:type="pct"/>
            <w:tcBorders>
              <w:top w:val="nil"/>
              <w:bottom w:val="single" w:sz="4" w:space="0" w:color="auto"/>
            </w:tcBorders>
            <w:shd w:val="clear" w:color="auto" w:fill="auto"/>
            <w:vAlign w:val="center"/>
          </w:tcPr>
          <w:p w14:paraId="4ADA82A2" w14:textId="5E14D772" w:rsidR="00C85B8F" w:rsidRPr="00DB3D39" w:rsidRDefault="00C85B8F" w:rsidP="00C85B8F">
            <w:pPr>
              <w:keepNext/>
              <w:keepLines/>
              <w:jc w:val="center"/>
              <w:rPr>
                <w:rFonts w:ascii="Arial Narrow" w:eastAsiaTheme="majorEastAsia" w:hAnsi="Arial Narrow" w:cstheme="majorBidi"/>
                <w:bCs/>
                <w:sz w:val="20"/>
                <w:szCs w:val="20"/>
              </w:rPr>
            </w:pPr>
            <w:r w:rsidRPr="00DB3D39">
              <w:rPr>
                <w:rFonts w:ascii="Arial Narrow" w:eastAsiaTheme="majorEastAsia" w:hAnsi="Arial Narrow" w:cstheme="majorBidi"/>
                <w:bCs/>
                <w:sz w:val="20"/>
                <w:szCs w:val="20"/>
              </w:rPr>
              <w:t>NR</w:t>
            </w:r>
          </w:p>
        </w:tc>
      </w:tr>
      <w:tr w:rsidR="00C85B8F" w:rsidRPr="00DB3D39" w14:paraId="2D771B9C" w14:textId="77777777" w:rsidTr="002E2EE3">
        <w:trPr>
          <w:cantSplit/>
        </w:trPr>
        <w:tc>
          <w:tcPr>
            <w:tcW w:w="5000" w:type="pct"/>
            <w:gridSpan w:val="4"/>
            <w:tcBorders>
              <w:top w:val="single" w:sz="4" w:space="0" w:color="auto"/>
              <w:bottom w:val="single" w:sz="4" w:space="0" w:color="auto"/>
            </w:tcBorders>
            <w:shd w:val="clear" w:color="auto" w:fill="auto"/>
          </w:tcPr>
          <w:p w14:paraId="01EAF2F4" w14:textId="695CCAC8" w:rsidR="00C85B8F" w:rsidRPr="00DB3D39" w:rsidRDefault="00C85B8F" w:rsidP="00C85B8F">
            <w:pPr>
              <w:keepNext/>
              <w:keepLines/>
              <w:jc w:val="left"/>
              <w:rPr>
                <w:rFonts w:ascii="Arial Narrow" w:eastAsiaTheme="majorEastAsia" w:hAnsi="Arial Narrow" w:cstheme="majorBidi"/>
                <w:b/>
                <w:sz w:val="20"/>
                <w:szCs w:val="20"/>
              </w:rPr>
            </w:pPr>
            <w:r w:rsidRPr="00DB3D39">
              <w:rPr>
                <w:rFonts w:ascii="Arial Narrow" w:eastAsiaTheme="majorEastAsia" w:hAnsi="Arial Narrow" w:cstheme="majorBidi"/>
                <w:b/>
                <w:sz w:val="20"/>
                <w:szCs w:val="20"/>
              </w:rPr>
              <w:t>NATALEE (</w:t>
            </w:r>
            <w:r w:rsidR="00021237" w:rsidRPr="00DB3D39">
              <w:rPr>
                <w:rFonts w:ascii="Arial Narrow" w:eastAsiaTheme="majorEastAsia" w:hAnsi="Arial Narrow" w:cstheme="majorBidi"/>
                <w:b/>
                <w:sz w:val="20"/>
                <w:szCs w:val="20"/>
              </w:rPr>
              <w:t>safety</w:t>
            </w:r>
            <w:r w:rsidRPr="00DB3D39">
              <w:rPr>
                <w:rFonts w:ascii="Arial Narrow" w:eastAsiaTheme="majorEastAsia" w:hAnsi="Arial Narrow" w:cstheme="majorBidi"/>
                <w:b/>
                <w:sz w:val="20"/>
                <w:szCs w:val="20"/>
              </w:rPr>
              <w:t xml:space="preserve"> set matching the monarchE ITT) July 2023 DCO (median follow-up 40.3 mths)</w:t>
            </w:r>
          </w:p>
        </w:tc>
      </w:tr>
      <w:tr w:rsidR="00C85B8F" w:rsidRPr="00DB3D39" w14:paraId="0ACD4F24" w14:textId="77777777" w:rsidTr="008336EA">
        <w:trPr>
          <w:cantSplit/>
        </w:trPr>
        <w:tc>
          <w:tcPr>
            <w:tcW w:w="1727" w:type="pct"/>
            <w:tcBorders>
              <w:top w:val="single" w:sz="4" w:space="0" w:color="auto"/>
              <w:bottom w:val="single" w:sz="4" w:space="0" w:color="auto"/>
            </w:tcBorders>
            <w:shd w:val="clear" w:color="auto" w:fill="auto"/>
          </w:tcPr>
          <w:p w14:paraId="4D6B0684" w14:textId="77777777" w:rsidR="00C85B8F" w:rsidRPr="00DB3D39" w:rsidRDefault="00C85B8F" w:rsidP="00C85B8F">
            <w:pPr>
              <w:keepNext/>
              <w:keepLines/>
              <w:jc w:val="left"/>
              <w:rPr>
                <w:rFonts w:ascii="Arial Narrow" w:eastAsiaTheme="majorEastAsia" w:hAnsi="Arial Narrow" w:cstheme="majorBidi"/>
                <w:sz w:val="20"/>
                <w:szCs w:val="20"/>
              </w:rPr>
            </w:pPr>
            <w:r w:rsidRPr="00DB3D39">
              <w:rPr>
                <w:rFonts w:ascii="Arial Narrow" w:eastAsiaTheme="majorEastAsia" w:hAnsi="Arial Narrow" w:cs="Times New Roman"/>
                <w:snapToGrid w:val="0"/>
                <w:sz w:val="20"/>
                <w:szCs w:val="20"/>
              </w:rPr>
              <w:t xml:space="preserve">Neutropenia </w:t>
            </w:r>
          </w:p>
        </w:tc>
        <w:tc>
          <w:tcPr>
            <w:tcW w:w="943" w:type="pct"/>
            <w:tcBorders>
              <w:top w:val="single" w:sz="4" w:space="0" w:color="auto"/>
              <w:bottom w:val="single" w:sz="4" w:space="0" w:color="auto"/>
            </w:tcBorders>
            <w:shd w:val="clear" w:color="auto" w:fill="auto"/>
            <w:vAlign w:val="center"/>
          </w:tcPr>
          <w:p w14:paraId="1DE5D471" w14:textId="4AE5206E" w:rsidR="00C85B8F" w:rsidRPr="00DB3D39" w:rsidRDefault="00C85B8F" w:rsidP="00C85B8F">
            <w:pPr>
              <w:keepNext/>
              <w:keepLines/>
              <w:jc w:val="center"/>
              <w:rPr>
                <w:rFonts w:ascii="Arial Narrow" w:eastAsiaTheme="majorEastAsia" w:hAnsi="Arial Narrow" w:cstheme="majorBidi"/>
                <w:sz w:val="20"/>
                <w:szCs w:val="20"/>
              </w:rPr>
            </w:pPr>
            <w:r w:rsidRPr="00DB3D39">
              <w:rPr>
                <w:rFonts w:ascii="Arial Narrow" w:hAnsi="Arial Narrow"/>
                <w:sz w:val="20"/>
                <w:szCs w:val="20"/>
              </w:rPr>
              <w:t>535/1888 (28.3%)</w:t>
            </w:r>
          </w:p>
        </w:tc>
        <w:tc>
          <w:tcPr>
            <w:tcW w:w="1021" w:type="pct"/>
            <w:tcBorders>
              <w:top w:val="single" w:sz="4" w:space="0" w:color="auto"/>
              <w:bottom w:val="single" w:sz="4" w:space="0" w:color="auto"/>
            </w:tcBorders>
            <w:shd w:val="clear" w:color="auto" w:fill="auto"/>
            <w:vAlign w:val="center"/>
          </w:tcPr>
          <w:p w14:paraId="1513A867" w14:textId="77777777" w:rsidR="00C85B8F" w:rsidRPr="00DB3D39" w:rsidRDefault="00C85B8F" w:rsidP="00C85B8F">
            <w:pPr>
              <w:keepNext/>
              <w:keepLines/>
              <w:jc w:val="center"/>
              <w:rPr>
                <w:rFonts w:ascii="Arial Narrow" w:eastAsiaTheme="majorEastAsia" w:hAnsi="Arial Narrow" w:cstheme="majorBidi"/>
                <w:sz w:val="20"/>
                <w:szCs w:val="20"/>
              </w:rPr>
            </w:pPr>
            <w:r w:rsidRPr="00DB3D39">
              <w:rPr>
                <w:rFonts w:ascii="Arial Narrow" w:hAnsi="Arial Narrow"/>
                <w:sz w:val="20"/>
                <w:szCs w:val="20"/>
              </w:rPr>
              <w:t>8/1789 (0.4%)</w:t>
            </w:r>
          </w:p>
        </w:tc>
        <w:tc>
          <w:tcPr>
            <w:tcW w:w="1309" w:type="pct"/>
            <w:tcBorders>
              <w:top w:val="single" w:sz="4" w:space="0" w:color="auto"/>
              <w:bottom w:val="single" w:sz="4" w:space="0" w:color="auto"/>
            </w:tcBorders>
            <w:shd w:val="clear" w:color="auto" w:fill="auto"/>
            <w:vAlign w:val="center"/>
          </w:tcPr>
          <w:p w14:paraId="2E30377C" w14:textId="4BDBB046" w:rsidR="00C85B8F" w:rsidRPr="00DB3D39" w:rsidRDefault="00C85B8F" w:rsidP="00C85B8F">
            <w:pPr>
              <w:jc w:val="left"/>
              <w:rPr>
                <w:rFonts w:ascii="Arial Narrow" w:eastAsiaTheme="majorEastAsia" w:hAnsi="Arial Narrow" w:cstheme="majorBidi"/>
                <w:b/>
                <w:sz w:val="20"/>
                <w:szCs w:val="20"/>
              </w:rPr>
            </w:pPr>
            <w:r w:rsidRPr="00DB3D39">
              <w:rPr>
                <w:rFonts w:ascii="Arial Narrow" w:hAnsi="Arial Narrow"/>
                <w:b/>
                <w:sz w:val="20"/>
                <w:szCs w:val="20"/>
              </w:rPr>
              <w:t>0.28 (0.26, 0.30)</w:t>
            </w:r>
            <w:r w:rsidRPr="00DB3D39">
              <w:rPr>
                <w:rFonts w:ascii="Arial Narrow" w:eastAsiaTheme="majorEastAsia" w:hAnsi="Arial Narrow" w:cstheme="minorBidi"/>
                <w:b/>
                <w:sz w:val="20"/>
                <w:szCs w:val="20"/>
              </w:rPr>
              <w:t xml:space="preserve"> p&lt; 0.00001</w:t>
            </w:r>
          </w:p>
        </w:tc>
      </w:tr>
      <w:tr w:rsidR="00C85B8F" w:rsidRPr="00DB3D39" w14:paraId="230E8414" w14:textId="77777777" w:rsidTr="008336EA">
        <w:trPr>
          <w:cantSplit/>
        </w:trPr>
        <w:tc>
          <w:tcPr>
            <w:tcW w:w="1727" w:type="pct"/>
            <w:tcBorders>
              <w:top w:val="single" w:sz="4" w:space="0" w:color="auto"/>
              <w:bottom w:val="single" w:sz="4" w:space="0" w:color="auto"/>
            </w:tcBorders>
            <w:shd w:val="clear" w:color="auto" w:fill="auto"/>
          </w:tcPr>
          <w:p w14:paraId="1149AA1F" w14:textId="4F5ADEA3" w:rsidR="00C85B8F" w:rsidRPr="00DB3D39" w:rsidRDefault="00C85B8F" w:rsidP="00C85B8F">
            <w:pPr>
              <w:keepNext/>
              <w:keepLines/>
              <w:jc w:val="left"/>
              <w:rPr>
                <w:rFonts w:ascii="Arial Narrow" w:eastAsiaTheme="majorEastAsia" w:hAnsi="Arial Narrow" w:cs="Times New Roman"/>
                <w:snapToGrid w:val="0"/>
                <w:sz w:val="20"/>
                <w:szCs w:val="20"/>
              </w:rPr>
            </w:pPr>
            <w:r w:rsidRPr="00DB3D39">
              <w:rPr>
                <w:rFonts w:ascii="Arial Narrow" w:eastAsiaTheme="majorEastAsia" w:hAnsi="Arial Narrow" w:cs="Times New Roman"/>
                <w:snapToGrid w:val="0"/>
                <w:sz w:val="20"/>
                <w:szCs w:val="20"/>
              </w:rPr>
              <w:t xml:space="preserve">Leukopenia </w:t>
            </w:r>
          </w:p>
        </w:tc>
        <w:tc>
          <w:tcPr>
            <w:tcW w:w="943" w:type="pct"/>
            <w:tcBorders>
              <w:top w:val="single" w:sz="4" w:space="0" w:color="auto"/>
              <w:bottom w:val="single" w:sz="4" w:space="0" w:color="auto"/>
            </w:tcBorders>
            <w:shd w:val="clear" w:color="auto" w:fill="auto"/>
            <w:vAlign w:val="center"/>
          </w:tcPr>
          <w:p w14:paraId="52102A8C" w14:textId="6C1BFD89" w:rsidR="00C85B8F" w:rsidRPr="00DB3D39" w:rsidRDefault="00C85B8F" w:rsidP="00C85B8F">
            <w:pPr>
              <w:keepNext/>
              <w:keepLines/>
              <w:jc w:val="center"/>
              <w:rPr>
                <w:rFonts w:ascii="Arial Narrow" w:hAnsi="Arial Narrow"/>
                <w:sz w:val="20"/>
                <w:szCs w:val="20"/>
              </w:rPr>
            </w:pPr>
            <w:r w:rsidRPr="00DB3D39">
              <w:rPr>
                <w:rFonts w:ascii="Arial Narrow" w:hAnsi="Arial Narrow"/>
                <w:sz w:val="20"/>
                <w:szCs w:val="20"/>
              </w:rPr>
              <w:t>71/1888 (3.8%)</w:t>
            </w:r>
          </w:p>
        </w:tc>
        <w:tc>
          <w:tcPr>
            <w:tcW w:w="1021" w:type="pct"/>
            <w:tcBorders>
              <w:top w:val="single" w:sz="4" w:space="0" w:color="auto"/>
              <w:bottom w:val="single" w:sz="4" w:space="0" w:color="auto"/>
            </w:tcBorders>
            <w:shd w:val="clear" w:color="auto" w:fill="auto"/>
            <w:vAlign w:val="center"/>
          </w:tcPr>
          <w:p w14:paraId="513D1B0B" w14:textId="08DA674F" w:rsidR="00C85B8F" w:rsidRPr="00DB3D39" w:rsidRDefault="00C85B8F" w:rsidP="00C85B8F">
            <w:pPr>
              <w:keepNext/>
              <w:keepLines/>
              <w:jc w:val="center"/>
              <w:rPr>
                <w:rFonts w:ascii="Arial Narrow" w:hAnsi="Arial Narrow"/>
                <w:sz w:val="20"/>
                <w:szCs w:val="20"/>
              </w:rPr>
            </w:pPr>
            <w:r w:rsidRPr="00DB3D39">
              <w:rPr>
                <w:rFonts w:ascii="Arial Narrow" w:hAnsi="Arial Narrow"/>
                <w:sz w:val="20"/>
                <w:szCs w:val="20"/>
              </w:rPr>
              <w:t>2/1789 (0.1%)</w:t>
            </w:r>
          </w:p>
        </w:tc>
        <w:tc>
          <w:tcPr>
            <w:tcW w:w="1309" w:type="pct"/>
            <w:tcBorders>
              <w:top w:val="single" w:sz="4" w:space="0" w:color="auto"/>
              <w:bottom w:val="single" w:sz="4" w:space="0" w:color="auto"/>
            </w:tcBorders>
            <w:shd w:val="clear" w:color="auto" w:fill="auto"/>
            <w:vAlign w:val="center"/>
          </w:tcPr>
          <w:p w14:paraId="30435B33" w14:textId="3DBA02F6" w:rsidR="00C85B8F" w:rsidRPr="00DB3D39" w:rsidRDefault="00C85B8F" w:rsidP="00C85B8F">
            <w:pPr>
              <w:jc w:val="left"/>
              <w:rPr>
                <w:rFonts w:ascii="Arial Narrow" w:hAnsi="Arial Narrow"/>
                <w:b/>
                <w:sz w:val="20"/>
                <w:szCs w:val="20"/>
              </w:rPr>
            </w:pPr>
            <w:r w:rsidRPr="00DB3D39">
              <w:rPr>
                <w:rFonts w:ascii="Arial Narrow" w:hAnsi="Arial Narrow"/>
                <w:b/>
                <w:sz w:val="20"/>
                <w:szCs w:val="20"/>
              </w:rPr>
              <w:t>0.04 (0.03, 0.05)</w:t>
            </w:r>
            <w:r w:rsidRPr="00DB3D39">
              <w:rPr>
                <w:rFonts w:ascii="Arial Narrow" w:eastAsiaTheme="majorEastAsia" w:hAnsi="Arial Narrow" w:cstheme="minorBidi"/>
                <w:b/>
                <w:sz w:val="20"/>
                <w:szCs w:val="20"/>
              </w:rPr>
              <w:t xml:space="preserve"> p&lt; 0.00001</w:t>
            </w:r>
          </w:p>
        </w:tc>
      </w:tr>
      <w:tr w:rsidR="00C85B8F" w:rsidRPr="00DB3D39" w14:paraId="7221626E" w14:textId="77777777" w:rsidTr="008336EA">
        <w:trPr>
          <w:cantSplit/>
        </w:trPr>
        <w:tc>
          <w:tcPr>
            <w:tcW w:w="1727" w:type="pct"/>
            <w:tcBorders>
              <w:top w:val="single" w:sz="4" w:space="0" w:color="auto"/>
              <w:bottom w:val="single" w:sz="4" w:space="0" w:color="auto"/>
            </w:tcBorders>
            <w:shd w:val="clear" w:color="auto" w:fill="auto"/>
          </w:tcPr>
          <w:p w14:paraId="740D6A35" w14:textId="49FB27CE" w:rsidR="00C85B8F" w:rsidRPr="00DB3D39" w:rsidRDefault="00C85B8F" w:rsidP="00C85B8F">
            <w:pPr>
              <w:keepNext/>
              <w:keepLines/>
              <w:jc w:val="left"/>
              <w:rPr>
                <w:rFonts w:ascii="Arial Narrow" w:eastAsiaTheme="majorEastAsia" w:hAnsi="Arial Narrow" w:cs="Times New Roman"/>
                <w:snapToGrid w:val="0"/>
                <w:sz w:val="20"/>
                <w:szCs w:val="20"/>
              </w:rPr>
            </w:pPr>
            <w:r w:rsidRPr="00DB3D39">
              <w:rPr>
                <w:rFonts w:ascii="Arial Narrow" w:eastAsiaTheme="majorEastAsia" w:hAnsi="Arial Narrow" w:cstheme="majorBidi"/>
                <w:sz w:val="20"/>
                <w:szCs w:val="20"/>
              </w:rPr>
              <w:t>Diarrhoea</w:t>
            </w:r>
          </w:p>
        </w:tc>
        <w:tc>
          <w:tcPr>
            <w:tcW w:w="943" w:type="pct"/>
            <w:tcBorders>
              <w:top w:val="single" w:sz="4" w:space="0" w:color="auto"/>
              <w:bottom w:val="single" w:sz="4" w:space="0" w:color="auto"/>
            </w:tcBorders>
            <w:shd w:val="clear" w:color="auto" w:fill="auto"/>
            <w:vAlign w:val="center"/>
          </w:tcPr>
          <w:p w14:paraId="41B06CA3" w14:textId="26E9229B" w:rsidR="00C85B8F" w:rsidRPr="00DB3D39" w:rsidRDefault="00C85B8F" w:rsidP="00C85B8F">
            <w:pPr>
              <w:keepNext/>
              <w:spacing w:line="276" w:lineRule="auto"/>
              <w:jc w:val="center"/>
              <w:rPr>
                <w:rFonts w:ascii="Arial Narrow" w:hAnsi="Arial Narrow"/>
                <w:sz w:val="20"/>
                <w:szCs w:val="20"/>
              </w:rPr>
            </w:pPr>
            <w:r w:rsidRPr="00DB3D39">
              <w:rPr>
                <w:rFonts w:ascii="Arial Narrow" w:eastAsia="Calibri" w:hAnsi="Arial Narrow" w:cstheme="minorHAnsi"/>
                <w:sz w:val="20"/>
                <w:szCs w:val="20"/>
              </w:rPr>
              <w:t>9/1,888 (0.5)</w:t>
            </w:r>
          </w:p>
        </w:tc>
        <w:tc>
          <w:tcPr>
            <w:tcW w:w="1021" w:type="pct"/>
            <w:tcBorders>
              <w:top w:val="single" w:sz="4" w:space="0" w:color="auto"/>
              <w:bottom w:val="single" w:sz="4" w:space="0" w:color="auto"/>
            </w:tcBorders>
            <w:shd w:val="clear" w:color="auto" w:fill="auto"/>
            <w:vAlign w:val="center"/>
          </w:tcPr>
          <w:p w14:paraId="28448CF2" w14:textId="0A8D0676" w:rsidR="00C85B8F" w:rsidRPr="00DB3D39" w:rsidRDefault="00C85B8F" w:rsidP="00C85B8F">
            <w:pPr>
              <w:keepNext/>
              <w:spacing w:line="276" w:lineRule="auto"/>
              <w:jc w:val="center"/>
              <w:rPr>
                <w:rFonts w:ascii="Arial Narrow" w:hAnsi="Arial Narrow"/>
                <w:sz w:val="20"/>
                <w:szCs w:val="20"/>
              </w:rPr>
            </w:pPr>
            <w:r w:rsidRPr="00DB3D39">
              <w:rPr>
                <w:rFonts w:ascii="Arial Narrow" w:eastAsia="Calibri" w:hAnsi="Arial Narrow" w:cstheme="minorHAnsi"/>
                <w:sz w:val="20"/>
                <w:szCs w:val="20"/>
              </w:rPr>
              <w:t>3/1,789 (0.2)</w:t>
            </w:r>
          </w:p>
        </w:tc>
        <w:tc>
          <w:tcPr>
            <w:tcW w:w="1309" w:type="pct"/>
            <w:tcBorders>
              <w:top w:val="single" w:sz="4" w:space="0" w:color="auto"/>
              <w:bottom w:val="single" w:sz="4" w:space="0" w:color="auto"/>
            </w:tcBorders>
            <w:shd w:val="clear" w:color="auto" w:fill="auto"/>
            <w:vAlign w:val="center"/>
          </w:tcPr>
          <w:p w14:paraId="68DFF0AF" w14:textId="013BA14F" w:rsidR="00C85B8F" w:rsidRPr="00DB3D39" w:rsidRDefault="00C85B8F" w:rsidP="00C85B8F">
            <w:pPr>
              <w:jc w:val="left"/>
              <w:rPr>
                <w:rFonts w:ascii="Arial Narrow" w:hAnsi="Arial Narrow"/>
                <w:b/>
                <w:sz w:val="20"/>
                <w:szCs w:val="20"/>
              </w:rPr>
            </w:pPr>
            <w:r w:rsidRPr="00DB3D39">
              <w:rPr>
                <w:rFonts w:ascii="Arial Narrow" w:eastAsia="Calibri" w:hAnsi="Arial Narrow" w:cstheme="minorHAnsi"/>
                <w:sz w:val="20"/>
                <w:szCs w:val="20"/>
              </w:rPr>
              <w:t>0.00 [-0.00; 0.01]; p = 0.0961</w:t>
            </w:r>
          </w:p>
        </w:tc>
      </w:tr>
      <w:tr w:rsidR="00C85B8F" w:rsidRPr="00DB3D39" w14:paraId="6CC10BF3" w14:textId="77777777" w:rsidTr="008336EA">
        <w:trPr>
          <w:cantSplit/>
        </w:trPr>
        <w:tc>
          <w:tcPr>
            <w:tcW w:w="1727" w:type="pct"/>
            <w:tcBorders>
              <w:top w:val="single" w:sz="4" w:space="0" w:color="auto"/>
              <w:bottom w:val="single" w:sz="4" w:space="0" w:color="auto"/>
            </w:tcBorders>
            <w:shd w:val="clear" w:color="auto" w:fill="auto"/>
          </w:tcPr>
          <w:p w14:paraId="02867F82" w14:textId="6BB4068B" w:rsidR="00C85B8F" w:rsidRPr="00DB3D39" w:rsidRDefault="00C85B8F" w:rsidP="00C85B8F">
            <w:pPr>
              <w:keepNext/>
              <w:keepLines/>
              <w:jc w:val="left"/>
              <w:rPr>
                <w:rFonts w:ascii="Arial Narrow" w:eastAsiaTheme="majorEastAsia" w:hAnsi="Arial Narrow" w:cs="Times New Roman"/>
                <w:snapToGrid w:val="0"/>
                <w:sz w:val="20"/>
                <w:szCs w:val="20"/>
              </w:rPr>
            </w:pPr>
            <w:r w:rsidRPr="00DB3D39">
              <w:rPr>
                <w:rFonts w:ascii="Arial Narrow" w:eastAsiaTheme="majorEastAsia" w:hAnsi="Arial Narrow" w:cstheme="majorBidi"/>
                <w:sz w:val="20"/>
                <w:szCs w:val="20"/>
              </w:rPr>
              <w:t>Lymphopenia</w:t>
            </w:r>
          </w:p>
        </w:tc>
        <w:tc>
          <w:tcPr>
            <w:tcW w:w="943" w:type="pct"/>
            <w:tcBorders>
              <w:top w:val="single" w:sz="4" w:space="0" w:color="auto"/>
              <w:bottom w:val="single" w:sz="4" w:space="0" w:color="auto"/>
            </w:tcBorders>
            <w:shd w:val="clear" w:color="auto" w:fill="auto"/>
            <w:vAlign w:val="center"/>
          </w:tcPr>
          <w:p w14:paraId="7CD63FCB" w14:textId="4FFE5ED4" w:rsidR="00C85B8F" w:rsidRPr="00DB3D39" w:rsidRDefault="00C85B8F" w:rsidP="00C85B8F">
            <w:pPr>
              <w:spacing w:line="276" w:lineRule="auto"/>
              <w:jc w:val="center"/>
              <w:rPr>
                <w:rFonts w:ascii="Arial Narrow" w:hAnsi="Arial Narrow"/>
                <w:sz w:val="20"/>
                <w:szCs w:val="20"/>
              </w:rPr>
            </w:pPr>
            <w:r w:rsidRPr="00DB3D39">
              <w:rPr>
                <w:rFonts w:ascii="Arial Narrow" w:eastAsia="Calibri" w:hAnsi="Arial Narrow" w:cstheme="minorHAnsi"/>
                <w:sz w:val="20"/>
                <w:szCs w:val="20"/>
              </w:rPr>
              <w:t>9/1,888 (0.5)</w:t>
            </w:r>
          </w:p>
        </w:tc>
        <w:tc>
          <w:tcPr>
            <w:tcW w:w="1021" w:type="pct"/>
            <w:tcBorders>
              <w:top w:val="single" w:sz="4" w:space="0" w:color="auto"/>
              <w:bottom w:val="single" w:sz="4" w:space="0" w:color="auto"/>
            </w:tcBorders>
            <w:shd w:val="clear" w:color="auto" w:fill="auto"/>
            <w:vAlign w:val="center"/>
          </w:tcPr>
          <w:p w14:paraId="425A36F9" w14:textId="3E7F9684" w:rsidR="00C85B8F" w:rsidRPr="00DB3D39" w:rsidRDefault="00C85B8F" w:rsidP="00C85B8F">
            <w:pPr>
              <w:spacing w:line="276" w:lineRule="auto"/>
              <w:jc w:val="center"/>
              <w:rPr>
                <w:rFonts w:ascii="Arial Narrow" w:hAnsi="Arial Narrow"/>
                <w:sz w:val="20"/>
                <w:szCs w:val="20"/>
              </w:rPr>
            </w:pPr>
            <w:r w:rsidRPr="00DB3D39">
              <w:rPr>
                <w:rFonts w:ascii="Arial Narrow" w:eastAsia="Calibri" w:hAnsi="Arial Narrow" w:cstheme="minorHAnsi"/>
                <w:sz w:val="20"/>
                <w:szCs w:val="20"/>
              </w:rPr>
              <w:t>0/1,789 (0)</w:t>
            </w:r>
          </w:p>
        </w:tc>
        <w:tc>
          <w:tcPr>
            <w:tcW w:w="1309" w:type="pct"/>
            <w:tcBorders>
              <w:top w:val="single" w:sz="4" w:space="0" w:color="auto"/>
              <w:bottom w:val="single" w:sz="4" w:space="0" w:color="auto"/>
            </w:tcBorders>
            <w:shd w:val="clear" w:color="auto" w:fill="auto"/>
            <w:vAlign w:val="center"/>
          </w:tcPr>
          <w:p w14:paraId="19FBD257" w14:textId="4FB365EF" w:rsidR="00C85B8F" w:rsidRPr="00DB3D39" w:rsidRDefault="00C85B8F" w:rsidP="00C85B8F">
            <w:pPr>
              <w:jc w:val="left"/>
              <w:rPr>
                <w:rFonts w:ascii="Arial Narrow" w:hAnsi="Arial Narrow"/>
                <w:b/>
                <w:bCs/>
                <w:sz w:val="20"/>
                <w:szCs w:val="20"/>
              </w:rPr>
            </w:pPr>
            <w:r w:rsidRPr="00DB3D39">
              <w:rPr>
                <w:rFonts w:ascii="Arial Narrow" w:eastAsia="Calibri" w:hAnsi="Arial Narrow" w:cstheme="minorHAnsi"/>
                <w:b/>
                <w:bCs/>
                <w:sz w:val="20"/>
                <w:szCs w:val="20"/>
              </w:rPr>
              <w:t xml:space="preserve">0.00 [0.00; 0.01]; </w:t>
            </w:r>
            <w:r w:rsidRPr="00DB3D39">
              <w:rPr>
                <w:rFonts w:ascii="Arial Narrow" w:hAnsi="Arial Narrow"/>
                <w:b/>
                <w:bCs/>
                <w:sz w:val="20"/>
                <w:szCs w:val="20"/>
              </w:rPr>
              <w:t>p = 0.0044</w:t>
            </w:r>
          </w:p>
        </w:tc>
      </w:tr>
      <w:tr w:rsidR="00C85B8F" w:rsidRPr="00DB3D39" w14:paraId="6240EEA5" w14:textId="77777777" w:rsidTr="008336EA">
        <w:trPr>
          <w:cantSplit/>
        </w:trPr>
        <w:tc>
          <w:tcPr>
            <w:tcW w:w="1727" w:type="pct"/>
            <w:tcBorders>
              <w:top w:val="single" w:sz="4" w:space="0" w:color="auto"/>
              <w:bottom w:val="single" w:sz="4" w:space="0" w:color="auto"/>
            </w:tcBorders>
            <w:shd w:val="clear" w:color="auto" w:fill="auto"/>
          </w:tcPr>
          <w:p w14:paraId="76A14E73" w14:textId="53B7183C" w:rsidR="00C85B8F" w:rsidRPr="00DB3D39" w:rsidRDefault="00C85B8F" w:rsidP="00C85B8F">
            <w:pPr>
              <w:keepNext/>
              <w:keepLines/>
              <w:jc w:val="left"/>
              <w:rPr>
                <w:rFonts w:ascii="Arial Narrow" w:eastAsiaTheme="majorEastAsia" w:hAnsi="Arial Narrow" w:cstheme="majorBidi"/>
                <w:sz w:val="20"/>
                <w:szCs w:val="20"/>
              </w:rPr>
            </w:pPr>
            <w:r w:rsidRPr="00DB3D39">
              <w:rPr>
                <w:rFonts w:ascii="Arial Narrow" w:eastAsiaTheme="majorEastAsia" w:hAnsi="Arial Narrow" w:cs="Times New Roman"/>
                <w:snapToGrid w:val="0"/>
                <w:sz w:val="20"/>
                <w:szCs w:val="20"/>
              </w:rPr>
              <w:t xml:space="preserve">Alanine aminotransferase increased </w:t>
            </w:r>
          </w:p>
        </w:tc>
        <w:tc>
          <w:tcPr>
            <w:tcW w:w="943" w:type="pct"/>
            <w:tcBorders>
              <w:top w:val="single" w:sz="4" w:space="0" w:color="auto"/>
              <w:bottom w:val="single" w:sz="4" w:space="0" w:color="auto"/>
            </w:tcBorders>
            <w:shd w:val="clear" w:color="auto" w:fill="auto"/>
            <w:vAlign w:val="center"/>
          </w:tcPr>
          <w:p w14:paraId="254B9102" w14:textId="32298A51" w:rsidR="00C85B8F" w:rsidRPr="00DB3D39" w:rsidRDefault="00C85B8F" w:rsidP="00C85B8F">
            <w:pPr>
              <w:spacing w:line="276" w:lineRule="auto"/>
              <w:jc w:val="center"/>
              <w:rPr>
                <w:rFonts w:ascii="Arial Narrow" w:eastAsia="Calibri" w:hAnsi="Arial Narrow" w:cstheme="minorHAnsi"/>
                <w:sz w:val="20"/>
                <w:szCs w:val="20"/>
              </w:rPr>
            </w:pPr>
            <w:r w:rsidRPr="00DB3D39">
              <w:rPr>
                <w:rFonts w:ascii="Arial Narrow" w:hAnsi="Arial Narrow"/>
                <w:sz w:val="20"/>
                <w:szCs w:val="20"/>
              </w:rPr>
              <w:t>128/1888 (6.8%)</w:t>
            </w:r>
          </w:p>
        </w:tc>
        <w:tc>
          <w:tcPr>
            <w:tcW w:w="1021" w:type="pct"/>
            <w:tcBorders>
              <w:top w:val="single" w:sz="4" w:space="0" w:color="auto"/>
              <w:bottom w:val="single" w:sz="4" w:space="0" w:color="auto"/>
            </w:tcBorders>
            <w:shd w:val="clear" w:color="auto" w:fill="auto"/>
            <w:vAlign w:val="center"/>
          </w:tcPr>
          <w:p w14:paraId="5F06BDAF" w14:textId="7EAC2688" w:rsidR="00C85B8F" w:rsidRPr="00DB3D39" w:rsidRDefault="00C85B8F" w:rsidP="00C85B8F">
            <w:pPr>
              <w:spacing w:line="276" w:lineRule="auto"/>
              <w:jc w:val="center"/>
              <w:rPr>
                <w:rFonts w:ascii="Arial Narrow" w:eastAsia="Calibri" w:hAnsi="Arial Narrow" w:cstheme="minorHAnsi"/>
                <w:sz w:val="20"/>
                <w:szCs w:val="20"/>
              </w:rPr>
            </w:pPr>
            <w:r w:rsidRPr="00DB3D39">
              <w:rPr>
                <w:rFonts w:ascii="Arial Narrow" w:hAnsi="Arial Narrow"/>
                <w:sz w:val="20"/>
                <w:szCs w:val="20"/>
              </w:rPr>
              <w:t>15/1789 (0.8%)</w:t>
            </w:r>
          </w:p>
        </w:tc>
        <w:tc>
          <w:tcPr>
            <w:tcW w:w="1309" w:type="pct"/>
            <w:tcBorders>
              <w:top w:val="single" w:sz="4" w:space="0" w:color="auto"/>
              <w:bottom w:val="single" w:sz="4" w:space="0" w:color="auto"/>
            </w:tcBorders>
            <w:shd w:val="clear" w:color="auto" w:fill="auto"/>
            <w:vAlign w:val="center"/>
          </w:tcPr>
          <w:p w14:paraId="20A7D91D" w14:textId="2D4F18D5" w:rsidR="00C85B8F" w:rsidRPr="00DB3D39" w:rsidRDefault="00C85B8F" w:rsidP="00C85B8F">
            <w:pPr>
              <w:jc w:val="left"/>
              <w:rPr>
                <w:rFonts w:ascii="Arial Narrow" w:eastAsia="Calibri" w:hAnsi="Arial Narrow" w:cstheme="minorHAnsi"/>
                <w:sz w:val="20"/>
                <w:szCs w:val="20"/>
              </w:rPr>
            </w:pPr>
            <w:r w:rsidRPr="00DB3D39">
              <w:rPr>
                <w:rFonts w:ascii="Arial Narrow" w:hAnsi="Arial Narrow"/>
                <w:b/>
                <w:sz w:val="20"/>
                <w:szCs w:val="20"/>
              </w:rPr>
              <w:t>0.06 (0.05, 0.07)</w:t>
            </w:r>
            <w:r w:rsidRPr="00DB3D39">
              <w:rPr>
                <w:rFonts w:ascii="Arial Narrow" w:eastAsiaTheme="majorEastAsia" w:hAnsi="Arial Narrow" w:cstheme="minorBidi"/>
                <w:b/>
                <w:sz w:val="20"/>
                <w:szCs w:val="20"/>
              </w:rPr>
              <w:t xml:space="preserve"> p&lt; 0.00001</w:t>
            </w:r>
          </w:p>
        </w:tc>
      </w:tr>
      <w:tr w:rsidR="00C85B8F" w:rsidRPr="00DB3D39" w14:paraId="5DB19EAB" w14:textId="77777777" w:rsidTr="008336EA">
        <w:trPr>
          <w:cantSplit/>
        </w:trPr>
        <w:tc>
          <w:tcPr>
            <w:tcW w:w="1727" w:type="pct"/>
            <w:tcBorders>
              <w:top w:val="single" w:sz="4" w:space="0" w:color="auto"/>
              <w:bottom w:val="single" w:sz="4" w:space="0" w:color="auto"/>
            </w:tcBorders>
            <w:shd w:val="clear" w:color="auto" w:fill="auto"/>
          </w:tcPr>
          <w:p w14:paraId="0161C94F" w14:textId="77777777" w:rsidR="00C85B8F" w:rsidRPr="00DB3D39" w:rsidRDefault="00C85B8F" w:rsidP="00C85B8F">
            <w:pPr>
              <w:keepNext/>
              <w:keepLines/>
              <w:jc w:val="left"/>
              <w:rPr>
                <w:rFonts w:ascii="Arial Narrow" w:eastAsiaTheme="majorEastAsia" w:hAnsi="Arial Narrow" w:cstheme="majorBidi"/>
                <w:sz w:val="20"/>
                <w:szCs w:val="20"/>
              </w:rPr>
            </w:pPr>
            <w:r w:rsidRPr="00DB3D39">
              <w:rPr>
                <w:rFonts w:ascii="Arial Narrow" w:eastAsiaTheme="majorEastAsia" w:hAnsi="Arial Narrow" w:cs="Times New Roman"/>
                <w:snapToGrid w:val="0"/>
                <w:sz w:val="20"/>
                <w:szCs w:val="20"/>
              </w:rPr>
              <w:t xml:space="preserve">Neutrophil count decreased </w:t>
            </w:r>
          </w:p>
        </w:tc>
        <w:tc>
          <w:tcPr>
            <w:tcW w:w="943" w:type="pct"/>
            <w:tcBorders>
              <w:top w:val="single" w:sz="4" w:space="0" w:color="auto"/>
              <w:bottom w:val="single" w:sz="4" w:space="0" w:color="auto"/>
            </w:tcBorders>
            <w:shd w:val="clear" w:color="auto" w:fill="auto"/>
            <w:vAlign w:val="center"/>
          </w:tcPr>
          <w:p w14:paraId="1F749C24" w14:textId="77777777" w:rsidR="00C85B8F" w:rsidRPr="00DB3D39" w:rsidRDefault="00C85B8F" w:rsidP="00C85B8F">
            <w:pPr>
              <w:keepNext/>
              <w:keepLines/>
              <w:jc w:val="center"/>
              <w:rPr>
                <w:rFonts w:ascii="Arial Narrow" w:eastAsiaTheme="majorEastAsia" w:hAnsi="Arial Narrow" w:cstheme="majorBidi"/>
                <w:sz w:val="20"/>
                <w:szCs w:val="20"/>
              </w:rPr>
            </w:pPr>
            <w:r w:rsidRPr="00DB3D39">
              <w:rPr>
                <w:rFonts w:ascii="Arial Narrow" w:hAnsi="Arial Narrow"/>
                <w:sz w:val="20"/>
                <w:szCs w:val="20"/>
              </w:rPr>
              <w:t>343/1888 (18.2%)</w:t>
            </w:r>
          </w:p>
        </w:tc>
        <w:tc>
          <w:tcPr>
            <w:tcW w:w="1021" w:type="pct"/>
            <w:tcBorders>
              <w:top w:val="single" w:sz="4" w:space="0" w:color="auto"/>
              <w:bottom w:val="single" w:sz="4" w:space="0" w:color="auto"/>
            </w:tcBorders>
            <w:shd w:val="clear" w:color="auto" w:fill="auto"/>
            <w:vAlign w:val="center"/>
          </w:tcPr>
          <w:p w14:paraId="5796CCA5" w14:textId="77777777" w:rsidR="00C85B8F" w:rsidRPr="00DB3D39" w:rsidRDefault="00C85B8F" w:rsidP="00C85B8F">
            <w:pPr>
              <w:keepNext/>
              <w:keepLines/>
              <w:jc w:val="center"/>
              <w:rPr>
                <w:rFonts w:ascii="Arial Narrow" w:eastAsiaTheme="majorEastAsia" w:hAnsi="Arial Narrow" w:cstheme="majorBidi"/>
                <w:sz w:val="20"/>
                <w:szCs w:val="20"/>
              </w:rPr>
            </w:pPr>
            <w:r w:rsidRPr="00DB3D39">
              <w:rPr>
                <w:rFonts w:ascii="Arial Narrow" w:hAnsi="Arial Narrow"/>
                <w:sz w:val="20"/>
                <w:szCs w:val="20"/>
              </w:rPr>
              <w:t>7/1789 (0.4%)</w:t>
            </w:r>
          </w:p>
        </w:tc>
        <w:tc>
          <w:tcPr>
            <w:tcW w:w="1309" w:type="pct"/>
            <w:tcBorders>
              <w:top w:val="single" w:sz="4" w:space="0" w:color="auto"/>
              <w:bottom w:val="single" w:sz="4" w:space="0" w:color="auto"/>
            </w:tcBorders>
            <w:shd w:val="clear" w:color="auto" w:fill="auto"/>
            <w:vAlign w:val="center"/>
          </w:tcPr>
          <w:p w14:paraId="4F35CACB" w14:textId="1CF7C094" w:rsidR="00C85B8F" w:rsidRPr="00DB3D39" w:rsidRDefault="00021237" w:rsidP="00C85B8F">
            <w:pPr>
              <w:jc w:val="center"/>
              <w:rPr>
                <w:rFonts w:ascii="Arial Narrow" w:eastAsiaTheme="majorEastAsia" w:hAnsi="Arial Narrow" w:cstheme="majorBidi"/>
                <w:bCs/>
                <w:sz w:val="20"/>
                <w:szCs w:val="20"/>
              </w:rPr>
            </w:pPr>
            <w:r w:rsidRPr="00DB3D39">
              <w:rPr>
                <w:rFonts w:ascii="Arial Narrow" w:hAnsi="Arial Narrow"/>
                <w:sz w:val="20"/>
                <w:szCs w:val="20"/>
              </w:rPr>
              <w:t>NR</w:t>
            </w:r>
          </w:p>
        </w:tc>
      </w:tr>
      <w:tr w:rsidR="00C85B8F" w:rsidRPr="00DB3D39" w14:paraId="6BC3A14D" w14:textId="77777777" w:rsidTr="008336EA">
        <w:trPr>
          <w:cantSplit/>
        </w:trPr>
        <w:tc>
          <w:tcPr>
            <w:tcW w:w="1727" w:type="pct"/>
            <w:tcBorders>
              <w:top w:val="single" w:sz="4" w:space="0" w:color="auto"/>
              <w:bottom w:val="single" w:sz="4" w:space="0" w:color="auto"/>
            </w:tcBorders>
            <w:shd w:val="clear" w:color="auto" w:fill="auto"/>
          </w:tcPr>
          <w:p w14:paraId="0220E68F" w14:textId="49D8E13A" w:rsidR="00C85B8F" w:rsidRPr="00DB3D39" w:rsidRDefault="00C85B8F" w:rsidP="00C85B8F">
            <w:pPr>
              <w:keepNext/>
              <w:keepLines/>
              <w:jc w:val="left"/>
              <w:rPr>
                <w:rFonts w:ascii="Arial Narrow" w:eastAsiaTheme="majorEastAsia" w:hAnsi="Arial Narrow" w:cstheme="majorBidi"/>
                <w:sz w:val="20"/>
                <w:szCs w:val="20"/>
              </w:rPr>
            </w:pPr>
            <w:r w:rsidRPr="00DB3D39">
              <w:rPr>
                <w:rFonts w:ascii="Arial Narrow" w:eastAsiaTheme="majorEastAsia" w:hAnsi="Arial Narrow" w:cs="Times New Roman"/>
                <w:snapToGrid w:val="0"/>
                <w:sz w:val="20"/>
                <w:szCs w:val="20"/>
              </w:rPr>
              <w:t xml:space="preserve">Aspartate aminotransferase increased </w:t>
            </w:r>
          </w:p>
        </w:tc>
        <w:tc>
          <w:tcPr>
            <w:tcW w:w="943" w:type="pct"/>
            <w:tcBorders>
              <w:top w:val="single" w:sz="4" w:space="0" w:color="auto"/>
              <w:bottom w:val="single" w:sz="4" w:space="0" w:color="auto"/>
            </w:tcBorders>
            <w:shd w:val="clear" w:color="auto" w:fill="auto"/>
            <w:vAlign w:val="center"/>
          </w:tcPr>
          <w:p w14:paraId="4339A6A9" w14:textId="204545E3" w:rsidR="00C85B8F" w:rsidRPr="00DB3D39" w:rsidRDefault="00C85B8F" w:rsidP="00C85B8F">
            <w:pPr>
              <w:keepNext/>
              <w:keepLines/>
              <w:jc w:val="center"/>
              <w:rPr>
                <w:rFonts w:ascii="Arial Narrow" w:eastAsiaTheme="majorEastAsia" w:hAnsi="Arial Narrow" w:cstheme="majorBidi"/>
                <w:sz w:val="20"/>
                <w:szCs w:val="20"/>
              </w:rPr>
            </w:pPr>
            <w:r w:rsidRPr="00DB3D39">
              <w:rPr>
                <w:rFonts w:ascii="Arial Narrow" w:hAnsi="Arial Narrow"/>
                <w:sz w:val="20"/>
                <w:szCs w:val="20"/>
              </w:rPr>
              <w:t>82/1888 (4.3%)</w:t>
            </w:r>
          </w:p>
        </w:tc>
        <w:tc>
          <w:tcPr>
            <w:tcW w:w="1021" w:type="pct"/>
            <w:tcBorders>
              <w:top w:val="single" w:sz="4" w:space="0" w:color="auto"/>
              <w:bottom w:val="single" w:sz="4" w:space="0" w:color="auto"/>
            </w:tcBorders>
            <w:shd w:val="clear" w:color="auto" w:fill="auto"/>
            <w:vAlign w:val="center"/>
          </w:tcPr>
          <w:p w14:paraId="15BB6968" w14:textId="1C96EAD0" w:rsidR="00C85B8F" w:rsidRPr="00DB3D39" w:rsidRDefault="00C85B8F" w:rsidP="00C85B8F">
            <w:pPr>
              <w:keepNext/>
              <w:keepLines/>
              <w:jc w:val="center"/>
              <w:rPr>
                <w:rFonts w:ascii="Arial Narrow" w:eastAsiaTheme="majorEastAsia" w:hAnsi="Arial Narrow" w:cstheme="majorBidi"/>
                <w:sz w:val="20"/>
                <w:szCs w:val="20"/>
              </w:rPr>
            </w:pPr>
            <w:r w:rsidRPr="00DB3D39">
              <w:rPr>
                <w:rFonts w:ascii="Arial Narrow" w:hAnsi="Arial Narrow"/>
                <w:sz w:val="20"/>
                <w:szCs w:val="20"/>
              </w:rPr>
              <w:t>10/1789 (0.6%)</w:t>
            </w:r>
          </w:p>
        </w:tc>
        <w:tc>
          <w:tcPr>
            <w:tcW w:w="1309" w:type="pct"/>
            <w:tcBorders>
              <w:top w:val="single" w:sz="4" w:space="0" w:color="auto"/>
              <w:bottom w:val="single" w:sz="4" w:space="0" w:color="auto"/>
            </w:tcBorders>
            <w:shd w:val="clear" w:color="auto" w:fill="auto"/>
            <w:vAlign w:val="center"/>
          </w:tcPr>
          <w:p w14:paraId="51C77440" w14:textId="690FBFA8" w:rsidR="00C85B8F" w:rsidRPr="00DB3D39" w:rsidRDefault="002E2EE3" w:rsidP="00C85B8F">
            <w:pPr>
              <w:jc w:val="center"/>
              <w:rPr>
                <w:rFonts w:ascii="Arial Narrow" w:eastAsiaTheme="majorEastAsia" w:hAnsi="Arial Narrow" w:cstheme="majorBidi"/>
                <w:b/>
                <w:sz w:val="20"/>
                <w:szCs w:val="20"/>
              </w:rPr>
            </w:pPr>
            <w:r w:rsidRPr="00DB3D39">
              <w:rPr>
                <w:rFonts w:ascii="Arial Narrow" w:hAnsi="Arial Narrow"/>
                <w:bCs/>
                <w:iCs/>
                <w:sz w:val="20"/>
                <w:szCs w:val="20"/>
              </w:rPr>
              <w:t>NR</w:t>
            </w:r>
          </w:p>
        </w:tc>
      </w:tr>
      <w:tr w:rsidR="00C85B8F" w:rsidRPr="00DB3D39" w14:paraId="0BF4C941" w14:textId="77777777" w:rsidTr="008336EA">
        <w:trPr>
          <w:cantSplit/>
        </w:trPr>
        <w:tc>
          <w:tcPr>
            <w:tcW w:w="1727" w:type="pct"/>
            <w:tcBorders>
              <w:top w:val="single" w:sz="4" w:space="0" w:color="auto"/>
              <w:bottom w:val="single" w:sz="4" w:space="0" w:color="auto"/>
            </w:tcBorders>
            <w:shd w:val="clear" w:color="auto" w:fill="auto"/>
          </w:tcPr>
          <w:p w14:paraId="4B0FEFF2" w14:textId="6FB435AC" w:rsidR="00C85B8F" w:rsidRPr="00DB3D39" w:rsidRDefault="00C85B8F" w:rsidP="00C85B8F">
            <w:pPr>
              <w:keepNext/>
              <w:keepLines/>
              <w:jc w:val="left"/>
              <w:rPr>
                <w:rFonts w:ascii="Arial Narrow" w:eastAsiaTheme="majorEastAsia" w:hAnsi="Arial Narrow" w:cstheme="majorBidi"/>
                <w:sz w:val="20"/>
                <w:szCs w:val="20"/>
              </w:rPr>
            </w:pPr>
            <w:r w:rsidRPr="00DB3D39">
              <w:rPr>
                <w:rFonts w:ascii="Arial Narrow" w:eastAsiaTheme="majorEastAsia" w:hAnsi="Arial Narrow" w:cs="Times New Roman"/>
                <w:snapToGrid w:val="0"/>
                <w:sz w:val="20"/>
                <w:szCs w:val="20"/>
              </w:rPr>
              <w:t xml:space="preserve">White blood cell count decreased </w:t>
            </w:r>
          </w:p>
        </w:tc>
        <w:tc>
          <w:tcPr>
            <w:tcW w:w="943" w:type="pct"/>
            <w:tcBorders>
              <w:top w:val="single" w:sz="4" w:space="0" w:color="auto"/>
              <w:bottom w:val="single" w:sz="4" w:space="0" w:color="auto"/>
            </w:tcBorders>
            <w:shd w:val="clear" w:color="auto" w:fill="auto"/>
            <w:vAlign w:val="center"/>
          </w:tcPr>
          <w:p w14:paraId="3D750330" w14:textId="6F7C0BF4" w:rsidR="00C85B8F" w:rsidRPr="00DB3D39" w:rsidRDefault="00C85B8F" w:rsidP="00C85B8F">
            <w:pPr>
              <w:keepNext/>
              <w:keepLines/>
              <w:jc w:val="center"/>
              <w:rPr>
                <w:rFonts w:ascii="Arial Narrow" w:eastAsiaTheme="majorEastAsia" w:hAnsi="Arial Narrow" w:cstheme="majorBidi"/>
                <w:sz w:val="20"/>
                <w:szCs w:val="20"/>
              </w:rPr>
            </w:pPr>
            <w:r w:rsidRPr="00DB3D39">
              <w:rPr>
                <w:rFonts w:ascii="Arial Narrow" w:hAnsi="Arial Narrow"/>
                <w:sz w:val="20"/>
                <w:szCs w:val="20"/>
              </w:rPr>
              <w:t>78/1888 (4.1%)</w:t>
            </w:r>
          </w:p>
        </w:tc>
        <w:tc>
          <w:tcPr>
            <w:tcW w:w="1021" w:type="pct"/>
            <w:tcBorders>
              <w:top w:val="single" w:sz="4" w:space="0" w:color="auto"/>
              <w:bottom w:val="single" w:sz="4" w:space="0" w:color="auto"/>
            </w:tcBorders>
            <w:shd w:val="clear" w:color="auto" w:fill="auto"/>
            <w:vAlign w:val="center"/>
          </w:tcPr>
          <w:p w14:paraId="4D080DF8" w14:textId="04E3953E" w:rsidR="00C85B8F" w:rsidRPr="00DB3D39" w:rsidRDefault="00C85B8F" w:rsidP="00C85B8F">
            <w:pPr>
              <w:keepNext/>
              <w:keepLines/>
              <w:jc w:val="center"/>
              <w:rPr>
                <w:rFonts w:ascii="Arial Narrow" w:eastAsiaTheme="majorEastAsia" w:hAnsi="Arial Narrow" w:cstheme="majorBidi"/>
                <w:sz w:val="20"/>
                <w:szCs w:val="20"/>
              </w:rPr>
            </w:pPr>
            <w:r w:rsidRPr="00DB3D39">
              <w:rPr>
                <w:rFonts w:ascii="Arial Narrow" w:hAnsi="Arial Narrow"/>
                <w:sz w:val="20"/>
                <w:szCs w:val="20"/>
              </w:rPr>
              <w:t>6/1789 (0.3%)</w:t>
            </w:r>
          </w:p>
        </w:tc>
        <w:tc>
          <w:tcPr>
            <w:tcW w:w="1309" w:type="pct"/>
            <w:tcBorders>
              <w:top w:val="single" w:sz="4" w:space="0" w:color="auto"/>
              <w:bottom w:val="single" w:sz="4" w:space="0" w:color="auto"/>
            </w:tcBorders>
            <w:shd w:val="clear" w:color="auto" w:fill="auto"/>
            <w:vAlign w:val="center"/>
          </w:tcPr>
          <w:p w14:paraId="490CD283" w14:textId="3CB25121" w:rsidR="00C85B8F" w:rsidRPr="00DB3D39" w:rsidRDefault="00021237" w:rsidP="00C85B8F">
            <w:pPr>
              <w:jc w:val="center"/>
              <w:rPr>
                <w:rFonts w:ascii="Arial Narrow" w:eastAsiaTheme="majorEastAsia" w:hAnsi="Arial Narrow" w:cstheme="majorBidi"/>
                <w:bCs/>
                <w:sz w:val="20"/>
                <w:szCs w:val="20"/>
              </w:rPr>
            </w:pPr>
            <w:r w:rsidRPr="00DB3D39">
              <w:rPr>
                <w:rFonts w:ascii="Arial Narrow" w:hAnsi="Arial Narrow"/>
                <w:sz w:val="20"/>
                <w:szCs w:val="20"/>
              </w:rPr>
              <w:t>NR</w:t>
            </w:r>
          </w:p>
        </w:tc>
      </w:tr>
      <w:tr w:rsidR="00C85B8F" w:rsidRPr="00DB3D39" w14:paraId="3B16D812" w14:textId="77777777" w:rsidTr="008336EA">
        <w:trPr>
          <w:cantSplit/>
        </w:trPr>
        <w:tc>
          <w:tcPr>
            <w:tcW w:w="1727" w:type="pct"/>
            <w:tcBorders>
              <w:top w:val="single" w:sz="4" w:space="0" w:color="auto"/>
              <w:bottom w:val="single" w:sz="4" w:space="0" w:color="auto"/>
            </w:tcBorders>
            <w:shd w:val="clear" w:color="auto" w:fill="auto"/>
          </w:tcPr>
          <w:p w14:paraId="48D97809" w14:textId="6A07B1F3" w:rsidR="00C85B8F" w:rsidRPr="00DB3D39" w:rsidRDefault="00C85B8F" w:rsidP="00C85B8F">
            <w:pPr>
              <w:keepNext/>
              <w:keepLines/>
              <w:jc w:val="left"/>
              <w:rPr>
                <w:rFonts w:ascii="Arial Narrow" w:eastAsiaTheme="majorEastAsia" w:hAnsi="Arial Narrow" w:cstheme="majorBidi"/>
                <w:sz w:val="20"/>
                <w:szCs w:val="20"/>
              </w:rPr>
            </w:pPr>
            <w:r w:rsidRPr="00DB3D39">
              <w:rPr>
                <w:rFonts w:ascii="Arial Narrow" w:eastAsiaTheme="majorEastAsia" w:hAnsi="Arial Narrow" w:cs="Times New Roman"/>
                <w:snapToGrid w:val="0"/>
                <w:sz w:val="20"/>
                <w:szCs w:val="20"/>
              </w:rPr>
              <w:t xml:space="preserve">Hypertension </w:t>
            </w:r>
          </w:p>
        </w:tc>
        <w:tc>
          <w:tcPr>
            <w:tcW w:w="943" w:type="pct"/>
            <w:tcBorders>
              <w:top w:val="single" w:sz="4" w:space="0" w:color="auto"/>
              <w:bottom w:val="single" w:sz="4" w:space="0" w:color="auto"/>
            </w:tcBorders>
            <w:shd w:val="clear" w:color="auto" w:fill="auto"/>
            <w:vAlign w:val="center"/>
          </w:tcPr>
          <w:p w14:paraId="59DEDEAA" w14:textId="4442A1C0" w:rsidR="00C85B8F" w:rsidRPr="00DB3D39" w:rsidRDefault="00C85B8F" w:rsidP="00C85B8F">
            <w:pPr>
              <w:keepNext/>
              <w:keepLines/>
              <w:jc w:val="center"/>
              <w:rPr>
                <w:rFonts w:ascii="Arial Narrow" w:eastAsiaTheme="majorEastAsia" w:hAnsi="Arial Narrow" w:cstheme="majorBidi"/>
                <w:sz w:val="20"/>
                <w:szCs w:val="20"/>
              </w:rPr>
            </w:pPr>
            <w:r w:rsidRPr="00DB3D39">
              <w:rPr>
                <w:rFonts w:ascii="Arial Narrow" w:hAnsi="Arial Narrow"/>
                <w:sz w:val="20"/>
                <w:szCs w:val="20"/>
              </w:rPr>
              <w:t>38/1888 (2.0%)</w:t>
            </w:r>
          </w:p>
        </w:tc>
        <w:tc>
          <w:tcPr>
            <w:tcW w:w="1021" w:type="pct"/>
            <w:tcBorders>
              <w:top w:val="single" w:sz="4" w:space="0" w:color="auto"/>
              <w:bottom w:val="single" w:sz="4" w:space="0" w:color="auto"/>
            </w:tcBorders>
            <w:shd w:val="clear" w:color="auto" w:fill="auto"/>
            <w:vAlign w:val="center"/>
          </w:tcPr>
          <w:p w14:paraId="56110117" w14:textId="4B4420DC" w:rsidR="00C85B8F" w:rsidRPr="00DB3D39" w:rsidRDefault="00C85B8F" w:rsidP="00C85B8F">
            <w:pPr>
              <w:keepNext/>
              <w:keepLines/>
              <w:jc w:val="center"/>
              <w:rPr>
                <w:rFonts w:ascii="Arial Narrow" w:eastAsiaTheme="majorEastAsia" w:hAnsi="Arial Narrow" w:cstheme="majorBidi"/>
                <w:sz w:val="20"/>
                <w:szCs w:val="20"/>
              </w:rPr>
            </w:pPr>
            <w:r w:rsidRPr="00DB3D39">
              <w:rPr>
                <w:rFonts w:ascii="Arial Narrow" w:hAnsi="Arial Narrow"/>
                <w:sz w:val="20"/>
                <w:szCs w:val="20"/>
              </w:rPr>
              <w:t>41/1789 (2.3%)</w:t>
            </w:r>
          </w:p>
        </w:tc>
        <w:tc>
          <w:tcPr>
            <w:tcW w:w="1309" w:type="pct"/>
            <w:tcBorders>
              <w:top w:val="single" w:sz="4" w:space="0" w:color="auto"/>
              <w:bottom w:val="single" w:sz="4" w:space="0" w:color="auto"/>
            </w:tcBorders>
            <w:shd w:val="clear" w:color="auto" w:fill="auto"/>
            <w:vAlign w:val="center"/>
          </w:tcPr>
          <w:p w14:paraId="6563A752" w14:textId="7BE0CB9A" w:rsidR="00C85B8F" w:rsidRPr="00DB3D39" w:rsidRDefault="002E2EE3" w:rsidP="00C85B8F">
            <w:pPr>
              <w:jc w:val="center"/>
              <w:rPr>
                <w:rFonts w:ascii="Arial Narrow" w:eastAsiaTheme="majorEastAsia" w:hAnsi="Arial Narrow" w:cstheme="majorBidi"/>
                <w:bCs/>
                <w:sz w:val="20"/>
                <w:szCs w:val="20"/>
              </w:rPr>
            </w:pPr>
            <w:r w:rsidRPr="00DB3D39">
              <w:rPr>
                <w:rFonts w:ascii="Arial Narrow" w:hAnsi="Arial Narrow"/>
                <w:iCs/>
                <w:sz w:val="20"/>
                <w:szCs w:val="20"/>
              </w:rPr>
              <w:t>NR</w:t>
            </w:r>
          </w:p>
        </w:tc>
      </w:tr>
      <w:tr w:rsidR="00C85B8F" w:rsidRPr="00DB3D39" w14:paraId="3440D429" w14:textId="77777777" w:rsidTr="008336EA">
        <w:trPr>
          <w:cantSplit/>
        </w:trPr>
        <w:tc>
          <w:tcPr>
            <w:tcW w:w="1727" w:type="pct"/>
            <w:tcBorders>
              <w:top w:val="single" w:sz="4" w:space="0" w:color="auto"/>
              <w:bottom w:val="single" w:sz="4" w:space="0" w:color="auto"/>
            </w:tcBorders>
            <w:shd w:val="clear" w:color="auto" w:fill="auto"/>
          </w:tcPr>
          <w:p w14:paraId="766BF7DD" w14:textId="0CC10E34" w:rsidR="00C85B8F" w:rsidRPr="00DB3D39" w:rsidRDefault="00C85B8F" w:rsidP="00C85B8F">
            <w:pPr>
              <w:keepNext/>
              <w:keepLines/>
              <w:jc w:val="left"/>
              <w:rPr>
                <w:rFonts w:ascii="Arial Narrow" w:eastAsiaTheme="majorEastAsia" w:hAnsi="Arial Narrow" w:cstheme="majorBidi"/>
                <w:sz w:val="20"/>
                <w:szCs w:val="20"/>
              </w:rPr>
            </w:pPr>
            <w:r w:rsidRPr="00DB3D39">
              <w:rPr>
                <w:rFonts w:ascii="Arial Narrow" w:eastAsiaTheme="majorEastAsia" w:hAnsi="Arial Narrow" w:cs="Times New Roman"/>
                <w:snapToGrid w:val="0"/>
                <w:sz w:val="20"/>
                <w:szCs w:val="20"/>
              </w:rPr>
              <w:t>Arthralgia</w:t>
            </w:r>
          </w:p>
        </w:tc>
        <w:tc>
          <w:tcPr>
            <w:tcW w:w="943" w:type="pct"/>
            <w:tcBorders>
              <w:top w:val="single" w:sz="4" w:space="0" w:color="auto"/>
              <w:bottom w:val="single" w:sz="4" w:space="0" w:color="auto"/>
            </w:tcBorders>
            <w:shd w:val="clear" w:color="auto" w:fill="auto"/>
            <w:vAlign w:val="center"/>
          </w:tcPr>
          <w:p w14:paraId="2710C482" w14:textId="654A9E1B" w:rsidR="00C85B8F" w:rsidRPr="00DB3D39" w:rsidRDefault="00C85B8F" w:rsidP="00C85B8F">
            <w:pPr>
              <w:keepNext/>
              <w:keepLines/>
              <w:jc w:val="center"/>
              <w:rPr>
                <w:rFonts w:ascii="Arial Narrow" w:eastAsiaTheme="majorEastAsia" w:hAnsi="Arial Narrow" w:cstheme="majorBidi"/>
                <w:sz w:val="20"/>
                <w:szCs w:val="20"/>
              </w:rPr>
            </w:pPr>
            <w:r w:rsidRPr="00DB3D39">
              <w:rPr>
                <w:rFonts w:ascii="Arial Narrow" w:hAnsi="Arial Narrow"/>
                <w:sz w:val="20"/>
                <w:szCs w:val="20"/>
              </w:rPr>
              <w:t>20/1888 (1.1%)</w:t>
            </w:r>
          </w:p>
        </w:tc>
        <w:tc>
          <w:tcPr>
            <w:tcW w:w="1021" w:type="pct"/>
            <w:tcBorders>
              <w:top w:val="single" w:sz="4" w:space="0" w:color="auto"/>
              <w:bottom w:val="single" w:sz="4" w:space="0" w:color="auto"/>
            </w:tcBorders>
            <w:shd w:val="clear" w:color="auto" w:fill="auto"/>
            <w:vAlign w:val="center"/>
          </w:tcPr>
          <w:p w14:paraId="494F865E" w14:textId="7AA05B01" w:rsidR="00C85B8F" w:rsidRPr="00DB3D39" w:rsidRDefault="00C85B8F" w:rsidP="00C85B8F">
            <w:pPr>
              <w:keepNext/>
              <w:keepLines/>
              <w:jc w:val="center"/>
              <w:rPr>
                <w:rFonts w:ascii="Arial Narrow" w:eastAsiaTheme="majorEastAsia" w:hAnsi="Arial Narrow" w:cstheme="majorBidi"/>
                <w:sz w:val="20"/>
                <w:szCs w:val="20"/>
              </w:rPr>
            </w:pPr>
            <w:r w:rsidRPr="00DB3D39">
              <w:rPr>
                <w:rFonts w:ascii="Arial Narrow" w:hAnsi="Arial Narrow"/>
                <w:sz w:val="20"/>
                <w:szCs w:val="20"/>
              </w:rPr>
              <w:t>22/1789 (1.2%)</w:t>
            </w:r>
          </w:p>
        </w:tc>
        <w:tc>
          <w:tcPr>
            <w:tcW w:w="1309" w:type="pct"/>
            <w:tcBorders>
              <w:top w:val="single" w:sz="4" w:space="0" w:color="auto"/>
              <w:bottom w:val="single" w:sz="4" w:space="0" w:color="auto"/>
            </w:tcBorders>
            <w:shd w:val="clear" w:color="auto" w:fill="auto"/>
            <w:vAlign w:val="center"/>
          </w:tcPr>
          <w:p w14:paraId="0AE2A782" w14:textId="5C75E52D" w:rsidR="00C85B8F" w:rsidRPr="00DB3D39" w:rsidRDefault="002E2EE3" w:rsidP="00C85B8F">
            <w:pPr>
              <w:jc w:val="center"/>
              <w:rPr>
                <w:rFonts w:ascii="Arial Narrow" w:eastAsiaTheme="majorEastAsia" w:hAnsi="Arial Narrow" w:cstheme="majorBidi"/>
                <w:b/>
                <w:sz w:val="20"/>
                <w:szCs w:val="20"/>
              </w:rPr>
            </w:pPr>
            <w:r w:rsidRPr="00DB3D39">
              <w:rPr>
                <w:rFonts w:ascii="Arial Narrow" w:hAnsi="Arial Narrow"/>
                <w:iCs/>
                <w:sz w:val="20"/>
                <w:szCs w:val="20"/>
              </w:rPr>
              <w:t>NR</w:t>
            </w:r>
          </w:p>
        </w:tc>
      </w:tr>
      <w:tr w:rsidR="00C85B8F" w:rsidRPr="00DB3D39" w14:paraId="0FFF9B50" w14:textId="77777777">
        <w:trPr>
          <w:cantSplit/>
        </w:trPr>
        <w:tc>
          <w:tcPr>
            <w:tcW w:w="5000" w:type="pct"/>
            <w:gridSpan w:val="4"/>
            <w:vAlign w:val="center"/>
          </w:tcPr>
          <w:p w14:paraId="0CEA34FE" w14:textId="77777777" w:rsidR="00C85B8F" w:rsidRPr="00DB3D39" w:rsidRDefault="00C85B8F" w:rsidP="00C85B8F">
            <w:pPr>
              <w:keepNext/>
              <w:keepLines/>
              <w:jc w:val="left"/>
              <w:rPr>
                <w:rFonts w:ascii="Arial Narrow" w:eastAsiaTheme="majorEastAsia" w:hAnsi="Arial Narrow" w:cstheme="majorBidi"/>
                <w:sz w:val="20"/>
                <w:szCs w:val="20"/>
              </w:rPr>
            </w:pPr>
            <w:r w:rsidRPr="00DB3D39">
              <w:rPr>
                <w:rFonts w:ascii="Arial Narrow" w:eastAsiaTheme="majorEastAsia" w:hAnsi="Arial Narrow" w:cstheme="majorBidi"/>
                <w:b/>
                <w:sz w:val="20"/>
                <w:szCs w:val="20"/>
              </w:rPr>
              <w:t>monarchE (safety population) July 2022 DCO (median follow up 42 mths)</w:t>
            </w:r>
          </w:p>
        </w:tc>
      </w:tr>
      <w:tr w:rsidR="00C85B8F" w:rsidRPr="00DB3D39" w14:paraId="043C4B1C" w14:textId="77777777" w:rsidTr="008336EA">
        <w:trPr>
          <w:cantSplit/>
        </w:trPr>
        <w:tc>
          <w:tcPr>
            <w:tcW w:w="1727" w:type="pct"/>
            <w:shd w:val="clear" w:color="auto" w:fill="auto"/>
          </w:tcPr>
          <w:p w14:paraId="5BF617E3" w14:textId="77777777" w:rsidR="00C85B8F" w:rsidRPr="00DB3D39" w:rsidRDefault="00C85B8F" w:rsidP="00C85B8F">
            <w:pPr>
              <w:keepNext/>
              <w:keepLines/>
              <w:jc w:val="left"/>
              <w:rPr>
                <w:rFonts w:ascii="Arial Narrow" w:eastAsiaTheme="majorEastAsia" w:hAnsi="Arial Narrow" w:cstheme="majorBidi"/>
                <w:sz w:val="20"/>
                <w:szCs w:val="20"/>
              </w:rPr>
            </w:pPr>
          </w:p>
        </w:tc>
        <w:tc>
          <w:tcPr>
            <w:tcW w:w="943" w:type="pct"/>
            <w:shd w:val="clear" w:color="auto" w:fill="auto"/>
          </w:tcPr>
          <w:p w14:paraId="0AFF58C7" w14:textId="77777777" w:rsidR="00C85B8F" w:rsidRPr="00DB3D39" w:rsidRDefault="00C85B8F" w:rsidP="00512B87">
            <w:pPr>
              <w:keepNext/>
              <w:keepLines/>
              <w:jc w:val="center"/>
              <w:rPr>
                <w:rFonts w:ascii="Arial Narrow" w:eastAsiaTheme="majorEastAsia" w:hAnsi="Arial Narrow" w:cstheme="majorBidi"/>
                <w:b/>
                <w:sz w:val="20"/>
                <w:szCs w:val="20"/>
              </w:rPr>
            </w:pPr>
            <w:r w:rsidRPr="00DB3D39">
              <w:rPr>
                <w:rFonts w:ascii="Arial Narrow" w:eastAsiaTheme="majorEastAsia" w:hAnsi="Arial Narrow" w:cstheme="majorBidi"/>
                <w:b/>
                <w:sz w:val="20"/>
                <w:szCs w:val="20"/>
              </w:rPr>
              <w:t>Abemaciclib + ET</w:t>
            </w:r>
          </w:p>
          <w:p w14:paraId="00FD80B2" w14:textId="77777777" w:rsidR="00C85B8F" w:rsidRPr="00DB3D39" w:rsidRDefault="00C85B8F" w:rsidP="00512B87">
            <w:pPr>
              <w:keepNext/>
              <w:keepLines/>
              <w:jc w:val="center"/>
              <w:rPr>
                <w:rFonts w:ascii="Arial Narrow" w:eastAsiaTheme="majorEastAsia" w:hAnsi="Arial Narrow" w:cstheme="majorBidi"/>
                <w:b/>
                <w:sz w:val="20"/>
                <w:szCs w:val="20"/>
              </w:rPr>
            </w:pPr>
            <w:r w:rsidRPr="00DB3D39">
              <w:rPr>
                <w:rFonts w:ascii="Arial Narrow" w:eastAsiaTheme="majorEastAsia" w:hAnsi="Arial Narrow" w:cstheme="majorBidi"/>
                <w:b/>
                <w:sz w:val="20"/>
                <w:szCs w:val="20"/>
              </w:rPr>
              <w:t>n with event/N (%)</w:t>
            </w:r>
          </w:p>
        </w:tc>
        <w:tc>
          <w:tcPr>
            <w:tcW w:w="1021" w:type="pct"/>
            <w:shd w:val="clear" w:color="auto" w:fill="auto"/>
          </w:tcPr>
          <w:p w14:paraId="183EDB33" w14:textId="77777777" w:rsidR="00C85B8F" w:rsidRPr="00DB3D39" w:rsidRDefault="00C85B8F" w:rsidP="00512B87">
            <w:pPr>
              <w:keepNext/>
              <w:keepLines/>
              <w:jc w:val="center"/>
              <w:rPr>
                <w:rFonts w:ascii="Arial Narrow" w:eastAsiaTheme="majorEastAsia" w:hAnsi="Arial Narrow" w:cstheme="majorBidi"/>
                <w:b/>
                <w:sz w:val="20"/>
                <w:szCs w:val="20"/>
              </w:rPr>
            </w:pPr>
            <w:r w:rsidRPr="00DB3D39">
              <w:rPr>
                <w:rFonts w:ascii="Arial Narrow" w:eastAsiaTheme="majorEastAsia" w:hAnsi="Arial Narrow" w:cstheme="majorBidi"/>
                <w:b/>
                <w:sz w:val="20"/>
                <w:szCs w:val="20"/>
              </w:rPr>
              <w:t>ET alone</w:t>
            </w:r>
          </w:p>
          <w:p w14:paraId="3E6BDF49" w14:textId="77777777" w:rsidR="00C85B8F" w:rsidRPr="00DB3D39" w:rsidRDefault="00C85B8F" w:rsidP="00512B87">
            <w:pPr>
              <w:keepNext/>
              <w:keepLines/>
              <w:jc w:val="center"/>
              <w:rPr>
                <w:rFonts w:ascii="Arial Narrow" w:eastAsiaTheme="majorEastAsia" w:hAnsi="Arial Narrow" w:cstheme="majorBidi"/>
                <w:b/>
                <w:sz w:val="20"/>
                <w:szCs w:val="20"/>
              </w:rPr>
            </w:pPr>
            <w:r w:rsidRPr="00DB3D39">
              <w:rPr>
                <w:rFonts w:ascii="Arial Narrow" w:eastAsiaTheme="majorEastAsia" w:hAnsi="Arial Narrow" w:cstheme="majorBidi"/>
                <w:b/>
                <w:sz w:val="20"/>
                <w:szCs w:val="20"/>
              </w:rPr>
              <w:t>n with event/N (%)</w:t>
            </w:r>
          </w:p>
        </w:tc>
        <w:tc>
          <w:tcPr>
            <w:tcW w:w="1309" w:type="pct"/>
            <w:shd w:val="clear" w:color="auto" w:fill="auto"/>
          </w:tcPr>
          <w:p w14:paraId="4B61DBDB" w14:textId="46065907" w:rsidR="00C85B8F" w:rsidRPr="00DB3D39" w:rsidRDefault="00C85B8F" w:rsidP="00512B87">
            <w:pPr>
              <w:keepNext/>
              <w:keepLines/>
              <w:jc w:val="center"/>
              <w:rPr>
                <w:rFonts w:ascii="Arial Narrow" w:eastAsiaTheme="majorEastAsia" w:hAnsi="Arial Narrow" w:cstheme="majorBidi"/>
                <w:b/>
                <w:sz w:val="20"/>
                <w:szCs w:val="20"/>
              </w:rPr>
            </w:pPr>
            <w:r w:rsidRPr="00DB3D39">
              <w:rPr>
                <w:rFonts w:ascii="Arial Narrow" w:eastAsiaTheme="majorEastAsia" w:hAnsi="Arial Narrow" w:cstheme="majorBidi"/>
                <w:b/>
                <w:sz w:val="20"/>
                <w:szCs w:val="20"/>
              </w:rPr>
              <w:t>RD (95% CI)</w:t>
            </w:r>
          </w:p>
        </w:tc>
      </w:tr>
      <w:tr w:rsidR="00C85B8F" w:rsidRPr="00DB3D39" w14:paraId="2C693592" w14:textId="77777777" w:rsidTr="008336EA">
        <w:trPr>
          <w:cantSplit/>
        </w:trPr>
        <w:tc>
          <w:tcPr>
            <w:tcW w:w="1727" w:type="pct"/>
            <w:shd w:val="clear" w:color="auto" w:fill="auto"/>
          </w:tcPr>
          <w:p w14:paraId="181A2FE4" w14:textId="77777777" w:rsidR="00C85B8F" w:rsidRPr="00DB3D39" w:rsidRDefault="00C85B8F" w:rsidP="00C85B8F">
            <w:pPr>
              <w:keepNext/>
              <w:keepLines/>
              <w:jc w:val="left"/>
              <w:rPr>
                <w:rFonts w:ascii="Arial Narrow" w:eastAsiaTheme="majorEastAsia" w:hAnsi="Arial Narrow" w:cstheme="majorBidi"/>
                <w:sz w:val="20"/>
                <w:szCs w:val="20"/>
              </w:rPr>
            </w:pPr>
            <w:r w:rsidRPr="00DB3D39">
              <w:rPr>
                <w:rFonts w:ascii="Arial Narrow" w:eastAsiaTheme="majorEastAsia" w:hAnsi="Arial Narrow" w:cstheme="majorBidi"/>
                <w:sz w:val="20"/>
                <w:szCs w:val="20"/>
              </w:rPr>
              <w:t>Neutropenia</w:t>
            </w:r>
          </w:p>
        </w:tc>
        <w:tc>
          <w:tcPr>
            <w:tcW w:w="943" w:type="pct"/>
            <w:shd w:val="clear" w:color="auto" w:fill="auto"/>
            <w:vAlign w:val="center"/>
          </w:tcPr>
          <w:p w14:paraId="3FABF294" w14:textId="77777777" w:rsidR="00C85B8F" w:rsidRPr="00DB3D39" w:rsidRDefault="00C85B8F" w:rsidP="00C85B8F">
            <w:pPr>
              <w:keepNext/>
              <w:keepLines/>
              <w:jc w:val="center"/>
              <w:rPr>
                <w:rFonts w:ascii="Arial Narrow" w:eastAsiaTheme="majorEastAsia" w:hAnsi="Arial Narrow" w:cstheme="minorBidi"/>
                <w:sz w:val="20"/>
                <w:szCs w:val="20"/>
              </w:rPr>
            </w:pPr>
            <w:r w:rsidRPr="00DB3D39">
              <w:rPr>
                <w:rFonts w:ascii="Arial Narrow" w:eastAsiaTheme="majorEastAsia" w:hAnsi="Arial Narrow" w:cstheme="minorBidi"/>
                <w:sz w:val="20"/>
                <w:szCs w:val="20"/>
              </w:rPr>
              <w:t>548/2791 (19.6%)</w:t>
            </w:r>
          </w:p>
        </w:tc>
        <w:tc>
          <w:tcPr>
            <w:tcW w:w="1021" w:type="pct"/>
            <w:shd w:val="clear" w:color="auto" w:fill="auto"/>
            <w:vAlign w:val="center"/>
          </w:tcPr>
          <w:p w14:paraId="4285ECCF" w14:textId="77777777" w:rsidR="00C85B8F" w:rsidRPr="00DB3D39" w:rsidRDefault="00C85B8F" w:rsidP="00C85B8F">
            <w:pPr>
              <w:keepNext/>
              <w:keepLines/>
              <w:jc w:val="center"/>
              <w:rPr>
                <w:rFonts w:ascii="Arial Narrow" w:eastAsiaTheme="majorEastAsia" w:hAnsi="Arial Narrow" w:cstheme="minorBidi"/>
                <w:sz w:val="20"/>
                <w:szCs w:val="20"/>
              </w:rPr>
            </w:pPr>
            <w:r w:rsidRPr="00DB3D39">
              <w:rPr>
                <w:rFonts w:ascii="Arial Narrow" w:eastAsiaTheme="majorEastAsia" w:hAnsi="Arial Narrow" w:cstheme="minorBidi"/>
                <w:sz w:val="20"/>
                <w:szCs w:val="20"/>
              </w:rPr>
              <w:t>24/2800 (0.9%)</w:t>
            </w:r>
          </w:p>
        </w:tc>
        <w:tc>
          <w:tcPr>
            <w:tcW w:w="1309" w:type="pct"/>
            <w:shd w:val="clear" w:color="auto" w:fill="auto"/>
          </w:tcPr>
          <w:p w14:paraId="26DAA142" w14:textId="77777777" w:rsidR="00C85B8F" w:rsidRPr="00DB3D39" w:rsidRDefault="00C85B8F" w:rsidP="00C85B8F">
            <w:pPr>
              <w:jc w:val="left"/>
              <w:rPr>
                <w:rFonts w:ascii="Arial Narrow" w:hAnsi="Arial Narrow" w:cstheme="minorBidi"/>
                <w:b/>
                <w:snapToGrid w:val="0"/>
                <w:sz w:val="20"/>
                <w:szCs w:val="20"/>
              </w:rPr>
            </w:pPr>
            <w:r w:rsidRPr="00DB3D39">
              <w:rPr>
                <w:rFonts w:ascii="Arial Narrow" w:hAnsi="Arial Narrow" w:cstheme="minorBidi"/>
                <w:b/>
                <w:snapToGrid w:val="0"/>
                <w:sz w:val="20"/>
                <w:szCs w:val="20"/>
              </w:rPr>
              <w:t>0.19 (0.17, 0.20) p&lt; 0.00001</w:t>
            </w:r>
          </w:p>
        </w:tc>
      </w:tr>
      <w:tr w:rsidR="00C85B8F" w:rsidRPr="00DB3D39" w14:paraId="0110990C" w14:textId="77777777" w:rsidTr="008336EA">
        <w:trPr>
          <w:cantSplit/>
        </w:trPr>
        <w:tc>
          <w:tcPr>
            <w:tcW w:w="1727" w:type="pct"/>
            <w:shd w:val="clear" w:color="auto" w:fill="auto"/>
          </w:tcPr>
          <w:p w14:paraId="5B38FEA6" w14:textId="77777777" w:rsidR="00C85B8F" w:rsidRPr="00DB3D39" w:rsidRDefault="00C85B8F" w:rsidP="00C85B8F">
            <w:pPr>
              <w:keepNext/>
              <w:keepLines/>
              <w:jc w:val="left"/>
              <w:rPr>
                <w:rFonts w:ascii="Arial Narrow" w:eastAsiaTheme="majorEastAsia" w:hAnsi="Arial Narrow" w:cstheme="majorBidi"/>
                <w:sz w:val="20"/>
                <w:szCs w:val="20"/>
              </w:rPr>
            </w:pPr>
            <w:r w:rsidRPr="00DB3D39">
              <w:rPr>
                <w:rFonts w:ascii="Arial Narrow" w:eastAsiaTheme="majorEastAsia" w:hAnsi="Arial Narrow" w:cstheme="majorBidi"/>
                <w:sz w:val="20"/>
                <w:szCs w:val="20"/>
              </w:rPr>
              <w:t>Leukopenia</w:t>
            </w:r>
          </w:p>
        </w:tc>
        <w:tc>
          <w:tcPr>
            <w:tcW w:w="943" w:type="pct"/>
            <w:shd w:val="clear" w:color="auto" w:fill="auto"/>
            <w:vAlign w:val="center"/>
          </w:tcPr>
          <w:p w14:paraId="348E13A0" w14:textId="77777777" w:rsidR="00C85B8F" w:rsidRPr="00DB3D39" w:rsidRDefault="00C85B8F" w:rsidP="00C85B8F">
            <w:pPr>
              <w:keepNext/>
              <w:keepLines/>
              <w:jc w:val="center"/>
              <w:rPr>
                <w:rFonts w:ascii="Arial Narrow" w:eastAsiaTheme="majorEastAsia" w:hAnsi="Arial Narrow" w:cstheme="majorBidi"/>
                <w:sz w:val="20"/>
                <w:szCs w:val="20"/>
              </w:rPr>
            </w:pPr>
            <w:r w:rsidRPr="00DB3D39">
              <w:rPr>
                <w:rFonts w:ascii="Arial Narrow" w:eastAsiaTheme="majorEastAsia" w:hAnsi="Arial Narrow" w:cstheme="minorBidi"/>
                <w:sz w:val="20"/>
                <w:szCs w:val="20"/>
              </w:rPr>
              <w:t>318/2791 (11.4%)</w:t>
            </w:r>
          </w:p>
        </w:tc>
        <w:tc>
          <w:tcPr>
            <w:tcW w:w="1021" w:type="pct"/>
            <w:shd w:val="clear" w:color="auto" w:fill="auto"/>
            <w:vAlign w:val="center"/>
          </w:tcPr>
          <w:p w14:paraId="4993BB7D" w14:textId="77777777" w:rsidR="00C85B8F" w:rsidRPr="00DB3D39" w:rsidRDefault="00C85B8F" w:rsidP="00C85B8F">
            <w:pPr>
              <w:keepNext/>
              <w:keepLines/>
              <w:jc w:val="center"/>
              <w:rPr>
                <w:rFonts w:ascii="Arial Narrow" w:eastAsiaTheme="majorEastAsia" w:hAnsi="Arial Narrow" w:cstheme="majorBidi"/>
                <w:sz w:val="20"/>
                <w:szCs w:val="20"/>
              </w:rPr>
            </w:pPr>
            <w:r w:rsidRPr="00DB3D39">
              <w:rPr>
                <w:rFonts w:ascii="Arial Narrow" w:eastAsiaTheme="majorEastAsia" w:hAnsi="Arial Narrow" w:cstheme="minorBidi"/>
                <w:sz w:val="20"/>
                <w:szCs w:val="20"/>
              </w:rPr>
              <w:t>11/2800 (0.4%)</w:t>
            </w:r>
          </w:p>
        </w:tc>
        <w:tc>
          <w:tcPr>
            <w:tcW w:w="1309" w:type="pct"/>
            <w:shd w:val="clear" w:color="auto" w:fill="auto"/>
          </w:tcPr>
          <w:p w14:paraId="438C867F" w14:textId="77777777" w:rsidR="00C85B8F" w:rsidRPr="00DB3D39" w:rsidRDefault="00C85B8F" w:rsidP="00C85B8F">
            <w:pPr>
              <w:jc w:val="left"/>
              <w:rPr>
                <w:rFonts w:ascii="Arial Narrow" w:eastAsiaTheme="majorEastAsia" w:hAnsi="Arial Narrow" w:cstheme="majorBidi"/>
                <w:b/>
                <w:sz w:val="20"/>
                <w:szCs w:val="20"/>
              </w:rPr>
            </w:pPr>
            <w:r w:rsidRPr="00DB3D39">
              <w:rPr>
                <w:rFonts w:ascii="Arial Narrow" w:hAnsi="Arial Narrow" w:cstheme="minorBidi"/>
                <w:b/>
                <w:snapToGrid w:val="0"/>
                <w:sz w:val="20"/>
                <w:szCs w:val="20"/>
              </w:rPr>
              <w:t>0.11 (0.10, 0.12)</w:t>
            </w:r>
            <w:r w:rsidRPr="00DB3D39">
              <w:rPr>
                <w:rFonts w:ascii="Arial Narrow" w:eastAsiaTheme="majorEastAsia" w:hAnsi="Arial Narrow" w:cstheme="minorBidi"/>
                <w:b/>
                <w:sz w:val="20"/>
                <w:szCs w:val="20"/>
              </w:rPr>
              <w:t xml:space="preserve"> p&lt; 0.00001</w:t>
            </w:r>
          </w:p>
        </w:tc>
      </w:tr>
      <w:tr w:rsidR="00C85B8F" w:rsidRPr="00DB3D39" w14:paraId="680A2A4A" w14:textId="77777777" w:rsidTr="008336EA">
        <w:trPr>
          <w:cantSplit/>
        </w:trPr>
        <w:tc>
          <w:tcPr>
            <w:tcW w:w="1727" w:type="pct"/>
            <w:shd w:val="clear" w:color="auto" w:fill="auto"/>
          </w:tcPr>
          <w:p w14:paraId="74CC0BD7" w14:textId="77777777" w:rsidR="00C85B8F" w:rsidRPr="00DB3D39" w:rsidRDefault="00C85B8F" w:rsidP="00C85B8F">
            <w:pPr>
              <w:keepNext/>
              <w:keepLines/>
              <w:jc w:val="left"/>
              <w:rPr>
                <w:rFonts w:ascii="Arial Narrow" w:eastAsiaTheme="majorEastAsia" w:hAnsi="Arial Narrow" w:cstheme="majorBidi"/>
                <w:sz w:val="20"/>
                <w:szCs w:val="20"/>
              </w:rPr>
            </w:pPr>
            <w:r w:rsidRPr="00DB3D39">
              <w:rPr>
                <w:rFonts w:ascii="Arial Narrow" w:eastAsiaTheme="majorEastAsia" w:hAnsi="Arial Narrow" w:cstheme="majorBidi"/>
                <w:sz w:val="20"/>
                <w:szCs w:val="20"/>
              </w:rPr>
              <w:t>Diarrhoea</w:t>
            </w:r>
          </w:p>
        </w:tc>
        <w:tc>
          <w:tcPr>
            <w:tcW w:w="943" w:type="pct"/>
            <w:shd w:val="clear" w:color="auto" w:fill="auto"/>
            <w:vAlign w:val="center"/>
          </w:tcPr>
          <w:p w14:paraId="52EF36EF" w14:textId="77777777" w:rsidR="00C85B8F" w:rsidRPr="00DB3D39" w:rsidRDefault="00C85B8F" w:rsidP="00C85B8F">
            <w:pPr>
              <w:keepNext/>
              <w:keepLines/>
              <w:jc w:val="center"/>
              <w:rPr>
                <w:rFonts w:ascii="Arial Narrow" w:eastAsiaTheme="majorEastAsia" w:hAnsi="Arial Narrow" w:cstheme="majorBidi"/>
                <w:sz w:val="20"/>
                <w:szCs w:val="20"/>
              </w:rPr>
            </w:pPr>
            <w:r w:rsidRPr="00DB3D39">
              <w:rPr>
                <w:rFonts w:ascii="Arial Narrow" w:eastAsiaTheme="majorEastAsia" w:hAnsi="Arial Narrow" w:cstheme="minorBidi"/>
                <w:sz w:val="20"/>
                <w:szCs w:val="20"/>
              </w:rPr>
              <w:t>219/2791 (7.8%)</w:t>
            </w:r>
          </w:p>
        </w:tc>
        <w:tc>
          <w:tcPr>
            <w:tcW w:w="1021" w:type="pct"/>
            <w:shd w:val="clear" w:color="auto" w:fill="auto"/>
            <w:vAlign w:val="center"/>
          </w:tcPr>
          <w:p w14:paraId="3E1B4F8F" w14:textId="77777777" w:rsidR="00C85B8F" w:rsidRPr="00DB3D39" w:rsidRDefault="00C85B8F" w:rsidP="00C85B8F">
            <w:pPr>
              <w:keepNext/>
              <w:keepLines/>
              <w:jc w:val="center"/>
              <w:rPr>
                <w:rFonts w:ascii="Arial Narrow" w:eastAsiaTheme="majorEastAsia" w:hAnsi="Arial Narrow" w:cstheme="majorBidi"/>
                <w:sz w:val="20"/>
                <w:szCs w:val="20"/>
              </w:rPr>
            </w:pPr>
            <w:r w:rsidRPr="00DB3D39">
              <w:rPr>
                <w:rFonts w:ascii="Arial Narrow" w:eastAsiaTheme="majorEastAsia" w:hAnsi="Arial Narrow" w:cstheme="minorBidi"/>
                <w:sz w:val="20"/>
                <w:szCs w:val="20"/>
              </w:rPr>
              <w:t>6/2800(0.2%)</w:t>
            </w:r>
          </w:p>
        </w:tc>
        <w:tc>
          <w:tcPr>
            <w:tcW w:w="1309" w:type="pct"/>
            <w:shd w:val="clear" w:color="auto" w:fill="auto"/>
          </w:tcPr>
          <w:p w14:paraId="38C7E788" w14:textId="77777777" w:rsidR="00C85B8F" w:rsidRPr="00DB3D39" w:rsidRDefault="00C85B8F" w:rsidP="00C85B8F">
            <w:pPr>
              <w:jc w:val="left"/>
              <w:rPr>
                <w:rFonts w:ascii="Arial Narrow" w:eastAsiaTheme="majorEastAsia" w:hAnsi="Arial Narrow" w:cstheme="majorBidi"/>
                <w:b/>
                <w:sz w:val="20"/>
                <w:szCs w:val="20"/>
              </w:rPr>
            </w:pPr>
            <w:r w:rsidRPr="00DB3D39">
              <w:rPr>
                <w:rFonts w:ascii="Arial Narrow" w:hAnsi="Arial Narrow" w:cstheme="minorBidi"/>
                <w:b/>
                <w:snapToGrid w:val="0"/>
                <w:sz w:val="20"/>
                <w:szCs w:val="20"/>
              </w:rPr>
              <w:t>0.08 (0.07, 0.09)</w:t>
            </w:r>
            <w:r w:rsidRPr="00DB3D39">
              <w:rPr>
                <w:rFonts w:ascii="Arial Narrow" w:eastAsiaTheme="majorEastAsia" w:hAnsi="Arial Narrow" w:cstheme="minorBidi"/>
                <w:b/>
                <w:sz w:val="20"/>
                <w:szCs w:val="20"/>
              </w:rPr>
              <w:t xml:space="preserve"> p&lt; 0.00001</w:t>
            </w:r>
          </w:p>
        </w:tc>
      </w:tr>
      <w:tr w:rsidR="00C85B8F" w:rsidRPr="00DB3D39" w14:paraId="663BBE59" w14:textId="77777777" w:rsidTr="008336EA">
        <w:trPr>
          <w:cantSplit/>
        </w:trPr>
        <w:tc>
          <w:tcPr>
            <w:tcW w:w="1727" w:type="pct"/>
            <w:shd w:val="clear" w:color="auto" w:fill="auto"/>
          </w:tcPr>
          <w:p w14:paraId="69054993" w14:textId="77777777" w:rsidR="00C85B8F" w:rsidRPr="00DB3D39" w:rsidRDefault="00C85B8F" w:rsidP="00C85B8F">
            <w:pPr>
              <w:keepNext/>
              <w:keepLines/>
              <w:jc w:val="left"/>
              <w:rPr>
                <w:rFonts w:ascii="Arial Narrow" w:eastAsiaTheme="majorEastAsia" w:hAnsi="Arial Narrow" w:cstheme="majorBidi"/>
                <w:sz w:val="20"/>
                <w:szCs w:val="20"/>
              </w:rPr>
            </w:pPr>
            <w:r w:rsidRPr="00DB3D39">
              <w:rPr>
                <w:rFonts w:ascii="Arial Narrow" w:eastAsiaTheme="majorEastAsia" w:hAnsi="Arial Narrow" w:cstheme="majorBidi"/>
                <w:sz w:val="20"/>
                <w:szCs w:val="20"/>
              </w:rPr>
              <w:t>Lymphopenia</w:t>
            </w:r>
          </w:p>
        </w:tc>
        <w:tc>
          <w:tcPr>
            <w:tcW w:w="943" w:type="pct"/>
            <w:shd w:val="clear" w:color="auto" w:fill="auto"/>
            <w:vAlign w:val="center"/>
          </w:tcPr>
          <w:p w14:paraId="0AE46D70" w14:textId="77777777" w:rsidR="00C85B8F" w:rsidRPr="00DB3D39" w:rsidRDefault="00C85B8F" w:rsidP="00C85B8F">
            <w:pPr>
              <w:keepNext/>
              <w:keepLines/>
              <w:jc w:val="center"/>
              <w:rPr>
                <w:rFonts w:ascii="Arial Narrow" w:eastAsiaTheme="majorEastAsia" w:hAnsi="Arial Narrow" w:cstheme="majorBidi"/>
                <w:sz w:val="20"/>
                <w:szCs w:val="20"/>
              </w:rPr>
            </w:pPr>
            <w:r w:rsidRPr="00DB3D39">
              <w:rPr>
                <w:rFonts w:ascii="Arial Narrow" w:eastAsiaTheme="majorEastAsia" w:hAnsi="Arial Narrow" w:cstheme="minorBidi"/>
                <w:sz w:val="20"/>
                <w:szCs w:val="20"/>
              </w:rPr>
              <w:t>151/2791 (5.4%)</w:t>
            </w:r>
          </w:p>
        </w:tc>
        <w:tc>
          <w:tcPr>
            <w:tcW w:w="1021" w:type="pct"/>
            <w:shd w:val="clear" w:color="auto" w:fill="auto"/>
            <w:vAlign w:val="center"/>
          </w:tcPr>
          <w:p w14:paraId="78471DC7" w14:textId="77777777" w:rsidR="00C85B8F" w:rsidRPr="00DB3D39" w:rsidRDefault="00C85B8F" w:rsidP="00C85B8F">
            <w:pPr>
              <w:keepNext/>
              <w:keepLines/>
              <w:jc w:val="center"/>
              <w:rPr>
                <w:rFonts w:ascii="Arial Narrow" w:eastAsiaTheme="majorEastAsia" w:hAnsi="Arial Narrow" w:cstheme="majorBidi"/>
                <w:sz w:val="20"/>
                <w:szCs w:val="20"/>
              </w:rPr>
            </w:pPr>
            <w:r w:rsidRPr="00DB3D39">
              <w:rPr>
                <w:rFonts w:ascii="Arial Narrow" w:eastAsiaTheme="majorEastAsia" w:hAnsi="Arial Narrow" w:cstheme="minorBidi"/>
                <w:sz w:val="20"/>
                <w:szCs w:val="20"/>
              </w:rPr>
              <w:t>14/2800 (0.5%)</w:t>
            </w:r>
          </w:p>
        </w:tc>
        <w:tc>
          <w:tcPr>
            <w:tcW w:w="1309" w:type="pct"/>
            <w:shd w:val="clear" w:color="auto" w:fill="auto"/>
          </w:tcPr>
          <w:p w14:paraId="5B4E4F0E" w14:textId="77777777" w:rsidR="00C85B8F" w:rsidRPr="00DB3D39" w:rsidRDefault="00C85B8F" w:rsidP="00C85B8F">
            <w:pPr>
              <w:jc w:val="left"/>
              <w:rPr>
                <w:rFonts w:ascii="Arial Narrow" w:eastAsiaTheme="majorEastAsia" w:hAnsi="Arial Narrow" w:cstheme="majorBidi"/>
                <w:b/>
                <w:sz w:val="20"/>
                <w:szCs w:val="20"/>
              </w:rPr>
            </w:pPr>
            <w:r w:rsidRPr="00DB3D39">
              <w:rPr>
                <w:rFonts w:ascii="Arial Narrow" w:hAnsi="Arial Narrow" w:cstheme="minorBidi"/>
                <w:b/>
                <w:snapToGrid w:val="0"/>
                <w:sz w:val="20"/>
                <w:szCs w:val="20"/>
              </w:rPr>
              <w:t>0.05 (0.04, 0.06)</w:t>
            </w:r>
            <w:r w:rsidRPr="00DB3D39">
              <w:rPr>
                <w:rFonts w:ascii="Arial Narrow" w:eastAsiaTheme="majorEastAsia" w:hAnsi="Arial Narrow" w:cstheme="minorBidi"/>
                <w:b/>
                <w:sz w:val="20"/>
                <w:szCs w:val="20"/>
              </w:rPr>
              <w:t xml:space="preserve"> p&lt; 0.00001</w:t>
            </w:r>
          </w:p>
        </w:tc>
      </w:tr>
    </w:tbl>
    <w:p w14:paraId="1D025C9D" w14:textId="477B057B" w:rsidR="00780388" w:rsidRPr="00DB3D39" w:rsidRDefault="00780388" w:rsidP="00780388">
      <w:pPr>
        <w:pStyle w:val="TableFigureFooter"/>
      </w:pPr>
      <w:r w:rsidRPr="00DB3D39">
        <w:t xml:space="preserve">Source: Table 2.5-15, p125 and </w:t>
      </w:r>
      <w:r w:rsidRPr="00DB3D39">
        <w:rPr>
          <w:rFonts w:eastAsiaTheme="minorHAnsi"/>
          <w:lang w:eastAsia="en-US"/>
        </w:rPr>
        <w:t>Table 2.5-17, p128</w:t>
      </w:r>
      <w:r w:rsidRPr="00DB3D39">
        <w:t xml:space="preserve"> of the submission.</w:t>
      </w:r>
      <w:r w:rsidR="008B1E76" w:rsidRPr="00DB3D39">
        <w:t xml:space="preserve"> Table </w:t>
      </w:r>
      <w:r w:rsidR="007829F9" w:rsidRPr="00DB3D39">
        <w:t>12-4e of aus_hta_</w:t>
      </w:r>
      <w:r w:rsidR="007F348C" w:rsidRPr="00DB3D39">
        <w:t xml:space="preserve">t12_04e </w:t>
      </w:r>
      <w:r w:rsidR="00627A7C" w:rsidRPr="00DB3D39">
        <w:t>of</w:t>
      </w:r>
      <w:r w:rsidR="007F348C" w:rsidRPr="00DB3D39">
        <w:t xml:space="preserve"> Appendix 10.</w:t>
      </w:r>
    </w:p>
    <w:p w14:paraId="7EA7A54F" w14:textId="51F1D588" w:rsidR="00780388" w:rsidRPr="00DB3D39" w:rsidRDefault="00780388" w:rsidP="00780388">
      <w:pPr>
        <w:pStyle w:val="TableFigureFooter"/>
      </w:pPr>
      <w:r w:rsidRPr="00DB3D39">
        <w:t xml:space="preserve">AEs = </w:t>
      </w:r>
      <w:r w:rsidR="00925211" w:rsidRPr="00DB3D39">
        <w:t>a</w:t>
      </w:r>
      <w:r w:rsidRPr="00DB3D39">
        <w:t xml:space="preserve">dverse events; CI = </w:t>
      </w:r>
      <w:r w:rsidR="00925211" w:rsidRPr="00DB3D39">
        <w:t>c</w:t>
      </w:r>
      <w:r w:rsidRPr="00DB3D39">
        <w:t xml:space="preserve">onfidence interval; DCO = </w:t>
      </w:r>
      <w:r w:rsidR="00925211" w:rsidRPr="00DB3D39">
        <w:t>d</w:t>
      </w:r>
      <w:r w:rsidRPr="00DB3D39">
        <w:t xml:space="preserve">ata cut-off; ET = </w:t>
      </w:r>
      <w:r w:rsidR="00925211" w:rsidRPr="00DB3D39">
        <w:t>e</w:t>
      </w:r>
      <w:r w:rsidRPr="00DB3D39">
        <w:t xml:space="preserve">ndocrine therapy; mths = months; n = number of participants with event; N = total participants in group; </w:t>
      </w:r>
      <w:r w:rsidR="00E3031D" w:rsidRPr="00DB3D39">
        <w:t xml:space="preserve">NR = not reported; </w:t>
      </w:r>
      <w:r w:rsidRPr="00DB3D39">
        <w:t xml:space="preserve">RD = risk difference; SAE = serious adverse events; TEAE = </w:t>
      </w:r>
      <w:r w:rsidR="00925211" w:rsidRPr="00DB3D39">
        <w:t>t</w:t>
      </w:r>
      <w:r w:rsidRPr="00DB3D39">
        <w:t xml:space="preserve">reatment-emerging emerging adverse event; SAE = </w:t>
      </w:r>
      <w:r w:rsidR="00925211" w:rsidRPr="00DB3D39">
        <w:t>s</w:t>
      </w:r>
      <w:r w:rsidRPr="00DB3D39">
        <w:t>erious adverse event ^</w:t>
      </w:r>
    </w:p>
    <w:p w14:paraId="007DC356" w14:textId="77777777" w:rsidR="00780388" w:rsidRPr="00DB3D39" w:rsidRDefault="00780388" w:rsidP="00780388">
      <w:pPr>
        <w:pStyle w:val="TableFigureFooter"/>
      </w:pPr>
      <w:r w:rsidRPr="00DB3D39">
        <w:t>^One person had grade 5 diarrhoea.</w:t>
      </w:r>
    </w:p>
    <w:p w14:paraId="75F32D9B" w14:textId="77777777" w:rsidR="004B7D93" w:rsidRDefault="00780388" w:rsidP="004B7D93">
      <w:pPr>
        <w:pStyle w:val="TableFigureFooter"/>
        <w:jc w:val="both"/>
      </w:pPr>
      <w:r w:rsidRPr="00DB3D39">
        <w:rPr>
          <w:b/>
        </w:rPr>
        <w:t>Bold</w:t>
      </w:r>
      <w:r w:rsidRPr="00DB3D39">
        <w:t xml:space="preserve"> indicated statistically significant results</w:t>
      </w:r>
      <w:r w:rsidR="004B7D93">
        <w:t xml:space="preserve"> </w:t>
      </w:r>
    </w:p>
    <w:p w14:paraId="73BB62A0" w14:textId="1785F27D" w:rsidR="00780388" w:rsidRPr="004B7D93" w:rsidRDefault="004B7D93" w:rsidP="004B7D93">
      <w:pPr>
        <w:pStyle w:val="TableFigureFooter"/>
        <w:jc w:val="both"/>
        <w:rPr>
          <w:rFonts w:eastAsiaTheme="majorEastAsia"/>
          <w:lang w:eastAsia="en-US"/>
        </w:rPr>
      </w:pPr>
      <w:r w:rsidRPr="00225B2B">
        <w:rPr>
          <w:i/>
          <w:iCs/>
        </w:rPr>
        <w:t xml:space="preserve">Note that the results presented in Table </w:t>
      </w:r>
      <w:r>
        <w:rPr>
          <w:i/>
          <w:iCs/>
        </w:rPr>
        <w:t>9</w:t>
      </w:r>
      <w:r w:rsidRPr="00225B2B">
        <w:rPr>
          <w:i/>
          <w:iCs/>
        </w:rPr>
        <w:t xml:space="preserve"> are derived from post-hoc analyses conducted by the applicant</w:t>
      </w:r>
      <w:r w:rsidR="00830D27">
        <w:rPr>
          <w:i/>
          <w:iCs/>
        </w:rPr>
        <w:t xml:space="preserve"> during the evaluation</w:t>
      </w:r>
      <w:r w:rsidRPr="00225B2B">
        <w:rPr>
          <w:i/>
          <w:iCs/>
        </w:rPr>
        <w:t xml:space="preserve"> specifically for the purposes of informing the PBAC consideration. These analyses were not part of the pre-specified statistical plan for the NATALEE trial. Interpretation of the results and their application should therefore be limited to seeking to understand the basis for the PBAC outcome and should not be used for any other purpose</w:t>
      </w:r>
      <w:r w:rsidRPr="00224EF4">
        <w:t>.</w:t>
      </w:r>
    </w:p>
    <w:p w14:paraId="12376F5A" w14:textId="00AF0D02" w:rsidR="00045F8A" w:rsidRDefault="00045F8A" w:rsidP="007C073C">
      <w:pPr>
        <w:pStyle w:val="3-BodyText"/>
      </w:pPr>
      <w:r w:rsidRPr="00DB3D39">
        <w:t xml:space="preserve">A summary of the indirect comparison for the safety results is presented in </w:t>
      </w:r>
      <w:r w:rsidR="00B37B07">
        <w:fldChar w:fldCharType="begin" w:fldLock="1"/>
      </w:r>
      <w:r w:rsidR="00B37B07">
        <w:instrText xml:space="preserve"> REF _Ref177559165 \h </w:instrText>
      </w:r>
      <w:r w:rsidR="00B37B07">
        <w:fldChar w:fldCharType="separate"/>
      </w:r>
      <w:r w:rsidR="00FF083B" w:rsidRPr="00DB3D39">
        <w:t xml:space="preserve">Table </w:t>
      </w:r>
      <w:r w:rsidR="00FF083B">
        <w:rPr>
          <w:noProof/>
        </w:rPr>
        <w:t>10</w:t>
      </w:r>
      <w:r w:rsidR="00B37B07">
        <w:fldChar w:fldCharType="end"/>
      </w:r>
      <w:r w:rsidRPr="00DB3D39">
        <w:t xml:space="preserve">. </w:t>
      </w:r>
      <w:r w:rsidR="001B08B3" w:rsidRPr="00DB3D39">
        <w:t xml:space="preserve">The ITC for safety outcomes was presented for the patients in NATALEE who would have been eligible for the ITT population of monarchE (72.1% of NATALEE ITT </w:t>
      </w:r>
      <w:r w:rsidR="001B08B3" w:rsidRPr="00DB3D39">
        <w:lastRenderedPageBreak/>
        <w:t xml:space="preserve">population) versus the safety population in monarchE (99% of ITT). </w:t>
      </w:r>
      <w:r w:rsidR="001B08B3" w:rsidRPr="00112EE5">
        <w:rPr>
          <w:iCs/>
          <w:lang w:eastAsia="en-US"/>
        </w:rPr>
        <w:t>The NATALEE population presented in this analysis was larger than the nominated PBS population.</w:t>
      </w:r>
      <w:r w:rsidR="001B08B3" w:rsidRPr="00DB3D39">
        <w:rPr>
          <w:lang w:eastAsia="en-US"/>
        </w:rPr>
        <w:t xml:space="preserve"> </w:t>
      </w:r>
    </w:p>
    <w:p w14:paraId="5D009EE6" w14:textId="7F60E94F" w:rsidR="009F626A" w:rsidRDefault="00227E78" w:rsidP="007C073C">
      <w:pPr>
        <w:pStyle w:val="3-BodyText"/>
        <w:rPr>
          <w:lang w:eastAsia="en-US"/>
        </w:rPr>
      </w:pPr>
      <w:r>
        <w:rPr>
          <w:lang w:eastAsia="en-US"/>
        </w:rPr>
        <w:t xml:space="preserve">At the latest DCO (July 2023), </w:t>
      </w:r>
      <w:r w:rsidR="009F626A" w:rsidRPr="002447B6">
        <w:rPr>
          <w:lang w:eastAsia="en-US"/>
        </w:rPr>
        <w:t xml:space="preserve">20.7% of patients </w:t>
      </w:r>
      <w:r w:rsidR="0074199D">
        <w:rPr>
          <w:lang w:eastAsia="en-US"/>
        </w:rPr>
        <w:t>in the</w:t>
      </w:r>
      <w:r w:rsidR="0074199D" w:rsidRPr="002447B6">
        <w:rPr>
          <w:lang w:eastAsia="en-US"/>
        </w:rPr>
        <w:t xml:space="preserve"> NATALEE </w:t>
      </w:r>
      <w:r w:rsidR="0074199D">
        <w:rPr>
          <w:lang w:eastAsia="en-US"/>
        </w:rPr>
        <w:t xml:space="preserve">trial were </w:t>
      </w:r>
      <w:r w:rsidR="009F626A" w:rsidRPr="002447B6">
        <w:rPr>
          <w:lang w:eastAsia="en-US"/>
        </w:rPr>
        <w:t>still receiving ribociclib, compared to all patients in monarchE having completed the treatment phase with abemaciclib.</w:t>
      </w:r>
    </w:p>
    <w:p w14:paraId="4DC9BD50" w14:textId="4FBEBF26" w:rsidR="00045F8A" w:rsidRPr="005050D4" w:rsidRDefault="00045F8A" w:rsidP="005050D4">
      <w:pPr>
        <w:pStyle w:val="Caption"/>
        <w:rPr>
          <w:rStyle w:val="CommentReference"/>
        </w:rPr>
      </w:pPr>
      <w:bookmarkStart w:id="46" w:name="_Ref177559165"/>
      <w:r w:rsidRPr="005050D4">
        <w:rPr>
          <w:rStyle w:val="CommentReference"/>
        </w:rPr>
        <w:t xml:space="preserve">Table </w:t>
      </w:r>
      <w:r w:rsidR="00FF083B" w:rsidRPr="005050D4">
        <w:rPr>
          <w:rStyle w:val="CommentReference"/>
        </w:rPr>
        <w:fldChar w:fldCharType="begin" w:fldLock="1"/>
      </w:r>
      <w:r w:rsidR="00FF083B" w:rsidRPr="005050D4">
        <w:rPr>
          <w:rStyle w:val="CommentReference"/>
        </w:rPr>
        <w:instrText xml:space="preserve"> SEQ Table \* ARABIC </w:instrText>
      </w:r>
      <w:r w:rsidR="00FF083B" w:rsidRPr="005050D4">
        <w:rPr>
          <w:rStyle w:val="CommentReference"/>
        </w:rPr>
        <w:fldChar w:fldCharType="separate"/>
      </w:r>
      <w:r w:rsidR="00FF083B" w:rsidRPr="005050D4">
        <w:rPr>
          <w:rStyle w:val="CommentReference"/>
        </w:rPr>
        <w:t>10</w:t>
      </w:r>
      <w:r w:rsidR="00FF083B" w:rsidRPr="005050D4">
        <w:rPr>
          <w:rStyle w:val="CommentReference"/>
        </w:rPr>
        <w:fldChar w:fldCharType="end"/>
      </w:r>
      <w:bookmarkEnd w:id="46"/>
      <w:r w:rsidR="00862EA8" w:rsidRPr="005050D4">
        <w:rPr>
          <w:rStyle w:val="CommentReference"/>
        </w:rPr>
        <w:t>:</w:t>
      </w:r>
      <w:r w:rsidRPr="005050D4">
        <w:rPr>
          <w:rStyle w:val="CommentReference"/>
        </w:rPr>
        <w:t xml:space="preserve"> Bucher indirect comparison of efficacy outcomes for the nominated PBS population</w:t>
      </w:r>
    </w:p>
    <w:tbl>
      <w:tblPr>
        <w:tblStyle w:val="Summarybox6"/>
        <w:tblW w:w="5000" w:type="pct"/>
        <w:tblLayout w:type="fixed"/>
        <w:tblLook w:val="04A0" w:firstRow="1" w:lastRow="0" w:firstColumn="1" w:lastColumn="0" w:noHBand="0" w:noVBand="1"/>
      </w:tblPr>
      <w:tblGrid>
        <w:gridCol w:w="2516"/>
        <w:gridCol w:w="1985"/>
        <w:gridCol w:w="2270"/>
        <w:gridCol w:w="2245"/>
      </w:tblGrid>
      <w:tr w:rsidR="00045F8A" w:rsidRPr="00DB3D39" w14:paraId="3DDD5918" w14:textId="77777777" w:rsidTr="00B34BFC">
        <w:trPr>
          <w:trHeight w:val="105"/>
          <w:tblHeader/>
        </w:trPr>
        <w:tc>
          <w:tcPr>
            <w:tcW w:w="1395" w:type="pct"/>
            <w:shd w:val="clear" w:color="auto" w:fill="auto"/>
            <w:vAlign w:val="center"/>
          </w:tcPr>
          <w:p w14:paraId="7EBA490D" w14:textId="3DF43A8B" w:rsidR="00045F8A" w:rsidRPr="00DB3D39" w:rsidRDefault="00B34BFC" w:rsidP="00B34BFC">
            <w:pPr>
              <w:pStyle w:val="In-tableHeading"/>
              <w:rPr>
                <w:sz w:val="20"/>
                <w:szCs w:val="20"/>
                <w:lang w:val="en-AU"/>
              </w:rPr>
            </w:pPr>
            <w:r w:rsidRPr="00DB3D39">
              <w:rPr>
                <w:sz w:val="20"/>
                <w:szCs w:val="20"/>
                <w:lang w:val="en-AU"/>
              </w:rPr>
              <w:t>TEAE</w:t>
            </w:r>
          </w:p>
        </w:tc>
        <w:tc>
          <w:tcPr>
            <w:tcW w:w="1101" w:type="pct"/>
            <w:shd w:val="clear" w:color="auto" w:fill="auto"/>
            <w:vAlign w:val="center"/>
          </w:tcPr>
          <w:p w14:paraId="4B916FFB" w14:textId="6E43FEFD" w:rsidR="00045F8A" w:rsidRPr="00DB3D39" w:rsidRDefault="00045F8A" w:rsidP="00B34BFC">
            <w:pPr>
              <w:pStyle w:val="In-tableHeading"/>
              <w:rPr>
                <w:sz w:val="20"/>
                <w:szCs w:val="20"/>
                <w:lang w:val="en-AU"/>
              </w:rPr>
            </w:pPr>
            <w:r w:rsidRPr="00DB3D39">
              <w:rPr>
                <w:sz w:val="20"/>
                <w:szCs w:val="20"/>
                <w:lang w:val="en-AU"/>
              </w:rPr>
              <w:t>RD (95% CI</w:t>
            </w:r>
            <w:r w:rsidR="00B34BFC" w:rsidRPr="00DB3D39">
              <w:rPr>
                <w:sz w:val="20"/>
                <w:szCs w:val="20"/>
                <w:lang w:val="en-AU"/>
              </w:rPr>
              <w:t>);</w:t>
            </w:r>
            <w:r w:rsidRPr="00DB3D39">
              <w:rPr>
                <w:sz w:val="20"/>
                <w:szCs w:val="20"/>
                <w:lang w:val="en-AU"/>
              </w:rPr>
              <w:t xml:space="preserve"> </w:t>
            </w:r>
          </w:p>
          <w:p w14:paraId="2581DE8E" w14:textId="77777777" w:rsidR="00045F8A" w:rsidRPr="00DB3D39" w:rsidRDefault="00045F8A" w:rsidP="00B34BFC">
            <w:pPr>
              <w:pStyle w:val="In-tableHeading"/>
              <w:rPr>
                <w:sz w:val="20"/>
                <w:szCs w:val="20"/>
                <w:lang w:val="en-AU"/>
              </w:rPr>
            </w:pPr>
            <w:r w:rsidRPr="00DB3D39">
              <w:rPr>
                <w:sz w:val="20"/>
                <w:szCs w:val="20"/>
                <w:lang w:val="en-AU"/>
              </w:rPr>
              <w:t>p value</w:t>
            </w:r>
          </w:p>
        </w:tc>
        <w:tc>
          <w:tcPr>
            <w:tcW w:w="1259" w:type="pct"/>
            <w:shd w:val="clear" w:color="auto" w:fill="auto"/>
            <w:vAlign w:val="center"/>
          </w:tcPr>
          <w:p w14:paraId="0243B66C" w14:textId="4E57F25B" w:rsidR="00045F8A" w:rsidRPr="00DB3D39" w:rsidRDefault="00045F8A" w:rsidP="00B34BFC">
            <w:pPr>
              <w:pStyle w:val="In-tableHeading"/>
              <w:rPr>
                <w:sz w:val="20"/>
                <w:szCs w:val="20"/>
                <w:lang w:val="en-AU"/>
              </w:rPr>
            </w:pPr>
            <w:r w:rsidRPr="00DB3D39">
              <w:rPr>
                <w:sz w:val="20"/>
                <w:szCs w:val="20"/>
                <w:lang w:val="en-AU"/>
              </w:rPr>
              <w:t>RR (95% CI</w:t>
            </w:r>
            <w:r w:rsidR="00B34BFC" w:rsidRPr="00DB3D39">
              <w:rPr>
                <w:sz w:val="20"/>
                <w:szCs w:val="20"/>
                <w:lang w:val="en-AU"/>
              </w:rPr>
              <w:t>);</w:t>
            </w:r>
            <w:r w:rsidRPr="00DB3D39">
              <w:rPr>
                <w:sz w:val="20"/>
                <w:szCs w:val="20"/>
                <w:lang w:val="en-AU"/>
              </w:rPr>
              <w:t xml:space="preserve"> </w:t>
            </w:r>
          </w:p>
          <w:p w14:paraId="7AB9EFA0" w14:textId="77777777" w:rsidR="00045F8A" w:rsidRPr="00DB3D39" w:rsidRDefault="00045F8A" w:rsidP="00B34BFC">
            <w:pPr>
              <w:pStyle w:val="In-tableHeading"/>
              <w:rPr>
                <w:sz w:val="20"/>
                <w:szCs w:val="20"/>
                <w:lang w:val="en-AU"/>
              </w:rPr>
            </w:pPr>
            <w:r w:rsidRPr="00DB3D39">
              <w:rPr>
                <w:sz w:val="20"/>
                <w:szCs w:val="20"/>
                <w:lang w:val="en-AU"/>
              </w:rPr>
              <w:t>p value</w:t>
            </w:r>
          </w:p>
        </w:tc>
        <w:tc>
          <w:tcPr>
            <w:tcW w:w="1245" w:type="pct"/>
            <w:shd w:val="clear" w:color="auto" w:fill="auto"/>
            <w:vAlign w:val="center"/>
          </w:tcPr>
          <w:p w14:paraId="4A2AB547" w14:textId="60270026" w:rsidR="00045F8A" w:rsidRPr="00DB3D39" w:rsidRDefault="00045F8A" w:rsidP="00B34BFC">
            <w:pPr>
              <w:pStyle w:val="In-tableHeading"/>
              <w:rPr>
                <w:sz w:val="20"/>
                <w:szCs w:val="20"/>
                <w:lang w:val="en-AU"/>
              </w:rPr>
            </w:pPr>
            <w:r w:rsidRPr="00DB3D39">
              <w:rPr>
                <w:sz w:val="20"/>
                <w:szCs w:val="20"/>
                <w:lang w:val="en-AU"/>
              </w:rPr>
              <w:t>OR (95% CI</w:t>
            </w:r>
            <w:r w:rsidR="00B34BFC" w:rsidRPr="00DB3D39">
              <w:rPr>
                <w:sz w:val="20"/>
                <w:szCs w:val="20"/>
                <w:lang w:val="en-AU"/>
              </w:rPr>
              <w:t>);</w:t>
            </w:r>
            <w:r w:rsidRPr="00DB3D39">
              <w:rPr>
                <w:sz w:val="20"/>
                <w:szCs w:val="20"/>
                <w:lang w:val="en-AU"/>
              </w:rPr>
              <w:t xml:space="preserve"> </w:t>
            </w:r>
          </w:p>
          <w:p w14:paraId="637941C7" w14:textId="77777777" w:rsidR="00045F8A" w:rsidRPr="00DB3D39" w:rsidRDefault="00045F8A" w:rsidP="00B34BFC">
            <w:pPr>
              <w:pStyle w:val="In-tableHeading"/>
              <w:rPr>
                <w:sz w:val="20"/>
                <w:szCs w:val="20"/>
                <w:lang w:val="en-AU"/>
              </w:rPr>
            </w:pPr>
            <w:r w:rsidRPr="00DB3D39">
              <w:rPr>
                <w:sz w:val="20"/>
                <w:szCs w:val="20"/>
                <w:lang w:val="en-AU"/>
              </w:rPr>
              <w:t>p value</w:t>
            </w:r>
          </w:p>
        </w:tc>
      </w:tr>
      <w:tr w:rsidR="000553CD" w:rsidRPr="00DB3D39" w14:paraId="6DDA2670" w14:textId="77777777" w:rsidTr="000553CD">
        <w:trPr>
          <w:trHeight w:val="105"/>
          <w:tblHeader/>
        </w:trPr>
        <w:tc>
          <w:tcPr>
            <w:tcW w:w="5000" w:type="pct"/>
            <w:gridSpan w:val="4"/>
            <w:shd w:val="clear" w:color="auto" w:fill="auto"/>
            <w:vAlign w:val="center"/>
          </w:tcPr>
          <w:p w14:paraId="0A0E9E43" w14:textId="1226D7D0" w:rsidR="000553CD" w:rsidRPr="00DB3D39" w:rsidRDefault="000553CD" w:rsidP="00B34BFC">
            <w:pPr>
              <w:pStyle w:val="In-tableHeading"/>
              <w:rPr>
                <w:sz w:val="20"/>
                <w:szCs w:val="20"/>
                <w:lang w:val="en-AU"/>
              </w:rPr>
            </w:pPr>
            <w:r w:rsidRPr="00DB3D39">
              <w:rPr>
                <w:sz w:val="20"/>
                <w:szCs w:val="20"/>
                <w:lang w:val="en-AU"/>
              </w:rPr>
              <w:t>Ribociclib + ET</w:t>
            </w:r>
            <w:r w:rsidR="006F693B" w:rsidRPr="00DB3D39">
              <w:rPr>
                <w:sz w:val="20"/>
                <w:szCs w:val="20"/>
                <w:lang w:val="en-AU"/>
              </w:rPr>
              <w:t>^</w:t>
            </w:r>
            <w:r w:rsidRPr="00DB3D39">
              <w:rPr>
                <w:sz w:val="20"/>
                <w:szCs w:val="20"/>
                <w:lang w:val="en-AU"/>
              </w:rPr>
              <w:t xml:space="preserve"> experiencing more </w:t>
            </w:r>
            <w:r w:rsidR="009B51C6" w:rsidRPr="00DB3D39">
              <w:rPr>
                <w:sz w:val="20"/>
                <w:szCs w:val="20"/>
                <w:lang w:val="en-AU"/>
              </w:rPr>
              <w:t>events</w:t>
            </w:r>
          </w:p>
        </w:tc>
      </w:tr>
      <w:tr w:rsidR="007463F9" w:rsidRPr="00DB3D39" w14:paraId="6B6484F7" w14:textId="77777777" w:rsidTr="00B34BFC">
        <w:trPr>
          <w:trHeight w:val="26"/>
        </w:trPr>
        <w:tc>
          <w:tcPr>
            <w:tcW w:w="1395" w:type="pct"/>
            <w:shd w:val="clear" w:color="auto" w:fill="auto"/>
            <w:vAlign w:val="center"/>
          </w:tcPr>
          <w:p w14:paraId="27FD8F52" w14:textId="52FDC808" w:rsidR="007463F9" w:rsidRPr="00DB3D39" w:rsidRDefault="007463F9" w:rsidP="007463F9">
            <w:pPr>
              <w:pStyle w:val="TableText0"/>
              <w:rPr>
                <w:sz w:val="20"/>
                <w:szCs w:val="20"/>
              </w:rPr>
            </w:pPr>
            <w:r w:rsidRPr="00DB3D39">
              <w:rPr>
                <w:sz w:val="20"/>
                <w:szCs w:val="20"/>
              </w:rPr>
              <w:t>Discontinuation due to AEs*</w:t>
            </w:r>
          </w:p>
        </w:tc>
        <w:tc>
          <w:tcPr>
            <w:tcW w:w="1101" w:type="pct"/>
            <w:tcBorders>
              <w:bottom w:val="single" w:sz="4" w:space="0" w:color="auto"/>
            </w:tcBorders>
            <w:shd w:val="clear" w:color="auto" w:fill="auto"/>
            <w:vAlign w:val="center"/>
          </w:tcPr>
          <w:p w14:paraId="6CEFBFD5" w14:textId="77777777" w:rsidR="007463F9" w:rsidRPr="00DB3D39" w:rsidRDefault="007463F9" w:rsidP="007463F9">
            <w:pPr>
              <w:pStyle w:val="TableText0"/>
              <w:rPr>
                <w:b/>
                <w:sz w:val="20"/>
                <w:szCs w:val="20"/>
              </w:rPr>
            </w:pPr>
            <w:r w:rsidRPr="00DB3D39">
              <w:rPr>
                <w:b/>
                <w:sz w:val="20"/>
                <w:szCs w:val="20"/>
              </w:rPr>
              <w:t xml:space="preserve">0.10 (0.08, 0.12); </w:t>
            </w:r>
          </w:p>
          <w:p w14:paraId="457004F2" w14:textId="449F41EB" w:rsidR="007463F9" w:rsidRPr="00DB3D39" w:rsidRDefault="007463F9" w:rsidP="007463F9">
            <w:pPr>
              <w:pStyle w:val="TableText0"/>
              <w:rPr>
                <w:sz w:val="20"/>
                <w:szCs w:val="20"/>
              </w:rPr>
            </w:pPr>
            <w:r w:rsidRPr="00DB3D39">
              <w:rPr>
                <w:b/>
                <w:sz w:val="20"/>
                <w:szCs w:val="20"/>
              </w:rPr>
              <w:t>p &lt; 0.0001</w:t>
            </w:r>
          </w:p>
        </w:tc>
        <w:tc>
          <w:tcPr>
            <w:tcW w:w="1259" w:type="pct"/>
            <w:tcBorders>
              <w:bottom w:val="single" w:sz="4" w:space="0" w:color="auto"/>
            </w:tcBorders>
            <w:shd w:val="clear" w:color="auto" w:fill="auto"/>
            <w:vAlign w:val="center"/>
          </w:tcPr>
          <w:p w14:paraId="2CB0B1CF" w14:textId="77777777" w:rsidR="007463F9" w:rsidRPr="00DB3D39" w:rsidRDefault="007463F9" w:rsidP="007463F9">
            <w:pPr>
              <w:pStyle w:val="TableText0"/>
              <w:rPr>
                <w:sz w:val="20"/>
                <w:szCs w:val="20"/>
              </w:rPr>
            </w:pPr>
            <w:r w:rsidRPr="00DB3D39">
              <w:rPr>
                <w:sz w:val="20"/>
                <w:szCs w:val="20"/>
              </w:rPr>
              <w:t xml:space="preserve">0.68 (0.44, 1.06); </w:t>
            </w:r>
          </w:p>
          <w:p w14:paraId="757A8EAE" w14:textId="11A21916" w:rsidR="007463F9" w:rsidRPr="00DB3D39" w:rsidRDefault="007463F9" w:rsidP="007463F9">
            <w:pPr>
              <w:pStyle w:val="TableText0"/>
              <w:rPr>
                <w:sz w:val="20"/>
                <w:szCs w:val="20"/>
              </w:rPr>
            </w:pPr>
            <w:r w:rsidRPr="00DB3D39">
              <w:rPr>
                <w:sz w:val="20"/>
                <w:szCs w:val="20"/>
              </w:rPr>
              <w:t>p = 0.0902</w:t>
            </w:r>
          </w:p>
        </w:tc>
        <w:tc>
          <w:tcPr>
            <w:tcW w:w="1245" w:type="pct"/>
            <w:tcBorders>
              <w:bottom w:val="single" w:sz="4" w:space="0" w:color="auto"/>
            </w:tcBorders>
            <w:shd w:val="clear" w:color="auto" w:fill="auto"/>
            <w:vAlign w:val="center"/>
          </w:tcPr>
          <w:p w14:paraId="12A90E07" w14:textId="77777777" w:rsidR="007463F9" w:rsidRPr="00DB3D39" w:rsidRDefault="007463F9" w:rsidP="007463F9">
            <w:pPr>
              <w:pStyle w:val="TableText0"/>
              <w:rPr>
                <w:sz w:val="20"/>
                <w:szCs w:val="20"/>
              </w:rPr>
            </w:pPr>
            <w:r w:rsidRPr="00DB3D39">
              <w:rPr>
                <w:sz w:val="20"/>
                <w:szCs w:val="20"/>
              </w:rPr>
              <w:t xml:space="preserve">0.76 (0.48, 1.21); </w:t>
            </w:r>
          </w:p>
          <w:p w14:paraId="79C09016" w14:textId="7A8BDC62" w:rsidR="007463F9" w:rsidRPr="00DB3D39" w:rsidRDefault="007463F9" w:rsidP="007463F9">
            <w:pPr>
              <w:pStyle w:val="TableText0"/>
              <w:rPr>
                <w:sz w:val="20"/>
                <w:szCs w:val="20"/>
              </w:rPr>
            </w:pPr>
            <w:r w:rsidRPr="00DB3D39">
              <w:rPr>
                <w:sz w:val="20"/>
                <w:szCs w:val="20"/>
              </w:rPr>
              <w:t>p = 0.2486</w:t>
            </w:r>
          </w:p>
        </w:tc>
      </w:tr>
      <w:tr w:rsidR="007463F9" w:rsidRPr="00DB3D39" w14:paraId="14F1012D" w14:textId="77777777" w:rsidTr="00B34BFC">
        <w:trPr>
          <w:trHeight w:val="26"/>
        </w:trPr>
        <w:tc>
          <w:tcPr>
            <w:tcW w:w="1395" w:type="pct"/>
            <w:shd w:val="clear" w:color="auto" w:fill="auto"/>
            <w:vAlign w:val="center"/>
          </w:tcPr>
          <w:p w14:paraId="15F29533" w14:textId="52FD2EB8" w:rsidR="007463F9" w:rsidRPr="00DB3D39" w:rsidRDefault="007463F9" w:rsidP="007463F9">
            <w:pPr>
              <w:pStyle w:val="TableText0"/>
              <w:rPr>
                <w:sz w:val="20"/>
                <w:szCs w:val="20"/>
              </w:rPr>
            </w:pPr>
            <w:r w:rsidRPr="00112EE5">
              <w:rPr>
                <w:sz w:val="20"/>
                <w:szCs w:val="20"/>
              </w:rPr>
              <w:t>Grade 3/4 adverse events</w:t>
            </w:r>
          </w:p>
        </w:tc>
        <w:tc>
          <w:tcPr>
            <w:tcW w:w="1101" w:type="pct"/>
            <w:tcBorders>
              <w:bottom w:val="single" w:sz="4" w:space="0" w:color="auto"/>
            </w:tcBorders>
            <w:shd w:val="clear" w:color="auto" w:fill="auto"/>
            <w:vAlign w:val="center"/>
          </w:tcPr>
          <w:p w14:paraId="165290D5" w14:textId="55F62049" w:rsidR="007463F9" w:rsidRPr="00DB3D39" w:rsidRDefault="007463F9" w:rsidP="007463F9">
            <w:pPr>
              <w:pStyle w:val="TableText0"/>
              <w:rPr>
                <w:sz w:val="20"/>
                <w:szCs w:val="20"/>
              </w:rPr>
            </w:pPr>
            <w:r w:rsidRPr="00112EE5">
              <w:rPr>
                <w:sz w:val="20"/>
                <w:szCs w:val="20"/>
              </w:rPr>
              <w:t>NC</w:t>
            </w:r>
          </w:p>
        </w:tc>
        <w:tc>
          <w:tcPr>
            <w:tcW w:w="1259" w:type="pct"/>
            <w:tcBorders>
              <w:bottom w:val="single" w:sz="4" w:space="0" w:color="auto"/>
            </w:tcBorders>
            <w:shd w:val="clear" w:color="auto" w:fill="auto"/>
            <w:vAlign w:val="center"/>
          </w:tcPr>
          <w:p w14:paraId="486CE8DB" w14:textId="77777777" w:rsidR="00A03F16" w:rsidRDefault="007463F9" w:rsidP="007463F9">
            <w:pPr>
              <w:pStyle w:val="TableText0"/>
              <w:rPr>
                <w:rFonts w:cstheme="minorHAnsi"/>
                <w:bCs w:val="0"/>
                <w:iCs/>
                <w:sz w:val="20"/>
                <w:szCs w:val="20"/>
                <w:vertAlign w:val="superscript"/>
              </w:rPr>
            </w:pPr>
            <w:r w:rsidRPr="00112EE5">
              <w:rPr>
                <w:rFonts w:cstheme="minorHAnsi"/>
                <w:sz w:val="20"/>
                <w:szCs w:val="20"/>
              </w:rPr>
              <w:t xml:space="preserve">1.14 </w:t>
            </w:r>
            <w:r w:rsidRPr="00112EE5">
              <w:rPr>
                <w:rFonts w:cstheme="minorHAnsi"/>
                <w:iCs/>
                <w:sz w:val="20"/>
                <w:szCs w:val="20"/>
              </w:rPr>
              <w:t>(</w:t>
            </w:r>
            <w:r w:rsidRPr="00112EE5">
              <w:rPr>
                <w:rFonts w:cstheme="minorHAnsi"/>
                <w:sz w:val="20"/>
                <w:szCs w:val="20"/>
              </w:rPr>
              <w:t>0.99, 1.30</w:t>
            </w:r>
            <w:r w:rsidRPr="00112EE5">
              <w:rPr>
                <w:rFonts w:cstheme="minorHAnsi"/>
                <w:iCs/>
                <w:sz w:val="20"/>
                <w:szCs w:val="20"/>
              </w:rPr>
              <w:t>)</w:t>
            </w:r>
            <w:r w:rsidRPr="00112EE5">
              <w:rPr>
                <w:rFonts w:cstheme="minorHAnsi"/>
                <w:bCs w:val="0"/>
                <w:iCs/>
                <w:sz w:val="20"/>
                <w:szCs w:val="20"/>
                <w:vertAlign w:val="superscript"/>
              </w:rPr>
              <w:t xml:space="preserve">a </w:t>
            </w:r>
          </w:p>
          <w:p w14:paraId="788B03E8" w14:textId="5C62769A" w:rsidR="007463F9" w:rsidRPr="00DB3D39" w:rsidRDefault="007463F9" w:rsidP="007463F9">
            <w:pPr>
              <w:pStyle w:val="TableText0"/>
              <w:rPr>
                <w:sz w:val="20"/>
                <w:szCs w:val="20"/>
              </w:rPr>
            </w:pPr>
            <w:r w:rsidRPr="00112EE5">
              <w:rPr>
                <w:rFonts w:cstheme="minorHAnsi"/>
                <w:bCs w:val="0"/>
                <w:iCs/>
                <w:sz w:val="20"/>
                <w:szCs w:val="20"/>
              </w:rPr>
              <w:t>p= 0.06</w:t>
            </w:r>
          </w:p>
        </w:tc>
        <w:tc>
          <w:tcPr>
            <w:tcW w:w="1245" w:type="pct"/>
            <w:tcBorders>
              <w:bottom w:val="single" w:sz="4" w:space="0" w:color="auto"/>
            </w:tcBorders>
            <w:shd w:val="clear" w:color="auto" w:fill="auto"/>
            <w:vAlign w:val="center"/>
          </w:tcPr>
          <w:p w14:paraId="0E74BEC7" w14:textId="77777777" w:rsidR="007463F9" w:rsidRPr="00112EE5" w:rsidRDefault="007463F9" w:rsidP="007463F9">
            <w:pPr>
              <w:spacing w:line="276" w:lineRule="auto"/>
              <w:rPr>
                <w:rFonts w:ascii="Arial Narrow" w:hAnsi="Arial Narrow" w:cstheme="minorHAnsi"/>
                <w:b/>
                <w:sz w:val="20"/>
                <w:szCs w:val="20"/>
              </w:rPr>
            </w:pPr>
            <w:r w:rsidRPr="00112EE5">
              <w:rPr>
                <w:rFonts w:ascii="Arial Narrow" w:hAnsi="Arial Narrow" w:cstheme="minorHAnsi"/>
                <w:b/>
                <w:sz w:val="20"/>
                <w:szCs w:val="20"/>
              </w:rPr>
              <w:t>1.54 (1.27, 1.87)</w:t>
            </w:r>
            <w:r w:rsidRPr="00112EE5">
              <w:rPr>
                <w:rFonts w:ascii="Arial Narrow" w:hAnsi="Arial Narrow" w:cstheme="minorHAnsi"/>
                <w:b/>
                <w:sz w:val="20"/>
                <w:szCs w:val="20"/>
                <w:vertAlign w:val="superscript"/>
              </w:rPr>
              <w:t>a</w:t>
            </w:r>
          </w:p>
          <w:p w14:paraId="0821D4E5" w14:textId="2FC79A88" w:rsidR="007463F9" w:rsidRPr="00DB3D39" w:rsidRDefault="007463F9" w:rsidP="007463F9">
            <w:pPr>
              <w:pStyle w:val="TableText0"/>
              <w:rPr>
                <w:sz w:val="20"/>
                <w:szCs w:val="20"/>
              </w:rPr>
            </w:pPr>
            <w:r w:rsidRPr="00112EE5">
              <w:rPr>
                <w:rFonts w:cstheme="minorHAnsi"/>
                <w:b/>
                <w:sz w:val="20"/>
                <w:szCs w:val="20"/>
              </w:rPr>
              <w:t>p=0.00</w:t>
            </w:r>
          </w:p>
        </w:tc>
      </w:tr>
      <w:tr w:rsidR="000553CD" w:rsidRPr="00DB3D39" w14:paraId="31C93D9B" w14:textId="77777777" w:rsidTr="000553CD">
        <w:trPr>
          <w:trHeight w:val="26"/>
        </w:trPr>
        <w:tc>
          <w:tcPr>
            <w:tcW w:w="5000" w:type="pct"/>
            <w:gridSpan w:val="4"/>
            <w:shd w:val="clear" w:color="auto" w:fill="auto"/>
            <w:vAlign w:val="center"/>
          </w:tcPr>
          <w:p w14:paraId="0BE3809A" w14:textId="55034630" w:rsidR="000553CD" w:rsidRPr="00DB3D39" w:rsidRDefault="000553CD" w:rsidP="007463F9">
            <w:pPr>
              <w:spacing w:line="276" w:lineRule="auto"/>
              <w:rPr>
                <w:rFonts w:ascii="Arial Narrow" w:hAnsi="Arial Narrow" w:cstheme="minorHAnsi"/>
                <w:b/>
                <w:i/>
                <w:sz w:val="20"/>
                <w:szCs w:val="20"/>
              </w:rPr>
            </w:pPr>
            <w:r w:rsidRPr="00DB3D39">
              <w:rPr>
                <w:rFonts w:ascii="Arial Narrow" w:hAnsi="Arial Narrow"/>
                <w:b/>
                <w:bCs/>
                <w:sz w:val="20"/>
                <w:szCs w:val="20"/>
              </w:rPr>
              <w:t xml:space="preserve">No difference in </w:t>
            </w:r>
            <w:r w:rsidR="009204C3" w:rsidRPr="00DB3D39">
              <w:rPr>
                <w:rFonts w:ascii="Arial Narrow" w:hAnsi="Arial Narrow"/>
                <w:b/>
                <w:bCs/>
                <w:sz w:val="20"/>
                <w:szCs w:val="20"/>
              </w:rPr>
              <w:t xml:space="preserve">events between </w:t>
            </w:r>
            <w:r w:rsidR="00FE696B" w:rsidRPr="00DB3D39">
              <w:rPr>
                <w:rFonts w:ascii="Arial Narrow" w:hAnsi="Arial Narrow"/>
                <w:b/>
                <w:bCs/>
                <w:sz w:val="20"/>
                <w:szCs w:val="20"/>
              </w:rPr>
              <w:t>ribociclib and abemaciclib</w:t>
            </w:r>
          </w:p>
        </w:tc>
      </w:tr>
      <w:tr w:rsidR="00045F8A" w:rsidRPr="00DB3D39" w14:paraId="4507EB21" w14:textId="77777777" w:rsidTr="00B34BFC">
        <w:trPr>
          <w:trHeight w:val="26"/>
        </w:trPr>
        <w:tc>
          <w:tcPr>
            <w:tcW w:w="1395" w:type="pct"/>
            <w:shd w:val="clear" w:color="auto" w:fill="auto"/>
            <w:vAlign w:val="center"/>
          </w:tcPr>
          <w:p w14:paraId="472133EE" w14:textId="7731FEFB" w:rsidR="00045F8A" w:rsidRPr="00DB3D39" w:rsidRDefault="000553CD" w:rsidP="00B34BFC">
            <w:pPr>
              <w:pStyle w:val="TableText0"/>
              <w:rPr>
                <w:sz w:val="20"/>
                <w:szCs w:val="20"/>
              </w:rPr>
            </w:pPr>
            <w:r w:rsidRPr="00DB3D39">
              <w:rPr>
                <w:sz w:val="20"/>
                <w:szCs w:val="20"/>
              </w:rPr>
              <w:t>Any TEAE</w:t>
            </w:r>
          </w:p>
        </w:tc>
        <w:tc>
          <w:tcPr>
            <w:tcW w:w="1101" w:type="pct"/>
            <w:tcBorders>
              <w:bottom w:val="single" w:sz="4" w:space="0" w:color="auto"/>
            </w:tcBorders>
            <w:shd w:val="clear" w:color="auto" w:fill="auto"/>
            <w:vAlign w:val="center"/>
          </w:tcPr>
          <w:p w14:paraId="6DF7A206" w14:textId="77777777" w:rsidR="000553CD" w:rsidRPr="00DB3D39" w:rsidRDefault="000553CD" w:rsidP="000553CD">
            <w:pPr>
              <w:pStyle w:val="TableText0"/>
              <w:rPr>
                <w:sz w:val="20"/>
                <w:szCs w:val="20"/>
              </w:rPr>
            </w:pPr>
            <w:r w:rsidRPr="00DB3D39">
              <w:rPr>
                <w:sz w:val="20"/>
                <w:szCs w:val="20"/>
              </w:rPr>
              <w:t xml:space="preserve">0.01 (-0.02, 0.04); </w:t>
            </w:r>
          </w:p>
          <w:p w14:paraId="1A753EB6" w14:textId="7772FD5D" w:rsidR="00045F8A" w:rsidRPr="00DB3D39" w:rsidRDefault="000553CD" w:rsidP="00B34BFC">
            <w:pPr>
              <w:pStyle w:val="TableText0"/>
              <w:rPr>
                <w:sz w:val="20"/>
                <w:szCs w:val="20"/>
              </w:rPr>
            </w:pPr>
            <w:r w:rsidRPr="00DB3D39">
              <w:rPr>
                <w:sz w:val="20"/>
                <w:szCs w:val="20"/>
              </w:rPr>
              <w:t>p = 0.4330</w:t>
            </w:r>
          </w:p>
        </w:tc>
        <w:tc>
          <w:tcPr>
            <w:tcW w:w="1259" w:type="pct"/>
            <w:tcBorders>
              <w:bottom w:val="single" w:sz="4" w:space="0" w:color="auto"/>
            </w:tcBorders>
            <w:shd w:val="clear" w:color="auto" w:fill="auto"/>
            <w:vAlign w:val="center"/>
          </w:tcPr>
          <w:p w14:paraId="047A2233" w14:textId="77777777" w:rsidR="000553CD" w:rsidRPr="00DB3D39" w:rsidRDefault="000553CD" w:rsidP="000553CD">
            <w:pPr>
              <w:pStyle w:val="TableText0"/>
              <w:rPr>
                <w:sz w:val="20"/>
                <w:szCs w:val="20"/>
              </w:rPr>
            </w:pPr>
            <w:r w:rsidRPr="00DB3D39">
              <w:rPr>
                <w:sz w:val="20"/>
                <w:szCs w:val="20"/>
              </w:rPr>
              <w:t xml:space="preserve">1.02 (1.00, 1.04); </w:t>
            </w:r>
          </w:p>
          <w:p w14:paraId="02F647E8" w14:textId="63F93927" w:rsidR="00045F8A" w:rsidRPr="00DB3D39" w:rsidRDefault="000553CD" w:rsidP="00B34BFC">
            <w:pPr>
              <w:pStyle w:val="TableText0"/>
              <w:rPr>
                <w:sz w:val="20"/>
                <w:szCs w:val="20"/>
              </w:rPr>
            </w:pPr>
            <w:r w:rsidRPr="00DB3D39">
              <w:rPr>
                <w:sz w:val="20"/>
                <w:szCs w:val="20"/>
              </w:rPr>
              <w:t>p = 0.1166</w:t>
            </w:r>
          </w:p>
        </w:tc>
        <w:tc>
          <w:tcPr>
            <w:tcW w:w="1245" w:type="pct"/>
            <w:tcBorders>
              <w:bottom w:val="single" w:sz="4" w:space="0" w:color="auto"/>
            </w:tcBorders>
            <w:shd w:val="clear" w:color="auto" w:fill="auto"/>
            <w:vAlign w:val="center"/>
          </w:tcPr>
          <w:p w14:paraId="061D63E8" w14:textId="77777777" w:rsidR="000553CD" w:rsidRPr="00DB3D39" w:rsidRDefault="000553CD" w:rsidP="000553CD">
            <w:pPr>
              <w:pStyle w:val="TableText0"/>
              <w:rPr>
                <w:sz w:val="20"/>
                <w:szCs w:val="20"/>
              </w:rPr>
            </w:pPr>
            <w:r w:rsidRPr="00DB3D39">
              <w:rPr>
                <w:sz w:val="20"/>
                <w:szCs w:val="20"/>
              </w:rPr>
              <w:t xml:space="preserve">0.98 (0.61, 1.57); </w:t>
            </w:r>
          </w:p>
          <w:p w14:paraId="24BB6B16" w14:textId="49D73D6C" w:rsidR="00045F8A" w:rsidRPr="00DB3D39" w:rsidRDefault="000553CD" w:rsidP="00B34BFC">
            <w:pPr>
              <w:pStyle w:val="TableText0"/>
              <w:rPr>
                <w:sz w:val="20"/>
                <w:szCs w:val="20"/>
              </w:rPr>
            </w:pPr>
            <w:r w:rsidRPr="00DB3D39">
              <w:rPr>
                <w:sz w:val="20"/>
                <w:szCs w:val="20"/>
              </w:rPr>
              <w:t>p = 0.9305</w:t>
            </w:r>
          </w:p>
        </w:tc>
      </w:tr>
      <w:tr w:rsidR="000553CD" w:rsidRPr="00DB3D39" w14:paraId="25554DD3" w14:textId="77777777" w:rsidTr="00B34BFC">
        <w:trPr>
          <w:trHeight w:val="26"/>
        </w:trPr>
        <w:tc>
          <w:tcPr>
            <w:tcW w:w="1395" w:type="pct"/>
            <w:shd w:val="clear" w:color="auto" w:fill="auto"/>
            <w:vAlign w:val="center"/>
          </w:tcPr>
          <w:p w14:paraId="259CA88A" w14:textId="707A3FA9" w:rsidR="000553CD" w:rsidRPr="00DB3D39" w:rsidRDefault="000553CD" w:rsidP="000553CD">
            <w:pPr>
              <w:pStyle w:val="TableText0"/>
              <w:rPr>
                <w:szCs w:val="20"/>
              </w:rPr>
            </w:pPr>
            <w:r w:rsidRPr="00DB3D39">
              <w:rPr>
                <w:sz w:val="20"/>
                <w:szCs w:val="20"/>
              </w:rPr>
              <w:t>Any SAE</w:t>
            </w:r>
          </w:p>
        </w:tc>
        <w:tc>
          <w:tcPr>
            <w:tcW w:w="1101" w:type="pct"/>
            <w:tcBorders>
              <w:bottom w:val="single" w:sz="4" w:space="0" w:color="auto"/>
            </w:tcBorders>
            <w:shd w:val="clear" w:color="auto" w:fill="auto"/>
            <w:vAlign w:val="center"/>
          </w:tcPr>
          <w:p w14:paraId="1CE91FF9" w14:textId="77777777" w:rsidR="000553CD" w:rsidRPr="00DB3D39" w:rsidRDefault="000553CD" w:rsidP="000553CD">
            <w:pPr>
              <w:pStyle w:val="TableText0"/>
              <w:rPr>
                <w:sz w:val="20"/>
                <w:szCs w:val="20"/>
              </w:rPr>
            </w:pPr>
            <w:r w:rsidRPr="00DB3D39">
              <w:rPr>
                <w:sz w:val="20"/>
                <w:szCs w:val="20"/>
              </w:rPr>
              <w:t>-0.02 (-0.05, 0.01);</w:t>
            </w:r>
          </w:p>
          <w:p w14:paraId="05FA820A" w14:textId="367C4463" w:rsidR="000553CD" w:rsidRPr="00DB3D39" w:rsidRDefault="000553CD" w:rsidP="000553CD">
            <w:pPr>
              <w:pStyle w:val="TableText0"/>
              <w:rPr>
                <w:szCs w:val="20"/>
              </w:rPr>
            </w:pPr>
            <w:r w:rsidRPr="00DB3D39">
              <w:rPr>
                <w:sz w:val="20"/>
                <w:szCs w:val="20"/>
              </w:rPr>
              <w:t>p = 0.1169</w:t>
            </w:r>
          </w:p>
        </w:tc>
        <w:tc>
          <w:tcPr>
            <w:tcW w:w="1259" w:type="pct"/>
            <w:tcBorders>
              <w:bottom w:val="single" w:sz="4" w:space="0" w:color="auto"/>
            </w:tcBorders>
            <w:shd w:val="clear" w:color="auto" w:fill="auto"/>
            <w:vAlign w:val="center"/>
          </w:tcPr>
          <w:p w14:paraId="585854E4" w14:textId="77777777" w:rsidR="000553CD" w:rsidRPr="00DB3D39" w:rsidRDefault="000553CD" w:rsidP="000553CD">
            <w:pPr>
              <w:pStyle w:val="TableText0"/>
              <w:rPr>
                <w:sz w:val="20"/>
                <w:szCs w:val="20"/>
              </w:rPr>
            </w:pPr>
            <w:r w:rsidRPr="00DB3D39">
              <w:rPr>
                <w:sz w:val="20"/>
                <w:szCs w:val="20"/>
              </w:rPr>
              <w:t xml:space="preserve">0.82 (0.66, 1.04); </w:t>
            </w:r>
          </w:p>
          <w:p w14:paraId="765B6D2E" w14:textId="4FBDA13E" w:rsidR="000553CD" w:rsidRPr="00DB3D39" w:rsidRDefault="000553CD" w:rsidP="000553CD">
            <w:pPr>
              <w:pStyle w:val="TableText0"/>
              <w:rPr>
                <w:szCs w:val="20"/>
              </w:rPr>
            </w:pPr>
            <w:r w:rsidRPr="00DB3D39">
              <w:rPr>
                <w:sz w:val="20"/>
                <w:szCs w:val="20"/>
              </w:rPr>
              <w:t>p = 0.0962</w:t>
            </w:r>
          </w:p>
        </w:tc>
        <w:tc>
          <w:tcPr>
            <w:tcW w:w="1245" w:type="pct"/>
            <w:tcBorders>
              <w:bottom w:val="single" w:sz="4" w:space="0" w:color="auto"/>
            </w:tcBorders>
            <w:shd w:val="clear" w:color="auto" w:fill="auto"/>
            <w:vAlign w:val="center"/>
          </w:tcPr>
          <w:p w14:paraId="38DFAF60" w14:textId="77777777" w:rsidR="000553CD" w:rsidRPr="00DB3D39" w:rsidRDefault="000553CD" w:rsidP="000553CD">
            <w:pPr>
              <w:pStyle w:val="TableText0"/>
              <w:rPr>
                <w:sz w:val="20"/>
                <w:szCs w:val="20"/>
              </w:rPr>
            </w:pPr>
            <w:r w:rsidRPr="00DB3D39">
              <w:rPr>
                <w:sz w:val="20"/>
                <w:szCs w:val="20"/>
              </w:rPr>
              <w:t>0.80 (0.62, 1.04);</w:t>
            </w:r>
          </w:p>
          <w:p w14:paraId="2C787CB7" w14:textId="7857C645" w:rsidR="000553CD" w:rsidRPr="00DB3D39" w:rsidRDefault="000553CD" w:rsidP="000553CD">
            <w:pPr>
              <w:pStyle w:val="TableText0"/>
              <w:rPr>
                <w:szCs w:val="20"/>
              </w:rPr>
            </w:pPr>
            <w:r w:rsidRPr="00DB3D39">
              <w:rPr>
                <w:sz w:val="20"/>
                <w:szCs w:val="20"/>
              </w:rPr>
              <w:t>p = 0.0945</w:t>
            </w:r>
          </w:p>
        </w:tc>
      </w:tr>
      <w:tr w:rsidR="00045F8A" w:rsidRPr="00DB3D39" w14:paraId="5DED4ED5" w14:textId="77777777" w:rsidTr="00B34BFC">
        <w:trPr>
          <w:trHeight w:val="26"/>
        </w:trPr>
        <w:tc>
          <w:tcPr>
            <w:tcW w:w="1395" w:type="pct"/>
            <w:shd w:val="clear" w:color="auto" w:fill="auto"/>
            <w:vAlign w:val="center"/>
          </w:tcPr>
          <w:p w14:paraId="0A772D9E" w14:textId="6D11AC93" w:rsidR="00045F8A" w:rsidRPr="00DB3D39" w:rsidRDefault="00045F8A" w:rsidP="00B34BFC">
            <w:pPr>
              <w:pStyle w:val="TableText0"/>
              <w:rPr>
                <w:sz w:val="20"/>
                <w:szCs w:val="20"/>
              </w:rPr>
            </w:pPr>
            <w:r w:rsidRPr="00DB3D39">
              <w:rPr>
                <w:sz w:val="20"/>
                <w:szCs w:val="20"/>
              </w:rPr>
              <w:t>On-treatment deaths</w:t>
            </w:r>
          </w:p>
        </w:tc>
        <w:tc>
          <w:tcPr>
            <w:tcW w:w="1101" w:type="pct"/>
            <w:tcBorders>
              <w:bottom w:val="single" w:sz="4" w:space="0" w:color="auto"/>
            </w:tcBorders>
            <w:shd w:val="clear" w:color="auto" w:fill="auto"/>
            <w:vAlign w:val="center"/>
          </w:tcPr>
          <w:p w14:paraId="0CB47F58" w14:textId="7A9C4137" w:rsidR="00045F8A" w:rsidRPr="00DB3D39" w:rsidRDefault="00045F8A" w:rsidP="00B34BFC">
            <w:pPr>
              <w:pStyle w:val="TableText0"/>
              <w:rPr>
                <w:sz w:val="20"/>
                <w:szCs w:val="20"/>
              </w:rPr>
            </w:pPr>
            <w:r w:rsidRPr="00DB3D39">
              <w:rPr>
                <w:sz w:val="20"/>
                <w:szCs w:val="20"/>
              </w:rPr>
              <w:t>0 (-0.01, 0.01</w:t>
            </w:r>
            <w:r w:rsidR="00B34BFC" w:rsidRPr="00DB3D39">
              <w:rPr>
                <w:sz w:val="20"/>
                <w:szCs w:val="20"/>
              </w:rPr>
              <w:t>);</w:t>
            </w:r>
          </w:p>
          <w:p w14:paraId="26C39D47" w14:textId="038603FA" w:rsidR="00045F8A" w:rsidRPr="00DB3D39" w:rsidRDefault="00045F8A" w:rsidP="00B34BFC">
            <w:pPr>
              <w:pStyle w:val="TableText0"/>
              <w:rPr>
                <w:sz w:val="20"/>
                <w:szCs w:val="20"/>
              </w:rPr>
            </w:pPr>
            <w:r w:rsidRPr="00DB3D39">
              <w:rPr>
                <w:sz w:val="20"/>
                <w:szCs w:val="20"/>
              </w:rPr>
              <w:t>p = 1.00</w:t>
            </w:r>
          </w:p>
        </w:tc>
        <w:tc>
          <w:tcPr>
            <w:tcW w:w="1259" w:type="pct"/>
            <w:tcBorders>
              <w:bottom w:val="single" w:sz="4" w:space="0" w:color="auto"/>
            </w:tcBorders>
            <w:shd w:val="clear" w:color="auto" w:fill="auto"/>
            <w:vAlign w:val="center"/>
          </w:tcPr>
          <w:p w14:paraId="4753395B" w14:textId="35EB2B95" w:rsidR="00045F8A" w:rsidRPr="00DB3D39" w:rsidRDefault="00045F8A" w:rsidP="00B34BFC">
            <w:pPr>
              <w:pStyle w:val="TableText0"/>
              <w:rPr>
                <w:sz w:val="20"/>
                <w:szCs w:val="20"/>
              </w:rPr>
            </w:pPr>
            <w:r w:rsidRPr="00DB3D39">
              <w:rPr>
                <w:sz w:val="20"/>
                <w:szCs w:val="20"/>
              </w:rPr>
              <w:t>1.61 (0.47, 5.52</w:t>
            </w:r>
            <w:r w:rsidR="00B34BFC" w:rsidRPr="00DB3D39">
              <w:rPr>
                <w:sz w:val="20"/>
                <w:szCs w:val="20"/>
              </w:rPr>
              <w:t>);</w:t>
            </w:r>
            <w:r w:rsidRPr="00DB3D39">
              <w:rPr>
                <w:sz w:val="20"/>
                <w:szCs w:val="20"/>
              </w:rPr>
              <w:t xml:space="preserve"> </w:t>
            </w:r>
          </w:p>
          <w:p w14:paraId="6B4DB6F2" w14:textId="5ECC1FFD" w:rsidR="00045F8A" w:rsidRPr="00DB3D39" w:rsidRDefault="00045F8A" w:rsidP="00B34BFC">
            <w:pPr>
              <w:pStyle w:val="TableText0"/>
              <w:rPr>
                <w:sz w:val="20"/>
                <w:szCs w:val="20"/>
              </w:rPr>
            </w:pPr>
            <w:r w:rsidRPr="00DB3D39">
              <w:rPr>
                <w:sz w:val="20"/>
                <w:szCs w:val="20"/>
              </w:rPr>
              <w:t>p = 0.4461</w:t>
            </w:r>
          </w:p>
        </w:tc>
        <w:tc>
          <w:tcPr>
            <w:tcW w:w="1245" w:type="pct"/>
            <w:tcBorders>
              <w:bottom w:val="single" w:sz="4" w:space="0" w:color="auto"/>
            </w:tcBorders>
            <w:shd w:val="clear" w:color="auto" w:fill="auto"/>
            <w:vAlign w:val="center"/>
          </w:tcPr>
          <w:p w14:paraId="57F41522" w14:textId="37254D9F" w:rsidR="00045F8A" w:rsidRPr="00DB3D39" w:rsidRDefault="00045F8A" w:rsidP="00B34BFC">
            <w:pPr>
              <w:pStyle w:val="TableText0"/>
              <w:rPr>
                <w:sz w:val="20"/>
                <w:szCs w:val="20"/>
              </w:rPr>
            </w:pPr>
            <w:r w:rsidRPr="00DB3D39">
              <w:rPr>
                <w:sz w:val="20"/>
                <w:szCs w:val="20"/>
              </w:rPr>
              <w:t>1.62 (0.47, 5.57</w:t>
            </w:r>
            <w:r w:rsidR="00B34BFC" w:rsidRPr="00DB3D39">
              <w:rPr>
                <w:sz w:val="20"/>
                <w:szCs w:val="20"/>
              </w:rPr>
              <w:t>);</w:t>
            </w:r>
          </w:p>
          <w:p w14:paraId="3351A32A" w14:textId="49DBAC97" w:rsidR="00045F8A" w:rsidRPr="00DB3D39" w:rsidRDefault="00045F8A" w:rsidP="00B34BFC">
            <w:pPr>
              <w:pStyle w:val="TableText0"/>
              <w:rPr>
                <w:sz w:val="20"/>
                <w:szCs w:val="20"/>
              </w:rPr>
            </w:pPr>
            <w:r w:rsidRPr="00DB3D39">
              <w:rPr>
                <w:sz w:val="20"/>
                <w:szCs w:val="20"/>
              </w:rPr>
              <w:t>p = 0.4438</w:t>
            </w:r>
          </w:p>
        </w:tc>
      </w:tr>
    </w:tbl>
    <w:p w14:paraId="1B92D7E4" w14:textId="13BA032A" w:rsidR="00B34BFC" w:rsidRPr="00DB3D39" w:rsidRDefault="00B34BFC" w:rsidP="00B34BFC">
      <w:pPr>
        <w:pStyle w:val="TableFigureFooter"/>
        <w:rPr>
          <w:rFonts w:eastAsiaTheme="minorHAnsi"/>
        </w:rPr>
      </w:pPr>
      <w:r w:rsidRPr="00DB3D39">
        <w:rPr>
          <w:rFonts w:eastAsiaTheme="minorHAnsi"/>
        </w:rPr>
        <w:t>Source: Table 2.</w:t>
      </w:r>
      <w:r w:rsidR="00112F0E" w:rsidRPr="00DB3D39">
        <w:rPr>
          <w:rFonts w:eastAsiaTheme="minorHAnsi"/>
        </w:rPr>
        <w:t>6-14</w:t>
      </w:r>
      <w:r w:rsidR="00231916" w:rsidRPr="00DB3D39">
        <w:rPr>
          <w:rFonts w:eastAsiaTheme="minorHAnsi"/>
        </w:rPr>
        <w:t>, p</w:t>
      </w:r>
      <w:r w:rsidRPr="00DB3D39">
        <w:rPr>
          <w:rFonts w:eastAsiaTheme="minorHAnsi"/>
        </w:rPr>
        <w:t xml:space="preserve"> 151 of the submission.</w:t>
      </w:r>
    </w:p>
    <w:p w14:paraId="6B70F9C0" w14:textId="615C36B8" w:rsidR="00B34BFC" w:rsidRPr="00DB3D39" w:rsidRDefault="00B34BFC" w:rsidP="00B34BFC">
      <w:pPr>
        <w:pStyle w:val="TableFigureFooter"/>
        <w:rPr>
          <w:rFonts w:eastAsiaTheme="minorHAnsi"/>
        </w:rPr>
      </w:pPr>
      <w:r w:rsidRPr="00DB3D39">
        <w:rPr>
          <w:rFonts w:eastAsiaTheme="minorHAnsi"/>
        </w:rPr>
        <w:t xml:space="preserve">ABE = </w:t>
      </w:r>
      <w:r w:rsidR="003845D0" w:rsidRPr="00DB3D39">
        <w:rPr>
          <w:rFonts w:eastAsiaTheme="minorHAnsi"/>
        </w:rPr>
        <w:t>a</w:t>
      </w:r>
      <w:r w:rsidRPr="00DB3D39">
        <w:rPr>
          <w:rFonts w:eastAsiaTheme="minorHAnsi"/>
        </w:rPr>
        <w:t xml:space="preserve">bemaciclib; AEs = adverse even; CI = </w:t>
      </w:r>
      <w:r w:rsidR="003845D0" w:rsidRPr="00DB3D39">
        <w:rPr>
          <w:rFonts w:eastAsiaTheme="minorHAnsi"/>
        </w:rPr>
        <w:t>c</w:t>
      </w:r>
      <w:r w:rsidRPr="00DB3D39">
        <w:rPr>
          <w:rFonts w:eastAsiaTheme="minorHAnsi"/>
        </w:rPr>
        <w:t xml:space="preserve">onfidence interval; ITT = </w:t>
      </w:r>
      <w:r w:rsidR="000E0721">
        <w:rPr>
          <w:rFonts w:eastAsiaTheme="minorHAnsi"/>
        </w:rPr>
        <w:t>i</w:t>
      </w:r>
      <w:r w:rsidRPr="00DB3D39">
        <w:rPr>
          <w:rFonts w:eastAsiaTheme="minorHAnsi"/>
        </w:rPr>
        <w:t xml:space="preserve">ntent-to=treat; </w:t>
      </w:r>
      <w:r w:rsidR="00A844EB" w:rsidRPr="00DB3D39">
        <w:rPr>
          <w:rFonts w:eastAsiaTheme="minorHAnsi"/>
        </w:rPr>
        <w:t>NC = not calcu</w:t>
      </w:r>
      <w:r w:rsidR="00F01895" w:rsidRPr="00DB3D39">
        <w:rPr>
          <w:rFonts w:eastAsiaTheme="minorHAnsi"/>
        </w:rPr>
        <w:t xml:space="preserve">lated; </w:t>
      </w:r>
      <w:r w:rsidRPr="00DB3D39">
        <w:rPr>
          <w:rFonts w:eastAsiaTheme="minorHAnsi"/>
        </w:rPr>
        <w:t xml:space="preserve">OR= odds ratio; RIB = </w:t>
      </w:r>
      <w:r w:rsidR="003845D0" w:rsidRPr="00DB3D39">
        <w:rPr>
          <w:rFonts w:eastAsiaTheme="minorHAnsi"/>
        </w:rPr>
        <w:t>r</w:t>
      </w:r>
      <w:r w:rsidRPr="00DB3D39">
        <w:rPr>
          <w:rFonts w:eastAsiaTheme="minorHAnsi"/>
        </w:rPr>
        <w:t xml:space="preserve">ibociclib; RD= risk difference; RR= relative risk; ET = </w:t>
      </w:r>
      <w:r w:rsidR="003845D0" w:rsidRPr="00DB3D39">
        <w:rPr>
          <w:rFonts w:eastAsiaTheme="minorHAnsi"/>
        </w:rPr>
        <w:t>e</w:t>
      </w:r>
      <w:r w:rsidRPr="00DB3D39">
        <w:rPr>
          <w:rFonts w:eastAsiaTheme="minorHAnsi"/>
        </w:rPr>
        <w:t xml:space="preserve">ndocrine therapy; TEAE = </w:t>
      </w:r>
      <w:r w:rsidR="003845D0" w:rsidRPr="00DB3D39">
        <w:rPr>
          <w:rFonts w:eastAsiaTheme="minorHAnsi"/>
        </w:rPr>
        <w:t>t</w:t>
      </w:r>
      <w:r w:rsidRPr="00DB3D39">
        <w:rPr>
          <w:rFonts w:eastAsiaTheme="minorHAnsi"/>
        </w:rPr>
        <w:t xml:space="preserve">reatment-emergent adverse event; SAE = </w:t>
      </w:r>
      <w:r w:rsidR="003845D0" w:rsidRPr="00DB3D39">
        <w:rPr>
          <w:rFonts w:eastAsiaTheme="minorHAnsi"/>
        </w:rPr>
        <w:t>s</w:t>
      </w:r>
      <w:r w:rsidRPr="00DB3D39">
        <w:rPr>
          <w:rFonts w:eastAsiaTheme="minorHAnsi"/>
        </w:rPr>
        <w:t>erious adverse event</w:t>
      </w:r>
      <w:r w:rsidR="00883AEA" w:rsidRPr="00DB3D39">
        <w:rPr>
          <w:rFonts w:eastAsiaTheme="minorHAnsi"/>
        </w:rPr>
        <w:t>.</w:t>
      </w:r>
    </w:p>
    <w:p w14:paraId="682A363B" w14:textId="7C75B3C7" w:rsidR="00B34BFC" w:rsidRPr="00DB3D39" w:rsidRDefault="00B34BFC" w:rsidP="00B34BFC">
      <w:pPr>
        <w:pStyle w:val="TableFigureFooter"/>
        <w:rPr>
          <w:rFonts w:eastAsiaTheme="minorHAnsi"/>
        </w:rPr>
      </w:pPr>
      <w:r w:rsidRPr="00DB3D39">
        <w:rPr>
          <w:rFonts w:eastAsiaTheme="minorHAnsi"/>
        </w:rPr>
        <w:t xml:space="preserve">^ </w:t>
      </w:r>
      <w:r w:rsidR="006F693B" w:rsidRPr="00DB3D39">
        <w:t xml:space="preserve">NATALEE (monarchE ITT population-eligible) </w:t>
      </w:r>
      <w:r w:rsidRPr="00DB3D39">
        <w:rPr>
          <w:rFonts w:eastAsiaTheme="minorHAnsi"/>
        </w:rPr>
        <w:t>Post-hoc subgroup</w:t>
      </w:r>
      <w:r w:rsidR="005B115E" w:rsidRPr="00DB3D39">
        <w:rPr>
          <w:rFonts w:eastAsiaTheme="minorHAnsi"/>
        </w:rPr>
        <w:t xml:space="preserve">; </w:t>
      </w:r>
      <w:r w:rsidR="005B115E" w:rsidRPr="00DB3D39">
        <w:t>monarchE (Safety Set) population.</w:t>
      </w:r>
    </w:p>
    <w:p w14:paraId="4B281D87" w14:textId="54039CCB" w:rsidR="00942392" w:rsidRPr="00DB3D39" w:rsidRDefault="00942392" w:rsidP="00942392">
      <w:pPr>
        <w:pStyle w:val="TableFigureFooter"/>
        <w:rPr>
          <w:rFonts w:eastAsiaTheme="minorHAnsi"/>
        </w:rPr>
      </w:pPr>
      <w:r w:rsidRPr="00DB3D39">
        <w:t>* Discontinuation rate refers to any treatment component in NATALEE and all treatment components in monarchE.</w:t>
      </w:r>
    </w:p>
    <w:p w14:paraId="366F5C76" w14:textId="6882E0D4" w:rsidR="00B34BFC" w:rsidRPr="00DB3D39" w:rsidRDefault="00E152C2" w:rsidP="00B34BFC">
      <w:pPr>
        <w:pStyle w:val="TableFigureFooter"/>
        <w:rPr>
          <w:rFonts w:eastAsiaTheme="minorHAnsi"/>
        </w:rPr>
      </w:pPr>
      <w:r w:rsidRPr="00CF277D">
        <w:rPr>
          <w:rFonts w:eastAsiaTheme="minorHAnsi"/>
          <w:vertAlign w:val="superscript"/>
        </w:rPr>
        <w:t>a</w:t>
      </w:r>
      <w:r w:rsidR="00512B87">
        <w:rPr>
          <w:rFonts w:eastAsiaTheme="minorHAnsi"/>
          <w:vertAlign w:val="superscript"/>
        </w:rPr>
        <w:t xml:space="preserve"> </w:t>
      </w:r>
      <w:r w:rsidR="00B56FCB" w:rsidRPr="00DB3D39">
        <w:rPr>
          <w:rFonts w:eastAsiaTheme="minorHAnsi"/>
        </w:rPr>
        <w:t xml:space="preserve">This result </w:t>
      </w:r>
      <w:r w:rsidR="00A03F16">
        <w:rPr>
          <w:rFonts w:eastAsiaTheme="minorHAnsi"/>
        </w:rPr>
        <w:t>was</w:t>
      </w:r>
      <w:r w:rsidR="00B56FCB" w:rsidRPr="00DB3D39">
        <w:rPr>
          <w:rFonts w:eastAsiaTheme="minorHAnsi"/>
        </w:rPr>
        <w:t xml:space="preserve"> calculated by the evaluation noting that the study was not powered to detect any difference. </w:t>
      </w:r>
    </w:p>
    <w:p w14:paraId="693AEB57" w14:textId="77777777" w:rsidR="00B34BFC" w:rsidRPr="00DB3D39" w:rsidRDefault="00B34BFC" w:rsidP="00B34BFC">
      <w:pPr>
        <w:pStyle w:val="TableFigureFooter"/>
        <w:rPr>
          <w:rFonts w:eastAsiaTheme="minorHAnsi"/>
        </w:rPr>
      </w:pPr>
      <w:r w:rsidRPr="00DB3D39">
        <w:rPr>
          <w:rFonts w:eastAsiaTheme="minorHAnsi"/>
        </w:rPr>
        <w:t>NATALEE was based on the July 2023 DCO and monarchE was based on the July 2022 DCO</w:t>
      </w:r>
    </w:p>
    <w:p w14:paraId="574D977A" w14:textId="77777777" w:rsidR="004B7D93" w:rsidRDefault="00B34BFC" w:rsidP="004B7D93">
      <w:pPr>
        <w:pStyle w:val="TableFigureFooter"/>
        <w:jc w:val="both"/>
      </w:pPr>
      <w:r w:rsidRPr="00E509D9">
        <w:rPr>
          <w:b/>
          <w:bCs/>
        </w:rPr>
        <w:t>Bold</w:t>
      </w:r>
      <w:r w:rsidRPr="00DB3D39">
        <w:t xml:space="preserve"> indicates statistically significant difference. </w:t>
      </w:r>
    </w:p>
    <w:p w14:paraId="14634598" w14:textId="358FAFA1" w:rsidR="00B34BFC" w:rsidRPr="004B7D93" w:rsidRDefault="004B7D93" w:rsidP="004B7D93">
      <w:pPr>
        <w:pStyle w:val="TableFigureFooter"/>
        <w:jc w:val="both"/>
        <w:rPr>
          <w:rFonts w:eastAsiaTheme="majorEastAsia"/>
          <w:lang w:eastAsia="en-US"/>
        </w:rPr>
      </w:pPr>
      <w:r w:rsidRPr="00225B2B">
        <w:rPr>
          <w:i/>
          <w:iCs/>
        </w:rPr>
        <w:t>Note that the results presented in Table</w:t>
      </w:r>
      <w:r>
        <w:rPr>
          <w:i/>
          <w:iCs/>
        </w:rPr>
        <w:t xml:space="preserve"> 10</w:t>
      </w:r>
      <w:r w:rsidRPr="00225B2B">
        <w:rPr>
          <w:i/>
          <w:iCs/>
        </w:rPr>
        <w:t xml:space="preserve"> are derived from post-hoc analyses conducted by the applicant</w:t>
      </w:r>
      <w:r w:rsidR="00830D27">
        <w:rPr>
          <w:i/>
          <w:iCs/>
        </w:rPr>
        <w:t xml:space="preserve"> during the evaluation</w:t>
      </w:r>
      <w:r w:rsidRPr="00225B2B">
        <w:rPr>
          <w:i/>
          <w:iCs/>
        </w:rPr>
        <w:t xml:space="preserve"> specifically for the purposes of informing the PBAC consideration. These analyses were not part of the pre-specified statistical plan for the NATALEE trial. Interpretation of the results and their application should therefore be limited to seeking to understand the basis for the PBAC outcome and should not be used for any other purpose</w:t>
      </w:r>
      <w:r w:rsidRPr="00224EF4">
        <w:t>.</w:t>
      </w:r>
    </w:p>
    <w:p w14:paraId="758F7C4C" w14:textId="43552144" w:rsidR="00DF1C0B" w:rsidRPr="000732CA" w:rsidRDefault="000732CA" w:rsidP="007C073C">
      <w:pPr>
        <w:pStyle w:val="3-BodyText"/>
        <w:rPr>
          <w:lang w:eastAsia="en-US"/>
        </w:rPr>
      </w:pPr>
      <w:bookmarkStart w:id="47" w:name="_Ref176777961"/>
      <w:r>
        <w:rPr>
          <w:lang w:eastAsia="en-US"/>
        </w:rPr>
        <w:t xml:space="preserve">The results for the ITC for Grade </w:t>
      </w:r>
      <w:r>
        <w:rPr>
          <w:rFonts w:cstheme="minorHAnsi"/>
          <w:lang w:eastAsia="en-US"/>
        </w:rPr>
        <w:t>≥</w:t>
      </w:r>
      <w:r>
        <w:rPr>
          <w:lang w:eastAsia="en-US"/>
        </w:rPr>
        <w:t xml:space="preserve">3 TEAEs of interest is presented in </w:t>
      </w:r>
      <w:r>
        <w:rPr>
          <w:lang w:eastAsia="en-US"/>
        </w:rPr>
        <w:fldChar w:fldCharType="begin" w:fldLock="1"/>
      </w:r>
      <w:r>
        <w:rPr>
          <w:lang w:eastAsia="en-US"/>
        </w:rPr>
        <w:instrText xml:space="preserve"> REF _Ref177561687 \h </w:instrText>
      </w:r>
      <w:r>
        <w:rPr>
          <w:lang w:eastAsia="en-US"/>
        </w:rPr>
      </w:r>
      <w:r>
        <w:rPr>
          <w:lang w:eastAsia="en-US"/>
        </w:rPr>
        <w:fldChar w:fldCharType="separate"/>
      </w:r>
      <w:r w:rsidR="00FF083B" w:rsidRPr="00DB3D39">
        <w:t xml:space="preserve">Table </w:t>
      </w:r>
      <w:r w:rsidR="00FF083B">
        <w:rPr>
          <w:noProof/>
        </w:rPr>
        <w:t>11</w:t>
      </w:r>
      <w:r>
        <w:rPr>
          <w:lang w:eastAsia="en-US"/>
        </w:rPr>
        <w:fldChar w:fldCharType="end"/>
      </w:r>
      <w:r>
        <w:rPr>
          <w:lang w:eastAsia="en-US"/>
        </w:rPr>
        <w:t xml:space="preserve">. </w:t>
      </w:r>
      <w:r w:rsidRPr="00DB3D39">
        <w:rPr>
          <w:lang w:eastAsia="en-US"/>
        </w:rPr>
        <w:t>There were statistically significantly more patients treated with ribociclib + adjuvant ET experienced Grade ≥ 3 neutropenia (RD 0.09, 95% CI: 0.07, 0.12; p &lt; 0.0001) and ALT increased (RD 0.04, 95% CI: 0.03, 0.05; p &lt; 0.0001)</w:t>
      </w:r>
      <w:bookmarkStart w:id="48" w:name="_Ref190427520"/>
      <w:r w:rsidR="00A45C8A">
        <w:rPr>
          <w:rStyle w:val="FootnoteReference"/>
          <w:lang w:eastAsia="en-US"/>
        </w:rPr>
        <w:footnoteReference w:id="15"/>
      </w:r>
      <w:bookmarkEnd w:id="48"/>
      <w:r w:rsidRPr="00DB3D39">
        <w:rPr>
          <w:lang w:eastAsia="en-US"/>
        </w:rPr>
        <w:t>. Similarly, there were statistically significantly more patients treated with abemaciclib that experienced diarrhoea compared to ribociclib (RD=-0.07; 95% CI: -0.08, -0.06; p &lt; 0.0001)</w:t>
      </w:r>
      <w:r w:rsidR="00A45C8A" w:rsidRPr="00A45C8A">
        <w:rPr>
          <w:vertAlign w:val="superscript"/>
          <w:lang w:eastAsia="en-US"/>
        </w:rPr>
        <w:fldChar w:fldCharType="begin" w:fldLock="1"/>
      </w:r>
      <w:r w:rsidR="00A45C8A" w:rsidRPr="00A45C8A">
        <w:rPr>
          <w:vertAlign w:val="superscript"/>
          <w:lang w:eastAsia="en-US"/>
        </w:rPr>
        <w:instrText xml:space="preserve"> NOTEREF _Ref190427520 \h </w:instrText>
      </w:r>
      <w:r w:rsidR="00A45C8A">
        <w:rPr>
          <w:vertAlign w:val="superscript"/>
          <w:lang w:eastAsia="en-US"/>
        </w:rPr>
        <w:instrText xml:space="preserve"> \* MERGEFORMAT </w:instrText>
      </w:r>
      <w:r w:rsidR="00A45C8A" w:rsidRPr="00A45C8A">
        <w:rPr>
          <w:vertAlign w:val="superscript"/>
          <w:lang w:eastAsia="en-US"/>
        </w:rPr>
      </w:r>
      <w:r w:rsidR="00A45C8A" w:rsidRPr="00A45C8A">
        <w:rPr>
          <w:vertAlign w:val="superscript"/>
          <w:lang w:eastAsia="en-US"/>
        </w:rPr>
        <w:fldChar w:fldCharType="separate"/>
      </w:r>
      <w:r w:rsidR="00A45C8A" w:rsidRPr="00A45C8A">
        <w:rPr>
          <w:vertAlign w:val="superscript"/>
          <w:lang w:eastAsia="en-US"/>
        </w:rPr>
        <w:t>14</w:t>
      </w:r>
      <w:r w:rsidR="00A45C8A" w:rsidRPr="00A45C8A">
        <w:rPr>
          <w:vertAlign w:val="superscript"/>
          <w:lang w:eastAsia="en-US"/>
        </w:rPr>
        <w:fldChar w:fldCharType="end"/>
      </w:r>
      <w:r w:rsidRPr="00DB3D39">
        <w:rPr>
          <w:lang w:eastAsia="en-US"/>
        </w:rPr>
        <w:t xml:space="preserve">. </w:t>
      </w:r>
      <w:r w:rsidRPr="00276A8E">
        <w:rPr>
          <w:iCs/>
          <w:lang w:eastAsia="en-US"/>
        </w:rPr>
        <w:t>The</w:t>
      </w:r>
      <w:r w:rsidR="001377E7" w:rsidRPr="00276A8E">
        <w:rPr>
          <w:iCs/>
          <w:lang w:eastAsia="en-US"/>
        </w:rPr>
        <w:t xml:space="preserve"> evaluation considered that</w:t>
      </w:r>
      <w:r w:rsidR="001377E7" w:rsidRPr="001377E7">
        <w:rPr>
          <w:i/>
          <w:lang w:eastAsia="en-US"/>
        </w:rPr>
        <w:t xml:space="preserve"> </w:t>
      </w:r>
      <w:r w:rsidR="001377E7" w:rsidRPr="00C479C8">
        <w:rPr>
          <w:iCs/>
          <w:lang w:eastAsia="en-US"/>
        </w:rPr>
        <w:t>the</w:t>
      </w:r>
      <w:r w:rsidRPr="00112EE5">
        <w:rPr>
          <w:iCs/>
          <w:lang w:eastAsia="en-US"/>
        </w:rPr>
        <w:t xml:space="preserve"> latter suggests that safety profiles of the two drugs are different.</w:t>
      </w:r>
      <w:bookmarkStart w:id="49" w:name="_Ref176777609"/>
    </w:p>
    <w:p w14:paraId="417A5B67" w14:textId="2E2D1FDD" w:rsidR="003A5CE2" w:rsidRPr="00DB3D39" w:rsidRDefault="003A5CE2" w:rsidP="005050D4">
      <w:pPr>
        <w:pStyle w:val="TableHeading"/>
        <w:keepLines/>
        <w:spacing w:before="0" w:after="0"/>
        <w:rPr>
          <w:lang w:eastAsia="en-US"/>
        </w:rPr>
      </w:pPr>
      <w:bookmarkStart w:id="50" w:name="_Ref177561687"/>
      <w:r w:rsidRPr="00DB3D39">
        <w:lastRenderedPageBreak/>
        <w:t xml:space="preserve">Table </w:t>
      </w:r>
      <w:r w:rsidR="00FF083B">
        <w:fldChar w:fldCharType="begin" w:fldLock="1"/>
      </w:r>
      <w:r w:rsidR="00FF083B">
        <w:instrText xml:space="preserve"> SEQ Table \* ARABIC </w:instrText>
      </w:r>
      <w:r w:rsidR="00FF083B">
        <w:fldChar w:fldCharType="separate"/>
      </w:r>
      <w:r w:rsidR="00FF083B">
        <w:rPr>
          <w:noProof/>
        </w:rPr>
        <w:t>11</w:t>
      </w:r>
      <w:r w:rsidR="00FF083B">
        <w:rPr>
          <w:noProof/>
        </w:rPr>
        <w:fldChar w:fldCharType="end"/>
      </w:r>
      <w:bookmarkEnd w:id="47"/>
      <w:bookmarkEnd w:id="49"/>
      <w:bookmarkEnd w:id="50"/>
      <w:r w:rsidR="004C4180" w:rsidRPr="00DB3D39">
        <w:t>:</w:t>
      </w:r>
      <w:r w:rsidR="002208A0" w:rsidRPr="00DB3D39">
        <w:t xml:space="preserve"> </w:t>
      </w:r>
      <w:r w:rsidR="000C6888" w:rsidRPr="00DB3D39">
        <w:rPr>
          <w:rFonts w:eastAsiaTheme="majorEastAsia"/>
          <w:lang w:eastAsia="en-US"/>
        </w:rPr>
        <w:t xml:space="preserve">Bucher indirect comparison of </w:t>
      </w:r>
      <w:r w:rsidR="003C3B32" w:rsidRPr="00DB3D39">
        <w:rPr>
          <w:lang w:eastAsia="en-US"/>
        </w:rPr>
        <w:t xml:space="preserve">Grade </w:t>
      </w:r>
      <w:r w:rsidR="003C3B32" w:rsidRPr="00DB3D39">
        <w:rPr>
          <w:rFonts w:cs="Calibri"/>
          <w:lang w:eastAsia="en-US"/>
        </w:rPr>
        <w:t>≥</w:t>
      </w:r>
      <w:r w:rsidR="003C3B32" w:rsidRPr="00DB3D39">
        <w:rPr>
          <w:lang w:eastAsia="en-US"/>
        </w:rPr>
        <w:t xml:space="preserve"> 3 TEAEs</w:t>
      </w:r>
    </w:p>
    <w:tbl>
      <w:tblPr>
        <w:tblStyle w:val="Summarybox6"/>
        <w:tblW w:w="5000" w:type="pct"/>
        <w:tblLayout w:type="fixed"/>
        <w:tblLook w:val="04A0" w:firstRow="1" w:lastRow="0" w:firstColumn="1" w:lastColumn="0" w:noHBand="0" w:noVBand="1"/>
      </w:tblPr>
      <w:tblGrid>
        <w:gridCol w:w="2516"/>
        <w:gridCol w:w="1985"/>
        <w:gridCol w:w="2270"/>
        <w:gridCol w:w="2245"/>
      </w:tblGrid>
      <w:tr w:rsidR="00992D4C" w:rsidRPr="00BA6D7E" w14:paraId="1FCED3FA" w14:textId="77777777">
        <w:trPr>
          <w:trHeight w:val="105"/>
          <w:tblHeader/>
        </w:trPr>
        <w:tc>
          <w:tcPr>
            <w:tcW w:w="1395" w:type="pct"/>
            <w:shd w:val="clear" w:color="auto" w:fill="auto"/>
            <w:vAlign w:val="center"/>
          </w:tcPr>
          <w:p w14:paraId="1D273C6C" w14:textId="77777777" w:rsidR="00992D4C" w:rsidRPr="00BA6D7E" w:rsidRDefault="00992D4C" w:rsidP="000732CA">
            <w:pPr>
              <w:pStyle w:val="In-tableHeading"/>
              <w:rPr>
                <w:sz w:val="20"/>
                <w:szCs w:val="20"/>
                <w:lang w:val="en-AU"/>
              </w:rPr>
            </w:pPr>
            <w:r w:rsidRPr="00BA6D7E">
              <w:rPr>
                <w:sz w:val="20"/>
                <w:szCs w:val="20"/>
                <w:lang w:val="en-AU"/>
              </w:rPr>
              <w:t>TEAE</w:t>
            </w:r>
          </w:p>
        </w:tc>
        <w:tc>
          <w:tcPr>
            <w:tcW w:w="1101" w:type="pct"/>
            <w:shd w:val="clear" w:color="auto" w:fill="auto"/>
            <w:vAlign w:val="center"/>
          </w:tcPr>
          <w:p w14:paraId="0545BC47" w14:textId="77777777" w:rsidR="00992D4C" w:rsidRPr="00BA6D7E" w:rsidRDefault="00992D4C" w:rsidP="000732CA">
            <w:pPr>
              <w:pStyle w:val="In-tableHeading"/>
              <w:rPr>
                <w:sz w:val="20"/>
                <w:szCs w:val="20"/>
                <w:lang w:val="en-AU"/>
              </w:rPr>
            </w:pPr>
            <w:r w:rsidRPr="00BA6D7E">
              <w:rPr>
                <w:sz w:val="20"/>
                <w:szCs w:val="20"/>
                <w:lang w:val="en-AU"/>
              </w:rPr>
              <w:t xml:space="preserve">RD (95% CI); </w:t>
            </w:r>
          </w:p>
          <w:p w14:paraId="5F549661" w14:textId="77777777" w:rsidR="00992D4C" w:rsidRPr="00BA6D7E" w:rsidRDefault="00992D4C" w:rsidP="000732CA">
            <w:pPr>
              <w:pStyle w:val="In-tableHeading"/>
              <w:rPr>
                <w:sz w:val="20"/>
                <w:szCs w:val="20"/>
                <w:lang w:val="en-AU"/>
              </w:rPr>
            </w:pPr>
            <w:r w:rsidRPr="00BA6D7E">
              <w:rPr>
                <w:sz w:val="20"/>
                <w:szCs w:val="20"/>
                <w:lang w:val="en-AU"/>
              </w:rPr>
              <w:t>p value</w:t>
            </w:r>
          </w:p>
        </w:tc>
        <w:tc>
          <w:tcPr>
            <w:tcW w:w="1259" w:type="pct"/>
            <w:shd w:val="clear" w:color="auto" w:fill="auto"/>
            <w:vAlign w:val="center"/>
          </w:tcPr>
          <w:p w14:paraId="4B19F5FB" w14:textId="77777777" w:rsidR="00992D4C" w:rsidRPr="00BA6D7E" w:rsidRDefault="00992D4C" w:rsidP="000732CA">
            <w:pPr>
              <w:pStyle w:val="In-tableHeading"/>
              <w:rPr>
                <w:sz w:val="20"/>
                <w:szCs w:val="20"/>
                <w:lang w:val="en-AU"/>
              </w:rPr>
            </w:pPr>
            <w:r w:rsidRPr="00BA6D7E">
              <w:rPr>
                <w:sz w:val="20"/>
                <w:szCs w:val="20"/>
                <w:lang w:val="en-AU"/>
              </w:rPr>
              <w:t xml:space="preserve">RR (95% CI); </w:t>
            </w:r>
          </w:p>
          <w:p w14:paraId="3DFE89DB" w14:textId="77777777" w:rsidR="00992D4C" w:rsidRPr="00BA6D7E" w:rsidRDefault="00992D4C" w:rsidP="000732CA">
            <w:pPr>
              <w:pStyle w:val="In-tableHeading"/>
              <w:rPr>
                <w:sz w:val="20"/>
                <w:szCs w:val="20"/>
                <w:lang w:val="en-AU"/>
              </w:rPr>
            </w:pPr>
            <w:r w:rsidRPr="00BA6D7E">
              <w:rPr>
                <w:sz w:val="20"/>
                <w:szCs w:val="20"/>
                <w:lang w:val="en-AU"/>
              </w:rPr>
              <w:t>p value</w:t>
            </w:r>
          </w:p>
        </w:tc>
        <w:tc>
          <w:tcPr>
            <w:tcW w:w="1245" w:type="pct"/>
            <w:shd w:val="clear" w:color="auto" w:fill="auto"/>
            <w:vAlign w:val="center"/>
          </w:tcPr>
          <w:p w14:paraId="68FB7112" w14:textId="77777777" w:rsidR="00992D4C" w:rsidRPr="00BA6D7E" w:rsidRDefault="00992D4C" w:rsidP="000732CA">
            <w:pPr>
              <w:pStyle w:val="In-tableHeading"/>
              <w:rPr>
                <w:sz w:val="20"/>
                <w:szCs w:val="20"/>
                <w:lang w:val="en-AU"/>
              </w:rPr>
            </w:pPr>
            <w:r w:rsidRPr="00BA6D7E">
              <w:rPr>
                <w:sz w:val="20"/>
                <w:szCs w:val="20"/>
                <w:lang w:val="en-AU"/>
              </w:rPr>
              <w:t xml:space="preserve">OR (95% CI); </w:t>
            </w:r>
          </w:p>
          <w:p w14:paraId="112DA991" w14:textId="77777777" w:rsidR="00992D4C" w:rsidRPr="00BA6D7E" w:rsidRDefault="00992D4C" w:rsidP="000732CA">
            <w:pPr>
              <w:pStyle w:val="In-tableHeading"/>
              <w:rPr>
                <w:sz w:val="20"/>
                <w:szCs w:val="20"/>
                <w:lang w:val="en-AU"/>
              </w:rPr>
            </w:pPr>
            <w:r w:rsidRPr="00BA6D7E">
              <w:rPr>
                <w:sz w:val="20"/>
                <w:szCs w:val="20"/>
                <w:lang w:val="en-AU"/>
              </w:rPr>
              <w:t>p value</w:t>
            </w:r>
          </w:p>
        </w:tc>
      </w:tr>
      <w:tr w:rsidR="007463F9" w:rsidRPr="00BA6D7E" w14:paraId="00567AD6" w14:textId="77777777" w:rsidTr="007463F9">
        <w:trPr>
          <w:trHeight w:val="105"/>
          <w:tblHeader/>
        </w:trPr>
        <w:tc>
          <w:tcPr>
            <w:tcW w:w="5000" w:type="pct"/>
            <w:gridSpan w:val="4"/>
            <w:shd w:val="clear" w:color="auto" w:fill="auto"/>
            <w:vAlign w:val="center"/>
          </w:tcPr>
          <w:p w14:paraId="43A0868C" w14:textId="2D3C5B7E" w:rsidR="007463F9" w:rsidRPr="00BA6D7E" w:rsidRDefault="007463F9" w:rsidP="000732CA">
            <w:pPr>
              <w:pStyle w:val="In-tableHeading"/>
              <w:rPr>
                <w:sz w:val="20"/>
                <w:szCs w:val="20"/>
                <w:lang w:val="en-AU"/>
              </w:rPr>
            </w:pPr>
            <w:r w:rsidRPr="00BA6D7E">
              <w:rPr>
                <w:sz w:val="20"/>
                <w:szCs w:val="20"/>
                <w:lang w:val="en-AU"/>
              </w:rPr>
              <w:t>Ribociclib + ET</w:t>
            </w:r>
            <w:r w:rsidR="005B115E" w:rsidRPr="00BA6D7E">
              <w:rPr>
                <w:sz w:val="20"/>
                <w:szCs w:val="20"/>
                <w:lang w:val="en-AU"/>
              </w:rPr>
              <w:t>^</w:t>
            </w:r>
            <w:r w:rsidRPr="00BA6D7E">
              <w:rPr>
                <w:sz w:val="20"/>
                <w:szCs w:val="20"/>
                <w:lang w:val="en-AU"/>
              </w:rPr>
              <w:t xml:space="preserve"> experiencing more Grade ≥ 3 TEAEs</w:t>
            </w:r>
          </w:p>
        </w:tc>
      </w:tr>
      <w:tr w:rsidR="00992D4C" w:rsidRPr="00BA6D7E" w14:paraId="1ED357BB" w14:textId="77777777">
        <w:trPr>
          <w:trHeight w:val="26"/>
        </w:trPr>
        <w:tc>
          <w:tcPr>
            <w:tcW w:w="1395" w:type="pct"/>
            <w:shd w:val="clear" w:color="auto" w:fill="auto"/>
            <w:vAlign w:val="center"/>
          </w:tcPr>
          <w:p w14:paraId="5CA6EF6A" w14:textId="2E3E947A" w:rsidR="00992D4C" w:rsidRPr="00BA6D7E" w:rsidRDefault="00992D4C" w:rsidP="000732CA">
            <w:pPr>
              <w:pStyle w:val="TableText0"/>
              <w:rPr>
                <w:sz w:val="20"/>
                <w:szCs w:val="20"/>
              </w:rPr>
            </w:pPr>
            <w:r w:rsidRPr="00BA6D7E">
              <w:rPr>
                <w:rFonts w:cstheme="minorBidi"/>
                <w:sz w:val="20"/>
                <w:szCs w:val="20"/>
              </w:rPr>
              <w:t>Neutropenia</w:t>
            </w:r>
          </w:p>
        </w:tc>
        <w:tc>
          <w:tcPr>
            <w:tcW w:w="1101" w:type="pct"/>
            <w:tcBorders>
              <w:bottom w:val="single" w:sz="4" w:space="0" w:color="auto"/>
            </w:tcBorders>
            <w:shd w:val="clear" w:color="auto" w:fill="auto"/>
            <w:vAlign w:val="center"/>
          </w:tcPr>
          <w:p w14:paraId="053F0359" w14:textId="54A5F4F3" w:rsidR="00741529" w:rsidRPr="00BA6D7E" w:rsidRDefault="00741529" w:rsidP="000732CA">
            <w:pPr>
              <w:keepNext/>
              <w:keepLines/>
              <w:jc w:val="left"/>
              <w:rPr>
                <w:rFonts w:ascii="Arial Narrow" w:hAnsi="Arial Narrow" w:cstheme="minorHAnsi"/>
                <w:b/>
                <w:snapToGrid w:val="0"/>
                <w:sz w:val="20"/>
                <w:szCs w:val="20"/>
              </w:rPr>
            </w:pPr>
            <w:r w:rsidRPr="00BA6D7E">
              <w:rPr>
                <w:rFonts w:ascii="Arial Narrow" w:hAnsi="Arial Narrow" w:cstheme="minorHAnsi"/>
                <w:b/>
                <w:snapToGrid w:val="0"/>
                <w:sz w:val="20"/>
                <w:szCs w:val="20"/>
              </w:rPr>
              <w:t>0.09 (0.07, 0.12);</w:t>
            </w:r>
          </w:p>
          <w:p w14:paraId="0B9A4599" w14:textId="5D702A52" w:rsidR="00992D4C" w:rsidRPr="00BA6D7E" w:rsidRDefault="00741529" w:rsidP="000732CA">
            <w:pPr>
              <w:pStyle w:val="TableText0"/>
              <w:rPr>
                <w:sz w:val="20"/>
                <w:szCs w:val="20"/>
              </w:rPr>
            </w:pPr>
            <w:r w:rsidRPr="00BA6D7E">
              <w:rPr>
                <w:rFonts w:cstheme="minorHAnsi"/>
                <w:b/>
                <w:snapToGrid w:val="0"/>
                <w:sz w:val="20"/>
                <w:szCs w:val="20"/>
              </w:rPr>
              <w:t>p &lt; 0.0001</w:t>
            </w:r>
          </w:p>
        </w:tc>
        <w:tc>
          <w:tcPr>
            <w:tcW w:w="1259" w:type="pct"/>
            <w:tcBorders>
              <w:bottom w:val="single" w:sz="4" w:space="0" w:color="auto"/>
            </w:tcBorders>
            <w:shd w:val="clear" w:color="auto" w:fill="auto"/>
            <w:vAlign w:val="center"/>
          </w:tcPr>
          <w:p w14:paraId="33148673" w14:textId="77777777" w:rsidR="00741529" w:rsidRPr="00BA6D7E" w:rsidRDefault="00741529" w:rsidP="000732CA">
            <w:pPr>
              <w:keepNext/>
              <w:keepLines/>
              <w:jc w:val="left"/>
              <w:rPr>
                <w:rFonts w:ascii="Arial Narrow" w:hAnsi="Arial Narrow" w:cstheme="minorHAnsi"/>
                <w:b/>
                <w:snapToGrid w:val="0"/>
                <w:sz w:val="20"/>
                <w:szCs w:val="20"/>
              </w:rPr>
            </w:pPr>
            <w:r w:rsidRPr="00BA6D7E">
              <w:rPr>
                <w:rFonts w:ascii="Arial Narrow" w:hAnsi="Arial Narrow" w:cstheme="minorHAnsi"/>
                <w:b/>
                <w:snapToGrid w:val="0"/>
                <w:sz w:val="20"/>
                <w:szCs w:val="20"/>
              </w:rPr>
              <w:t xml:space="preserve">2.77 (1.24, 6.19); </w:t>
            </w:r>
          </w:p>
          <w:p w14:paraId="3ACCF415" w14:textId="3576AA84" w:rsidR="00992D4C" w:rsidRPr="00BA6D7E" w:rsidRDefault="00741529" w:rsidP="000732CA">
            <w:pPr>
              <w:pStyle w:val="TableText0"/>
              <w:rPr>
                <w:sz w:val="20"/>
                <w:szCs w:val="20"/>
              </w:rPr>
            </w:pPr>
            <w:r w:rsidRPr="00BA6D7E">
              <w:rPr>
                <w:rFonts w:cstheme="minorHAnsi"/>
                <w:b/>
                <w:snapToGrid w:val="0"/>
                <w:sz w:val="20"/>
                <w:szCs w:val="20"/>
              </w:rPr>
              <w:t>p = 0.0132</w:t>
            </w:r>
          </w:p>
        </w:tc>
        <w:tc>
          <w:tcPr>
            <w:tcW w:w="1245" w:type="pct"/>
            <w:tcBorders>
              <w:bottom w:val="single" w:sz="4" w:space="0" w:color="auto"/>
            </w:tcBorders>
            <w:shd w:val="clear" w:color="auto" w:fill="auto"/>
            <w:vAlign w:val="center"/>
          </w:tcPr>
          <w:p w14:paraId="393D388F" w14:textId="77777777" w:rsidR="00741529" w:rsidRPr="00BA6D7E" w:rsidRDefault="00741529" w:rsidP="000732CA">
            <w:pPr>
              <w:keepNext/>
              <w:keepLines/>
              <w:jc w:val="left"/>
              <w:rPr>
                <w:rFonts w:ascii="Arial Narrow" w:hAnsi="Arial Narrow" w:cstheme="minorHAnsi"/>
                <w:b/>
                <w:snapToGrid w:val="0"/>
                <w:sz w:val="20"/>
                <w:szCs w:val="20"/>
              </w:rPr>
            </w:pPr>
            <w:r w:rsidRPr="00BA6D7E">
              <w:rPr>
                <w:rFonts w:ascii="Arial Narrow" w:hAnsi="Arial Narrow" w:cstheme="minorHAnsi"/>
                <w:b/>
                <w:snapToGrid w:val="0"/>
                <w:sz w:val="20"/>
                <w:szCs w:val="20"/>
              </w:rPr>
              <w:t xml:space="preserve">3.12 (1.38, 7.03); </w:t>
            </w:r>
          </w:p>
          <w:p w14:paraId="553CF6C2" w14:textId="7CAF89C2" w:rsidR="00992D4C" w:rsidRPr="00BA6D7E" w:rsidRDefault="00741529" w:rsidP="000732CA">
            <w:pPr>
              <w:pStyle w:val="TableText0"/>
              <w:rPr>
                <w:sz w:val="20"/>
                <w:szCs w:val="20"/>
              </w:rPr>
            </w:pPr>
            <w:r w:rsidRPr="00BA6D7E">
              <w:rPr>
                <w:rFonts w:cstheme="minorHAnsi"/>
                <w:b/>
                <w:snapToGrid w:val="0"/>
                <w:sz w:val="20"/>
                <w:szCs w:val="20"/>
              </w:rPr>
              <w:t>p = 0.0062</w:t>
            </w:r>
          </w:p>
        </w:tc>
      </w:tr>
      <w:tr w:rsidR="008B0B7D" w:rsidRPr="00BA6D7E" w14:paraId="7169F79D" w14:textId="77777777">
        <w:trPr>
          <w:trHeight w:val="26"/>
        </w:trPr>
        <w:tc>
          <w:tcPr>
            <w:tcW w:w="1395" w:type="pct"/>
            <w:shd w:val="clear" w:color="auto" w:fill="auto"/>
            <w:vAlign w:val="center"/>
          </w:tcPr>
          <w:p w14:paraId="2DBFC54A" w14:textId="00A70B1F" w:rsidR="008B0B7D" w:rsidRPr="00BA6D7E" w:rsidRDefault="008B0B7D" w:rsidP="000732CA">
            <w:pPr>
              <w:pStyle w:val="TableText0"/>
              <w:rPr>
                <w:rFonts w:cstheme="minorBidi"/>
                <w:bCs w:val="0"/>
                <w:sz w:val="20"/>
                <w:szCs w:val="20"/>
              </w:rPr>
            </w:pPr>
            <w:r w:rsidRPr="00BA6D7E">
              <w:rPr>
                <w:rFonts w:cstheme="minorBidi"/>
                <w:bCs w:val="0"/>
                <w:sz w:val="20"/>
                <w:szCs w:val="20"/>
              </w:rPr>
              <w:t>Alanine aminotransferase increased</w:t>
            </w:r>
          </w:p>
        </w:tc>
        <w:tc>
          <w:tcPr>
            <w:tcW w:w="1101" w:type="pct"/>
            <w:tcBorders>
              <w:bottom w:val="single" w:sz="4" w:space="0" w:color="auto"/>
            </w:tcBorders>
            <w:shd w:val="clear" w:color="auto" w:fill="auto"/>
            <w:vAlign w:val="center"/>
          </w:tcPr>
          <w:p w14:paraId="236261A1" w14:textId="77777777" w:rsidR="008B0B7D" w:rsidRPr="00BA6D7E" w:rsidRDefault="008B0B7D" w:rsidP="000732CA">
            <w:pPr>
              <w:keepNext/>
              <w:keepLines/>
              <w:jc w:val="left"/>
              <w:rPr>
                <w:rFonts w:ascii="Arial Narrow" w:hAnsi="Arial Narrow" w:cstheme="minorHAnsi"/>
                <w:b/>
                <w:snapToGrid w:val="0"/>
                <w:sz w:val="20"/>
                <w:szCs w:val="20"/>
              </w:rPr>
            </w:pPr>
            <w:r w:rsidRPr="00BA6D7E">
              <w:rPr>
                <w:rFonts w:ascii="Arial Narrow" w:hAnsi="Arial Narrow" w:cstheme="minorHAnsi"/>
                <w:b/>
                <w:snapToGrid w:val="0"/>
                <w:sz w:val="20"/>
                <w:szCs w:val="20"/>
              </w:rPr>
              <w:t>0.04 (0.03, 0.05);</w:t>
            </w:r>
          </w:p>
          <w:p w14:paraId="31007B6E" w14:textId="10482E44" w:rsidR="008B0B7D" w:rsidRPr="00BA6D7E" w:rsidRDefault="008B0B7D" w:rsidP="000732CA">
            <w:pPr>
              <w:keepNext/>
              <w:keepLines/>
              <w:jc w:val="left"/>
              <w:rPr>
                <w:rFonts w:ascii="Arial Narrow" w:hAnsi="Arial Narrow" w:cstheme="minorHAnsi"/>
                <w:b/>
                <w:snapToGrid w:val="0"/>
                <w:sz w:val="20"/>
                <w:szCs w:val="20"/>
              </w:rPr>
            </w:pPr>
            <w:r w:rsidRPr="00BA6D7E">
              <w:rPr>
                <w:rFonts w:ascii="Arial Narrow" w:hAnsi="Arial Narrow" w:cstheme="minorHAnsi"/>
                <w:b/>
                <w:snapToGrid w:val="0"/>
                <w:sz w:val="20"/>
                <w:szCs w:val="20"/>
              </w:rPr>
              <w:t>p &lt; 0.0001</w:t>
            </w:r>
          </w:p>
        </w:tc>
        <w:tc>
          <w:tcPr>
            <w:tcW w:w="1259" w:type="pct"/>
            <w:tcBorders>
              <w:bottom w:val="single" w:sz="4" w:space="0" w:color="auto"/>
            </w:tcBorders>
            <w:shd w:val="clear" w:color="auto" w:fill="auto"/>
            <w:vAlign w:val="center"/>
          </w:tcPr>
          <w:p w14:paraId="3C239E57" w14:textId="77777777" w:rsidR="008B0B7D" w:rsidRPr="00BA6D7E" w:rsidRDefault="008B0B7D" w:rsidP="000732CA">
            <w:pPr>
              <w:keepNext/>
              <w:keepLines/>
              <w:jc w:val="left"/>
              <w:rPr>
                <w:rFonts w:ascii="Arial Narrow" w:hAnsi="Arial Narrow" w:cstheme="minorHAnsi"/>
                <w:bCs/>
                <w:snapToGrid w:val="0"/>
                <w:sz w:val="20"/>
                <w:szCs w:val="20"/>
              </w:rPr>
            </w:pPr>
            <w:r w:rsidRPr="00BA6D7E">
              <w:rPr>
                <w:rFonts w:ascii="Arial Narrow" w:hAnsi="Arial Narrow" w:cstheme="minorHAnsi"/>
                <w:snapToGrid w:val="0"/>
                <w:sz w:val="20"/>
                <w:szCs w:val="20"/>
              </w:rPr>
              <w:t xml:space="preserve">1.99 (0.96, 4.12); </w:t>
            </w:r>
          </w:p>
          <w:p w14:paraId="7A8C09BE" w14:textId="3D7E3135" w:rsidR="008B0B7D" w:rsidRPr="00BA6D7E" w:rsidRDefault="008B0B7D" w:rsidP="000732CA">
            <w:pPr>
              <w:keepNext/>
              <w:keepLines/>
              <w:jc w:val="left"/>
              <w:rPr>
                <w:rFonts w:ascii="Arial Narrow" w:hAnsi="Arial Narrow" w:cstheme="minorHAnsi"/>
                <w:b/>
                <w:snapToGrid w:val="0"/>
                <w:sz w:val="20"/>
                <w:szCs w:val="20"/>
              </w:rPr>
            </w:pPr>
            <w:r w:rsidRPr="00BA6D7E">
              <w:rPr>
                <w:rFonts w:ascii="Arial Narrow" w:hAnsi="Arial Narrow" w:cstheme="minorHAnsi"/>
                <w:snapToGrid w:val="0"/>
                <w:sz w:val="20"/>
                <w:szCs w:val="20"/>
              </w:rPr>
              <w:t>p = 0.0647</w:t>
            </w:r>
          </w:p>
        </w:tc>
        <w:tc>
          <w:tcPr>
            <w:tcW w:w="1245" w:type="pct"/>
            <w:tcBorders>
              <w:bottom w:val="single" w:sz="4" w:space="0" w:color="auto"/>
            </w:tcBorders>
            <w:shd w:val="clear" w:color="auto" w:fill="auto"/>
            <w:vAlign w:val="center"/>
          </w:tcPr>
          <w:p w14:paraId="2D3285E3" w14:textId="77777777" w:rsidR="008B0B7D" w:rsidRPr="00BA6D7E" w:rsidRDefault="008B0B7D" w:rsidP="000732CA">
            <w:pPr>
              <w:keepNext/>
              <w:keepLines/>
              <w:jc w:val="left"/>
              <w:rPr>
                <w:rFonts w:ascii="Arial Narrow" w:hAnsi="Arial Narrow" w:cstheme="minorHAnsi"/>
                <w:bCs/>
                <w:snapToGrid w:val="0"/>
                <w:sz w:val="20"/>
                <w:szCs w:val="20"/>
              </w:rPr>
            </w:pPr>
            <w:r w:rsidRPr="00BA6D7E">
              <w:rPr>
                <w:rFonts w:ascii="Arial Narrow" w:hAnsi="Arial Narrow" w:cstheme="minorHAnsi"/>
                <w:snapToGrid w:val="0"/>
                <w:sz w:val="20"/>
                <w:szCs w:val="20"/>
              </w:rPr>
              <w:t xml:space="preserve">2.07 (0.99, 4.33); </w:t>
            </w:r>
          </w:p>
          <w:p w14:paraId="695EB59B" w14:textId="064721D2" w:rsidR="008B0B7D" w:rsidRPr="00BA6D7E" w:rsidRDefault="008B0B7D" w:rsidP="000732CA">
            <w:pPr>
              <w:keepNext/>
              <w:keepLines/>
              <w:jc w:val="left"/>
              <w:rPr>
                <w:rFonts w:ascii="Arial Narrow" w:hAnsi="Arial Narrow" w:cstheme="minorHAnsi"/>
                <w:b/>
                <w:snapToGrid w:val="0"/>
                <w:sz w:val="20"/>
                <w:szCs w:val="20"/>
              </w:rPr>
            </w:pPr>
            <w:r w:rsidRPr="00BA6D7E">
              <w:rPr>
                <w:rFonts w:ascii="Arial Narrow" w:hAnsi="Arial Narrow" w:cstheme="minorHAnsi"/>
                <w:snapToGrid w:val="0"/>
                <w:sz w:val="20"/>
                <w:szCs w:val="20"/>
              </w:rPr>
              <w:t>p = 0.0529</w:t>
            </w:r>
          </w:p>
        </w:tc>
      </w:tr>
      <w:tr w:rsidR="007463F9" w:rsidRPr="00BA6D7E" w14:paraId="710CC580" w14:textId="77777777" w:rsidTr="007463F9">
        <w:trPr>
          <w:trHeight w:val="26"/>
        </w:trPr>
        <w:tc>
          <w:tcPr>
            <w:tcW w:w="5000" w:type="pct"/>
            <w:gridSpan w:val="4"/>
            <w:shd w:val="clear" w:color="auto" w:fill="auto"/>
            <w:vAlign w:val="center"/>
          </w:tcPr>
          <w:p w14:paraId="6589C30D" w14:textId="136A008A" w:rsidR="007463F9" w:rsidRPr="00BA6D7E" w:rsidRDefault="007463F9" w:rsidP="000732CA">
            <w:pPr>
              <w:keepNext/>
              <w:keepLines/>
              <w:jc w:val="left"/>
              <w:rPr>
                <w:rFonts w:ascii="Arial Narrow" w:hAnsi="Arial Narrow" w:cstheme="minorHAnsi"/>
                <w:b/>
                <w:bCs/>
                <w:snapToGrid w:val="0"/>
                <w:sz w:val="20"/>
                <w:szCs w:val="20"/>
              </w:rPr>
            </w:pPr>
            <w:r w:rsidRPr="00BA6D7E">
              <w:rPr>
                <w:rFonts w:ascii="Arial Narrow" w:hAnsi="Arial Narrow"/>
                <w:b/>
                <w:bCs/>
                <w:sz w:val="20"/>
                <w:szCs w:val="20"/>
              </w:rPr>
              <w:t>Abemaciclib + ET</w:t>
            </w:r>
            <w:r w:rsidR="005B115E" w:rsidRPr="00BA6D7E">
              <w:rPr>
                <w:rFonts w:ascii="Arial Narrow" w:hAnsi="Arial Narrow"/>
                <w:b/>
                <w:bCs/>
                <w:sz w:val="20"/>
                <w:szCs w:val="20"/>
              </w:rPr>
              <w:t>*</w:t>
            </w:r>
            <w:r w:rsidRPr="00BA6D7E">
              <w:rPr>
                <w:rFonts w:ascii="Arial Narrow" w:hAnsi="Arial Narrow"/>
                <w:b/>
                <w:bCs/>
                <w:sz w:val="20"/>
                <w:szCs w:val="20"/>
              </w:rPr>
              <w:t xml:space="preserve"> experiencing more Grade ≥ 3 TEAEs</w:t>
            </w:r>
          </w:p>
        </w:tc>
      </w:tr>
      <w:tr w:rsidR="00992D4C" w:rsidRPr="00BA6D7E" w14:paraId="3404F112" w14:textId="77777777">
        <w:trPr>
          <w:trHeight w:val="26"/>
        </w:trPr>
        <w:tc>
          <w:tcPr>
            <w:tcW w:w="1395" w:type="pct"/>
            <w:shd w:val="clear" w:color="auto" w:fill="auto"/>
            <w:vAlign w:val="center"/>
          </w:tcPr>
          <w:p w14:paraId="2CD95FF3" w14:textId="49000D8C" w:rsidR="00992D4C" w:rsidRPr="00BA6D7E" w:rsidRDefault="00992D4C" w:rsidP="000732CA">
            <w:pPr>
              <w:pStyle w:val="TableText0"/>
              <w:rPr>
                <w:sz w:val="20"/>
                <w:szCs w:val="20"/>
              </w:rPr>
            </w:pPr>
            <w:r w:rsidRPr="00BA6D7E">
              <w:rPr>
                <w:rFonts w:cstheme="minorBidi"/>
                <w:sz w:val="20"/>
                <w:szCs w:val="20"/>
              </w:rPr>
              <w:t>Leukopenia</w:t>
            </w:r>
          </w:p>
        </w:tc>
        <w:tc>
          <w:tcPr>
            <w:tcW w:w="1101" w:type="pct"/>
            <w:tcBorders>
              <w:bottom w:val="single" w:sz="4" w:space="0" w:color="auto"/>
            </w:tcBorders>
            <w:shd w:val="clear" w:color="auto" w:fill="auto"/>
            <w:vAlign w:val="center"/>
          </w:tcPr>
          <w:p w14:paraId="29AC0D08" w14:textId="189B3B56" w:rsidR="00741529" w:rsidRPr="00BA6D7E" w:rsidRDefault="00741529" w:rsidP="000732CA">
            <w:pPr>
              <w:keepNext/>
              <w:keepLines/>
              <w:jc w:val="left"/>
              <w:rPr>
                <w:rFonts w:ascii="Arial Narrow" w:hAnsi="Arial Narrow" w:cstheme="minorHAnsi"/>
                <w:b/>
                <w:snapToGrid w:val="0"/>
                <w:sz w:val="20"/>
                <w:szCs w:val="20"/>
              </w:rPr>
            </w:pPr>
            <w:r w:rsidRPr="00BA6D7E">
              <w:rPr>
                <w:rFonts w:ascii="Arial Narrow" w:hAnsi="Arial Narrow" w:cstheme="minorHAnsi"/>
                <w:b/>
                <w:snapToGrid w:val="0"/>
                <w:sz w:val="20"/>
                <w:szCs w:val="20"/>
              </w:rPr>
              <w:t xml:space="preserve">-0.07 (-0.08, -0.06); </w:t>
            </w:r>
          </w:p>
          <w:p w14:paraId="5D7C0B7A" w14:textId="487CC166" w:rsidR="00992D4C" w:rsidRPr="00BA6D7E" w:rsidRDefault="00741529" w:rsidP="000732CA">
            <w:pPr>
              <w:pStyle w:val="TableText0"/>
              <w:rPr>
                <w:sz w:val="20"/>
                <w:szCs w:val="20"/>
              </w:rPr>
            </w:pPr>
            <w:r w:rsidRPr="00BA6D7E">
              <w:rPr>
                <w:rFonts w:cstheme="minorHAnsi"/>
                <w:b/>
                <w:snapToGrid w:val="0"/>
                <w:sz w:val="20"/>
                <w:szCs w:val="20"/>
              </w:rPr>
              <w:t>p &lt; 0.0001</w:t>
            </w:r>
          </w:p>
        </w:tc>
        <w:tc>
          <w:tcPr>
            <w:tcW w:w="1259" w:type="pct"/>
            <w:tcBorders>
              <w:bottom w:val="single" w:sz="4" w:space="0" w:color="auto"/>
            </w:tcBorders>
            <w:shd w:val="clear" w:color="auto" w:fill="auto"/>
            <w:vAlign w:val="center"/>
          </w:tcPr>
          <w:p w14:paraId="7514498E" w14:textId="77777777" w:rsidR="00741529" w:rsidRPr="00BA6D7E" w:rsidRDefault="00741529" w:rsidP="000732CA">
            <w:pPr>
              <w:keepNext/>
              <w:keepLines/>
              <w:jc w:val="left"/>
              <w:rPr>
                <w:rFonts w:ascii="Arial Narrow" w:hAnsi="Arial Narrow" w:cstheme="minorHAnsi"/>
                <w:bCs/>
                <w:snapToGrid w:val="0"/>
                <w:sz w:val="20"/>
                <w:szCs w:val="20"/>
              </w:rPr>
            </w:pPr>
            <w:r w:rsidRPr="00BA6D7E">
              <w:rPr>
                <w:rFonts w:ascii="Arial Narrow" w:hAnsi="Arial Narrow" w:cstheme="minorHAnsi"/>
                <w:snapToGrid w:val="0"/>
                <w:sz w:val="20"/>
                <w:szCs w:val="20"/>
              </w:rPr>
              <w:t xml:space="preserve">1.16 (0.25, 5.34); </w:t>
            </w:r>
          </w:p>
          <w:p w14:paraId="451A063F" w14:textId="2656D52F" w:rsidR="00992D4C" w:rsidRPr="00BA6D7E" w:rsidRDefault="00741529" w:rsidP="000732CA">
            <w:pPr>
              <w:pStyle w:val="TableText0"/>
              <w:rPr>
                <w:sz w:val="20"/>
                <w:szCs w:val="20"/>
              </w:rPr>
            </w:pPr>
            <w:r w:rsidRPr="00BA6D7E">
              <w:rPr>
                <w:rFonts w:cstheme="minorHAnsi"/>
                <w:snapToGrid w:val="0"/>
                <w:sz w:val="20"/>
                <w:szCs w:val="20"/>
              </w:rPr>
              <w:t>p = 0.8488</w:t>
            </w:r>
          </w:p>
        </w:tc>
        <w:tc>
          <w:tcPr>
            <w:tcW w:w="1245" w:type="pct"/>
            <w:tcBorders>
              <w:bottom w:val="single" w:sz="4" w:space="0" w:color="auto"/>
            </w:tcBorders>
            <w:shd w:val="clear" w:color="auto" w:fill="auto"/>
            <w:vAlign w:val="center"/>
          </w:tcPr>
          <w:p w14:paraId="6C3D24A5" w14:textId="77777777" w:rsidR="00741529" w:rsidRPr="00BA6D7E" w:rsidRDefault="00741529" w:rsidP="000732CA">
            <w:pPr>
              <w:keepNext/>
              <w:keepLines/>
              <w:jc w:val="left"/>
              <w:rPr>
                <w:rFonts w:ascii="Arial Narrow" w:hAnsi="Arial Narrow" w:cstheme="minorHAnsi"/>
                <w:bCs/>
                <w:snapToGrid w:val="0"/>
                <w:sz w:val="20"/>
                <w:szCs w:val="20"/>
              </w:rPr>
            </w:pPr>
            <w:r w:rsidRPr="00BA6D7E">
              <w:rPr>
                <w:rFonts w:ascii="Arial Narrow" w:hAnsi="Arial Narrow" w:cstheme="minorHAnsi"/>
                <w:snapToGrid w:val="0"/>
                <w:sz w:val="20"/>
                <w:szCs w:val="20"/>
              </w:rPr>
              <w:t xml:space="preserve">1.07 (0.23, 4.95); </w:t>
            </w:r>
          </w:p>
          <w:p w14:paraId="32AD0E28" w14:textId="00B3AD1B" w:rsidR="00992D4C" w:rsidRPr="00BA6D7E" w:rsidRDefault="00741529" w:rsidP="000732CA">
            <w:pPr>
              <w:pStyle w:val="TableText0"/>
              <w:rPr>
                <w:sz w:val="20"/>
                <w:szCs w:val="20"/>
              </w:rPr>
            </w:pPr>
            <w:r w:rsidRPr="00BA6D7E">
              <w:rPr>
                <w:rFonts w:cstheme="minorHAnsi"/>
                <w:snapToGrid w:val="0"/>
                <w:sz w:val="20"/>
                <w:szCs w:val="20"/>
              </w:rPr>
              <w:t>p = 0.9302</w:t>
            </w:r>
          </w:p>
        </w:tc>
      </w:tr>
      <w:tr w:rsidR="00992D4C" w:rsidRPr="00BA6D7E" w14:paraId="27934C12" w14:textId="77777777">
        <w:trPr>
          <w:trHeight w:val="26"/>
        </w:trPr>
        <w:tc>
          <w:tcPr>
            <w:tcW w:w="1395" w:type="pct"/>
            <w:shd w:val="clear" w:color="auto" w:fill="auto"/>
            <w:vAlign w:val="center"/>
          </w:tcPr>
          <w:p w14:paraId="3CA0FF87" w14:textId="0616153D" w:rsidR="00992D4C" w:rsidRPr="00BA6D7E" w:rsidRDefault="00992D4C" w:rsidP="000732CA">
            <w:pPr>
              <w:pStyle w:val="TableText0"/>
              <w:rPr>
                <w:sz w:val="20"/>
                <w:szCs w:val="20"/>
              </w:rPr>
            </w:pPr>
            <w:r w:rsidRPr="00BA6D7E">
              <w:rPr>
                <w:rFonts w:cstheme="minorBidi"/>
                <w:sz w:val="20"/>
                <w:szCs w:val="20"/>
              </w:rPr>
              <w:t>Diarrhoea</w:t>
            </w:r>
          </w:p>
        </w:tc>
        <w:tc>
          <w:tcPr>
            <w:tcW w:w="1101" w:type="pct"/>
            <w:tcBorders>
              <w:bottom w:val="single" w:sz="4" w:space="0" w:color="auto"/>
            </w:tcBorders>
            <w:shd w:val="clear" w:color="auto" w:fill="auto"/>
            <w:vAlign w:val="center"/>
          </w:tcPr>
          <w:p w14:paraId="2835D08D" w14:textId="023A5C85" w:rsidR="00741529" w:rsidRPr="00BA6D7E" w:rsidRDefault="00741529" w:rsidP="000732CA">
            <w:pPr>
              <w:keepNext/>
              <w:keepLines/>
              <w:jc w:val="left"/>
              <w:rPr>
                <w:rFonts w:ascii="Arial Narrow" w:hAnsi="Arial Narrow" w:cstheme="minorHAnsi"/>
                <w:b/>
                <w:snapToGrid w:val="0"/>
                <w:sz w:val="20"/>
                <w:szCs w:val="20"/>
              </w:rPr>
            </w:pPr>
            <w:r w:rsidRPr="00BA6D7E">
              <w:rPr>
                <w:rFonts w:ascii="Arial Narrow" w:hAnsi="Arial Narrow" w:cstheme="minorHAnsi"/>
                <w:b/>
                <w:snapToGrid w:val="0"/>
                <w:sz w:val="20"/>
                <w:szCs w:val="20"/>
              </w:rPr>
              <w:t>-0.08 (-0.09, -0.07);</w:t>
            </w:r>
          </w:p>
          <w:p w14:paraId="66416C8A" w14:textId="338E75EF" w:rsidR="00992D4C" w:rsidRPr="00BA6D7E" w:rsidRDefault="00741529" w:rsidP="000732CA">
            <w:pPr>
              <w:pStyle w:val="TableText0"/>
              <w:rPr>
                <w:sz w:val="20"/>
                <w:szCs w:val="20"/>
              </w:rPr>
            </w:pPr>
            <w:r w:rsidRPr="00BA6D7E">
              <w:rPr>
                <w:rFonts w:cstheme="minorHAnsi"/>
                <w:b/>
                <w:snapToGrid w:val="0"/>
                <w:sz w:val="20"/>
                <w:szCs w:val="20"/>
              </w:rPr>
              <w:t>p &lt; 0.0001</w:t>
            </w:r>
          </w:p>
        </w:tc>
        <w:tc>
          <w:tcPr>
            <w:tcW w:w="1259" w:type="pct"/>
            <w:tcBorders>
              <w:bottom w:val="single" w:sz="4" w:space="0" w:color="auto"/>
            </w:tcBorders>
            <w:shd w:val="clear" w:color="auto" w:fill="auto"/>
            <w:vAlign w:val="center"/>
          </w:tcPr>
          <w:p w14:paraId="7B4F1AF3" w14:textId="77777777" w:rsidR="00741529" w:rsidRPr="00BA6D7E" w:rsidRDefault="00741529" w:rsidP="000732CA">
            <w:pPr>
              <w:keepNext/>
              <w:keepLines/>
              <w:jc w:val="left"/>
              <w:rPr>
                <w:rFonts w:ascii="Arial Narrow" w:hAnsi="Arial Narrow" w:cstheme="minorHAnsi"/>
                <w:b/>
                <w:snapToGrid w:val="0"/>
                <w:sz w:val="20"/>
                <w:szCs w:val="20"/>
              </w:rPr>
            </w:pPr>
            <w:r w:rsidRPr="00BA6D7E">
              <w:rPr>
                <w:rFonts w:ascii="Arial Narrow" w:hAnsi="Arial Narrow" w:cstheme="minorHAnsi"/>
                <w:b/>
                <w:snapToGrid w:val="0"/>
                <w:sz w:val="20"/>
                <w:szCs w:val="20"/>
              </w:rPr>
              <w:t xml:space="preserve">0.08 (0.02, 0.36); </w:t>
            </w:r>
          </w:p>
          <w:p w14:paraId="1C418516" w14:textId="24C9E745" w:rsidR="00992D4C" w:rsidRPr="00BA6D7E" w:rsidRDefault="00741529" w:rsidP="000732CA">
            <w:pPr>
              <w:pStyle w:val="TableText0"/>
              <w:rPr>
                <w:sz w:val="20"/>
                <w:szCs w:val="20"/>
              </w:rPr>
            </w:pPr>
            <w:r w:rsidRPr="00BA6D7E">
              <w:rPr>
                <w:rFonts w:cstheme="minorHAnsi"/>
                <w:b/>
                <w:snapToGrid w:val="0"/>
                <w:sz w:val="20"/>
                <w:szCs w:val="20"/>
              </w:rPr>
              <w:t>p = 0.0011</w:t>
            </w:r>
          </w:p>
        </w:tc>
        <w:tc>
          <w:tcPr>
            <w:tcW w:w="1245" w:type="pct"/>
            <w:tcBorders>
              <w:bottom w:val="single" w:sz="4" w:space="0" w:color="auto"/>
            </w:tcBorders>
            <w:shd w:val="clear" w:color="auto" w:fill="auto"/>
            <w:vAlign w:val="center"/>
          </w:tcPr>
          <w:p w14:paraId="70BA19CE" w14:textId="77777777" w:rsidR="00741529" w:rsidRPr="00BA6D7E" w:rsidRDefault="00741529" w:rsidP="000732CA">
            <w:pPr>
              <w:keepNext/>
              <w:keepLines/>
              <w:jc w:val="left"/>
              <w:rPr>
                <w:rFonts w:ascii="Arial Narrow" w:hAnsi="Arial Narrow" w:cstheme="minorHAnsi"/>
                <w:b/>
                <w:snapToGrid w:val="0"/>
                <w:sz w:val="20"/>
                <w:szCs w:val="20"/>
              </w:rPr>
            </w:pPr>
            <w:r w:rsidRPr="00BA6D7E">
              <w:rPr>
                <w:rFonts w:ascii="Arial Narrow" w:hAnsi="Arial Narrow" w:cstheme="minorHAnsi"/>
                <w:b/>
                <w:snapToGrid w:val="0"/>
                <w:sz w:val="20"/>
                <w:szCs w:val="20"/>
              </w:rPr>
              <w:t xml:space="preserve">0.07 (0.02, 0.34); </w:t>
            </w:r>
          </w:p>
          <w:p w14:paraId="1B5F06C4" w14:textId="2E7CE893" w:rsidR="00992D4C" w:rsidRPr="00BA6D7E" w:rsidRDefault="00741529" w:rsidP="000732CA">
            <w:pPr>
              <w:pStyle w:val="TableText0"/>
              <w:rPr>
                <w:sz w:val="20"/>
                <w:szCs w:val="20"/>
              </w:rPr>
            </w:pPr>
            <w:r w:rsidRPr="00BA6D7E">
              <w:rPr>
                <w:rFonts w:cstheme="minorHAnsi"/>
                <w:b/>
                <w:snapToGrid w:val="0"/>
                <w:sz w:val="20"/>
                <w:szCs w:val="20"/>
              </w:rPr>
              <w:t>p = 0.0008</w:t>
            </w:r>
          </w:p>
        </w:tc>
      </w:tr>
      <w:tr w:rsidR="00992D4C" w:rsidRPr="00BA6D7E" w14:paraId="15DFB320" w14:textId="77777777">
        <w:trPr>
          <w:trHeight w:val="26"/>
        </w:trPr>
        <w:tc>
          <w:tcPr>
            <w:tcW w:w="1395" w:type="pct"/>
            <w:shd w:val="clear" w:color="auto" w:fill="auto"/>
            <w:vAlign w:val="center"/>
          </w:tcPr>
          <w:p w14:paraId="58DA1139" w14:textId="1154F88F" w:rsidR="00992D4C" w:rsidRPr="00BA6D7E" w:rsidRDefault="00992D4C" w:rsidP="000732CA">
            <w:pPr>
              <w:pStyle w:val="TableText0"/>
              <w:rPr>
                <w:sz w:val="20"/>
                <w:szCs w:val="20"/>
              </w:rPr>
            </w:pPr>
            <w:r w:rsidRPr="00BA6D7E">
              <w:rPr>
                <w:rFonts w:cstheme="minorBidi"/>
                <w:sz w:val="20"/>
                <w:szCs w:val="20"/>
              </w:rPr>
              <w:t>Lymphopenia</w:t>
            </w:r>
          </w:p>
        </w:tc>
        <w:tc>
          <w:tcPr>
            <w:tcW w:w="1101" w:type="pct"/>
            <w:tcBorders>
              <w:bottom w:val="single" w:sz="4" w:space="0" w:color="auto"/>
            </w:tcBorders>
            <w:shd w:val="clear" w:color="auto" w:fill="auto"/>
            <w:vAlign w:val="center"/>
          </w:tcPr>
          <w:p w14:paraId="6DD204CE" w14:textId="7BDF9D13" w:rsidR="00741529" w:rsidRPr="00BA6D7E" w:rsidRDefault="00741529" w:rsidP="000732CA">
            <w:pPr>
              <w:keepNext/>
              <w:keepLines/>
              <w:jc w:val="left"/>
              <w:rPr>
                <w:rFonts w:ascii="Arial Narrow" w:hAnsi="Arial Narrow" w:cstheme="minorHAnsi"/>
                <w:b/>
                <w:snapToGrid w:val="0"/>
                <w:sz w:val="20"/>
                <w:szCs w:val="20"/>
              </w:rPr>
            </w:pPr>
            <w:r w:rsidRPr="00BA6D7E">
              <w:rPr>
                <w:rFonts w:ascii="Arial Narrow" w:hAnsi="Arial Narrow" w:cstheme="minorHAnsi"/>
                <w:b/>
                <w:snapToGrid w:val="0"/>
                <w:sz w:val="20"/>
                <w:szCs w:val="20"/>
              </w:rPr>
              <w:t xml:space="preserve">-0.05 (-0.06, -0.04); </w:t>
            </w:r>
          </w:p>
          <w:p w14:paraId="134F0DD2" w14:textId="2D0F452E" w:rsidR="00992D4C" w:rsidRPr="00BA6D7E" w:rsidRDefault="00741529" w:rsidP="000732CA">
            <w:pPr>
              <w:pStyle w:val="TableText0"/>
              <w:rPr>
                <w:sz w:val="20"/>
                <w:szCs w:val="20"/>
              </w:rPr>
            </w:pPr>
            <w:r w:rsidRPr="00BA6D7E">
              <w:rPr>
                <w:rFonts w:cstheme="minorHAnsi"/>
                <w:b/>
                <w:snapToGrid w:val="0"/>
                <w:sz w:val="20"/>
                <w:szCs w:val="20"/>
              </w:rPr>
              <w:t>p &lt; 0.0001</w:t>
            </w:r>
          </w:p>
        </w:tc>
        <w:tc>
          <w:tcPr>
            <w:tcW w:w="1259" w:type="pct"/>
            <w:tcBorders>
              <w:bottom w:val="single" w:sz="4" w:space="0" w:color="auto"/>
            </w:tcBorders>
            <w:shd w:val="clear" w:color="auto" w:fill="auto"/>
            <w:vAlign w:val="center"/>
          </w:tcPr>
          <w:p w14:paraId="7875039B" w14:textId="77777777" w:rsidR="00914D9C" w:rsidRPr="00BA6D7E" w:rsidRDefault="00914D9C" w:rsidP="000732CA">
            <w:pPr>
              <w:keepNext/>
              <w:keepLines/>
              <w:spacing w:line="276" w:lineRule="auto"/>
              <w:rPr>
                <w:rFonts w:ascii="Arial Narrow" w:eastAsia="Calibri" w:hAnsi="Arial Narrow" w:cstheme="minorHAnsi"/>
                <w:bCs/>
                <w:sz w:val="20"/>
                <w:szCs w:val="20"/>
              </w:rPr>
            </w:pPr>
            <w:r w:rsidRPr="00BA6D7E">
              <w:rPr>
                <w:rFonts w:ascii="Arial Narrow" w:eastAsia="Calibri" w:hAnsi="Arial Narrow" w:cstheme="minorHAnsi"/>
                <w:bCs/>
                <w:sz w:val="20"/>
                <w:szCs w:val="20"/>
              </w:rPr>
              <w:t xml:space="preserve">1.66 [0.09, 30.06]; </w:t>
            </w:r>
          </w:p>
          <w:p w14:paraId="452A57DF" w14:textId="3C183EEE" w:rsidR="00992D4C" w:rsidRPr="00BA6D7E" w:rsidRDefault="00914D9C" w:rsidP="000732CA">
            <w:pPr>
              <w:pStyle w:val="TableText0"/>
              <w:rPr>
                <w:sz w:val="20"/>
                <w:szCs w:val="20"/>
              </w:rPr>
            </w:pPr>
            <w:r w:rsidRPr="00BA6D7E">
              <w:rPr>
                <w:rFonts w:eastAsia="Calibri" w:cstheme="minorHAnsi"/>
                <w:sz w:val="20"/>
                <w:szCs w:val="20"/>
              </w:rPr>
              <w:t>p = 0.7303</w:t>
            </w:r>
          </w:p>
        </w:tc>
        <w:tc>
          <w:tcPr>
            <w:tcW w:w="1245" w:type="pct"/>
            <w:tcBorders>
              <w:bottom w:val="single" w:sz="4" w:space="0" w:color="auto"/>
            </w:tcBorders>
            <w:shd w:val="clear" w:color="auto" w:fill="auto"/>
            <w:vAlign w:val="center"/>
          </w:tcPr>
          <w:p w14:paraId="0933006A" w14:textId="77777777" w:rsidR="00914D9C" w:rsidRPr="00BA6D7E" w:rsidRDefault="00914D9C" w:rsidP="000732CA">
            <w:pPr>
              <w:keepNext/>
              <w:keepLines/>
              <w:spacing w:line="276" w:lineRule="auto"/>
              <w:rPr>
                <w:rFonts w:ascii="Arial Narrow" w:eastAsia="Calibri" w:hAnsi="Arial Narrow" w:cstheme="minorHAnsi"/>
                <w:bCs/>
                <w:sz w:val="20"/>
                <w:szCs w:val="20"/>
              </w:rPr>
            </w:pPr>
            <w:r w:rsidRPr="00BA6D7E">
              <w:rPr>
                <w:rFonts w:ascii="Arial Narrow" w:eastAsia="Calibri" w:hAnsi="Arial Narrow" w:cstheme="minorHAnsi"/>
                <w:bCs/>
                <w:sz w:val="20"/>
                <w:szCs w:val="20"/>
              </w:rPr>
              <w:t xml:space="preserve">1.59 [0.09, 28.84]; </w:t>
            </w:r>
          </w:p>
          <w:p w14:paraId="5048D9FE" w14:textId="04A38EB8" w:rsidR="00992D4C" w:rsidRPr="00BA6D7E" w:rsidRDefault="00914D9C" w:rsidP="000732CA">
            <w:pPr>
              <w:pStyle w:val="TableText0"/>
              <w:rPr>
                <w:sz w:val="20"/>
                <w:szCs w:val="20"/>
              </w:rPr>
            </w:pPr>
            <w:r w:rsidRPr="00BA6D7E">
              <w:rPr>
                <w:rFonts w:eastAsia="Calibri" w:cstheme="minorHAnsi"/>
                <w:sz w:val="20"/>
                <w:szCs w:val="20"/>
              </w:rPr>
              <w:t>p = 0.7539</w:t>
            </w:r>
          </w:p>
        </w:tc>
      </w:tr>
    </w:tbl>
    <w:p w14:paraId="7BDCCEDB" w14:textId="77777777" w:rsidR="00CC3874" w:rsidRPr="00DB3D39" w:rsidRDefault="00CC3874" w:rsidP="000732CA">
      <w:pPr>
        <w:pStyle w:val="TableFigureFooter"/>
        <w:keepNext/>
        <w:rPr>
          <w:rFonts w:eastAsiaTheme="minorHAnsi"/>
          <w:lang w:eastAsia="en-US"/>
        </w:rPr>
      </w:pPr>
      <w:r w:rsidRPr="00DB3D39">
        <w:rPr>
          <w:rFonts w:eastAsiaTheme="minorHAnsi"/>
          <w:lang w:eastAsia="en-US"/>
        </w:rPr>
        <w:t>Source: Table 2.6.-15, p 154 of the submission.</w:t>
      </w:r>
    </w:p>
    <w:p w14:paraId="60F89015" w14:textId="528C115E" w:rsidR="00CC3874" w:rsidRPr="00DB3D39" w:rsidRDefault="000C0F23" w:rsidP="000732CA">
      <w:pPr>
        <w:pStyle w:val="TableFigureFooter"/>
        <w:keepNext/>
        <w:rPr>
          <w:rFonts w:eastAsiaTheme="minorHAnsi"/>
          <w:lang w:eastAsia="en-US"/>
        </w:rPr>
      </w:pPr>
      <w:r w:rsidRPr="00DB3D39">
        <w:rPr>
          <w:rFonts w:eastAsiaTheme="minorHAnsi"/>
          <w:lang w:eastAsia="en-US"/>
        </w:rPr>
        <w:t xml:space="preserve">ABE = abemaciclib; CI = </w:t>
      </w:r>
      <w:r w:rsidR="005E5E7B">
        <w:rPr>
          <w:rFonts w:eastAsiaTheme="minorHAnsi"/>
          <w:lang w:eastAsia="en-US"/>
        </w:rPr>
        <w:t>c</w:t>
      </w:r>
      <w:r w:rsidRPr="00DB3D39">
        <w:rPr>
          <w:rFonts w:eastAsiaTheme="minorHAnsi"/>
          <w:lang w:eastAsia="en-US"/>
        </w:rPr>
        <w:t xml:space="preserve">onfidence interval; DCO = </w:t>
      </w:r>
      <w:r w:rsidR="005E5E7B">
        <w:rPr>
          <w:rFonts w:eastAsiaTheme="minorHAnsi"/>
          <w:lang w:eastAsia="en-US"/>
        </w:rPr>
        <w:t>d</w:t>
      </w:r>
      <w:r w:rsidRPr="00DB3D39">
        <w:rPr>
          <w:rFonts w:eastAsiaTheme="minorHAnsi"/>
          <w:lang w:eastAsia="en-US"/>
        </w:rPr>
        <w:t>ata cut-off</w:t>
      </w:r>
      <w:r w:rsidR="00446314" w:rsidRPr="00DB3D39">
        <w:rPr>
          <w:rFonts w:eastAsiaTheme="minorHAnsi"/>
          <w:lang w:eastAsia="en-US"/>
        </w:rPr>
        <w:t>;</w:t>
      </w:r>
      <w:r w:rsidRPr="00DB3D39">
        <w:rPr>
          <w:rFonts w:eastAsiaTheme="minorHAnsi"/>
          <w:lang w:eastAsia="en-US"/>
        </w:rPr>
        <w:t xml:space="preserve"> </w:t>
      </w:r>
      <w:r w:rsidR="006C0459" w:rsidRPr="00DB3D39">
        <w:rPr>
          <w:rFonts w:eastAsiaTheme="minorHAnsi"/>
          <w:lang w:eastAsia="en-US"/>
        </w:rPr>
        <w:t>ET = endocrine therapy</w:t>
      </w:r>
      <w:r w:rsidR="006C0459">
        <w:rPr>
          <w:rFonts w:eastAsiaTheme="minorHAnsi"/>
          <w:lang w:eastAsia="en-US"/>
        </w:rPr>
        <w:t>;</w:t>
      </w:r>
      <w:r w:rsidR="006C0459" w:rsidRPr="00DB3D39">
        <w:rPr>
          <w:rFonts w:eastAsiaTheme="minorHAnsi"/>
          <w:lang w:eastAsia="en-US"/>
        </w:rPr>
        <w:t xml:space="preserve"> </w:t>
      </w:r>
      <w:r w:rsidRPr="00DB3D39">
        <w:rPr>
          <w:rFonts w:eastAsiaTheme="minorHAnsi"/>
          <w:lang w:eastAsia="en-US"/>
        </w:rPr>
        <w:t>ITT = intent</w:t>
      </w:r>
      <w:r w:rsidR="005E5E7B">
        <w:rPr>
          <w:rFonts w:eastAsiaTheme="minorHAnsi"/>
          <w:lang w:eastAsia="en-US"/>
        </w:rPr>
        <w:t>ion to treat</w:t>
      </w:r>
      <w:r w:rsidRPr="00DB3D39">
        <w:rPr>
          <w:rFonts w:eastAsiaTheme="minorHAnsi"/>
          <w:lang w:eastAsia="en-US"/>
        </w:rPr>
        <w:t xml:space="preserve">; </w:t>
      </w:r>
      <w:r w:rsidR="00CC3874" w:rsidRPr="00DB3D39">
        <w:rPr>
          <w:rFonts w:eastAsiaTheme="minorHAnsi"/>
          <w:lang w:eastAsia="en-US"/>
        </w:rPr>
        <w:t xml:space="preserve">RIB = </w:t>
      </w:r>
      <w:r w:rsidRPr="00DB3D39">
        <w:rPr>
          <w:rFonts w:eastAsiaTheme="minorHAnsi"/>
          <w:lang w:eastAsia="en-US"/>
        </w:rPr>
        <w:t>r</w:t>
      </w:r>
      <w:r w:rsidR="00CC3874" w:rsidRPr="00DB3D39">
        <w:rPr>
          <w:rFonts w:eastAsiaTheme="minorHAnsi"/>
          <w:lang w:eastAsia="en-US"/>
        </w:rPr>
        <w:t xml:space="preserve">ibociclib; </w:t>
      </w:r>
      <w:r w:rsidRPr="00DB3D39">
        <w:rPr>
          <w:rFonts w:eastAsiaTheme="minorHAnsi"/>
          <w:lang w:eastAsia="en-US"/>
        </w:rPr>
        <w:t xml:space="preserve">TEAEs = treatment-emergent adverse events. </w:t>
      </w:r>
    </w:p>
    <w:p w14:paraId="48AC5B4B" w14:textId="3DBC3F04" w:rsidR="005B115E" w:rsidRPr="00DB3D39" w:rsidRDefault="005B115E" w:rsidP="000732CA">
      <w:pPr>
        <w:pStyle w:val="TableFigureFooter"/>
        <w:keepNext/>
        <w:rPr>
          <w:rFonts w:eastAsiaTheme="minorHAnsi"/>
        </w:rPr>
      </w:pPr>
      <w:r w:rsidRPr="00DB3D39">
        <w:rPr>
          <w:rFonts w:eastAsiaTheme="minorHAnsi"/>
        </w:rPr>
        <w:t xml:space="preserve">^ </w:t>
      </w:r>
      <w:r w:rsidRPr="00DB3D39">
        <w:rPr>
          <w:rFonts w:cstheme="minorHAnsi"/>
          <w:sz w:val="20"/>
          <w:szCs w:val="20"/>
        </w:rPr>
        <w:t xml:space="preserve">NATALEE (monarchE ITT population-eligible) based on </w:t>
      </w:r>
      <w:r w:rsidRPr="00DB3D39">
        <w:rPr>
          <w:rFonts w:eastAsiaTheme="minorHAnsi"/>
        </w:rPr>
        <w:t>post-hoc subgroup.</w:t>
      </w:r>
    </w:p>
    <w:p w14:paraId="78633B99" w14:textId="6CBA1C50" w:rsidR="00F024D0" w:rsidRPr="00DB3D39" w:rsidRDefault="005B115E" w:rsidP="000732CA">
      <w:pPr>
        <w:pStyle w:val="TableFigureFooter"/>
        <w:keepNext/>
        <w:rPr>
          <w:b/>
        </w:rPr>
      </w:pPr>
      <w:r w:rsidRPr="00DB3D39">
        <w:t xml:space="preserve">*Based on monarchE (Safety Set) population </w:t>
      </w:r>
      <w:r w:rsidR="00865BB1" w:rsidRPr="00DB3D39">
        <w:rPr>
          <w:rFonts w:eastAsiaTheme="minorHAnsi"/>
        </w:rPr>
        <w:t>NATALEE was based on the July 2023 DCO (median follow up 40.3 months) and monarchE was based on the July 2022 DCO (median follow up 42 months).</w:t>
      </w:r>
      <w:r w:rsidR="00F024D0" w:rsidRPr="00DB3D39">
        <w:rPr>
          <w:b/>
        </w:rPr>
        <w:t xml:space="preserve"> </w:t>
      </w:r>
    </w:p>
    <w:p w14:paraId="2B813D75" w14:textId="77777777" w:rsidR="004B7D93" w:rsidRDefault="00F024D0" w:rsidP="004B7D93">
      <w:pPr>
        <w:pStyle w:val="TableFigureFooter"/>
        <w:jc w:val="both"/>
        <w:rPr>
          <w:i/>
          <w:iCs/>
        </w:rPr>
      </w:pPr>
      <w:r w:rsidRPr="00DB3D39">
        <w:rPr>
          <w:b/>
        </w:rPr>
        <w:t>Bold</w:t>
      </w:r>
      <w:r w:rsidRPr="00DB3D39">
        <w:t xml:space="preserve"> indicated statistically significant results</w:t>
      </w:r>
      <w:r w:rsidR="005B115E" w:rsidRPr="00DB3D39">
        <w:t>.</w:t>
      </w:r>
      <w:r w:rsidR="004B7D93" w:rsidRPr="004B7D93">
        <w:rPr>
          <w:i/>
          <w:iCs/>
        </w:rPr>
        <w:t xml:space="preserve"> </w:t>
      </w:r>
    </w:p>
    <w:p w14:paraId="356839B1" w14:textId="78D3BDAE" w:rsidR="00865BB1" w:rsidRPr="004B7D93" w:rsidRDefault="004B7D93" w:rsidP="004B7D93">
      <w:pPr>
        <w:pStyle w:val="TableFigureFooter"/>
        <w:jc w:val="both"/>
        <w:rPr>
          <w:rFonts w:eastAsiaTheme="majorEastAsia"/>
          <w:lang w:eastAsia="en-US"/>
        </w:rPr>
      </w:pPr>
      <w:r w:rsidRPr="00225B2B">
        <w:rPr>
          <w:i/>
          <w:iCs/>
        </w:rPr>
        <w:t xml:space="preserve">Note that the results presented in Table </w:t>
      </w:r>
      <w:r>
        <w:rPr>
          <w:i/>
          <w:iCs/>
        </w:rPr>
        <w:t>11</w:t>
      </w:r>
      <w:r w:rsidRPr="00225B2B">
        <w:rPr>
          <w:i/>
          <w:iCs/>
        </w:rPr>
        <w:t xml:space="preserve"> are derived from post-hoc analyses conducted by the applicant</w:t>
      </w:r>
      <w:r w:rsidR="00C66081">
        <w:rPr>
          <w:i/>
          <w:iCs/>
        </w:rPr>
        <w:t xml:space="preserve"> during the evaluation</w:t>
      </w:r>
      <w:r w:rsidRPr="00225B2B">
        <w:rPr>
          <w:i/>
          <w:iCs/>
        </w:rPr>
        <w:t xml:space="preserve"> specifically for the purposes of informing the PBAC consideration. These analyses were not part of the pre-specified statistical plan for the NATALEE trial. Interpretation of the results and their application should therefore be limited to seeking to understand the basis for the PBAC outcome and should not be used for any other purpose</w:t>
      </w:r>
      <w:r w:rsidRPr="00224EF4">
        <w:t>.</w:t>
      </w:r>
    </w:p>
    <w:p w14:paraId="2270A0FA" w14:textId="77777777" w:rsidR="00131264" w:rsidRPr="00DB3D39" w:rsidRDefault="00131264" w:rsidP="00131264">
      <w:pPr>
        <w:pStyle w:val="4-SubsectionHeading"/>
      </w:pPr>
      <w:bookmarkStart w:id="51" w:name="_Toc177475550"/>
      <w:r w:rsidRPr="00DB3D39">
        <w:t>Benefits/harms</w:t>
      </w:r>
      <w:bookmarkEnd w:id="51"/>
    </w:p>
    <w:p w14:paraId="55DC6365" w14:textId="27F9FA32" w:rsidR="00131264" w:rsidRPr="00DB3D39" w:rsidRDefault="00131264" w:rsidP="007C073C">
      <w:pPr>
        <w:pStyle w:val="3-BodyText"/>
      </w:pPr>
      <w:r w:rsidRPr="00DB3D39">
        <w:t xml:space="preserve">A benefits and harms table </w:t>
      </w:r>
      <w:r w:rsidR="00C479C8">
        <w:t>was</w:t>
      </w:r>
      <w:r w:rsidRPr="00DB3D39">
        <w:t xml:space="preserve"> not presented as the submission made a claim of non-inferiority. </w:t>
      </w:r>
    </w:p>
    <w:p w14:paraId="02DE0BF6" w14:textId="77777777" w:rsidR="00131264" w:rsidRPr="00DB3D39" w:rsidRDefault="00131264" w:rsidP="00131264">
      <w:pPr>
        <w:pStyle w:val="4-SubsectionHeading"/>
      </w:pPr>
      <w:bookmarkStart w:id="52" w:name="_Toc177475551"/>
      <w:r w:rsidRPr="00DB3D39">
        <w:t>Clinical claim</w:t>
      </w:r>
      <w:bookmarkEnd w:id="52"/>
    </w:p>
    <w:p w14:paraId="1B7D8FEC" w14:textId="3F0627DF" w:rsidR="00131264" w:rsidRPr="00112EE5" w:rsidRDefault="00131264" w:rsidP="007C073C">
      <w:pPr>
        <w:pStyle w:val="3-BodyText"/>
        <w:rPr>
          <w:rFonts w:eastAsia="Calibri"/>
          <w:iCs/>
        </w:rPr>
      </w:pPr>
      <w:r w:rsidRPr="00DB3D39">
        <w:t>The submission described ribociclib plus adjuvant ET as non-inferior in terms of effectiveness compared to abemaciclib plus adjuvant ET</w:t>
      </w:r>
      <w:r w:rsidR="004F0E49" w:rsidRPr="00DB3D39">
        <w:t xml:space="preserve">. </w:t>
      </w:r>
      <w:r w:rsidR="003A36D2" w:rsidRPr="001B3C28">
        <w:t>T</w:t>
      </w:r>
      <w:r w:rsidR="00646105" w:rsidRPr="001B3C28">
        <w:t>he</w:t>
      </w:r>
      <w:r w:rsidR="003A36D2" w:rsidRPr="001B3C28">
        <w:t xml:space="preserve"> ESC considered that</w:t>
      </w:r>
      <w:r w:rsidR="003A36D2">
        <w:rPr>
          <w:i/>
          <w:iCs/>
        </w:rPr>
        <w:t xml:space="preserve"> </w:t>
      </w:r>
      <w:r w:rsidR="003A36D2" w:rsidRPr="00C479C8">
        <w:t>the</w:t>
      </w:r>
      <w:r w:rsidR="00646105" w:rsidRPr="00112EE5">
        <w:t xml:space="preserve"> ITC results support the claim</w:t>
      </w:r>
      <w:r w:rsidR="00A00E71" w:rsidRPr="00112EE5">
        <w:rPr>
          <w:iCs/>
        </w:rPr>
        <w:t xml:space="preserve"> of non</w:t>
      </w:r>
      <w:r w:rsidR="00CD202B" w:rsidRPr="00112EE5">
        <w:rPr>
          <w:iCs/>
        </w:rPr>
        <w:t>-inferior</w:t>
      </w:r>
      <w:r w:rsidR="00A00E71" w:rsidRPr="00112EE5">
        <w:rPr>
          <w:iCs/>
        </w:rPr>
        <w:t xml:space="preserve"> effectiveness</w:t>
      </w:r>
      <w:r w:rsidRPr="00112EE5">
        <w:rPr>
          <w:rFonts w:eastAsia="Calibri"/>
          <w:iCs/>
        </w:rPr>
        <w:t>, not</w:t>
      </w:r>
      <w:r w:rsidR="003A36D2">
        <w:rPr>
          <w:rFonts w:eastAsia="Calibri"/>
          <w:iCs/>
        </w:rPr>
        <w:t>ing</w:t>
      </w:r>
      <w:r w:rsidRPr="00112EE5">
        <w:rPr>
          <w:rFonts w:eastAsia="Calibri"/>
          <w:iCs/>
        </w:rPr>
        <w:t xml:space="preserve"> the following points:</w:t>
      </w:r>
    </w:p>
    <w:p w14:paraId="2CA19EA4" w14:textId="3074AB73" w:rsidR="00684FBE" w:rsidRPr="00F43B37" w:rsidRDefault="004F0E49" w:rsidP="00F43B37">
      <w:pPr>
        <w:pStyle w:val="ListParagraph"/>
      </w:pPr>
      <w:r w:rsidRPr="00F43B37">
        <w:t>The primary ITC results in the submission relied on a monarchE population (adjuvant AI subgroup) that may not reflect the PBS population for which</w:t>
      </w:r>
      <w:r w:rsidR="00454923" w:rsidRPr="00F43B37">
        <w:t xml:space="preserve"> abemaciclib is currently PBS-listed</w:t>
      </w:r>
      <w:r w:rsidRPr="00F43B37">
        <w:t xml:space="preserve"> </w:t>
      </w:r>
      <w:r w:rsidR="00BB1EEA" w:rsidRPr="00F43B37">
        <w:t>because it did not include patients treated with tamoxifen as</w:t>
      </w:r>
      <w:r w:rsidR="00876573" w:rsidRPr="00F43B37">
        <w:t xml:space="preserve"> adjuvant</w:t>
      </w:r>
      <w:r w:rsidR="00BB1EEA" w:rsidRPr="00F43B37">
        <w:t xml:space="preserve"> ET</w:t>
      </w:r>
      <w:r w:rsidRPr="00F43B37">
        <w:t>.</w:t>
      </w:r>
    </w:p>
    <w:p w14:paraId="559E5FA7" w14:textId="0A5045A0" w:rsidR="004A4108" w:rsidRPr="00276A8E" w:rsidRDefault="000552FF" w:rsidP="00F43B37">
      <w:pPr>
        <w:pStyle w:val="ListParagraph"/>
      </w:pPr>
      <w:r w:rsidRPr="00112EE5">
        <w:t>T</w:t>
      </w:r>
      <w:r w:rsidR="00B87A2A" w:rsidRPr="00112EE5">
        <w:t>he upper 95% CI</w:t>
      </w:r>
      <w:r w:rsidR="00DA27DB" w:rsidRPr="00112EE5">
        <w:t xml:space="preserve"> in the </w:t>
      </w:r>
      <w:r w:rsidR="00911B60" w:rsidRPr="00112EE5">
        <w:t xml:space="preserve">ITC </w:t>
      </w:r>
      <w:r w:rsidR="006646F9">
        <w:t>involving</w:t>
      </w:r>
      <w:r w:rsidR="006646F9" w:rsidRPr="00112EE5">
        <w:t xml:space="preserve"> </w:t>
      </w:r>
      <w:r w:rsidR="00B12324" w:rsidRPr="00112EE5">
        <w:t>the</w:t>
      </w:r>
      <w:r w:rsidR="00911B60" w:rsidRPr="00112EE5">
        <w:t xml:space="preserve"> PBS</w:t>
      </w:r>
      <w:r w:rsidR="006646F9">
        <w:t xml:space="preserve"> </w:t>
      </w:r>
      <w:r w:rsidR="00911B60" w:rsidRPr="00112EE5">
        <w:t>population</w:t>
      </w:r>
      <w:r w:rsidR="006646F9">
        <w:t xml:space="preserve"> of abemaciclib</w:t>
      </w:r>
      <w:r w:rsidR="008C64D1">
        <w:t xml:space="preserve"> </w:t>
      </w:r>
      <w:r w:rsidR="008C64D1" w:rsidRPr="00276A8E">
        <w:t>(includes abemaciclib patients taking tamoxifen)</w:t>
      </w:r>
      <w:r w:rsidR="00CF3AA6" w:rsidRPr="00276A8E">
        <w:t xml:space="preserve"> was 1.41, which</w:t>
      </w:r>
      <w:r w:rsidR="00E03B3A" w:rsidRPr="00276A8E">
        <w:t xml:space="preserve"> </w:t>
      </w:r>
      <w:r w:rsidR="00B87A2A" w:rsidRPr="00112EE5">
        <w:t xml:space="preserve">traversed the 1.40 </w:t>
      </w:r>
      <w:r w:rsidR="00865DDF" w:rsidRPr="00112EE5">
        <w:t>non-</w:t>
      </w:r>
      <w:r w:rsidR="00061BAA" w:rsidRPr="00112EE5">
        <w:t>inferiority</w:t>
      </w:r>
      <w:r w:rsidR="00865DDF" w:rsidRPr="00112EE5">
        <w:t xml:space="preserve"> margin</w:t>
      </w:r>
      <w:r w:rsidR="00B12324" w:rsidRPr="00112EE5">
        <w:t xml:space="preserve"> </w:t>
      </w:r>
      <w:r w:rsidR="008F18F7" w:rsidRPr="00112EE5">
        <w:t>from</w:t>
      </w:r>
      <w:r w:rsidR="00061BAA" w:rsidRPr="00112EE5">
        <w:t xml:space="preserve"> the literature</w:t>
      </w:r>
      <w:r w:rsidR="00A517D7" w:rsidRPr="00112EE5">
        <w:t xml:space="preserve"> </w:t>
      </w:r>
      <w:r w:rsidR="00F601B8" w:rsidRPr="00112EE5">
        <w:t>(Tanaka et al 2012)</w:t>
      </w:r>
      <w:r w:rsidR="00B87A2A" w:rsidRPr="00112EE5">
        <w:t xml:space="preserve">. When the ITC was restricted to patients treated with abemaciclib </w:t>
      </w:r>
      <w:r w:rsidR="00611B52" w:rsidRPr="00112EE5">
        <w:t>plus</w:t>
      </w:r>
      <w:r w:rsidR="00B87A2A" w:rsidRPr="00112EE5">
        <w:t xml:space="preserve"> AI</w:t>
      </w:r>
      <w:r w:rsidR="002E5BF4" w:rsidRPr="00112EE5">
        <w:t xml:space="preserve"> (excluding tamoxifen</w:t>
      </w:r>
      <w:r w:rsidR="00CF3AA6">
        <w:t xml:space="preserve"> </w:t>
      </w:r>
      <w:r w:rsidR="00CF3AA6" w:rsidRPr="000409F5">
        <w:t>patients</w:t>
      </w:r>
      <w:r w:rsidR="002E5BF4" w:rsidRPr="00112EE5">
        <w:t>)</w:t>
      </w:r>
      <w:r w:rsidR="00B87A2A" w:rsidRPr="00112EE5">
        <w:t>, the upper 95% CI</w:t>
      </w:r>
      <w:r w:rsidR="00CF3AA6">
        <w:t xml:space="preserve"> </w:t>
      </w:r>
      <w:r w:rsidR="00B87A2A" w:rsidRPr="00112EE5">
        <w:t>was 1.30</w:t>
      </w:r>
      <w:r w:rsidR="00CF3AA6">
        <w:t xml:space="preserve">, </w:t>
      </w:r>
      <w:r w:rsidR="00CF3AA6" w:rsidRPr="00276A8E">
        <w:t>satisfying the</w:t>
      </w:r>
      <w:r w:rsidR="006646F9" w:rsidRPr="00276A8E">
        <w:t xml:space="preserve"> 1.40</w:t>
      </w:r>
      <w:r w:rsidR="00CF3AA6" w:rsidRPr="00276A8E">
        <w:t xml:space="preserve"> non-inferiority margin</w:t>
      </w:r>
      <w:r w:rsidR="00B87A2A" w:rsidRPr="00276A8E">
        <w:t xml:space="preserve">. </w:t>
      </w:r>
      <w:r w:rsidR="00C479C8" w:rsidRPr="00276A8E">
        <w:t>The ESC noted that u</w:t>
      </w:r>
      <w:r w:rsidR="00B41CD0" w:rsidRPr="00276A8E">
        <w:t>pdated data from a later data cut-off provided in the PSCR indicated that the non-inferiority margin of 1.40 from the literature was not traversed for either of the ITCs.</w:t>
      </w:r>
    </w:p>
    <w:p w14:paraId="66D66179" w14:textId="1B65843C" w:rsidR="00126083" w:rsidRDefault="00126083" w:rsidP="007C073C">
      <w:pPr>
        <w:pStyle w:val="3-BodyText"/>
      </w:pPr>
      <w:bookmarkStart w:id="53" w:name="_Ref182839424"/>
      <w:r>
        <w:lastRenderedPageBreak/>
        <w:t xml:space="preserve">While the PBAC noted the clinical issues raised in the evaluation with respect to transitivity issues between the NATALEE and monarchE trials, it </w:t>
      </w:r>
      <w:r w:rsidR="00D30058">
        <w:t xml:space="preserve">agreed with the ESC that the claim of non-inferior effectiveness of ribociclib compared to abemaciclib </w:t>
      </w:r>
      <w:r w:rsidR="00C04C65">
        <w:t>was likely</w:t>
      </w:r>
      <w:r w:rsidR="00D30058">
        <w:t xml:space="preserve"> supported.</w:t>
      </w:r>
    </w:p>
    <w:p w14:paraId="7FFB3706" w14:textId="551D79CC" w:rsidR="00DF2FFD" w:rsidRPr="00276A8E" w:rsidRDefault="00131264" w:rsidP="007C073C">
      <w:pPr>
        <w:pStyle w:val="3-BodyText"/>
      </w:pPr>
      <w:r w:rsidRPr="00DB3D39">
        <w:t xml:space="preserve">The submission described ribociclib plus adjuvant ET as non-inferior in terms of safety compared to abemaciclib plus adjuvant ET. </w:t>
      </w:r>
      <w:r w:rsidR="001377E7" w:rsidRPr="00276A8E">
        <w:t xml:space="preserve">The </w:t>
      </w:r>
      <w:r w:rsidR="00203D69" w:rsidRPr="00276A8E">
        <w:t>ESC</w:t>
      </w:r>
      <w:r w:rsidR="001377E7" w:rsidRPr="00276A8E">
        <w:t xml:space="preserve"> considered that</w:t>
      </w:r>
      <w:r w:rsidR="006646F9" w:rsidRPr="00276A8E">
        <w:t xml:space="preserve"> the</w:t>
      </w:r>
      <w:r w:rsidR="00203D69" w:rsidRPr="00276A8E">
        <w:t xml:space="preserve"> safety comparison showed similarities and differences between ribociclib and abemaciclib, and </w:t>
      </w:r>
      <w:r w:rsidR="006646F9" w:rsidRPr="00276A8E">
        <w:t>not</w:t>
      </w:r>
      <w:r w:rsidR="00203D69" w:rsidRPr="00276A8E">
        <w:t>ed</w:t>
      </w:r>
      <w:r w:rsidR="006646F9" w:rsidRPr="00276A8E">
        <w:t xml:space="preserve"> the following po</w:t>
      </w:r>
      <w:r w:rsidR="00203D69" w:rsidRPr="00276A8E">
        <w:t>ints</w:t>
      </w:r>
      <w:r w:rsidR="00DF2FFD" w:rsidRPr="00276A8E">
        <w:t>:</w:t>
      </w:r>
      <w:bookmarkEnd w:id="53"/>
    </w:p>
    <w:p w14:paraId="0F3F5142" w14:textId="6057A7DD" w:rsidR="00CB1059" w:rsidRPr="00276A8E" w:rsidRDefault="00CB1059" w:rsidP="00F43B37">
      <w:pPr>
        <w:pStyle w:val="ListParagraph"/>
      </w:pPr>
      <w:r w:rsidRPr="00276A8E">
        <w:t>Both trials show that ribociclib and abemaciclib have significantly higher rates of AE compared to the ET alone arm.</w:t>
      </w:r>
    </w:p>
    <w:p w14:paraId="772073CC" w14:textId="5EB7D4B5" w:rsidR="00CB1059" w:rsidRPr="00276A8E" w:rsidRDefault="00CB1059" w:rsidP="00F43B37">
      <w:pPr>
        <w:pStyle w:val="ListParagraph"/>
      </w:pPr>
      <w:r w:rsidRPr="00276A8E">
        <w:t>The CER noted a 2-fold increase in venous thrombotic and embolic events in the ribociclib plus ET compared to ET alone, 38 versus 19 participants respectively. Within these patients 18 (0.71%) patients had pulmonary emboli (three events being fatal) compared with 5 events in the ET arm.</w:t>
      </w:r>
    </w:p>
    <w:p w14:paraId="2216EF53" w14:textId="11B90915" w:rsidR="00CB1059" w:rsidRPr="00276A8E" w:rsidRDefault="0048543B" w:rsidP="00F43B37">
      <w:pPr>
        <w:pStyle w:val="ListParagraph"/>
      </w:pPr>
      <w:r w:rsidRPr="00276A8E">
        <w:t xml:space="preserve">There were </w:t>
      </w:r>
      <w:r w:rsidR="00CB1059" w:rsidRPr="00276A8E">
        <w:t>260 cases of QT interval prolongation reported for ribociclib plus ET, of which all cases were serious, and 32 cases were life-threatening (N = 7) or fatal (N = 25), and 31 cases of fatal hepatobiliary toxicity.</w:t>
      </w:r>
    </w:p>
    <w:p w14:paraId="7E369074" w14:textId="23988940" w:rsidR="00981CB4" w:rsidRPr="00276A8E" w:rsidRDefault="0048543B" w:rsidP="00F43B37">
      <w:pPr>
        <w:pStyle w:val="ListParagraph"/>
      </w:pPr>
      <w:r w:rsidRPr="00276A8E">
        <w:t>There was a s</w:t>
      </w:r>
      <w:r w:rsidR="00CB1059" w:rsidRPr="00276A8E">
        <w:t xml:space="preserve">mall but marked increase in early deaths in those receiving ribociclib plus ET, and infections and pulmonary emboli were the most common </w:t>
      </w:r>
      <w:r w:rsidR="00C14974" w:rsidRPr="00276A8E">
        <w:t>causes and</w:t>
      </w:r>
      <w:r w:rsidR="00CB1059" w:rsidRPr="00276A8E">
        <w:t xml:space="preserve"> were similar in number to the deaths on abemaciclib </w:t>
      </w:r>
      <w:r w:rsidR="00387738" w:rsidRPr="00276A8E">
        <w:t>i</w:t>
      </w:r>
      <w:r w:rsidR="00CB1059" w:rsidRPr="00276A8E">
        <w:t>n monarchE.</w:t>
      </w:r>
    </w:p>
    <w:p w14:paraId="1EFDB3E5" w14:textId="762624A2" w:rsidR="003A36D2" w:rsidRPr="003A36D2" w:rsidRDefault="003A36D2" w:rsidP="00F43B37">
      <w:pPr>
        <w:pStyle w:val="ListParagraph"/>
      </w:pPr>
      <w:r w:rsidRPr="00981CB4">
        <w:t>The difference in the duration of treatment phase between trials (</w:t>
      </w:r>
      <w:r w:rsidR="00F43B37" w:rsidRPr="00981CB4">
        <w:t>5</w:t>
      </w:r>
      <w:r w:rsidR="00F43B37">
        <w:t> </w:t>
      </w:r>
      <w:r w:rsidRPr="00981CB4">
        <w:t>years (NATALEE) versus 2 years (monarchE), may bias the ITC results against ribociclib, with NATALEE likely to report more TEAE.</w:t>
      </w:r>
    </w:p>
    <w:p w14:paraId="6A087E92" w14:textId="30584ACC" w:rsidR="00CB1059" w:rsidRDefault="00CB1059" w:rsidP="007C073C">
      <w:pPr>
        <w:pStyle w:val="3-BodyText"/>
      </w:pPr>
      <w:bookmarkStart w:id="54" w:name="_Toc177475552"/>
      <w:r w:rsidRPr="00276A8E">
        <w:t>The PSCR stated that ribociclib has a different but non-inferior safety profile to abemaciclib and this has been previously accepted by the PBAC in the advanced breast cancer setting</w:t>
      </w:r>
      <w:r w:rsidR="005802AE" w:rsidRPr="00276A8E">
        <w:t xml:space="preserve"> (</w:t>
      </w:r>
      <w:r w:rsidR="005802AE" w:rsidRPr="00276A8E">
        <w:rPr>
          <w:rFonts w:eastAsiaTheme="majorEastAsia"/>
          <w:lang w:eastAsia="en-US"/>
        </w:rPr>
        <w:t>paragraph 7.1, abemaciclib PSD, March 2019)</w:t>
      </w:r>
      <w:r w:rsidRPr="00276A8E">
        <w:t>.</w:t>
      </w:r>
      <w:r w:rsidR="00D30058">
        <w:t xml:space="preserve"> The PBAC considered that the safety profile of ribociclib in eBC is consistent with this previous determination and supported a conclusion of </w:t>
      </w:r>
      <w:r w:rsidR="00D30058" w:rsidRPr="00276A8E">
        <w:t>different but non-inferior safety</w:t>
      </w:r>
      <w:r w:rsidR="00D30058">
        <w:t>.</w:t>
      </w:r>
    </w:p>
    <w:p w14:paraId="5FF73121" w14:textId="64A005B9" w:rsidR="00C13C7C" w:rsidRPr="00DB3D39" w:rsidRDefault="00C13C7C" w:rsidP="00C13C7C">
      <w:pPr>
        <w:pStyle w:val="4-SubsectionHeading"/>
      </w:pPr>
      <w:r w:rsidRPr="00DB3D39">
        <w:t>Economic analysis</w:t>
      </w:r>
      <w:bookmarkEnd w:id="54"/>
      <w:r w:rsidRPr="00DB3D39">
        <w:t xml:space="preserve"> </w:t>
      </w:r>
    </w:p>
    <w:p w14:paraId="29249AC8" w14:textId="3F8BC148" w:rsidR="00C13C7C" w:rsidRPr="00DB3D39" w:rsidRDefault="00C13C7C" w:rsidP="007C073C">
      <w:pPr>
        <w:pStyle w:val="3-BodyText"/>
        <w:rPr>
          <w:color w:val="0066FF"/>
        </w:rPr>
      </w:pPr>
      <w:r w:rsidRPr="00DB3D39">
        <w:t>The submission presented a</w:t>
      </w:r>
      <w:r w:rsidR="00CB7898">
        <w:t xml:space="preserve"> CMA</w:t>
      </w:r>
      <w:r w:rsidRPr="00DB3D39">
        <w:t xml:space="preserve"> </w:t>
      </w:r>
      <w:r w:rsidR="00C50FBD" w:rsidRPr="00DB3D39">
        <w:rPr>
          <w:rFonts w:cs="Calibri"/>
          <w:szCs w:val="24"/>
        </w:rPr>
        <w:t>on the basis that ribociclib and abemaciclib are non-inferio</w:t>
      </w:r>
      <w:r w:rsidR="009E5CE1" w:rsidRPr="00DB3D39">
        <w:rPr>
          <w:rFonts w:cs="Calibri"/>
          <w:szCs w:val="24"/>
        </w:rPr>
        <w:t>r</w:t>
      </w:r>
      <w:r w:rsidR="00C50FBD" w:rsidRPr="00DB3D39">
        <w:rPr>
          <w:rFonts w:cs="Calibri"/>
          <w:szCs w:val="24"/>
        </w:rPr>
        <w:t xml:space="preserve"> in terms of effectiveness and safety</w:t>
      </w:r>
      <w:r w:rsidR="009E5CE1" w:rsidRPr="00DB3D39">
        <w:rPr>
          <w:rFonts w:cs="Calibri"/>
          <w:szCs w:val="24"/>
        </w:rPr>
        <w:t xml:space="preserve">. </w:t>
      </w:r>
      <w:r w:rsidR="007C1412" w:rsidRPr="00112EE5">
        <w:rPr>
          <w:iCs/>
        </w:rPr>
        <w:t xml:space="preserve">In view of the therapeutic conclusions, a CMA </w:t>
      </w:r>
      <w:r w:rsidR="00DF1C0B" w:rsidRPr="00112EE5">
        <w:rPr>
          <w:iCs/>
        </w:rPr>
        <w:t>wa</w:t>
      </w:r>
      <w:r w:rsidR="007C1412" w:rsidRPr="00112EE5">
        <w:rPr>
          <w:iCs/>
        </w:rPr>
        <w:t>s considered</w:t>
      </w:r>
      <w:r w:rsidR="00CB7898">
        <w:rPr>
          <w:iCs/>
        </w:rPr>
        <w:t xml:space="preserve"> </w:t>
      </w:r>
      <w:r w:rsidR="00CB7898" w:rsidRPr="00276A8E">
        <w:rPr>
          <w:iCs/>
        </w:rPr>
        <w:t xml:space="preserve">by the evaluation </w:t>
      </w:r>
      <w:r w:rsidR="00387738" w:rsidRPr="00276A8E">
        <w:rPr>
          <w:iCs/>
        </w:rPr>
        <w:t xml:space="preserve">and the ESC </w:t>
      </w:r>
      <w:r w:rsidR="00CB7898" w:rsidRPr="00276A8E">
        <w:rPr>
          <w:iCs/>
        </w:rPr>
        <w:t>to be</w:t>
      </w:r>
      <w:r w:rsidR="007C1412" w:rsidRPr="00112EE5">
        <w:rPr>
          <w:iCs/>
        </w:rPr>
        <w:t xml:space="preserve"> appropriate.</w:t>
      </w:r>
      <w:r w:rsidR="007C1412" w:rsidRPr="00DB3D39">
        <w:t xml:space="preserve"> </w:t>
      </w:r>
      <w:r w:rsidR="007C1412" w:rsidRPr="00112EE5">
        <w:t>The key assumptions and components of the cost-minimisation approach are described in</w:t>
      </w:r>
      <w:r w:rsidR="007C1412" w:rsidRPr="00DB3D39">
        <w:rPr>
          <w:color w:val="0066FF"/>
        </w:rPr>
        <w:t xml:space="preserve"> </w:t>
      </w:r>
      <w:r w:rsidR="00D46017" w:rsidRPr="00DB3D39">
        <w:rPr>
          <w:i/>
        </w:rPr>
        <w:fldChar w:fldCharType="begin" w:fldLock="1"/>
      </w:r>
      <w:r w:rsidR="00D46017" w:rsidRPr="00DB3D39">
        <w:rPr>
          <w:i/>
        </w:rPr>
        <w:instrText xml:space="preserve"> REF _Ref176858639 \h </w:instrText>
      </w:r>
      <w:r w:rsidR="00D46017" w:rsidRPr="00DB3D39">
        <w:rPr>
          <w:i/>
        </w:rPr>
      </w:r>
      <w:r w:rsidR="00D46017" w:rsidRPr="00DB3D39">
        <w:rPr>
          <w:i/>
        </w:rPr>
        <w:fldChar w:fldCharType="separate"/>
      </w:r>
      <w:r w:rsidR="00FF083B" w:rsidRPr="00DB3D39">
        <w:t xml:space="preserve">Table </w:t>
      </w:r>
      <w:r w:rsidR="00FF083B">
        <w:rPr>
          <w:noProof/>
        </w:rPr>
        <w:t>12</w:t>
      </w:r>
      <w:r w:rsidR="00D46017" w:rsidRPr="00DB3D39">
        <w:rPr>
          <w:i/>
        </w:rPr>
        <w:fldChar w:fldCharType="end"/>
      </w:r>
      <w:r w:rsidR="00D46017" w:rsidRPr="00112EE5">
        <w:t>.</w:t>
      </w:r>
    </w:p>
    <w:p w14:paraId="7C52A253" w14:textId="614BA923" w:rsidR="00C13C7C" w:rsidRPr="00DB3D39" w:rsidRDefault="00C13C7C" w:rsidP="00614256">
      <w:pPr>
        <w:pStyle w:val="TableHeading"/>
        <w:keepLines/>
        <w:spacing w:before="0" w:after="0"/>
        <w:rPr>
          <w:rStyle w:val="CommentReference"/>
          <w:b w:val="0"/>
        </w:rPr>
      </w:pPr>
      <w:bookmarkStart w:id="55" w:name="_Ref176858639"/>
      <w:r w:rsidRPr="00DB3D39">
        <w:lastRenderedPageBreak/>
        <w:t xml:space="preserve">Table </w:t>
      </w:r>
      <w:r w:rsidR="00FF083B">
        <w:fldChar w:fldCharType="begin" w:fldLock="1"/>
      </w:r>
      <w:r w:rsidR="00FF083B">
        <w:instrText xml:space="preserve"> SEQ Table \* ARABIC </w:instrText>
      </w:r>
      <w:r w:rsidR="00FF083B">
        <w:fldChar w:fldCharType="separate"/>
      </w:r>
      <w:r w:rsidR="00FF083B">
        <w:rPr>
          <w:noProof/>
        </w:rPr>
        <w:t>12</w:t>
      </w:r>
      <w:r w:rsidR="00FF083B">
        <w:rPr>
          <w:noProof/>
        </w:rPr>
        <w:fldChar w:fldCharType="end"/>
      </w:r>
      <w:bookmarkEnd w:id="55"/>
      <w:r w:rsidRPr="00DB3D39">
        <w:t xml:space="preserve">: </w:t>
      </w:r>
      <w:r w:rsidRPr="00DB3D39">
        <w:rPr>
          <w:rStyle w:val="CommentReference"/>
        </w:rPr>
        <w:t>Key components and assumptions of the cost-minimisation approach</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520"/>
      </w:tblGrid>
      <w:tr w:rsidR="00C13C7C" w:rsidRPr="00DB3D39" w14:paraId="76122D5C" w14:textId="77777777">
        <w:tc>
          <w:tcPr>
            <w:tcW w:w="2660" w:type="dxa"/>
            <w:vAlign w:val="center"/>
          </w:tcPr>
          <w:p w14:paraId="092A48C9" w14:textId="77777777" w:rsidR="00C13C7C" w:rsidRPr="00DB3D39" w:rsidRDefault="00C13C7C" w:rsidP="00614256">
            <w:pPr>
              <w:pStyle w:val="In-tableHeading"/>
              <w:rPr>
                <w:lang w:val="en-AU"/>
              </w:rPr>
            </w:pPr>
            <w:r w:rsidRPr="00DB3D39">
              <w:rPr>
                <w:lang w:val="en-AU"/>
              </w:rPr>
              <w:t>Component</w:t>
            </w:r>
          </w:p>
        </w:tc>
        <w:tc>
          <w:tcPr>
            <w:tcW w:w="6520" w:type="dxa"/>
            <w:vAlign w:val="center"/>
          </w:tcPr>
          <w:p w14:paraId="3636F999" w14:textId="77777777" w:rsidR="00C13C7C" w:rsidRPr="00DB3D39" w:rsidRDefault="00C13C7C" w:rsidP="00614256">
            <w:pPr>
              <w:pStyle w:val="In-tableHeading"/>
              <w:rPr>
                <w:lang w:val="en-AU"/>
              </w:rPr>
            </w:pPr>
            <w:r w:rsidRPr="00DB3D39">
              <w:rPr>
                <w:lang w:val="en-AU"/>
              </w:rPr>
              <w:t>Claim or assumption</w:t>
            </w:r>
          </w:p>
        </w:tc>
      </w:tr>
      <w:tr w:rsidR="00C13C7C" w:rsidRPr="00DB3D39" w14:paraId="29D8B0D3" w14:textId="77777777">
        <w:tc>
          <w:tcPr>
            <w:tcW w:w="2660" w:type="dxa"/>
            <w:vAlign w:val="center"/>
          </w:tcPr>
          <w:p w14:paraId="326306E7" w14:textId="77777777" w:rsidR="00C13C7C" w:rsidRPr="00DB3D39" w:rsidRDefault="00C13C7C" w:rsidP="00614256">
            <w:pPr>
              <w:pStyle w:val="TableText0"/>
            </w:pPr>
            <w:r w:rsidRPr="00DB3D39">
              <w:t>Therapeutic claim: effectiveness</w:t>
            </w:r>
          </w:p>
        </w:tc>
        <w:tc>
          <w:tcPr>
            <w:tcW w:w="6520" w:type="dxa"/>
            <w:vAlign w:val="center"/>
          </w:tcPr>
          <w:p w14:paraId="1C0C95BA" w14:textId="3DECC585" w:rsidR="00C13C7C" w:rsidRPr="00DB3D39" w:rsidRDefault="00C13C7C" w:rsidP="00614256">
            <w:pPr>
              <w:pStyle w:val="TableText0"/>
            </w:pPr>
            <w:r w:rsidRPr="00DB3D39">
              <w:t xml:space="preserve">Based on evidence presented in </w:t>
            </w:r>
            <w:r w:rsidR="00387738">
              <w:t>the submission</w:t>
            </w:r>
            <w:r w:rsidRPr="00DB3D39">
              <w:t>, effectiveness is assumed to be non-inferior</w:t>
            </w:r>
          </w:p>
        </w:tc>
      </w:tr>
      <w:tr w:rsidR="00C13C7C" w:rsidRPr="00DB3D39" w14:paraId="5C24A744" w14:textId="77777777">
        <w:tc>
          <w:tcPr>
            <w:tcW w:w="2660" w:type="dxa"/>
            <w:vAlign w:val="center"/>
          </w:tcPr>
          <w:p w14:paraId="79046797" w14:textId="77777777" w:rsidR="00C13C7C" w:rsidRPr="00DB3D39" w:rsidRDefault="00C13C7C" w:rsidP="00614256">
            <w:pPr>
              <w:pStyle w:val="TableText0"/>
            </w:pPr>
            <w:r w:rsidRPr="00DB3D39">
              <w:t>Therapeutic claim: safety</w:t>
            </w:r>
          </w:p>
        </w:tc>
        <w:tc>
          <w:tcPr>
            <w:tcW w:w="6520" w:type="dxa"/>
            <w:vAlign w:val="center"/>
          </w:tcPr>
          <w:p w14:paraId="3906FCFF" w14:textId="11821BCA" w:rsidR="00C13C7C" w:rsidRPr="00DB3D39" w:rsidRDefault="00C13C7C" w:rsidP="00614256">
            <w:pPr>
              <w:pStyle w:val="TableText0"/>
            </w:pPr>
            <w:r w:rsidRPr="00DB3D39">
              <w:t xml:space="preserve">Based on evidence presented in </w:t>
            </w:r>
            <w:r w:rsidR="00387738">
              <w:t>the submission</w:t>
            </w:r>
            <w:r w:rsidRPr="00DB3D39">
              <w:t>, safety is assumed to be non-inferior</w:t>
            </w:r>
          </w:p>
        </w:tc>
      </w:tr>
      <w:tr w:rsidR="00C13C7C" w:rsidRPr="00DB3D39" w14:paraId="489EB72E" w14:textId="77777777">
        <w:tc>
          <w:tcPr>
            <w:tcW w:w="2660" w:type="dxa"/>
            <w:vAlign w:val="center"/>
          </w:tcPr>
          <w:p w14:paraId="0531B360" w14:textId="77777777" w:rsidR="00C13C7C" w:rsidRPr="00DB3D39" w:rsidRDefault="00C13C7C" w:rsidP="00614256">
            <w:pPr>
              <w:pStyle w:val="TableText0"/>
            </w:pPr>
            <w:r w:rsidRPr="00DB3D39">
              <w:t>Evidence base</w:t>
            </w:r>
          </w:p>
        </w:tc>
        <w:tc>
          <w:tcPr>
            <w:tcW w:w="6520" w:type="dxa"/>
            <w:vAlign w:val="center"/>
          </w:tcPr>
          <w:p w14:paraId="5EBB0AEB" w14:textId="77777777" w:rsidR="00C13C7C" w:rsidRPr="00DB3D39" w:rsidRDefault="00C13C7C" w:rsidP="00614256">
            <w:pPr>
              <w:pStyle w:val="TableText0"/>
            </w:pPr>
            <w:r w:rsidRPr="00DB3D39">
              <w:t>Indirect comparison of ribociclib + adjuvant ET (NATALEE) versus abemaciclib + adjuvant ET (monarchE) using adjuvant ET alone as the common reference</w:t>
            </w:r>
          </w:p>
        </w:tc>
      </w:tr>
      <w:tr w:rsidR="00C13C7C" w:rsidRPr="00DB3D39" w14:paraId="29978667" w14:textId="77777777">
        <w:tc>
          <w:tcPr>
            <w:tcW w:w="2660" w:type="dxa"/>
            <w:vAlign w:val="center"/>
          </w:tcPr>
          <w:p w14:paraId="0BE64970" w14:textId="77777777" w:rsidR="00C13C7C" w:rsidRPr="00DB3D39" w:rsidRDefault="00C13C7C" w:rsidP="00614256">
            <w:pPr>
              <w:pStyle w:val="TableText0"/>
            </w:pPr>
            <w:r w:rsidRPr="00DB3D39">
              <w:t>Equi-effective doses</w:t>
            </w:r>
          </w:p>
        </w:tc>
        <w:tc>
          <w:tcPr>
            <w:tcW w:w="6520" w:type="dxa"/>
            <w:vAlign w:val="center"/>
          </w:tcPr>
          <w:p w14:paraId="1C9C0C7B" w14:textId="77777777" w:rsidR="00C13C7C" w:rsidRPr="00DB3D39" w:rsidRDefault="00C13C7C" w:rsidP="00614256">
            <w:pPr>
              <w:pStyle w:val="TableText0"/>
            </w:pPr>
            <w:r w:rsidRPr="00DB3D39">
              <w:t>Ribociclib 366.0 mg QD on days 1 to 21 of a 28-day cycle + adjuvant ET for 114.8 weeks ≡ Abemaciclib 121.34 mg BID + adjuvant ET for 91.0 weeks</w:t>
            </w:r>
          </w:p>
        </w:tc>
      </w:tr>
      <w:tr w:rsidR="00C13C7C" w:rsidRPr="00DB3D39" w14:paraId="6C573B3D" w14:textId="77777777">
        <w:tc>
          <w:tcPr>
            <w:tcW w:w="2660" w:type="dxa"/>
            <w:vAlign w:val="center"/>
          </w:tcPr>
          <w:p w14:paraId="350BEE57" w14:textId="77777777" w:rsidR="00C13C7C" w:rsidRPr="00DB3D39" w:rsidRDefault="00C13C7C" w:rsidP="00614256">
            <w:pPr>
              <w:pStyle w:val="TableText0"/>
            </w:pPr>
            <w:r w:rsidRPr="00DB3D39">
              <w:t>Direct medicine costs</w:t>
            </w:r>
          </w:p>
        </w:tc>
        <w:tc>
          <w:tcPr>
            <w:tcW w:w="6520" w:type="dxa"/>
            <w:vAlign w:val="center"/>
          </w:tcPr>
          <w:p w14:paraId="534830B4" w14:textId="77777777" w:rsidR="00C13C7C" w:rsidRPr="00DB3D39" w:rsidRDefault="00C13C7C" w:rsidP="00614256">
            <w:pPr>
              <w:pStyle w:val="TableText0"/>
            </w:pPr>
            <w:r w:rsidRPr="00DB3D39">
              <w:t>Cost per patient per course:</w:t>
            </w:r>
          </w:p>
          <w:p w14:paraId="138157C3" w14:textId="77777777" w:rsidR="00C13C7C" w:rsidRPr="00DB3D39" w:rsidRDefault="00C13C7C" w:rsidP="00614256">
            <w:pPr>
              <w:pStyle w:val="TableText0"/>
              <w:rPr>
                <w:szCs w:val="20"/>
              </w:rPr>
            </w:pPr>
            <w:r w:rsidRPr="00DB3D39">
              <w:t xml:space="preserve">Ribociclib = </w:t>
            </w:r>
            <w:r w:rsidRPr="00DB3D39">
              <w:rPr>
                <w:szCs w:val="20"/>
              </w:rPr>
              <w:t>$93,502.96</w:t>
            </w:r>
          </w:p>
          <w:p w14:paraId="64109CAB" w14:textId="77777777" w:rsidR="00C13C7C" w:rsidRPr="00DB3D39" w:rsidRDefault="00C13C7C" w:rsidP="00614256">
            <w:pPr>
              <w:pStyle w:val="TableText0"/>
            </w:pPr>
            <w:r w:rsidRPr="00DB3D39">
              <w:t xml:space="preserve">Abemaciclib = </w:t>
            </w:r>
            <w:r w:rsidRPr="00DB3D39">
              <w:rPr>
                <w:szCs w:val="20"/>
              </w:rPr>
              <w:t>$94,170.31</w:t>
            </w:r>
          </w:p>
        </w:tc>
      </w:tr>
      <w:tr w:rsidR="00C13C7C" w:rsidRPr="00DB3D39" w14:paraId="247C071D" w14:textId="77777777">
        <w:tc>
          <w:tcPr>
            <w:tcW w:w="2660" w:type="dxa"/>
            <w:vAlign w:val="center"/>
          </w:tcPr>
          <w:p w14:paraId="69887B4F" w14:textId="77777777" w:rsidR="00C13C7C" w:rsidRPr="00DB3D39" w:rsidRDefault="00C13C7C" w:rsidP="00614256">
            <w:pPr>
              <w:pStyle w:val="TableText0"/>
            </w:pPr>
            <w:r w:rsidRPr="00DB3D39">
              <w:t>Other costs or cost offsets</w:t>
            </w:r>
          </w:p>
        </w:tc>
        <w:tc>
          <w:tcPr>
            <w:tcW w:w="6520" w:type="dxa"/>
            <w:vAlign w:val="center"/>
          </w:tcPr>
          <w:p w14:paraId="03F9E2BC" w14:textId="10314078" w:rsidR="00C13C7C" w:rsidRPr="00DB3D39" w:rsidRDefault="00C13C7C" w:rsidP="00614256">
            <w:pPr>
              <w:pStyle w:val="TableText0"/>
            </w:pPr>
            <w:r w:rsidRPr="00DB3D39">
              <w:t xml:space="preserve">Additional costs </w:t>
            </w:r>
            <w:r w:rsidR="001D1DAE">
              <w:t>for</w:t>
            </w:r>
            <w:r w:rsidRPr="00DB3D39">
              <w:t xml:space="preserve"> medicine specific monitoring requirements including ECG (risk of QT prolongation), full blood counts, serum electrolytes and liver function tests as well as visits to oncologists due to dose reductions.</w:t>
            </w:r>
          </w:p>
        </w:tc>
      </w:tr>
    </w:tbl>
    <w:p w14:paraId="45299B95" w14:textId="77777777" w:rsidR="00C13C7C" w:rsidRPr="00DB3D39" w:rsidRDefault="00C13C7C" w:rsidP="00614256">
      <w:pPr>
        <w:pStyle w:val="FooterTableFigure"/>
        <w:keepNext/>
        <w:keepLines/>
      </w:pPr>
      <w:r w:rsidRPr="00DB3D39">
        <w:t>Source: Table 3.1-1 p178 and Table 3.4-7 p188 of the submission.</w:t>
      </w:r>
    </w:p>
    <w:p w14:paraId="684277DF" w14:textId="4C28FAAC" w:rsidR="00C13C7C" w:rsidRPr="00DB3D39" w:rsidRDefault="00C13C7C" w:rsidP="00C13C7C">
      <w:pPr>
        <w:pStyle w:val="FooterTableFigure"/>
      </w:pPr>
      <w:r w:rsidRPr="00DB3D39">
        <w:t xml:space="preserve">BID = twice a day; ECG = </w:t>
      </w:r>
      <w:r w:rsidR="00387738" w:rsidRPr="00DB3D39">
        <w:t>electrocardiogram</w:t>
      </w:r>
      <w:r w:rsidRPr="00DB3D39">
        <w:t>; ET = endocrine therapy; mg = milligrams; QD = once a day</w:t>
      </w:r>
    </w:p>
    <w:p w14:paraId="63C34C92" w14:textId="68F782B9" w:rsidR="00A84B03" w:rsidRPr="00DB3D39" w:rsidRDefault="00C13C7C" w:rsidP="007C073C">
      <w:pPr>
        <w:pStyle w:val="3-BodyText"/>
      </w:pPr>
      <w:r w:rsidRPr="00DB3D39">
        <w:t>The equi-effective doses were estimated</w:t>
      </w:r>
      <w:r w:rsidR="00BF497C">
        <w:t xml:space="preserve"> </w:t>
      </w:r>
      <w:r w:rsidR="00BF497C" w:rsidRPr="00276A8E">
        <w:t>in the submission</w:t>
      </w:r>
      <w:r w:rsidRPr="00DB3D39">
        <w:t xml:space="preserve"> as</w:t>
      </w:r>
      <w:r w:rsidR="00A84B03" w:rsidRPr="00DB3D39">
        <w:t>:</w:t>
      </w:r>
      <w:r w:rsidRPr="00DB3D39">
        <w:t xml:space="preserve"> </w:t>
      </w:r>
    </w:p>
    <w:p w14:paraId="54425FBF" w14:textId="708D315B" w:rsidR="007F2CBA" w:rsidRPr="00DB3D39" w:rsidRDefault="004F0E49" w:rsidP="00614256">
      <w:pPr>
        <w:pStyle w:val="ListParagraph"/>
      </w:pPr>
      <w:bookmarkStart w:id="56" w:name="_Hlk180482821"/>
      <w:r w:rsidRPr="00DB3D39">
        <w:t>r</w:t>
      </w:r>
      <w:r w:rsidR="00C13C7C" w:rsidRPr="00DB3D39">
        <w:t>ibociclib 366.0 mg QD on days 1 to 21 of a 28 day cycle + adjuvant ET for 114.8</w:t>
      </w:r>
      <w:r w:rsidR="00614256">
        <w:t> </w:t>
      </w:r>
      <w:r w:rsidR="00C13C7C" w:rsidRPr="00DB3D39">
        <w:t>weeks</w:t>
      </w:r>
      <w:r w:rsidR="007F2CBA" w:rsidRPr="00DB3D39">
        <w:t>;</w:t>
      </w:r>
      <w:r w:rsidR="00C13C7C" w:rsidRPr="00DB3D39">
        <w:t xml:space="preserve"> </w:t>
      </w:r>
    </w:p>
    <w:p w14:paraId="330AE649" w14:textId="77777777" w:rsidR="004F0D63" w:rsidRPr="00DB3D39" w:rsidRDefault="004F0E49" w:rsidP="00614256">
      <w:pPr>
        <w:pStyle w:val="ListParagraph"/>
      </w:pPr>
      <w:r w:rsidRPr="00DB3D39">
        <w:t>a</w:t>
      </w:r>
      <w:r w:rsidR="00C13C7C" w:rsidRPr="00DB3D39">
        <w:t>bemaciclib 121.34 mg BID + adjuvant ET for 91.0 weeks.</w:t>
      </w:r>
      <w:r w:rsidR="00005691" w:rsidRPr="00DB3D39">
        <w:t xml:space="preserve"> </w:t>
      </w:r>
    </w:p>
    <w:bookmarkEnd w:id="56"/>
    <w:p w14:paraId="58FD908F" w14:textId="3CDF3254" w:rsidR="00C13C7C" w:rsidRPr="00DB3D39" w:rsidRDefault="00005691" w:rsidP="007C073C">
      <w:pPr>
        <w:pStyle w:val="3-BodyText"/>
        <w:numPr>
          <w:ilvl w:val="0"/>
          <w:numId w:val="0"/>
        </w:numPr>
        <w:ind w:left="709"/>
      </w:pPr>
      <w:r w:rsidRPr="00DB3D39">
        <w:t xml:space="preserve">These doses were estimated based </w:t>
      </w:r>
      <w:r w:rsidR="00612B97" w:rsidRPr="00DB3D39">
        <w:t xml:space="preserve">on the </w:t>
      </w:r>
      <w:r w:rsidRPr="00DB3D39">
        <w:t xml:space="preserve">dosing regimen </w:t>
      </w:r>
      <w:r w:rsidR="00612B97" w:rsidRPr="00DB3D39">
        <w:t xml:space="preserve">used </w:t>
      </w:r>
      <w:r w:rsidR="004F0E49" w:rsidRPr="00DB3D39">
        <w:t xml:space="preserve">in </w:t>
      </w:r>
      <w:r w:rsidR="00612B97" w:rsidRPr="00DB3D39">
        <w:t>the NATALEE and monarchE</w:t>
      </w:r>
      <w:r w:rsidR="0099729C" w:rsidRPr="00DB3D39">
        <w:t xml:space="preserve"> trials</w:t>
      </w:r>
      <w:r w:rsidR="00612B97" w:rsidRPr="00DB3D39">
        <w:t xml:space="preserve"> </w:t>
      </w:r>
      <w:r w:rsidR="009C2978" w:rsidRPr="00DB3D39">
        <w:t>and account</w:t>
      </w:r>
      <w:r w:rsidR="009B4B10" w:rsidRPr="00DB3D39">
        <w:t>ed</w:t>
      </w:r>
      <w:r w:rsidR="009C2978" w:rsidRPr="00DB3D39">
        <w:t xml:space="preserve"> for </w:t>
      </w:r>
      <w:r w:rsidRPr="00DB3D39">
        <w:t xml:space="preserve">the </w:t>
      </w:r>
      <w:r w:rsidR="009C2978" w:rsidRPr="00DB3D39">
        <w:t xml:space="preserve">corresponding </w:t>
      </w:r>
      <w:r w:rsidRPr="00DB3D39">
        <w:t xml:space="preserve">dose reductions </w:t>
      </w:r>
      <w:r w:rsidR="00447D93" w:rsidRPr="00DB3D39">
        <w:t xml:space="preserve">to manage drug related </w:t>
      </w:r>
      <w:r w:rsidR="00A21B4E" w:rsidRPr="00DB3D39">
        <w:t>toxicities</w:t>
      </w:r>
      <w:r w:rsidR="00447D93" w:rsidRPr="00DB3D39">
        <w:t xml:space="preserve">. </w:t>
      </w:r>
      <w:r w:rsidR="00447D93" w:rsidRPr="00276A8E">
        <w:rPr>
          <w:iCs/>
        </w:rPr>
        <w:t>T</w:t>
      </w:r>
      <w:r w:rsidR="00241415" w:rsidRPr="00276A8E">
        <w:rPr>
          <w:iCs/>
        </w:rPr>
        <w:t>he evaluation considered that</w:t>
      </w:r>
      <w:r w:rsidR="00241415">
        <w:rPr>
          <w:iCs/>
        </w:rPr>
        <w:t xml:space="preserve"> t</w:t>
      </w:r>
      <w:r w:rsidR="00447D93" w:rsidRPr="00112EE5">
        <w:rPr>
          <w:iCs/>
        </w:rPr>
        <w:t xml:space="preserve">his </w:t>
      </w:r>
      <w:r w:rsidR="00DF1C0B" w:rsidRPr="00112EE5">
        <w:rPr>
          <w:iCs/>
        </w:rPr>
        <w:t>wa</w:t>
      </w:r>
      <w:r w:rsidR="00447D93" w:rsidRPr="00112EE5">
        <w:rPr>
          <w:iCs/>
        </w:rPr>
        <w:t>s appropriate.</w:t>
      </w:r>
      <w:r w:rsidR="00447D93" w:rsidRPr="00DB3D39">
        <w:t xml:space="preserve"> </w:t>
      </w:r>
    </w:p>
    <w:p w14:paraId="172AE814" w14:textId="22005162" w:rsidR="00CE0A8C" w:rsidRPr="00DB3D39" w:rsidRDefault="00C13C7C" w:rsidP="00CD4EA7">
      <w:pPr>
        <w:pStyle w:val="3-BodyText"/>
      </w:pPr>
      <w:r w:rsidRPr="00DB3D39">
        <w:t>The submission estimated the mean dose of ribociclib based on the ITT population of the NATALEE trial</w:t>
      </w:r>
      <w:r w:rsidR="001C5C97">
        <w:t xml:space="preserve"> in which patients were treated with 400 mg of ribo</w:t>
      </w:r>
      <w:r w:rsidR="00B31991">
        <w:t>ciclib per day</w:t>
      </w:r>
      <w:r w:rsidRPr="00ED1A3B">
        <w:t xml:space="preserve">. </w:t>
      </w:r>
      <w:r w:rsidR="0073662B">
        <w:t>Dose reductions</w:t>
      </w:r>
      <w:r w:rsidR="0012114D" w:rsidRPr="0052393B">
        <w:t xml:space="preserve"> to 200 mg </w:t>
      </w:r>
      <w:r w:rsidR="00362555">
        <w:t>per day</w:t>
      </w:r>
      <w:r w:rsidR="0012114D" w:rsidRPr="0052393B">
        <w:t xml:space="preserve"> </w:t>
      </w:r>
      <w:r w:rsidR="0073662B">
        <w:t xml:space="preserve">were required </w:t>
      </w:r>
      <w:r w:rsidR="0012114D" w:rsidRPr="0052393B">
        <w:t>in 2</w:t>
      </w:r>
      <w:r w:rsidR="0012114D">
        <w:t>6.7</w:t>
      </w:r>
      <w:r w:rsidR="0012114D" w:rsidRPr="0052393B">
        <w:t>% of patients primarily due to adverse events</w:t>
      </w:r>
      <w:r w:rsidR="00A91030">
        <w:t>.</w:t>
      </w:r>
      <w:r w:rsidR="0012114D" w:rsidRPr="001A2D00">
        <w:t xml:space="preserve"> </w:t>
      </w:r>
      <w:r w:rsidR="00A43EA6">
        <w:t>T</w:t>
      </w:r>
      <w:r w:rsidR="00FD365F" w:rsidRPr="00DB3D39">
        <w:t xml:space="preserve">he mean cumulative dose </w:t>
      </w:r>
      <w:r w:rsidR="00A55FB5" w:rsidRPr="00DB3D39">
        <w:t xml:space="preserve">for </w:t>
      </w:r>
      <w:r w:rsidR="00A43EA6">
        <w:t xml:space="preserve">the </w:t>
      </w:r>
      <w:r w:rsidR="00A55FB5" w:rsidRPr="00DB3D39">
        <w:t>ITT population reported in NATALEE trial</w:t>
      </w:r>
      <w:r w:rsidR="00A43EA6">
        <w:t xml:space="preserve"> was 366.0 mg</w:t>
      </w:r>
      <w:r w:rsidR="00A55FB5" w:rsidRPr="00DB3D39">
        <w:t xml:space="preserve">. </w:t>
      </w:r>
      <w:r w:rsidR="004F0E49" w:rsidRPr="00DB3D39">
        <w:t>The submission stated that the</w:t>
      </w:r>
      <w:r w:rsidRPr="00DB3D39">
        <w:t xml:space="preserve"> mean dose of ribociclib in the </w:t>
      </w:r>
      <w:r w:rsidR="00A16402" w:rsidRPr="00DB3D39">
        <w:t xml:space="preserve">PBS </w:t>
      </w:r>
      <w:r w:rsidRPr="00DB3D39">
        <w:t xml:space="preserve">subgroup in NATALEE </w:t>
      </w:r>
      <w:r w:rsidR="004F0E49" w:rsidRPr="00DB3D39">
        <w:t xml:space="preserve">was </w:t>
      </w:r>
      <w:r w:rsidRPr="00DB3D39">
        <w:t>not available</w:t>
      </w:r>
      <w:r w:rsidR="004F0E49" w:rsidRPr="00DB3D39">
        <w:t>.</w:t>
      </w:r>
    </w:p>
    <w:p w14:paraId="641600F5" w14:textId="22239228" w:rsidR="00A93DFE" w:rsidRPr="00387738" w:rsidRDefault="00DB78E8" w:rsidP="007C073C">
      <w:pPr>
        <w:pStyle w:val="3-BodyText"/>
      </w:pPr>
      <w:r w:rsidRPr="00387738">
        <w:t>P</w:t>
      </w:r>
      <w:r w:rsidR="0061302E" w:rsidRPr="00387738">
        <w:t>atients in the</w:t>
      </w:r>
      <w:r w:rsidR="00A96CAA" w:rsidRPr="00387738">
        <w:t xml:space="preserve"> PBS</w:t>
      </w:r>
      <w:r w:rsidR="0061302E" w:rsidRPr="00387738">
        <w:t xml:space="preserve"> subgroup</w:t>
      </w:r>
      <w:r w:rsidR="00D15C0A" w:rsidRPr="00387738">
        <w:t xml:space="preserve"> of the NATALEE trial</w:t>
      </w:r>
      <w:r w:rsidR="0061302E" w:rsidRPr="00387738">
        <w:t xml:space="preserve"> have a more severe disease</w:t>
      </w:r>
      <w:r w:rsidR="00D15C0A" w:rsidRPr="00387738">
        <w:t xml:space="preserve"> than the ITT population</w:t>
      </w:r>
      <w:r w:rsidR="0061302E" w:rsidRPr="00387738">
        <w:t xml:space="preserve"> and are more likely to be treated</w:t>
      </w:r>
      <w:r w:rsidR="00A27AC0" w:rsidRPr="00387738">
        <w:t xml:space="preserve"> longer</w:t>
      </w:r>
      <w:r w:rsidR="0048185B" w:rsidRPr="00387738">
        <w:t xml:space="preserve"> and</w:t>
      </w:r>
      <w:r w:rsidR="00ED5F58" w:rsidRPr="00387738">
        <w:t>/</w:t>
      </w:r>
      <w:r w:rsidR="0048185B" w:rsidRPr="00387738">
        <w:t xml:space="preserve">or be </w:t>
      </w:r>
      <w:r w:rsidR="00ED5F58" w:rsidRPr="00387738">
        <w:t>more compliant with the treatment</w:t>
      </w:r>
      <w:r w:rsidR="004F0E49" w:rsidRPr="00387738">
        <w:t>.</w:t>
      </w:r>
      <w:r w:rsidR="0061302E" w:rsidRPr="00112EE5">
        <w:t xml:space="preserve"> </w:t>
      </w:r>
      <w:r w:rsidR="00172701" w:rsidRPr="00276A8E">
        <w:t>The evaluation noted that</w:t>
      </w:r>
      <w:r w:rsidR="00172701">
        <w:t xml:space="preserve"> </w:t>
      </w:r>
      <w:r w:rsidR="00FA303F" w:rsidRPr="00387738">
        <w:t>unless</w:t>
      </w:r>
      <w:r w:rsidR="0061302E" w:rsidRPr="00387738">
        <w:t xml:space="preserve"> the mean dose of treatment for </w:t>
      </w:r>
      <w:r w:rsidR="00B022FB" w:rsidRPr="00387738">
        <w:t>this subgroup</w:t>
      </w:r>
      <w:r w:rsidR="00FA303F" w:rsidRPr="00387738">
        <w:t xml:space="preserve"> is provided</w:t>
      </w:r>
      <w:r w:rsidR="0061302E" w:rsidRPr="00387738">
        <w:t xml:space="preserve">, the impact of a more severe patient population </w:t>
      </w:r>
      <w:r w:rsidR="008F3CEC" w:rsidRPr="00387738">
        <w:t>o</w:t>
      </w:r>
      <w:r w:rsidR="0061302E" w:rsidRPr="00387738">
        <w:t xml:space="preserve">n the </w:t>
      </w:r>
      <w:r w:rsidR="00FA303F" w:rsidRPr="00387738">
        <w:t xml:space="preserve">benefit </w:t>
      </w:r>
      <w:r w:rsidR="0061302E" w:rsidRPr="00387738">
        <w:t>of ribociclib</w:t>
      </w:r>
      <w:r w:rsidR="00F76E05" w:rsidRPr="00387738">
        <w:t xml:space="preserve"> cannot be assessed</w:t>
      </w:r>
      <w:r w:rsidR="0061302E" w:rsidRPr="00387738">
        <w:t xml:space="preserve">. </w:t>
      </w:r>
    </w:p>
    <w:p w14:paraId="3B2FB1F6" w14:textId="00FA276F" w:rsidR="00C13C7C" w:rsidRPr="00276A8E" w:rsidRDefault="00C13C7C" w:rsidP="007C073C">
      <w:pPr>
        <w:pStyle w:val="3-BodyText"/>
      </w:pPr>
      <w:r w:rsidRPr="00DB3D39">
        <w:t>The submission estimated</w:t>
      </w:r>
      <w:r w:rsidR="00B95A1B">
        <w:t xml:space="preserve"> the</w:t>
      </w:r>
      <w:r w:rsidRPr="00DB3D39">
        <w:t xml:space="preserve"> mean duration of treatment with ribociclib in the subgroup of patients in NATALEE who would have been eligible </w:t>
      </w:r>
      <w:r w:rsidR="00B95A1B">
        <w:t>in</w:t>
      </w:r>
      <w:r w:rsidRPr="00DB3D39">
        <w:t xml:space="preserve"> monarchE</w:t>
      </w:r>
      <w:r w:rsidR="00B95A1B">
        <w:t xml:space="preserve"> </w:t>
      </w:r>
      <w:r w:rsidR="00B95A1B" w:rsidRPr="001B3C28">
        <w:t>(PBS population)</w:t>
      </w:r>
      <w:r w:rsidRPr="001B3C28">
        <w:t xml:space="preserve"> </w:t>
      </w:r>
      <w:r w:rsidRPr="00DB3D39">
        <w:t xml:space="preserve">from a post-hoc analysis of the time to treatment discontinuation (TTD) Kaplan-Meier curve. The treatment with ribociclib continued for 3 years or until disease recurrence or unacceptable toxicity. The analysis estimated a </w:t>
      </w:r>
      <w:r w:rsidRPr="00D2300A">
        <w:t xml:space="preserve">mean treatment </w:t>
      </w:r>
      <w:r w:rsidRPr="00D2300A">
        <w:lastRenderedPageBreak/>
        <w:t>duration of 114.8</w:t>
      </w:r>
      <w:r w:rsidR="00B8522B">
        <w:t>4</w:t>
      </w:r>
      <w:r w:rsidRPr="00D2300A">
        <w:t xml:space="preserve"> weeks</w:t>
      </w:r>
      <w:r w:rsidR="004A5A8C" w:rsidRPr="00D2300A">
        <w:t xml:space="preserve"> for ribociclib</w:t>
      </w:r>
      <w:r w:rsidR="0038576B">
        <w:rPr>
          <w:rStyle w:val="FootnoteReference"/>
        </w:rPr>
        <w:footnoteReference w:id="16"/>
      </w:r>
      <w:r w:rsidRPr="00D2300A">
        <w:t>.</w:t>
      </w:r>
      <w:r w:rsidRPr="00DB3D39">
        <w:t xml:space="preserve"> </w:t>
      </w:r>
      <w:r w:rsidR="00E24E2A" w:rsidRPr="00276A8E">
        <w:t>The ESC noted the cost-minimised price of ribociclib is sensitive to the treatment duration of ribociclib.</w:t>
      </w:r>
    </w:p>
    <w:p w14:paraId="2FCB06FB" w14:textId="2648FBB0" w:rsidR="00792379" w:rsidRPr="002012AA" w:rsidRDefault="00792379" w:rsidP="007C073C">
      <w:pPr>
        <w:pStyle w:val="3-BodyText"/>
      </w:pPr>
      <w:bookmarkStart w:id="57" w:name="_Ref180068796"/>
      <w:r w:rsidRPr="00DB3D39">
        <w:t xml:space="preserve">The submission assumed a </w:t>
      </w:r>
      <w:r w:rsidRPr="00D2300A">
        <w:t>mean treatment duration of abemaciclib of 91 weeks</w:t>
      </w:r>
      <w:r w:rsidRPr="00DB3D39">
        <w:t xml:space="preserve"> (21</w:t>
      </w:r>
      <w:r w:rsidR="009A2B4E">
        <w:t> </w:t>
      </w:r>
      <w:r w:rsidRPr="00DB3D39">
        <w:t>months) based on the monarchE trial.</w:t>
      </w:r>
      <w:r w:rsidR="00D2300A">
        <w:t xml:space="preserve"> </w:t>
      </w:r>
      <w:r w:rsidR="00BF497C" w:rsidRPr="00276A8E">
        <w:t>This</w:t>
      </w:r>
      <w:r w:rsidR="00D2300A" w:rsidRPr="00276A8E">
        <w:t xml:space="preserve"> was based on the mean treatment duration </w:t>
      </w:r>
      <w:r w:rsidR="00BF497C" w:rsidRPr="00276A8E">
        <w:t xml:space="preserve">modelled for the economic evaluation of abemaciclib </w:t>
      </w:r>
      <w:r w:rsidR="00D2300A" w:rsidRPr="00276A8E">
        <w:t xml:space="preserve">(paragraph </w:t>
      </w:r>
      <w:r w:rsidR="00BF497C" w:rsidRPr="00276A8E">
        <w:t>7.13</w:t>
      </w:r>
      <w:r w:rsidR="00D2300A" w:rsidRPr="00276A8E">
        <w:t>, abemaciclib PSD, November 2023).</w:t>
      </w:r>
      <w:r w:rsidRPr="00276A8E">
        <w:t xml:space="preserve"> </w:t>
      </w:r>
      <w:r w:rsidRPr="00112EE5">
        <w:t>However, the PBAC</w:t>
      </w:r>
      <w:r w:rsidR="00D2300A">
        <w:t xml:space="preserve"> </w:t>
      </w:r>
      <w:r w:rsidR="00D2300A" w:rsidRPr="001B3C28">
        <w:t>also</w:t>
      </w:r>
      <w:r w:rsidRPr="00112EE5">
        <w:t xml:space="preserve"> considered abemaciclib use in clinical practice was likely to be less than the mean treatment duration reported in the monarchE trial due to </w:t>
      </w:r>
      <w:r w:rsidR="00EF7362" w:rsidRPr="00112EE5">
        <w:t xml:space="preserve">treatment related </w:t>
      </w:r>
      <w:r w:rsidRPr="00112EE5">
        <w:t>toxicit</w:t>
      </w:r>
      <w:r w:rsidR="00EF7362" w:rsidRPr="00112EE5">
        <w:t xml:space="preserve">ies </w:t>
      </w:r>
      <w:r w:rsidRPr="00112EE5">
        <w:t>and the likely older cohort treated through the PBS (para</w:t>
      </w:r>
      <w:r w:rsidR="005C7E8D">
        <w:t>graph</w:t>
      </w:r>
      <w:r w:rsidRPr="00112EE5">
        <w:t xml:space="preserve"> 7.13, abemaciclib PSD, November 2023). The PBAC considered that a mean treatment duration of 18 months </w:t>
      </w:r>
      <w:r w:rsidR="00BF6BEE" w:rsidRPr="00112EE5">
        <w:t>(78 weeks)</w:t>
      </w:r>
      <w:r w:rsidR="006C462D" w:rsidRPr="00112EE5">
        <w:t xml:space="preserve"> </w:t>
      </w:r>
      <w:r w:rsidR="004F0E49" w:rsidRPr="00112EE5">
        <w:t>was a more reasonable estimate. The impact on the price of ribociclib of reducing</w:t>
      </w:r>
      <w:r w:rsidRPr="00112EE5">
        <w:t xml:space="preserve"> the treatment duration of </w:t>
      </w:r>
      <w:r w:rsidRPr="00D01EBB">
        <w:t>abemaciclib</w:t>
      </w:r>
      <w:r w:rsidR="007E396B" w:rsidRPr="00D01EBB">
        <w:t xml:space="preserve"> from 91 weeks</w:t>
      </w:r>
      <w:r w:rsidRPr="00D01EBB">
        <w:t xml:space="preserve"> to</w:t>
      </w:r>
      <w:r w:rsidR="00576F82" w:rsidRPr="00D01EBB">
        <w:t xml:space="preserve"> 78 weeks</w:t>
      </w:r>
      <w:r w:rsidRPr="00D01EBB">
        <w:t xml:space="preserve"> has been tested in </w:t>
      </w:r>
      <w:r w:rsidR="004F0E49" w:rsidRPr="00D01EBB">
        <w:t>a sensitivity analysis</w:t>
      </w:r>
      <w:r w:rsidR="00AC62F8" w:rsidRPr="00D01EBB">
        <w:t xml:space="preserve"> (</w:t>
      </w:r>
      <w:r w:rsidR="00AC62F8" w:rsidRPr="00D01EBB">
        <w:fldChar w:fldCharType="begin" w:fldLock="1"/>
      </w:r>
      <w:r w:rsidR="00AC62F8" w:rsidRPr="00D01EBB">
        <w:instrText xml:space="preserve"> REF _Ref176858667 \h </w:instrText>
      </w:r>
      <w:r w:rsidR="00D01EBB">
        <w:instrText xml:space="preserve"> \* MERGEFORMAT </w:instrText>
      </w:r>
      <w:r w:rsidR="00AC62F8" w:rsidRPr="00D01EBB">
        <w:fldChar w:fldCharType="separate"/>
      </w:r>
      <w:r w:rsidR="00AC62F8" w:rsidRPr="00D01EBB">
        <w:t xml:space="preserve">Table </w:t>
      </w:r>
      <w:r w:rsidR="00AC62F8" w:rsidRPr="00D01EBB">
        <w:rPr>
          <w:noProof/>
        </w:rPr>
        <w:t>14</w:t>
      </w:r>
      <w:r w:rsidR="00AC62F8" w:rsidRPr="00D01EBB">
        <w:fldChar w:fldCharType="end"/>
      </w:r>
      <w:r w:rsidR="00AC62F8" w:rsidRPr="00D01EBB">
        <w:t>)</w:t>
      </w:r>
      <w:r w:rsidR="004F0E49" w:rsidRPr="00D01EBB">
        <w:t>.</w:t>
      </w:r>
      <w:r w:rsidR="007E396B" w:rsidRPr="00D01EBB">
        <w:t xml:space="preserve"> </w:t>
      </w:r>
      <w:r w:rsidR="007E396B" w:rsidRPr="00276A8E">
        <w:t>Changing duration of treatment for abemaciclib</w:t>
      </w:r>
      <w:r w:rsidR="00D01EBB" w:rsidRPr="00276A8E">
        <w:t xml:space="preserve"> from 91 weeks</w:t>
      </w:r>
      <w:r w:rsidR="007E396B" w:rsidRPr="00276A8E">
        <w:t xml:space="preserve"> to 78 weeks </w:t>
      </w:r>
      <w:r w:rsidR="00D01EBB" w:rsidRPr="00276A8E">
        <w:t>de</w:t>
      </w:r>
      <w:r w:rsidR="007E396B" w:rsidRPr="00276A8E">
        <w:t>creases the</w:t>
      </w:r>
      <w:r w:rsidR="00BF497C" w:rsidRPr="00276A8E">
        <w:t xml:space="preserve"> cost-minimised</w:t>
      </w:r>
      <w:r w:rsidR="007E396B" w:rsidRPr="00276A8E">
        <w:t xml:space="preserve"> price of ribociclib for the 42 pack by </w:t>
      </w:r>
      <w:r w:rsidR="00D01EBB" w:rsidRPr="00276A8E">
        <w:t>$527.94</w:t>
      </w:r>
      <w:r w:rsidR="00914531" w:rsidRPr="00276A8E">
        <w:t xml:space="preserve"> (</w:t>
      </w:r>
      <w:r w:rsidR="00D32504" w:rsidRPr="00276A8E">
        <w:t>14</w:t>
      </w:r>
      <w:r w:rsidR="00914531" w:rsidRPr="00276A8E">
        <w:t>% reduction)</w:t>
      </w:r>
      <w:r w:rsidR="007E396B" w:rsidRPr="00276A8E">
        <w:t>.</w:t>
      </w:r>
      <w:r w:rsidR="001021A9" w:rsidRPr="00276A8E">
        <w:t xml:space="preserve"> The PSCR maintained that the abemaciclib treatment duration should be 21 months [91 weeks] based on the previous economic evaluation of abemaciclib. The ESC noted that </w:t>
      </w:r>
      <w:r w:rsidR="00D32504" w:rsidRPr="00276A8E">
        <w:t>the cost-minimised price of ribociclib is sensitive to the treatment duration applied to abemaciclib</w:t>
      </w:r>
      <w:r w:rsidR="00D04E11" w:rsidRPr="00276A8E">
        <w:t xml:space="preserve"> and considered this to be the key issue associated with the CMA</w:t>
      </w:r>
      <w:r w:rsidR="00D32504" w:rsidRPr="00276A8E">
        <w:t>.</w:t>
      </w:r>
      <w:bookmarkEnd w:id="57"/>
      <w:r w:rsidR="00D32504" w:rsidRPr="00276A8E">
        <w:t xml:space="preserve"> </w:t>
      </w:r>
      <w:r w:rsidR="002012AA" w:rsidRPr="00276A8E">
        <w:t>The ESC considered the equi-effective doses should be</w:t>
      </w:r>
      <w:r w:rsidR="002012AA">
        <w:rPr>
          <w:i/>
        </w:rPr>
        <w:t>:</w:t>
      </w:r>
    </w:p>
    <w:p w14:paraId="74E2410D" w14:textId="427C477D" w:rsidR="002012AA" w:rsidRPr="00DB3D39" w:rsidRDefault="002012AA" w:rsidP="009A2B4E">
      <w:pPr>
        <w:pStyle w:val="ListParagraph"/>
      </w:pPr>
      <w:r w:rsidRPr="00DB3D39">
        <w:t>ribociclib 366.0 mg QD on days 1 to 21 of a 28</w:t>
      </w:r>
      <w:r>
        <w:t>-</w:t>
      </w:r>
      <w:r w:rsidRPr="00DB3D39">
        <w:t>day cycle + adjuvant ET for 114.8</w:t>
      </w:r>
      <w:r w:rsidR="00C776E4">
        <w:t>4</w:t>
      </w:r>
      <w:r w:rsidR="009A2B4E">
        <w:t> </w:t>
      </w:r>
      <w:r w:rsidRPr="00DB3D39">
        <w:t xml:space="preserve">weeks; </w:t>
      </w:r>
    </w:p>
    <w:p w14:paraId="26E675B4" w14:textId="02BEC3B7" w:rsidR="002012AA" w:rsidRPr="00DB3D39" w:rsidRDefault="002012AA" w:rsidP="009A2B4E">
      <w:pPr>
        <w:pStyle w:val="ListParagraph"/>
      </w:pPr>
      <w:r w:rsidRPr="00DB3D39">
        <w:t xml:space="preserve">abemaciclib 121.34 mg BID + adjuvant ET for </w:t>
      </w:r>
      <w:r>
        <w:t>78</w:t>
      </w:r>
      <w:r w:rsidRPr="00DB3D39">
        <w:t xml:space="preserve"> weeks. </w:t>
      </w:r>
    </w:p>
    <w:p w14:paraId="1AD79225" w14:textId="51415160" w:rsidR="0091705A" w:rsidRPr="00DB3D39" w:rsidRDefault="00D008EC" w:rsidP="007C073C">
      <w:pPr>
        <w:pStyle w:val="3-BodyText"/>
      </w:pPr>
      <w:r w:rsidRPr="00DB3D39">
        <w:t>The m</w:t>
      </w:r>
      <w:r w:rsidR="00C13C7C" w:rsidRPr="00DB3D39">
        <w:t>ean dose of abemaciclib was estimated based on monarchE in which the patients were treated with 150 mg twice daily with up to two dose reductions</w:t>
      </w:r>
      <w:r w:rsidR="005802AE">
        <w:t>,</w:t>
      </w:r>
      <w:r w:rsidR="00C13C7C" w:rsidRPr="00DB3D39">
        <w:t xml:space="preserve"> to 100</w:t>
      </w:r>
      <w:r w:rsidR="008D2402" w:rsidRPr="00DB3D39">
        <w:t> </w:t>
      </w:r>
      <w:r w:rsidR="00C13C7C" w:rsidRPr="00DB3D39">
        <w:t>mg twice daily and 50 mg twice daily. The submission assumed 29.5% and 13.9% of patients required one and two dose reductions</w:t>
      </w:r>
      <w:r w:rsidR="00F130A0">
        <w:t xml:space="preserve"> due to adverse events</w:t>
      </w:r>
      <w:r w:rsidR="00C13C7C" w:rsidRPr="00DB3D39">
        <w:t>, respectively</w:t>
      </w:r>
      <w:r w:rsidR="0048317C" w:rsidRPr="00DB3D39">
        <w:t xml:space="preserve"> (</w:t>
      </w:r>
      <w:r w:rsidR="00F130A0">
        <w:t xml:space="preserve">as reported in the </w:t>
      </w:r>
      <w:r w:rsidR="00C13C7C" w:rsidRPr="00DB3D39">
        <w:t>Rugo et al. 2022</w:t>
      </w:r>
      <w:r w:rsidR="00F130A0">
        <w:t xml:space="preserve"> publication of monarchE</w:t>
      </w:r>
      <w:r w:rsidR="0048317C" w:rsidRPr="00112EE5">
        <w:t>)</w:t>
      </w:r>
      <w:r w:rsidR="00C13C7C" w:rsidRPr="00112EE5">
        <w:t xml:space="preserve">. </w:t>
      </w:r>
      <w:r w:rsidR="004F0E49" w:rsidRPr="00112EE5">
        <w:rPr>
          <w:iCs/>
        </w:rPr>
        <w:t xml:space="preserve">The impact of this difference </w:t>
      </w:r>
      <w:r w:rsidR="00C13C7C" w:rsidRPr="00112EE5">
        <w:rPr>
          <w:iCs/>
        </w:rPr>
        <w:t>on the mean dose of abemaciclib and price of ribociclib is negligible</w:t>
      </w:r>
      <w:r w:rsidR="004C6D4D" w:rsidRPr="00112EE5">
        <w:rPr>
          <w:iCs/>
        </w:rPr>
        <w:t xml:space="preserve"> due to abemaciclib</w:t>
      </w:r>
      <w:r w:rsidR="005802AE">
        <w:rPr>
          <w:iCs/>
        </w:rPr>
        <w:t xml:space="preserve"> </w:t>
      </w:r>
      <w:r w:rsidR="005802AE" w:rsidRPr="00276A8E">
        <w:rPr>
          <w:iCs/>
        </w:rPr>
        <w:t>being priced the same</w:t>
      </w:r>
      <w:r w:rsidR="004C6C64" w:rsidRPr="00276A8E">
        <w:rPr>
          <w:iCs/>
        </w:rPr>
        <w:t xml:space="preserve"> for all do</w:t>
      </w:r>
      <w:r w:rsidR="008E48D4" w:rsidRPr="00276A8E">
        <w:rPr>
          <w:iCs/>
        </w:rPr>
        <w:t xml:space="preserve">sage </w:t>
      </w:r>
      <w:r w:rsidR="00FF1665" w:rsidRPr="00276A8E">
        <w:rPr>
          <w:iCs/>
        </w:rPr>
        <w:t>strengths</w:t>
      </w:r>
      <w:r w:rsidR="00C13C7C" w:rsidRPr="00276A8E">
        <w:rPr>
          <w:iCs/>
        </w:rPr>
        <w:t>.</w:t>
      </w:r>
    </w:p>
    <w:p w14:paraId="5B0E4971" w14:textId="6B37927E" w:rsidR="004F0E49" w:rsidRPr="00DB3D39" w:rsidRDefault="004F0E49" w:rsidP="007C073C">
      <w:pPr>
        <w:pStyle w:val="3-BodyText"/>
      </w:pPr>
      <w:r w:rsidRPr="00DB3D39">
        <w:t xml:space="preserve">The submission accounted for the cost offsets </w:t>
      </w:r>
      <w:r w:rsidR="000B327C" w:rsidRPr="00DB3D39">
        <w:t>in specialist consu</w:t>
      </w:r>
      <w:r w:rsidR="007A71E7" w:rsidRPr="00DB3D39">
        <w:t>ltations</w:t>
      </w:r>
      <w:r w:rsidRPr="00DB3D39">
        <w:t xml:space="preserve"> arising due to the differences in prescribing profiles of ribociclib and abemaciclib and additional costs due to the differences in monitoring the treatment with the respective drugs. An additional specialist visit is assumed for every dose reduction to change the prescription (26.7% of patients in NATALEE). In monarchE, one specialist visit applied to 29.5% of patients (one dose reduction) and 2 specialist visits to 13.9% of patients. </w:t>
      </w:r>
      <w:r w:rsidR="00F130A0">
        <w:t>The</w:t>
      </w:r>
      <w:r w:rsidR="00F130A0" w:rsidRPr="00DB3D39">
        <w:t xml:space="preserve"> </w:t>
      </w:r>
      <w:r w:rsidRPr="00DB3D39">
        <w:t xml:space="preserve">cost of </w:t>
      </w:r>
      <w:r w:rsidR="00F130A0">
        <w:t xml:space="preserve">additional </w:t>
      </w:r>
      <w:r w:rsidRPr="00DB3D39">
        <w:t xml:space="preserve">specialist visits for </w:t>
      </w:r>
      <w:r w:rsidR="00F130A0">
        <w:t xml:space="preserve">patients treated with </w:t>
      </w:r>
      <w:r w:rsidRPr="00DB3D39">
        <w:t xml:space="preserve">ribociclib </w:t>
      </w:r>
      <w:r w:rsidR="00F130A0">
        <w:t>or</w:t>
      </w:r>
      <w:r w:rsidR="00F130A0" w:rsidRPr="00DB3D39">
        <w:t xml:space="preserve"> </w:t>
      </w:r>
      <w:r w:rsidRPr="00DB3D39">
        <w:lastRenderedPageBreak/>
        <w:t xml:space="preserve">abemaciclib </w:t>
      </w:r>
      <w:r w:rsidR="00F130A0">
        <w:t>we</w:t>
      </w:r>
      <w:r w:rsidR="00F130A0" w:rsidRPr="00DB3D39">
        <w:t xml:space="preserve">re </w:t>
      </w:r>
      <w:r w:rsidR="00F130A0">
        <w:t xml:space="preserve">estimated to be </w:t>
      </w:r>
      <w:r w:rsidRPr="00DB3D39">
        <w:t xml:space="preserve">$22.56 </w:t>
      </w:r>
      <w:r w:rsidR="00F130A0">
        <w:t>or</w:t>
      </w:r>
      <w:r w:rsidR="00F130A0" w:rsidRPr="00DB3D39">
        <w:t xml:space="preserve"> </w:t>
      </w:r>
      <w:r w:rsidRPr="00DB3D39">
        <w:t xml:space="preserve">$48.36 respectively. </w:t>
      </w:r>
      <w:r w:rsidR="00172701" w:rsidRPr="00276A8E">
        <w:t>The evaluation</w:t>
      </w:r>
      <w:r w:rsidR="005802AE" w:rsidRPr="00276A8E">
        <w:t xml:space="preserve"> and ESC</w:t>
      </w:r>
      <w:r w:rsidR="00172701" w:rsidRPr="00276A8E">
        <w:t xml:space="preserve"> considered that</w:t>
      </w:r>
      <w:r w:rsidR="00172701">
        <w:t xml:space="preserve"> </w:t>
      </w:r>
      <w:r w:rsidR="00172701">
        <w:rPr>
          <w:iCs/>
        </w:rPr>
        <w:t>t</w:t>
      </w:r>
      <w:r w:rsidRPr="00112EE5">
        <w:rPr>
          <w:iCs/>
        </w:rPr>
        <w:t>his</w:t>
      </w:r>
      <w:r w:rsidRPr="00112EE5" w:rsidDel="00565DDF">
        <w:rPr>
          <w:iCs/>
        </w:rPr>
        <w:t xml:space="preserve"> </w:t>
      </w:r>
      <w:r w:rsidR="00996529" w:rsidRPr="00112EE5">
        <w:rPr>
          <w:iCs/>
        </w:rPr>
        <w:t>may have be</w:t>
      </w:r>
      <w:r w:rsidR="005339E7" w:rsidRPr="00112EE5">
        <w:rPr>
          <w:iCs/>
        </w:rPr>
        <w:t>e</w:t>
      </w:r>
      <w:r w:rsidR="00996529" w:rsidRPr="00112EE5">
        <w:rPr>
          <w:iCs/>
        </w:rPr>
        <w:t xml:space="preserve">n </w:t>
      </w:r>
      <w:r w:rsidR="007F3367" w:rsidRPr="00112EE5">
        <w:rPr>
          <w:iCs/>
        </w:rPr>
        <w:t>reasonable</w:t>
      </w:r>
      <w:r w:rsidRPr="00112EE5">
        <w:rPr>
          <w:iCs/>
        </w:rPr>
        <w:t>.</w:t>
      </w:r>
      <w:r w:rsidRPr="00DB3D39">
        <w:t xml:space="preserve"> </w:t>
      </w:r>
    </w:p>
    <w:p w14:paraId="4E245023" w14:textId="6892D394" w:rsidR="004F0E49" w:rsidRPr="00DB3D39" w:rsidRDefault="004F0E49" w:rsidP="007C073C">
      <w:pPr>
        <w:pStyle w:val="3-BodyText"/>
      </w:pPr>
      <w:r w:rsidRPr="00112EE5">
        <w:t xml:space="preserve">Costs related to disease monitoring were drug specific and were derived from the basic monitoring requirements as indicated in the respective PIs. </w:t>
      </w:r>
      <w:r w:rsidRPr="00276A8E">
        <w:t>Th</w:t>
      </w:r>
      <w:r w:rsidR="005802AE" w:rsidRPr="00276A8E">
        <w:t xml:space="preserve">e evaluation considered that </w:t>
      </w:r>
      <w:r w:rsidR="005802AE">
        <w:t>th</w:t>
      </w:r>
      <w:r w:rsidRPr="00112EE5">
        <w:t xml:space="preserve">ese costs may be underestimated. In the case of ribociclib the increased risk of prolonged QT may lead, in some cases, to a questionable ECG reading which may require repeated ECGs and cardiologist reviews. Some of these might also require treatment cessation or treatment switching to abemaciclib which would require additional oncologist consultations; these costs were not considered in the submission’s cost-minimisation approach. </w:t>
      </w:r>
      <w:r w:rsidRPr="00DB3D39">
        <w:t>The estimated monitoring costs for ribociclib and abemaciclib</w:t>
      </w:r>
      <w:r w:rsidR="00D43939" w:rsidRPr="00DB3D39">
        <w:t xml:space="preserve">, </w:t>
      </w:r>
      <w:r w:rsidR="00B07260" w:rsidRPr="00DB3D39">
        <w:t>that</w:t>
      </w:r>
      <w:r w:rsidR="00D43939" w:rsidRPr="00DB3D39">
        <w:t xml:space="preserve"> include</w:t>
      </w:r>
      <w:r w:rsidR="00B07260" w:rsidRPr="00DB3D39">
        <w:t xml:space="preserve"> the cost of specialist consultation, pathologies and imaging</w:t>
      </w:r>
      <w:r w:rsidRPr="00DB3D39">
        <w:t xml:space="preserve"> were $</w:t>
      </w:r>
      <w:r w:rsidR="0080361C" w:rsidRPr="00DB3D39">
        <w:t>915.91</w:t>
      </w:r>
      <w:r w:rsidRPr="00DB3D39">
        <w:t xml:space="preserve"> and $</w:t>
      </w:r>
      <w:r w:rsidR="0080361C" w:rsidRPr="00DB3D39">
        <w:t>248.56</w:t>
      </w:r>
      <w:r w:rsidRPr="00DB3D39">
        <w:t xml:space="preserve">, respectively. </w:t>
      </w:r>
    </w:p>
    <w:p w14:paraId="6223319E" w14:textId="4667B718" w:rsidR="00C13C7C" w:rsidRPr="00DB3D39" w:rsidRDefault="00C13C7C" w:rsidP="007C073C">
      <w:pPr>
        <w:pStyle w:val="3-BodyText"/>
      </w:pPr>
      <w:r w:rsidRPr="00DB3D39">
        <w:t xml:space="preserve">The submission did not account for any costs associated with treatment-related </w:t>
      </w:r>
      <w:r w:rsidR="004F0E49" w:rsidRPr="00DB3D39">
        <w:t xml:space="preserve">AEs, justifying this by </w:t>
      </w:r>
      <w:r w:rsidRPr="00DB3D39">
        <w:t xml:space="preserve">the non-inferior safety of ribociclib compared to abemaciclib. </w:t>
      </w:r>
      <w:r w:rsidR="00577CB0" w:rsidRPr="00112EE5">
        <w:rPr>
          <w:iCs/>
        </w:rPr>
        <w:t>However, based on the</w:t>
      </w:r>
      <w:r w:rsidR="005802AE">
        <w:rPr>
          <w:iCs/>
        </w:rPr>
        <w:t xml:space="preserve"> clinical</w:t>
      </w:r>
      <w:r w:rsidR="00577CB0" w:rsidRPr="00112EE5">
        <w:rPr>
          <w:iCs/>
        </w:rPr>
        <w:t xml:space="preserve"> results presented, the safety profiles are different</w:t>
      </w:r>
      <w:r w:rsidR="00931D74">
        <w:rPr>
          <w:iCs/>
        </w:rPr>
        <w:t>,</w:t>
      </w:r>
      <w:r w:rsidR="00577CB0" w:rsidRPr="00112EE5">
        <w:rPr>
          <w:iCs/>
        </w:rPr>
        <w:t xml:space="preserve"> which may result in different management </w:t>
      </w:r>
      <w:r w:rsidR="004F0E49" w:rsidRPr="00112EE5">
        <w:rPr>
          <w:iCs/>
        </w:rPr>
        <w:t>of AEs.</w:t>
      </w:r>
      <w:r w:rsidR="00577CB0" w:rsidRPr="00112EE5">
        <w:rPr>
          <w:iCs/>
        </w:rPr>
        <w:t xml:space="preserve"> In the advanced setting the </w:t>
      </w:r>
      <w:r w:rsidR="00577CB0" w:rsidRPr="00112EE5">
        <w:rPr>
          <w:rFonts w:eastAsiaTheme="majorEastAsia"/>
          <w:iCs/>
          <w:lang w:eastAsia="en-US"/>
        </w:rPr>
        <w:t>PBAC agreed ribociclib and abemaciclib had non</w:t>
      </w:r>
      <w:r w:rsidR="006A3398" w:rsidRPr="00112EE5">
        <w:rPr>
          <w:rFonts w:eastAsiaTheme="majorEastAsia"/>
          <w:iCs/>
          <w:lang w:eastAsia="en-US"/>
        </w:rPr>
        <w:t>-</w:t>
      </w:r>
      <w:r w:rsidR="00577CB0" w:rsidRPr="00112EE5">
        <w:rPr>
          <w:rFonts w:eastAsiaTheme="majorEastAsia"/>
          <w:iCs/>
          <w:lang w:eastAsia="en-US"/>
        </w:rPr>
        <w:t>inferior safety noting differences between the safety profiles (para</w:t>
      </w:r>
      <w:r w:rsidR="005802AE">
        <w:rPr>
          <w:rFonts w:eastAsiaTheme="majorEastAsia"/>
          <w:iCs/>
          <w:lang w:eastAsia="en-US"/>
        </w:rPr>
        <w:t>graph</w:t>
      </w:r>
      <w:r w:rsidR="00577CB0" w:rsidRPr="00112EE5">
        <w:rPr>
          <w:rFonts w:eastAsiaTheme="majorEastAsia"/>
          <w:iCs/>
          <w:lang w:eastAsia="en-US"/>
        </w:rPr>
        <w:t xml:space="preserve"> 7.1, abemaciclib PSD, March 2019).</w:t>
      </w:r>
      <w:r w:rsidR="00577CB0" w:rsidRPr="00112EE5">
        <w:rPr>
          <w:iCs/>
        </w:rPr>
        <w:t xml:space="preserve"> </w:t>
      </w:r>
    </w:p>
    <w:p w14:paraId="7B33719B" w14:textId="7D06A987" w:rsidR="00C13C7C" w:rsidRPr="00DB3D39" w:rsidRDefault="00D46017" w:rsidP="007C073C">
      <w:pPr>
        <w:pStyle w:val="3-BodyText"/>
      </w:pPr>
      <w:r w:rsidRPr="00DB3D39">
        <w:fldChar w:fldCharType="begin" w:fldLock="1"/>
      </w:r>
      <w:r w:rsidRPr="00DB3D39">
        <w:instrText xml:space="preserve"> REF _Ref176858653 \h </w:instrText>
      </w:r>
      <w:r w:rsidRPr="00DB3D39">
        <w:fldChar w:fldCharType="separate"/>
      </w:r>
      <w:r w:rsidR="00FF083B" w:rsidRPr="00DB3D39">
        <w:t xml:space="preserve">Table </w:t>
      </w:r>
      <w:r w:rsidR="00FF083B">
        <w:rPr>
          <w:noProof/>
        </w:rPr>
        <w:t>13</w:t>
      </w:r>
      <w:r w:rsidRPr="00DB3D39">
        <w:fldChar w:fldCharType="end"/>
      </w:r>
      <w:r w:rsidRPr="00DB3D39">
        <w:t xml:space="preserve"> </w:t>
      </w:r>
      <w:r w:rsidR="00787612" w:rsidRPr="00DB3D39">
        <w:t>presents the results of the CMA of ribociclib</w:t>
      </w:r>
      <w:r w:rsidR="00787612" w:rsidRPr="00DB3D39" w:rsidDel="00787612">
        <w:t xml:space="preserve"> </w:t>
      </w:r>
      <w:r w:rsidR="00787612" w:rsidRPr="00DB3D39">
        <w:t>and abemaciclib</w:t>
      </w:r>
      <w:r w:rsidR="00C13C7C" w:rsidRPr="00DB3D39">
        <w:t>.</w:t>
      </w:r>
    </w:p>
    <w:p w14:paraId="7F9A4722" w14:textId="66C4E2A2" w:rsidR="00C13C7C" w:rsidRPr="00DB3D39" w:rsidRDefault="00C13C7C" w:rsidP="009A2B4E">
      <w:pPr>
        <w:pStyle w:val="TableHeading"/>
        <w:spacing w:before="0" w:after="0"/>
        <w:rPr>
          <w:rStyle w:val="CommentReference"/>
          <w:b w:val="0"/>
        </w:rPr>
      </w:pPr>
      <w:bookmarkStart w:id="58" w:name="_Ref176858653"/>
      <w:r w:rsidRPr="00DB3D39">
        <w:t xml:space="preserve">Table </w:t>
      </w:r>
      <w:r w:rsidR="00FF083B">
        <w:fldChar w:fldCharType="begin" w:fldLock="1"/>
      </w:r>
      <w:r w:rsidR="00FF083B">
        <w:instrText xml:space="preserve"> SEQ Table \* ARABIC </w:instrText>
      </w:r>
      <w:r w:rsidR="00FF083B">
        <w:fldChar w:fldCharType="separate"/>
      </w:r>
      <w:r w:rsidR="00FF083B">
        <w:rPr>
          <w:noProof/>
        </w:rPr>
        <w:t>13</w:t>
      </w:r>
      <w:r w:rsidR="00FF083B">
        <w:rPr>
          <w:noProof/>
        </w:rPr>
        <w:fldChar w:fldCharType="end"/>
      </w:r>
      <w:bookmarkEnd w:id="58"/>
      <w:r w:rsidRPr="00DB3D39">
        <w:t xml:space="preserve">: </w:t>
      </w:r>
      <w:r w:rsidRPr="00DB3D39">
        <w:rPr>
          <w:rStyle w:val="CommentReference"/>
        </w:rPr>
        <w:t>Results of the cost-minimisation approach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3002"/>
        <w:gridCol w:w="3008"/>
      </w:tblGrid>
      <w:tr w:rsidR="004F0E49" w:rsidRPr="00DB3D39" w14:paraId="2DA93B1A" w14:textId="77777777">
        <w:tc>
          <w:tcPr>
            <w:tcW w:w="3007" w:type="dxa"/>
          </w:tcPr>
          <w:p w14:paraId="5CA7DF0F" w14:textId="77777777" w:rsidR="004F0E49" w:rsidRPr="00DB3D39" w:rsidRDefault="004F0E49">
            <w:pPr>
              <w:pStyle w:val="In-tableHeading"/>
              <w:rPr>
                <w:lang w:val="en-AU"/>
              </w:rPr>
            </w:pPr>
            <w:r w:rsidRPr="00DB3D39">
              <w:rPr>
                <w:lang w:val="en-AU"/>
              </w:rPr>
              <w:t>Component</w:t>
            </w:r>
          </w:p>
        </w:tc>
        <w:tc>
          <w:tcPr>
            <w:tcW w:w="3002" w:type="dxa"/>
          </w:tcPr>
          <w:p w14:paraId="2F251818" w14:textId="77777777" w:rsidR="004F0E49" w:rsidRPr="00DB3D39" w:rsidRDefault="004F0E49">
            <w:pPr>
              <w:pStyle w:val="In-tableHeading"/>
              <w:jc w:val="center"/>
              <w:rPr>
                <w:lang w:val="en-AU"/>
              </w:rPr>
            </w:pPr>
            <w:r w:rsidRPr="00DB3D39">
              <w:rPr>
                <w:lang w:val="en-AU"/>
              </w:rPr>
              <w:t>Ribociclib</w:t>
            </w:r>
          </w:p>
        </w:tc>
        <w:tc>
          <w:tcPr>
            <w:tcW w:w="3008" w:type="dxa"/>
          </w:tcPr>
          <w:p w14:paraId="3D1A1BCC" w14:textId="77777777" w:rsidR="004F0E49" w:rsidRPr="00DB3D39" w:rsidRDefault="004F0E49">
            <w:pPr>
              <w:pStyle w:val="In-tableHeading"/>
              <w:jc w:val="center"/>
              <w:rPr>
                <w:lang w:val="en-AU"/>
              </w:rPr>
            </w:pPr>
            <w:r w:rsidRPr="00DB3D39">
              <w:rPr>
                <w:lang w:val="en-AU"/>
              </w:rPr>
              <w:t>Abemaciclib</w:t>
            </w:r>
          </w:p>
        </w:tc>
      </w:tr>
      <w:tr w:rsidR="004F0E49" w:rsidRPr="00DB3D39" w14:paraId="2B56E2D3" w14:textId="77777777">
        <w:tc>
          <w:tcPr>
            <w:tcW w:w="3007" w:type="dxa"/>
          </w:tcPr>
          <w:p w14:paraId="504D0DB1" w14:textId="77777777" w:rsidR="004F0E49" w:rsidRPr="00DB3D39" w:rsidRDefault="004F0E49">
            <w:pPr>
              <w:pStyle w:val="In-tableHeading"/>
              <w:rPr>
                <w:lang w:val="en-AU"/>
              </w:rPr>
            </w:pPr>
            <w:r w:rsidRPr="00DB3D39">
              <w:rPr>
                <w:lang w:val="en-AU"/>
              </w:rPr>
              <w:t>Cost of medicines</w:t>
            </w:r>
          </w:p>
        </w:tc>
        <w:tc>
          <w:tcPr>
            <w:tcW w:w="3002" w:type="dxa"/>
          </w:tcPr>
          <w:p w14:paraId="37131073" w14:textId="77777777" w:rsidR="004F0E49" w:rsidRPr="00DB3D39" w:rsidRDefault="004F0E49">
            <w:pPr>
              <w:pStyle w:val="In-tableHeading"/>
              <w:jc w:val="center"/>
              <w:rPr>
                <w:lang w:val="en-AU"/>
              </w:rPr>
            </w:pPr>
          </w:p>
        </w:tc>
        <w:tc>
          <w:tcPr>
            <w:tcW w:w="3008" w:type="dxa"/>
          </w:tcPr>
          <w:p w14:paraId="716ADAC0" w14:textId="77777777" w:rsidR="004F0E49" w:rsidRPr="00DB3D39" w:rsidRDefault="004F0E49">
            <w:pPr>
              <w:pStyle w:val="In-tableHeading"/>
              <w:jc w:val="center"/>
              <w:rPr>
                <w:lang w:val="en-AU"/>
              </w:rPr>
            </w:pPr>
          </w:p>
        </w:tc>
      </w:tr>
      <w:tr w:rsidR="004F0E49" w:rsidRPr="00DB3D39" w14:paraId="18671443" w14:textId="77777777">
        <w:tc>
          <w:tcPr>
            <w:tcW w:w="3007" w:type="dxa"/>
          </w:tcPr>
          <w:p w14:paraId="3F4881DC" w14:textId="44671495" w:rsidR="004F0E49" w:rsidRPr="00DB3D39" w:rsidRDefault="004F0E49">
            <w:pPr>
              <w:pStyle w:val="TableText0"/>
              <w:rPr>
                <w:i/>
                <w:iCs/>
              </w:rPr>
            </w:pPr>
            <w:r w:rsidRPr="00DB3D39">
              <w:t>Cost per pack</w:t>
            </w:r>
            <w:r w:rsidR="00EC039D" w:rsidRPr="00DB3D39">
              <w:t xml:space="preserve"> (AEM</w:t>
            </w:r>
            <w:r w:rsidR="00EA4BCC" w:rsidRPr="00DB3D39">
              <w:t>P)</w:t>
            </w:r>
          </w:p>
        </w:tc>
        <w:tc>
          <w:tcPr>
            <w:tcW w:w="3002" w:type="dxa"/>
          </w:tcPr>
          <w:p w14:paraId="5BAA9A27" w14:textId="77777777" w:rsidR="004F0E49" w:rsidRPr="00DB3D39" w:rsidRDefault="004F0E49">
            <w:pPr>
              <w:pStyle w:val="TableText0"/>
            </w:pPr>
            <w:r w:rsidRPr="00DB3D39">
              <w:t>200 mg x 42 pack: $3,715.64</w:t>
            </w:r>
          </w:p>
          <w:p w14:paraId="3AE8C414" w14:textId="77777777" w:rsidR="004F0E49" w:rsidRPr="00DB3D39" w:rsidRDefault="004F0E49">
            <w:pPr>
              <w:pStyle w:val="TableText0"/>
              <w:rPr>
                <w:i/>
                <w:iCs/>
              </w:rPr>
            </w:pPr>
            <w:r w:rsidRPr="00DB3D39">
              <w:t>200 mg x 21 pack: $1,857.82</w:t>
            </w:r>
          </w:p>
        </w:tc>
        <w:tc>
          <w:tcPr>
            <w:tcW w:w="3008" w:type="dxa"/>
          </w:tcPr>
          <w:p w14:paraId="0EB6FB0D" w14:textId="77777777" w:rsidR="004F0E49" w:rsidRPr="00DB3D39" w:rsidRDefault="004F0E49">
            <w:pPr>
              <w:pStyle w:val="TableText0"/>
            </w:pPr>
            <w:r w:rsidRPr="00DB3D39">
              <w:t>150 mg x 56 pack: $4,087.85</w:t>
            </w:r>
          </w:p>
          <w:p w14:paraId="1CC9D5A7" w14:textId="77777777" w:rsidR="004F0E49" w:rsidRPr="00DB3D39" w:rsidRDefault="004F0E49">
            <w:pPr>
              <w:pStyle w:val="TableText0"/>
            </w:pPr>
            <w:r w:rsidRPr="00DB3D39">
              <w:t>100 mg x 56 pack: $4,087.85</w:t>
            </w:r>
          </w:p>
          <w:p w14:paraId="0616166D" w14:textId="77777777" w:rsidR="004F0E49" w:rsidRPr="00DB3D39" w:rsidRDefault="004F0E49">
            <w:pPr>
              <w:pStyle w:val="TableText0"/>
              <w:rPr>
                <w:i/>
                <w:iCs/>
              </w:rPr>
            </w:pPr>
            <w:r w:rsidRPr="00DB3D39">
              <w:t>50 mg x 56 pack: $4,087.85</w:t>
            </w:r>
          </w:p>
        </w:tc>
      </w:tr>
      <w:tr w:rsidR="004F0E49" w:rsidRPr="00DB3D39" w14:paraId="54D9816E" w14:textId="77777777">
        <w:tc>
          <w:tcPr>
            <w:tcW w:w="3007" w:type="dxa"/>
          </w:tcPr>
          <w:p w14:paraId="45811ED0" w14:textId="77777777" w:rsidR="004F0E49" w:rsidRPr="00DB3D39" w:rsidRDefault="004F0E49">
            <w:pPr>
              <w:pStyle w:val="TableText0"/>
            </w:pPr>
            <w:r w:rsidRPr="00DB3D39">
              <w:t>Number of packs</w:t>
            </w:r>
          </w:p>
        </w:tc>
        <w:tc>
          <w:tcPr>
            <w:tcW w:w="3002" w:type="dxa"/>
          </w:tcPr>
          <w:p w14:paraId="0587EE8D" w14:textId="4A55ED79" w:rsidR="004F0E49" w:rsidRPr="00DB3D39" w:rsidRDefault="004F0E49" w:rsidP="00046241">
            <w:pPr>
              <w:pStyle w:val="TableText0"/>
            </w:pPr>
            <w:r w:rsidRPr="00DB3D39">
              <w:t>200 mg x 42 pack: 29.95</w:t>
            </w:r>
          </w:p>
          <w:p w14:paraId="4AD75AA8" w14:textId="5D841399" w:rsidR="004F0E49" w:rsidRPr="00DB3D39" w:rsidRDefault="004F0E49" w:rsidP="00046241">
            <w:pPr>
              <w:pStyle w:val="TableText0"/>
            </w:pPr>
            <w:r w:rsidRPr="00DB3D39">
              <w:t>200 mg x 21 pack: 27.61</w:t>
            </w:r>
          </w:p>
        </w:tc>
        <w:tc>
          <w:tcPr>
            <w:tcW w:w="3008" w:type="dxa"/>
          </w:tcPr>
          <w:p w14:paraId="42BDCB27" w14:textId="2EF0A9DA" w:rsidR="004F0E49" w:rsidRPr="00DB3D39" w:rsidRDefault="00F27380" w:rsidP="00A661A9">
            <w:pPr>
              <w:pStyle w:val="TableText0"/>
            </w:pPr>
            <w:r w:rsidRPr="00DB3D39">
              <w:t>1</w:t>
            </w:r>
            <w:r w:rsidR="004F0E49" w:rsidRPr="00DB3D39">
              <w:t>50 mg x 56 pack: 24.75</w:t>
            </w:r>
          </w:p>
          <w:p w14:paraId="06277522" w14:textId="61B0DECB" w:rsidR="004F0E49" w:rsidRPr="00DB3D39" w:rsidRDefault="004F0E49" w:rsidP="00A661A9">
            <w:pPr>
              <w:pStyle w:val="TableText0"/>
            </w:pPr>
            <w:r w:rsidRPr="00DB3D39">
              <w:t>100 mg x 56 pack: 25.25</w:t>
            </w:r>
          </w:p>
          <w:p w14:paraId="32C54449" w14:textId="59600057" w:rsidR="004F0E49" w:rsidRPr="00DB3D39" w:rsidDel="005A5602" w:rsidRDefault="004F0E49" w:rsidP="00A661A9">
            <w:pPr>
              <w:pStyle w:val="TableText0"/>
            </w:pPr>
            <w:r w:rsidRPr="00DB3D39">
              <w:t>50 mg x 56 pack: 19.75</w:t>
            </w:r>
          </w:p>
        </w:tc>
      </w:tr>
      <w:tr w:rsidR="004F0E49" w:rsidRPr="00DB3D39" w14:paraId="10FDF9F0" w14:textId="77777777">
        <w:tc>
          <w:tcPr>
            <w:tcW w:w="3007" w:type="dxa"/>
          </w:tcPr>
          <w:p w14:paraId="37473BCB" w14:textId="52F9E757" w:rsidR="004F0E49" w:rsidRPr="00DB3D39" w:rsidRDefault="00F07D01">
            <w:pPr>
              <w:pStyle w:val="TableText0"/>
              <w:rPr>
                <w:i/>
                <w:iCs/>
              </w:rPr>
            </w:pPr>
            <w:r w:rsidRPr="00DB3D39">
              <w:t>Treatment duration</w:t>
            </w:r>
            <w:r w:rsidR="004F0E49" w:rsidRPr="00DB3D39">
              <w:t xml:space="preserve"> (weeks)</w:t>
            </w:r>
          </w:p>
        </w:tc>
        <w:tc>
          <w:tcPr>
            <w:tcW w:w="3002" w:type="dxa"/>
          </w:tcPr>
          <w:p w14:paraId="42CDA4A0" w14:textId="77777777" w:rsidR="004F0E49" w:rsidRPr="00DB3D39" w:rsidRDefault="004F0E49">
            <w:pPr>
              <w:pStyle w:val="TableText0"/>
              <w:rPr>
                <w:i/>
                <w:iCs/>
              </w:rPr>
            </w:pPr>
            <w:r w:rsidRPr="00DB3D39">
              <w:t>114.84</w:t>
            </w:r>
          </w:p>
        </w:tc>
        <w:tc>
          <w:tcPr>
            <w:tcW w:w="3008" w:type="dxa"/>
          </w:tcPr>
          <w:p w14:paraId="66316BB5" w14:textId="179763EB" w:rsidR="004F0E49" w:rsidRPr="00DB3D39" w:rsidRDefault="004F0E49">
            <w:pPr>
              <w:pStyle w:val="TableText0"/>
              <w:rPr>
                <w:i/>
                <w:iCs/>
              </w:rPr>
            </w:pPr>
            <w:r w:rsidRPr="00DB3D39">
              <w:t>91.00</w:t>
            </w:r>
          </w:p>
        </w:tc>
      </w:tr>
      <w:tr w:rsidR="004F0E49" w:rsidRPr="00DB3D39" w14:paraId="465369BC" w14:textId="77777777">
        <w:tc>
          <w:tcPr>
            <w:tcW w:w="3007" w:type="dxa"/>
          </w:tcPr>
          <w:p w14:paraId="7A6A3756" w14:textId="77777777" w:rsidR="004F0E49" w:rsidRPr="00DB3D39" w:rsidRDefault="004F0E49">
            <w:pPr>
              <w:pStyle w:val="TableText0"/>
              <w:rPr>
                <w:i/>
                <w:iCs/>
                <w:vertAlign w:val="superscript"/>
              </w:rPr>
            </w:pPr>
            <w:r w:rsidRPr="00DB3D39">
              <w:t>Total cost of medicine</w:t>
            </w:r>
            <w:r w:rsidRPr="00DB3D39">
              <w:rPr>
                <w:vertAlign w:val="superscript"/>
              </w:rPr>
              <w:t>a</w:t>
            </w:r>
          </w:p>
        </w:tc>
        <w:tc>
          <w:tcPr>
            <w:tcW w:w="3002" w:type="dxa"/>
          </w:tcPr>
          <w:p w14:paraId="57D9E590" w14:textId="77777777" w:rsidR="004F0E49" w:rsidRPr="00DB3D39" w:rsidRDefault="004F0E49">
            <w:pPr>
              <w:pStyle w:val="TableText0"/>
              <w:rPr>
                <w:i/>
                <w:iCs/>
              </w:rPr>
            </w:pPr>
            <w:r w:rsidRPr="00DB3D39">
              <w:t>$93,502.96</w:t>
            </w:r>
          </w:p>
        </w:tc>
        <w:tc>
          <w:tcPr>
            <w:tcW w:w="3008" w:type="dxa"/>
          </w:tcPr>
          <w:p w14:paraId="5D48A0F3" w14:textId="77777777" w:rsidR="004F0E49" w:rsidRPr="00DB3D39" w:rsidRDefault="004F0E49">
            <w:pPr>
              <w:pStyle w:val="TableText0"/>
              <w:rPr>
                <w:i/>
                <w:iCs/>
              </w:rPr>
            </w:pPr>
            <w:r w:rsidRPr="00DB3D39">
              <w:t>$94,170.31</w:t>
            </w:r>
          </w:p>
        </w:tc>
      </w:tr>
      <w:tr w:rsidR="004F0E49" w:rsidRPr="00DB3D39" w14:paraId="6B9035DD" w14:textId="77777777">
        <w:tc>
          <w:tcPr>
            <w:tcW w:w="3007" w:type="dxa"/>
          </w:tcPr>
          <w:p w14:paraId="090C3AE0" w14:textId="77777777" w:rsidR="004F0E49" w:rsidRPr="00DB3D39" w:rsidRDefault="004F0E49">
            <w:pPr>
              <w:pStyle w:val="TableText0"/>
              <w:rPr>
                <w:i/>
                <w:iCs/>
                <w:vertAlign w:val="superscript"/>
              </w:rPr>
            </w:pPr>
            <w:r w:rsidRPr="00DB3D39">
              <w:t>Cost of monitoring</w:t>
            </w:r>
            <w:r w:rsidRPr="00DB3D39">
              <w:rPr>
                <w:vertAlign w:val="superscript"/>
              </w:rPr>
              <w:t>b</w:t>
            </w:r>
          </w:p>
        </w:tc>
        <w:tc>
          <w:tcPr>
            <w:tcW w:w="3002" w:type="dxa"/>
          </w:tcPr>
          <w:p w14:paraId="353B543B" w14:textId="77777777" w:rsidR="004F0E49" w:rsidRPr="00DB3D39" w:rsidRDefault="004F0E49">
            <w:pPr>
              <w:pStyle w:val="TableText0"/>
              <w:rPr>
                <w:i/>
                <w:iCs/>
              </w:rPr>
            </w:pPr>
            <w:r w:rsidRPr="00DB3D39">
              <w:t>$915.91</w:t>
            </w:r>
          </w:p>
        </w:tc>
        <w:tc>
          <w:tcPr>
            <w:tcW w:w="3008" w:type="dxa"/>
          </w:tcPr>
          <w:p w14:paraId="401B1F65" w14:textId="77777777" w:rsidR="004F0E49" w:rsidRPr="00DB3D39" w:rsidRDefault="004F0E49">
            <w:pPr>
              <w:pStyle w:val="TableText0"/>
              <w:rPr>
                <w:i/>
                <w:iCs/>
              </w:rPr>
            </w:pPr>
            <w:r w:rsidRPr="00DB3D39">
              <w:t>$248.56</w:t>
            </w:r>
          </w:p>
        </w:tc>
      </w:tr>
      <w:tr w:rsidR="004F0E49" w:rsidRPr="00DB3D39" w14:paraId="06E1C806" w14:textId="77777777">
        <w:tc>
          <w:tcPr>
            <w:tcW w:w="3007" w:type="dxa"/>
          </w:tcPr>
          <w:p w14:paraId="166F46C4" w14:textId="77777777" w:rsidR="004F0E49" w:rsidRPr="00DB3D39" w:rsidRDefault="004F0E49">
            <w:pPr>
              <w:pStyle w:val="TableText0"/>
              <w:rPr>
                <w:i/>
                <w:iCs/>
              </w:rPr>
            </w:pPr>
            <w:r w:rsidRPr="00DB3D39">
              <w:t>Total cost per course</w:t>
            </w:r>
          </w:p>
        </w:tc>
        <w:tc>
          <w:tcPr>
            <w:tcW w:w="3002" w:type="dxa"/>
          </w:tcPr>
          <w:p w14:paraId="45FA7AD6" w14:textId="77777777" w:rsidR="004F0E49" w:rsidRPr="00DB3D39" w:rsidRDefault="004F0E49">
            <w:pPr>
              <w:pStyle w:val="TableText0"/>
              <w:rPr>
                <w:i/>
                <w:iCs/>
              </w:rPr>
            </w:pPr>
            <w:r w:rsidRPr="00DB3D39">
              <w:t>$94,418.87</w:t>
            </w:r>
          </w:p>
        </w:tc>
        <w:tc>
          <w:tcPr>
            <w:tcW w:w="3008" w:type="dxa"/>
          </w:tcPr>
          <w:p w14:paraId="35472EF9" w14:textId="77777777" w:rsidR="004F0E49" w:rsidRPr="00DB3D39" w:rsidRDefault="004F0E49">
            <w:pPr>
              <w:pStyle w:val="TableText0"/>
              <w:rPr>
                <w:i/>
                <w:iCs/>
              </w:rPr>
            </w:pPr>
            <w:r w:rsidRPr="00DB3D39">
              <w:t>$94,418.87</w:t>
            </w:r>
          </w:p>
        </w:tc>
      </w:tr>
    </w:tbl>
    <w:p w14:paraId="1EC33F2F" w14:textId="5A906243" w:rsidR="00C13C7C" w:rsidRPr="00DB3D39" w:rsidRDefault="00C13C7C" w:rsidP="00C13C7C">
      <w:pPr>
        <w:pStyle w:val="FooterTableFigure"/>
      </w:pPr>
      <w:r w:rsidRPr="00DB3D39">
        <w:t xml:space="preserve">Source: </w:t>
      </w:r>
      <w:r w:rsidR="003B2FC8" w:rsidRPr="00DB3D39">
        <w:t xml:space="preserve">Table </w:t>
      </w:r>
      <w:r w:rsidR="009C3487" w:rsidRPr="00DB3D39">
        <w:t>3.4-</w:t>
      </w:r>
      <w:r w:rsidR="00C46772" w:rsidRPr="00DB3D39">
        <w:t xml:space="preserve">2 p185, Table 3.4-3 p186 and </w:t>
      </w:r>
      <w:r w:rsidR="003B2FC8" w:rsidRPr="00DB3D39">
        <w:t xml:space="preserve">Table </w:t>
      </w:r>
      <w:r w:rsidR="009C3487" w:rsidRPr="00DB3D39">
        <w:t>3.4-7</w:t>
      </w:r>
      <w:r w:rsidR="00AE0119" w:rsidRPr="00DB3D39">
        <w:t>,</w:t>
      </w:r>
      <w:r w:rsidR="009C3487" w:rsidRPr="00DB3D39">
        <w:t xml:space="preserve"> p</w:t>
      </w:r>
      <w:r w:rsidR="00D752A0" w:rsidRPr="00DB3D39">
        <w:t>188 of the submission</w:t>
      </w:r>
      <w:r w:rsidR="00843D23" w:rsidRPr="00DB3D39">
        <w:t>.</w:t>
      </w:r>
    </w:p>
    <w:p w14:paraId="42AB14E6" w14:textId="147F92E3" w:rsidR="00EA4BCC" w:rsidRPr="00DB3D39" w:rsidRDefault="00EA4BCC" w:rsidP="00C13C7C">
      <w:pPr>
        <w:pStyle w:val="FooterTableFigure"/>
      </w:pPr>
      <w:r w:rsidRPr="00DB3D39">
        <w:t>AEMP = approved ex-manufacturer price</w:t>
      </w:r>
    </w:p>
    <w:p w14:paraId="435BBFF9" w14:textId="7C7F49D5" w:rsidR="00B91564" w:rsidRPr="00DB3D39" w:rsidRDefault="00B91564" w:rsidP="00C13C7C">
      <w:pPr>
        <w:pStyle w:val="FooterTableFigure"/>
      </w:pPr>
      <w:r w:rsidRPr="00DB3D39">
        <w:rPr>
          <w:vertAlign w:val="superscript"/>
        </w:rPr>
        <w:t>a</w:t>
      </w:r>
      <w:r w:rsidRPr="00DB3D39">
        <w:t xml:space="preserve"> </w:t>
      </w:r>
      <w:r w:rsidR="00F10078" w:rsidRPr="00DB3D39">
        <w:t>Total cost of medicine per course is</w:t>
      </w:r>
      <w:r w:rsidRPr="00DB3D39">
        <w:t xml:space="preserve"> calculated </w:t>
      </w:r>
      <w:r w:rsidR="00E84E96" w:rsidRPr="00DB3D39">
        <w:t>by considering</w:t>
      </w:r>
      <w:r w:rsidR="000761E8" w:rsidRPr="00DB3D39">
        <w:t xml:space="preserve"> the</w:t>
      </w:r>
      <w:r w:rsidR="00E84E96" w:rsidRPr="00DB3D39">
        <w:t xml:space="preserve"> </w:t>
      </w:r>
      <w:r w:rsidR="00F10078" w:rsidRPr="00DB3D39">
        <w:t xml:space="preserve">number of packs </w:t>
      </w:r>
      <w:r w:rsidR="00DA032A" w:rsidRPr="00DB3D39">
        <w:t>required with each dose reduction as estimated in the submission.</w:t>
      </w:r>
    </w:p>
    <w:p w14:paraId="31E07B64" w14:textId="77777777" w:rsidR="00C13C7C" w:rsidRPr="00DB3D39" w:rsidRDefault="00B91564" w:rsidP="00EE2546">
      <w:pPr>
        <w:pStyle w:val="FooterTableFigure"/>
      </w:pPr>
      <w:r w:rsidRPr="00DB3D39">
        <w:rPr>
          <w:vertAlign w:val="superscript"/>
        </w:rPr>
        <w:t>b</w:t>
      </w:r>
      <w:r w:rsidRPr="00DB3D39">
        <w:t xml:space="preserve"> </w:t>
      </w:r>
      <w:r w:rsidR="00C13C7C" w:rsidRPr="00DB3D39">
        <w:t>Includes the cost of specialist consultation</w:t>
      </w:r>
      <w:r w:rsidR="00FF0648" w:rsidRPr="00DB3D39">
        <w:t xml:space="preserve">, pathologies and imaging. </w:t>
      </w:r>
    </w:p>
    <w:p w14:paraId="3AC5868D" w14:textId="1147D8F6" w:rsidR="002177F0" w:rsidRDefault="002D7DF2" w:rsidP="007C073C">
      <w:pPr>
        <w:pStyle w:val="3-BodyText"/>
      </w:pPr>
      <w:r w:rsidRPr="00276A8E">
        <w:t>The ESC noted the CMA used a treatment duration for ribociclib of 114.84</w:t>
      </w:r>
      <w:r w:rsidR="00262050">
        <w:t> </w:t>
      </w:r>
      <w:r w:rsidRPr="00276A8E">
        <w:t xml:space="preserve">weeks, which was a smaller proportion of the maximum treatment duration of </w:t>
      </w:r>
      <w:r w:rsidR="00262050" w:rsidRPr="00276A8E">
        <w:t>156</w:t>
      </w:r>
      <w:r w:rsidR="00262050">
        <w:t> </w:t>
      </w:r>
      <w:r w:rsidRPr="00276A8E">
        <w:t>weeks</w:t>
      </w:r>
      <w:r w:rsidR="00B81533">
        <w:t xml:space="preserve"> (3 years)</w:t>
      </w:r>
      <w:r w:rsidR="00422952">
        <w:t xml:space="preserve"> for ribociclib</w:t>
      </w:r>
      <w:r w:rsidRPr="00276A8E">
        <w:t xml:space="preserve"> than was used for abemaciclib</w:t>
      </w:r>
      <w:r w:rsidR="002177F0">
        <w:t xml:space="preserve">: </w:t>
      </w:r>
    </w:p>
    <w:p w14:paraId="5368FB13" w14:textId="43049740" w:rsidR="002177F0" w:rsidRDefault="002177F0" w:rsidP="00CE2A8A">
      <w:pPr>
        <w:pStyle w:val="ListParagraph"/>
      </w:pPr>
      <w:r>
        <w:t xml:space="preserve">Ribociclib: </w:t>
      </w:r>
      <w:r w:rsidR="002D7DF2" w:rsidRPr="00276A8E">
        <w:t>73.6% [114.8</w:t>
      </w:r>
      <w:r w:rsidR="00B8522B" w:rsidRPr="00276A8E">
        <w:t>4</w:t>
      </w:r>
      <w:r>
        <w:t xml:space="preserve"> weeks</w:t>
      </w:r>
      <w:r w:rsidR="002D7DF2" w:rsidRPr="00276A8E">
        <w:t>/156 weeks</w:t>
      </w:r>
      <w:r>
        <w:t xml:space="preserve"> (3 years)</w:t>
      </w:r>
      <w:r w:rsidR="002D7DF2" w:rsidRPr="00276A8E">
        <w:t xml:space="preserve">] versus </w:t>
      </w:r>
    </w:p>
    <w:p w14:paraId="77F3D26B" w14:textId="222B492B" w:rsidR="002D7DF2" w:rsidRPr="00276A8E" w:rsidRDefault="00422952" w:rsidP="00CE2A8A">
      <w:pPr>
        <w:pStyle w:val="ListParagraph"/>
      </w:pPr>
      <w:r>
        <w:t xml:space="preserve">Abemaciclib: </w:t>
      </w:r>
      <w:r w:rsidR="002D7DF2" w:rsidRPr="00276A8E">
        <w:t>87.5% [91</w:t>
      </w:r>
      <w:r>
        <w:t xml:space="preserve"> weeks</w:t>
      </w:r>
      <w:r w:rsidR="002D7DF2" w:rsidRPr="00276A8E">
        <w:t>/104 weeks</w:t>
      </w:r>
      <w:r>
        <w:t xml:space="preserve"> (2 years)</w:t>
      </w:r>
      <w:r w:rsidR="002D7DF2" w:rsidRPr="00276A8E">
        <w:t>].</w:t>
      </w:r>
    </w:p>
    <w:p w14:paraId="0BEA6D32" w14:textId="252F9ED4" w:rsidR="00543E78" w:rsidRPr="00DB3D39" w:rsidRDefault="00B707F6" w:rsidP="007C073C">
      <w:pPr>
        <w:pStyle w:val="3-BodyText"/>
      </w:pPr>
      <w:r w:rsidRPr="00DB3D39">
        <w:t>Abemaciclib is currently PBS listed under a</w:t>
      </w:r>
      <w:r w:rsidR="0001238E" w:rsidRPr="00DB3D39">
        <w:t xml:space="preserve"> </w:t>
      </w:r>
      <w:r w:rsidR="00543E78" w:rsidRPr="00DB3D39">
        <w:t>SPA</w:t>
      </w:r>
      <w:r w:rsidR="0001238E" w:rsidRPr="00DB3D39">
        <w:t>.</w:t>
      </w:r>
      <w:r w:rsidR="005A765D" w:rsidRPr="00DB3D39">
        <w:t xml:space="preserve"> Given the confidential nature of these agreements, the submission </w:t>
      </w:r>
      <w:r w:rsidR="00E04D42" w:rsidRPr="00DB3D39">
        <w:t xml:space="preserve">used the </w:t>
      </w:r>
      <w:r w:rsidR="00410C0F" w:rsidRPr="00DB3D39">
        <w:t>published AEMP for all strengths of</w:t>
      </w:r>
      <w:r w:rsidR="00E128B3" w:rsidRPr="00DB3D39">
        <w:t xml:space="preserve"> $4,087.85</w:t>
      </w:r>
      <w:r w:rsidR="00CE12BF" w:rsidRPr="00DB3D39">
        <w:t>.</w:t>
      </w:r>
      <w:r w:rsidR="00C13C7C" w:rsidRPr="00DB3D39">
        <w:t xml:space="preserve"> </w:t>
      </w:r>
    </w:p>
    <w:p w14:paraId="2F587DA0" w14:textId="08383109" w:rsidR="00C13C7C" w:rsidRPr="00DB3D39" w:rsidRDefault="00C908A0" w:rsidP="007C073C">
      <w:pPr>
        <w:pStyle w:val="3-BodyText"/>
      </w:pPr>
      <w:r>
        <w:lastRenderedPageBreak/>
        <w:t>S</w:t>
      </w:r>
      <w:r w:rsidR="00C13C7C" w:rsidRPr="00DB3D39">
        <w:t>ensitivity analys</w:t>
      </w:r>
      <w:r>
        <w:t>e</w:t>
      </w:r>
      <w:r w:rsidR="00C13C7C" w:rsidRPr="00DB3D39">
        <w:t xml:space="preserve">s </w:t>
      </w:r>
      <w:r>
        <w:t>are</w:t>
      </w:r>
      <w:r w:rsidR="00C13C7C" w:rsidRPr="00DB3D39">
        <w:t xml:space="preserve"> presented in</w:t>
      </w:r>
      <w:r w:rsidR="00D46017" w:rsidRPr="00DB3D39">
        <w:t xml:space="preserve"> </w:t>
      </w:r>
      <w:r w:rsidR="00D46017" w:rsidRPr="00DB3D39">
        <w:fldChar w:fldCharType="begin" w:fldLock="1"/>
      </w:r>
      <w:r w:rsidR="00D46017" w:rsidRPr="00DB3D39">
        <w:instrText xml:space="preserve"> REF _Ref176858667 \h </w:instrText>
      </w:r>
      <w:r w:rsidR="00D46017" w:rsidRPr="00DB3D39">
        <w:fldChar w:fldCharType="separate"/>
      </w:r>
      <w:r w:rsidR="00FF083B" w:rsidRPr="00DB3D39">
        <w:t xml:space="preserve">Table </w:t>
      </w:r>
      <w:r w:rsidR="00FF083B">
        <w:rPr>
          <w:noProof/>
        </w:rPr>
        <w:t>14</w:t>
      </w:r>
      <w:r w:rsidR="00D46017" w:rsidRPr="00DB3D39">
        <w:fldChar w:fldCharType="end"/>
      </w:r>
      <w:r w:rsidR="00D46017" w:rsidRPr="00DB3D39">
        <w:t>.</w:t>
      </w:r>
    </w:p>
    <w:p w14:paraId="70D82C8D" w14:textId="601BDE60" w:rsidR="00C13C7C" w:rsidRPr="00DB3D39" w:rsidRDefault="00C13C7C" w:rsidP="00C13C7C">
      <w:pPr>
        <w:pStyle w:val="Caption"/>
        <w:rPr>
          <w:rStyle w:val="CommentReference"/>
          <w:b w:val="0"/>
          <w:szCs w:val="24"/>
        </w:rPr>
      </w:pPr>
      <w:bookmarkStart w:id="59" w:name="_Ref176858667"/>
      <w:r w:rsidRPr="00DB3D39">
        <w:t xml:space="preserve">Table </w:t>
      </w:r>
      <w:r w:rsidR="00FF083B">
        <w:fldChar w:fldCharType="begin" w:fldLock="1"/>
      </w:r>
      <w:r w:rsidR="00FF083B">
        <w:instrText xml:space="preserve"> SEQ Table \* ARABIC </w:instrText>
      </w:r>
      <w:r w:rsidR="00FF083B">
        <w:fldChar w:fldCharType="separate"/>
      </w:r>
      <w:r w:rsidR="00FF083B">
        <w:rPr>
          <w:noProof/>
        </w:rPr>
        <w:t>14</w:t>
      </w:r>
      <w:r w:rsidR="00FF083B">
        <w:rPr>
          <w:noProof/>
        </w:rPr>
        <w:fldChar w:fldCharType="end"/>
      </w:r>
      <w:bookmarkEnd w:id="59"/>
      <w:r w:rsidRPr="00DB3D39">
        <w:t xml:space="preserve">: </w:t>
      </w:r>
      <w:r w:rsidRPr="00DB3D39">
        <w:rPr>
          <w:rStyle w:val="CommentReference"/>
          <w:szCs w:val="24"/>
        </w:rPr>
        <w:t>Sensitivity analysis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559"/>
        <w:gridCol w:w="1701"/>
        <w:gridCol w:w="1596"/>
        <w:gridCol w:w="1613"/>
      </w:tblGrid>
      <w:tr w:rsidR="004F0E49" w:rsidRPr="001B3C28" w14:paraId="1EB001C8" w14:textId="2C01E78D" w:rsidTr="00262050">
        <w:tc>
          <w:tcPr>
            <w:tcW w:w="2547" w:type="dxa"/>
          </w:tcPr>
          <w:p w14:paraId="30321DBA" w14:textId="77777777" w:rsidR="004F0E49" w:rsidRPr="001B3C28" w:rsidRDefault="004F0E49">
            <w:pPr>
              <w:pStyle w:val="In-tableHeading"/>
              <w:rPr>
                <w:iCs/>
                <w:lang w:val="en-AU"/>
              </w:rPr>
            </w:pPr>
            <w:bookmarkStart w:id="60" w:name="_Hlk180405471"/>
            <w:r w:rsidRPr="001B3C28">
              <w:rPr>
                <w:iCs/>
                <w:lang w:val="en-AU"/>
              </w:rPr>
              <w:t>Parameter</w:t>
            </w:r>
          </w:p>
        </w:tc>
        <w:tc>
          <w:tcPr>
            <w:tcW w:w="1559" w:type="dxa"/>
          </w:tcPr>
          <w:p w14:paraId="0DAB2FD5" w14:textId="77777777" w:rsidR="004F0E49" w:rsidRPr="001B3C28" w:rsidRDefault="004F0E49">
            <w:pPr>
              <w:pStyle w:val="In-tableHeading"/>
              <w:jc w:val="center"/>
              <w:rPr>
                <w:iCs/>
                <w:lang w:val="en-AU"/>
              </w:rPr>
            </w:pPr>
            <w:r w:rsidRPr="001B3C28">
              <w:rPr>
                <w:iCs/>
                <w:lang w:val="en-AU"/>
              </w:rPr>
              <w:t xml:space="preserve">Price of </w:t>
            </w:r>
            <w:r w:rsidRPr="001B3C28" w:rsidDel="00C36A8A">
              <w:rPr>
                <w:iCs/>
                <w:lang w:val="en-AU"/>
              </w:rPr>
              <w:t>R</w:t>
            </w:r>
            <w:r w:rsidRPr="001B3C28">
              <w:rPr>
                <w:iCs/>
                <w:lang w:val="en-AU"/>
              </w:rPr>
              <w:t>ibociclib</w:t>
            </w:r>
          </w:p>
          <w:p w14:paraId="7B56A7E3" w14:textId="56565042" w:rsidR="004F0E49" w:rsidRPr="001B3C28" w:rsidRDefault="004F0E49">
            <w:pPr>
              <w:pStyle w:val="In-tableHeading"/>
              <w:jc w:val="center"/>
              <w:rPr>
                <w:iCs/>
                <w:lang w:val="en-AU"/>
              </w:rPr>
            </w:pPr>
            <w:r w:rsidRPr="001B3C28">
              <w:rPr>
                <w:iCs/>
                <w:lang w:val="en-AU"/>
              </w:rPr>
              <w:t>(42 pack)</w:t>
            </w:r>
          </w:p>
        </w:tc>
        <w:tc>
          <w:tcPr>
            <w:tcW w:w="1701" w:type="dxa"/>
          </w:tcPr>
          <w:p w14:paraId="268950D6" w14:textId="77777777" w:rsidR="003E660A" w:rsidRPr="001B3C28" w:rsidRDefault="003E660A" w:rsidP="003E660A">
            <w:pPr>
              <w:pStyle w:val="In-tableHeading"/>
              <w:jc w:val="center"/>
              <w:rPr>
                <w:iCs/>
                <w:lang w:val="en-AU"/>
              </w:rPr>
            </w:pPr>
            <w:r w:rsidRPr="001B3C28">
              <w:rPr>
                <w:iCs/>
                <w:lang w:val="en-AU"/>
              </w:rPr>
              <w:t>Difference from base case</w:t>
            </w:r>
          </w:p>
          <w:p w14:paraId="7A51E0EF" w14:textId="201A2530" w:rsidR="003E660A" w:rsidRPr="001B3C28" w:rsidRDefault="003E660A" w:rsidP="003E660A">
            <w:pPr>
              <w:pStyle w:val="In-tableHeading"/>
              <w:jc w:val="center"/>
              <w:rPr>
                <w:iCs/>
                <w:lang w:val="en-AU"/>
              </w:rPr>
            </w:pPr>
            <w:r w:rsidRPr="001B3C28">
              <w:rPr>
                <w:iCs/>
                <w:lang w:val="en-AU"/>
              </w:rPr>
              <w:t>(42 pack)</w:t>
            </w:r>
          </w:p>
        </w:tc>
        <w:tc>
          <w:tcPr>
            <w:tcW w:w="1596" w:type="dxa"/>
          </w:tcPr>
          <w:p w14:paraId="549C45F6" w14:textId="77777777" w:rsidR="00A0554A" w:rsidRPr="001B3C28" w:rsidRDefault="00A0554A" w:rsidP="00A0554A">
            <w:pPr>
              <w:pStyle w:val="In-tableHeading"/>
              <w:jc w:val="center"/>
              <w:rPr>
                <w:iCs/>
                <w:lang w:val="en-AU"/>
              </w:rPr>
            </w:pPr>
            <w:r w:rsidRPr="001B3C28">
              <w:rPr>
                <w:iCs/>
                <w:lang w:val="en-AU"/>
              </w:rPr>
              <w:t xml:space="preserve">Price of </w:t>
            </w:r>
            <w:r w:rsidRPr="001B3C28" w:rsidDel="00C36A8A">
              <w:rPr>
                <w:iCs/>
                <w:lang w:val="en-AU"/>
              </w:rPr>
              <w:t>R</w:t>
            </w:r>
            <w:r w:rsidRPr="001B3C28">
              <w:rPr>
                <w:iCs/>
                <w:lang w:val="en-AU"/>
              </w:rPr>
              <w:t>ibociclib</w:t>
            </w:r>
          </w:p>
          <w:p w14:paraId="5D04DD70" w14:textId="003A46EA" w:rsidR="004F0E49" w:rsidRPr="001B3C28" w:rsidRDefault="00A0554A">
            <w:pPr>
              <w:pStyle w:val="In-tableHeading"/>
              <w:jc w:val="center"/>
              <w:rPr>
                <w:iCs/>
                <w:lang w:val="en-AU"/>
              </w:rPr>
            </w:pPr>
            <w:r w:rsidRPr="001B3C28">
              <w:rPr>
                <w:iCs/>
                <w:lang w:val="en-AU"/>
              </w:rPr>
              <w:t>(21 pack)</w:t>
            </w:r>
          </w:p>
        </w:tc>
        <w:tc>
          <w:tcPr>
            <w:tcW w:w="1613" w:type="dxa"/>
          </w:tcPr>
          <w:p w14:paraId="043EF144" w14:textId="77777777" w:rsidR="00A0554A" w:rsidRPr="001B3C28" w:rsidRDefault="00A0554A" w:rsidP="00A0554A">
            <w:pPr>
              <w:pStyle w:val="In-tableHeading"/>
              <w:jc w:val="center"/>
              <w:rPr>
                <w:iCs/>
                <w:lang w:val="en-AU"/>
              </w:rPr>
            </w:pPr>
            <w:r w:rsidRPr="001B3C28">
              <w:rPr>
                <w:iCs/>
                <w:lang w:val="en-AU"/>
              </w:rPr>
              <w:t>Difference from base case</w:t>
            </w:r>
          </w:p>
          <w:p w14:paraId="76BE5A09" w14:textId="1F6E6B73" w:rsidR="003E660A" w:rsidRPr="001B3C28" w:rsidRDefault="006E76E6">
            <w:pPr>
              <w:pStyle w:val="In-tableHeading"/>
              <w:jc w:val="center"/>
              <w:rPr>
                <w:iCs/>
                <w:lang w:val="en-AU"/>
              </w:rPr>
            </w:pPr>
            <w:r w:rsidRPr="001B3C28">
              <w:rPr>
                <w:iCs/>
                <w:lang w:val="en-AU"/>
              </w:rPr>
              <w:t>(</w:t>
            </w:r>
            <w:r w:rsidR="00A0554A" w:rsidRPr="001B3C28">
              <w:rPr>
                <w:iCs/>
                <w:lang w:val="en-AU"/>
              </w:rPr>
              <w:t>21 pack)</w:t>
            </w:r>
          </w:p>
        </w:tc>
      </w:tr>
      <w:tr w:rsidR="004F0E49" w:rsidRPr="001B3C28" w14:paraId="02B0C582" w14:textId="7A50DF08" w:rsidTr="00262050">
        <w:tc>
          <w:tcPr>
            <w:tcW w:w="2547" w:type="dxa"/>
          </w:tcPr>
          <w:p w14:paraId="6141254E" w14:textId="77777777" w:rsidR="004F0E49" w:rsidRPr="001B3C28" w:rsidRDefault="004F0E49">
            <w:pPr>
              <w:pStyle w:val="In-tableHeading"/>
              <w:rPr>
                <w:iCs/>
                <w:lang w:val="en-AU"/>
              </w:rPr>
            </w:pPr>
            <w:r w:rsidRPr="001B3C28">
              <w:rPr>
                <w:iCs/>
                <w:lang w:val="en-AU"/>
              </w:rPr>
              <w:t>Base case</w:t>
            </w:r>
          </w:p>
        </w:tc>
        <w:tc>
          <w:tcPr>
            <w:tcW w:w="1559" w:type="dxa"/>
          </w:tcPr>
          <w:p w14:paraId="1B40FE66" w14:textId="56BF3302" w:rsidR="004F0E49" w:rsidRPr="001B3C28" w:rsidRDefault="004F0E49">
            <w:pPr>
              <w:pStyle w:val="In-tableHeading"/>
              <w:jc w:val="center"/>
              <w:rPr>
                <w:iCs/>
                <w:lang w:val="en-AU"/>
              </w:rPr>
            </w:pPr>
            <w:r w:rsidRPr="001B3C28">
              <w:rPr>
                <w:iCs/>
                <w:lang w:val="en-AU"/>
              </w:rPr>
              <w:t>$3,715.64</w:t>
            </w:r>
          </w:p>
        </w:tc>
        <w:tc>
          <w:tcPr>
            <w:tcW w:w="1701" w:type="dxa"/>
          </w:tcPr>
          <w:p w14:paraId="1AFCAE35" w14:textId="27C89F01" w:rsidR="003E660A" w:rsidRPr="001B3C28" w:rsidRDefault="00576E8F">
            <w:pPr>
              <w:pStyle w:val="In-tableHeading"/>
              <w:jc w:val="center"/>
              <w:rPr>
                <w:iCs/>
                <w:lang w:val="en-AU"/>
              </w:rPr>
            </w:pPr>
            <w:r w:rsidRPr="001B3C28">
              <w:rPr>
                <w:iCs/>
                <w:lang w:val="en-AU"/>
              </w:rPr>
              <w:t>-</w:t>
            </w:r>
          </w:p>
        </w:tc>
        <w:tc>
          <w:tcPr>
            <w:tcW w:w="1596" w:type="dxa"/>
          </w:tcPr>
          <w:p w14:paraId="276C5976" w14:textId="0014AFD2" w:rsidR="004F0E49" w:rsidRPr="001B3C28" w:rsidRDefault="00A0554A">
            <w:pPr>
              <w:pStyle w:val="In-tableHeading"/>
              <w:jc w:val="center"/>
              <w:rPr>
                <w:iCs/>
                <w:lang w:val="en-AU"/>
              </w:rPr>
            </w:pPr>
            <w:r w:rsidRPr="001B3C28">
              <w:rPr>
                <w:iCs/>
                <w:lang w:val="en-AU"/>
              </w:rPr>
              <w:t>$1,857.82</w:t>
            </w:r>
          </w:p>
        </w:tc>
        <w:tc>
          <w:tcPr>
            <w:tcW w:w="1613" w:type="dxa"/>
          </w:tcPr>
          <w:p w14:paraId="09E8A4BD" w14:textId="57B9649E" w:rsidR="003E660A" w:rsidRPr="001B3C28" w:rsidRDefault="00A6146A">
            <w:pPr>
              <w:pStyle w:val="In-tableHeading"/>
              <w:jc w:val="center"/>
              <w:rPr>
                <w:iCs/>
                <w:lang w:val="en-AU"/>
              </w:rPr>
            </w:pPr>
            <w:r w:rsidRPr="001B3C28">
              <w:rPr>
                <w:iCs/>
                <w:lang w:val="en-AU"/>
              </w:rPr>
              <w:t>-</w:t>
            </w:r>
          </w:p>
        </w:tc>
      </w:tr>
      <w:tr w:rsidR="004F0E49" w:rsidRPr="001B3C28" w14:paraId="7D6B6141" w14:textId="26595A3F" w:rsidTr="003E660A">
        <w:tc>
          <w:tcPr>
            <w:tcW w:w="9016" w:type="dxa"/>
            <w:gridSpan w:val="5"/>
          </w:tcPr>
          <w:p w14:paraId="27B129CA" w14:textId="0C5B14AF" w:rsidR="003E660A" w:rsidRPr="001B3C28" w:rsidRDefault="00B20831">
            <w:pPr>
              <w:pStyle w:val="TableText0"/>
              <w:rPr>
                <w:iCs/>
              </w:rPr>
            </w:pPr>
            <w:r w:rsidRPr="001B3C28">
              <w:rPr>
                <w:iCs/>
              </w:rPr>
              <w:t>Duration of treatment with abemaciclib (Base case: 21 months</w:t>
            </w:r>
            <w:r w:rsidR="00B15688" w:rsidRPr="001B3C28">
              <w:rPr>
                <w:iCs/>
              </w:rPr>
              <w:t>, 91 weeks</w:t>
            </w:r>
            <w:r w:rsidR="001D4D8F" w:rsidRPr="001B3C28">
              <w:rPr>
                <w:iCs/>
              </w:rPr>
              <w:t xml:space="preserve"> – 87.5% of maximum treatment duration of 2</w:t>
            </w:r>
            <w:r w:rsidR="00262050">
              <w:rPr>
                <w:iCs/>
              </w:rPr>
              <w:t> </w:t>
            </w:r>
            <w:r w:rsidR="001D4D8F" w:rsidRPr="001B3C28">
              <w:rPr>
                <w:iCs/>
              </w:rPr>
              <w:t>years</w:t>
            </w:r>
            <w:r w:rsidRPr="001B3C28">
              <w:rPr>
                <w:iCs/>
              </w:rPr>
              <w:t>)</w:t>
            </w:r>
          </w:p>
        </w:tc>
      </w:tr>
      <w:tr w:rsidR="004F0E49" w:rsidRPr="001B3C28" w14:paraId="7DCAE3DE" w14:textId="4B01C817" w:rsidTr="00262050">
        <w:tc>
          <w:tcPr>
            <w:tcW w:w="2547" w:type="dxa"/>
            <w:vAlign w:val="center"/>
          </w:tcPr>
          <w:p w14:paraId="23CD3448" w14:textId="77777777" w:rsidR="00651523" w:rsidRPr="001B3C28" w:rsidRDefault="004F0E49">
            <w:pPr>
              <w:pStyle w:val="TableText0"/>
              <w:rPr>
                <w:iCs/>
              </w:rPr>
            </w:pPr>
            <w:r w:rsidRPr="001B3C28">
              <w:rPr>
                <w:iCs/>
              </w:rPr>
              <w:t>18 months</w:t>
            </w:r>
            <w:r w:rsidR="00B15688" w:rsidRPr="001B3C28">
              <w:rPr>
                <w:iCs/>
              </w:rPr>
              <w:t xml:space="preserve"> (78 weeks)</w:t>
            </w:r>
          </w:p>
          <w:p w14:paraId="1B7EE923" w14:textId="125B847A" w:rsidR="004F0E49" w:rsidRPr="001B3C28" w:rsidRDefault="00651523">
            <w:pPr>
              <w:pStyle w:val="TableText0"/>
              <w:rPr>
                <w:iCs/>
              </w:rPr>
            </w:pPr>
            <w:r w:rsidRPr="001B3C28">
              <w:rPr>
                <w:iCs/>
              </w:rPr>
              <w:t>-</w:t>
            </w:r>
            <w:r w:rsidR="002D7DF2" w:rsidRPr="001B3C28">
              <w:rPr>
                <w:iCs/>
              </w:rPr>
              <w:t xml:space="preserve"> 75% of maximum treatment duration of 2 years</w:t>
            </w:r>
          </w:p>
        </w:tc>
        <w:tc>
          <w:tcPr>
            <w:tcW w:w="1559" w:type="dxa"/>
            <w:vAlign w:val="center"/>
          </w:tcPr>
          <w:p w14:paraId="6EC29431" w14:textId="7688D7DB" w:rsidR="004F0E49" w:rsidRPr="001B3C28" w:rsidRDefault="004F0E49" w:rsidP="00C852E2">
            <w:pPr>
              <w:pStyle w:val="TableText0"/>
              <w:jc w:val="center"/>
              <w:rPr>
                <w:iCs/>
              </w:rPr>
            </w:pPr>
            <w:r w:rsidRPr="001B3C28">
              <w:rPr>
                <w:iCs/>
              </w:rPr>
              <w:t>$3,187</w:t>
            </w:r>
            <w:r w:rsidR="00D32504" w:rsidRPr="001B3C28">
              <w:rPr>
                <w:iCs/>
              </w:rPr>
              <w:t>.7</w:t>
            </w:r>
            <w:r w:rsidRPr="001B3C28">
              <w:rPr>
                <w:iCs/>
              </w:rPr>
              <w:t>0</w:t>
            </w:r>
          </w:p>
        </w:tc>
        <w:tc>
          <w:tcPr>
            <w:tcW w:w="1701" w:type="dxa"/>
            <w:vAlign w:val="center"/>
          </w:tcPr>
          <w:p w14:paraId="08567313" w14:textId="1BCBD578" w:rsidR="003E660A" w:rsidRPr="001B3C28" w:rsidRDefault="00576E8F" w:rsidP="00C852E2">
            <w:pPr>
              <w:pStyle w:val="TableText0"/>
              <w:jc w:val="center"/>
              <w:rPr>
                <w:iCs/>
              </w:rPr>
            </w:pPr>
            <w:r w:rsidRPr="001B3C28">
              <w:rPr>
                <w:iCs/>
              </w:rPr>
              <w:t>-$527.94</w:t>
            </w:r>
          </w:p>
        </w:tc>
        <w:tc>
          <w:tcPr>
            <w:tcW w:w="1596" w:type="dxa"/>
            <w:vAlign w:val="center"/>
          </w:tcPr>
          <w:p w14:paraId="39BC09A5" w14:textId="6715170F" w:rsidR="004F0E49" w:rsidRPr="001B3C28" w:rsidRDefault="00A0554A" w:rsidP="00C852E2">
            <w:pPr>
              <w:pStyle w:val="TableText0"/>
              <w:jc w:val="center"/>
              <w:rPr>
                <w:iCs/>
              </w:rPr>
            </w:pPr>
            <w:r w:rsidRPr="001B3C28">
              <w:rPr>
                <w:iCs/>
              </w:rPr>
              <w:t>$1,593.85</w:t>
            </w:r>
          </w:p>
        </w:tc>
        <w:tc>
          <w:tcPr>
            <w:tcW w:w="1613" w:type="dxa"/>
            <w:vAlign w:val="center"/>
          </w:tcPr>
          <w:p w14:paraId="6C0463FE" w14:textId="5C6DAF94" w:rsidR="003E660A" w:rsidRPr="001B3C28" w:rsidRDefault="00A0554A" w:rsidP="00C852E2">
            <w:pPr>
              <w:pStyle w:val="TableText0"/>
              <w:jc w:val="center"/>
              <w:rPr>
                <w:iCs/>
              </w:rPr>
            </w:pPr>
            <w:bookmarkStart w:id="61" w:name="_Hlk178865228"/>
            <w:r w:rsidRPr="001B3C28">
              <w:rPr>
                <w:iCs/>
              </w:rPr>
              <w:t>-$263.97</w:t>
            </w:r>
            <w:bookmarkEnd w:id="61"/>
          </w:p>
        </w:tc>
      </w:tr>
      <w:tr w:rsidR="00316046" w:rsidRPr="001B3C28" w14:paraId="57E294B4" w14:textId="77777777" w:rsidTr="00262050">
        <w:tc>
          <w:tcPr>
            <w:tcW w:w="2547" w:type="dxa"/>
            <w:vAlign w:val="center"/>
          </w:tcPr>
          <w:p w14:paraId="4C97C42B" w14:textId="4E20400C" w:rsidR="00316046" w:rsidRDefault="00316046">
            <w:pPr>
              <w:pStyle w:val="TableText0"/>
              <w:rPr>
                <w:iCs/>
              </w:rPr>
            </w:pPr>
            <w:r>
              <w:rPr>
                <w:iCs/>
              </w:rPr>
              <w:t>17.7 months (</w:t>
            </w:r>
            <w:r w:rsidRPr="00316046">
              <w:rPr>
                <w:iCs/>
              </w:rPr>
              <w:t>76.5</w:t>
            </w:r>
            <w:r w:rsidR="005D3C26">
              <w:rPr>
                <w:iCs/>
              </w:rPr>
              <w:t>6</w:t>
            </w:r>
            <w:r>
              <w:rPr>
                <w:iCs/>
              </w:rPr>
              <w:t xml:space="preserve"> weeks)</w:t>
            </w:r>
          </w:p>
          <w:p w14:paraId="2CA64AAA" w14:textId="5F092085" w:rsidR="00316046" w:rsidRPr="001B3C28" w:rsidRDefault="00316046">
            <w:pPr>
              <w:pStyle w:val="TableText0"/>
              <w:rPr>
                <w:iCs/>
              </w:rPr>
            </w:pPr>
            <w:r>
              <w:rPr>
                <w:iCs/>
              </w:rPr>
              <w:t>- 73.6% of maximum treatment duration of 2 years</w:t>
            </w:r>
            <w:bookmarkStart w:id="62" w:name="_Hlk183175720"/>
            <w:r w:rsidRPr="00316046">
              <w:rPr>
                <w:iCs/>
                <w:vertAlign w:val="superscript"/>
              </w:rPr>
              <w:t>a</w:t>
            </w:r>
            <w:bookmarkEnd w:id="62"/>
          </w:p>
        </w:tc>
        <w:tc>
          <w:tcPr>
            <w:tcW w:w="1559" w:type="dxa"/>
            <w:vAlign w:val="center"/>
          </w:tcPr>
          <w:p w14:paraId="028B1C5A" w14:textId="6BD3784B" w:rsidR="00316046" w:rsidRPr="001B3C28" w:rsidRDefault="005D3C26" w:rsidP="00C852E2">
            <w:pPr>
              <w:pStyle w:val="TableText0"/>
              <w:jc w:val="center"/>
              <w:rPr>
                <w:iCs/>
              </w:rPr>
            </w:pPr>
            <w:r>
              <w:rPr>
                <w:iCs/>
              </w:rPr>
              <w:t>$3,129.17</w:t>
            </w:r>
          </w:p>
        </w:tc>
        <w:tc>
          <w:tcPr>
            <w:tcW w:w="1701" w:type="dxa"/>
            <w:vAlign w:val="center"/>
          </w:tcPr>
          <w:p w14:paraId="2DCB4BD7" w14:textId="513FE587" w:rsidR="00316046" w:rsidRPr="001B3C28" w:rsidRDefault="005D3C26" w:rsidP="00C852E2">
            <w:pPr>
              <w:pStyle w:val="TableText0"/>
              <w:jc w:val="center"/>
              <w:rPr>
                <w:iCs/>
              </w:rPr>
            </w:pPr>
            <w:r>
              <w:rPr>
                <w:iCs/>
              </w:rPr>
              <w:t>-$590.47</w:t>
            </w:r>
          </w:p>
        </w:tc>
        <w:tc>
          <w:tcPr>
            <w:tcW w:w="1596" w:type="dxa"/>
            <w:vAlign w:val="center"/>
          </w:tcPr>
          <w:p w14:paraId="6B2931D9" w14:textId="29B19550" w:rsidR="00316046" w:rsidRPr="001B3C28" w:rsidRDefault="005D3C26" w:rsidP="00C852E2">
            <w:pPr>
              <w:pStyle w:val="TableText0"/>
              <w:jc w:val="center"/>
              <w:rPr>
                <w:iCs/>
              </w:rPr>
            </w:pPr>
            <w:r>
              <w:rPr>
                <w:iCs/>
              </w:rPr>
              <w:t>$1,564.59</w:t>
            </w:r>
          </w:p>
        </w:tc>
        <w:tc>
          <w:tcPr>
            <w:tcW w:w="1613" w:type="dxa"/>
            <w:vAlign w:val="center"/>
          </w:tcPr>
          <w:p w14:paraId="266A5243" w14:textId="5F5CBFF4" w:rsidR="00316046" w:rsidRPr="001B3C28" w:rsidRDefault="005D3C26" w:rsidP="00C852E2">
            <w:pPr>
              <w:pStyle w:val="TableText0"/>
              <w:jc w:val="center"/>
              <w:rPr>
                <w:iCs/>
              </w:rPr>
            </w:pPr>
            <w:r>
              <w:rPr>
                <w:iCs/>
              </w:rPr>
              <w:t>-$293.23</w:t>
            </w:r>
          </w:p>
        </w:tc>
      </w:tr>
      <w:tr w:rsidR="002D7DF2" w:rsidRPr="001B3C28" w14:paraId="192581D8" w14:textId="77777777" w:rsidTr="00B74994">
        <w:tc>
          <w:tcPr>
            <w:tcW w:w="9016" w:type="dxa"/>
            <w:gridSpan w:val="5"/>
            <w:vAlign w:val="center"/>
          </w:tcPr>
          <w:p w14:paraId="5D8A2E77" w14:textId="1D9A0735" w:rsidR="002D7DF2" w:rsidRPr="001B3C28" w:rsidRDefault="002D7DF2" w:rsidP="002D7DF2">
            <w:pPr>
              <w:pStyle w:val="TableText0"/>
              <w:rPr>
                <w:iCs/>
              </w:rPr>
            </w:pPr>
            <w:r w:rsidRPr="001B3C28">
              <w:rPr>
                <w:iCs/>
              </w:rPr>
              <w:t>Duration of treatment with ribociclib (Base case 114.84 weeks</w:t>
            </w:r>
            <w:r w:rsidR="001D4D8F" w:rsidRPr="001B3C28">
              <w:rPr>
                <w:iCs/>
              </w:rPr>
              <w:t xml:space="preserve"> – 73.6% of maximum treatment duration of 3 years</w:t>
            </w:r>
            <w:r w:rsidRPr="001B3C28">
              <w:rPr>
                <w:iCs/>
              </w:rPr>
              <w:t>)</w:t>
            </w:r>
          </w:p>
        </w:tc>
      </w:tr>
      <w:tr w:rsidR="002D7DF2" w:rsidRPr="001B3C28" w14:paraId="1980CBC3" w14:textId="77777777" w:rsidTr="00262050">
        <w:tc>
          <w:tcPr>
            <w:tcW w:w="2547" w:type="dxa"/>
            <w:vAlign w:val="center"/>
          </w:tcPr>
          <w:p w14:paraId="23261E35" w14:textId="27A62799" w:rsidR="002D7DF2" w:rsidRPr="001B3C28" w:rsidRDefault="002D7DF2">
            <w:pPr>
              <w:pStyle w:val="TableText0"/>
              <w:rPr>
                <w:iCs/>
              </w:rPr>
            </w:pPr>
            <w:r w:rsidRPr="00900424">
              <w:rPr>
                <w:iCs/>
              </w:rPr>
              <w:t>31.5 months (1</w:t>
            </w:r>
            <w:r w:rsidR="00900424">
              <w:rPr>
                <w:iCs/>
              </w:rPr>
              <w:t>3</w:t>
            </w:r>
            <w:r w:rsidR="00B2231A">
              <w:rPr>
                <w:iCs/>
              </w:rPr>
              <w:t>6.5</w:t>
            </w:r>
            <w:r w:rsidRPr="00900424">
              <w:rPr>
                <w:iCs/>
              </w:rPr>
              <w:t xml:space="preserve"> weeks) - 87.5% of maximum treatment duration of 3 years</w:t>
            </w:r>
            <w:r w:rsidRPr="001B3C28">
              <w:rPr>
                <w:iCs/>
              </w:rPr>
              <w:t xml:space="preserve"> </w:t>
            </w:r>
          </w:p>
        </w:tc>
        <w:tc>
          <w:tcPr>
            <w:tcW w:w="1559" w:type="dxa"/>
            <w:vAlign w:val="center"/>
          </w:tcPr>
          <w:p w14:paraId="0861A3C2" w14:textId="2C49E10A" w:rsidR="00B2231A" w:rsidRPr="001B3C28" w:rsidRDefault="002D7DF2" w:rsidP="00482700">
            <w:pPr>
              <w:pStyle w:val="TableText0"/>
              <w:jc w:val="center"/>
              <w:rPr>
                <w:iCs/>
              </w:rPr>
            </w:pPr>
            <w:r w:rsidRPr="001B3C28">
              <w:rPr>
                <w:iCs/>
              </w:rPr>
              <w:t>$</w:t>
            </w:r>
            <w:r w:rsidR="00B2231A">
              <w:rPr>
                <w:iCs/>
              </w:rPr>
              <w:t>3,147.27</w:t>
            </w:r>
          </w:p>
        </w:tc>
        <w:tc>
          <w:tcPr>
            <w:tcW w:w="1701" w:type="dxa"/>
            <w:vAlign w:val="center"/>
          </w:tcPr>
          <w:p w14:paraId="24D40E6A" w14:textId="294B08E9" w:rsidR="002D7DF2" w:rsidRPr="001B3C28" w:rsidRDefault="002D7DF2" w:rsidP="00C852E2">
            <w:pPr>
              <w:pStyle w:val="TableText0"/>
              <w:jc w:val="center"/>
              <w:rPr>
                <w:iCs/>
              </w:rPr>
            </w:pPr>
            <w:r w:rsidRPr="00482700">
              <w:rPr>
                <w:iCs/>
              </w:rPr>
              <w:t>-$</w:t>
            </w:r>
            <w:r w:rsidR="00482700" w:rsidRPr="00482700">
              <w:rPr>
                <w:iCs/>
              </w:rPr>
              <w:t>568.37</w:t>
            </w:r>
          </w:p>
        </w:tc>
        <w:tc>
          <w:tcPr>
            <w:tcW w:w="1596" w:type="dxa"/>
            <w:vAlign w:val="center"/>
          </w:tcPr>
          <w:p w14:paraId="7639B02D" w14:textId="3EA1A90A" w:rsidR="002D7DF2" w:rsidRPr="001B3C28" w:rsidRDefault="002D7DF2" w:rsidP="00C852E2">
            <w:pPr>
              <w:pStyle w:val="TableText0"/>
              <w:jc w:val="center"/>
              <w:rPr>
                <w:iCs/>
              </w:rPr>
            </w:pPr>
            <w:r w:rsidRPr="001B3C28">
              <w:rPr>
                <w:iCs/>
              </w:rPr>
              <w:t>$</w:t>
            </w:r>
            <w:r w:rsidR="00482700">
              <w:rPr>
                <w:iCs/>
              </w:rPr>
              <w:t>1,573.64</w:t>
            </w:r>
          </w:p>
        </w:tc>
        <w:tc>
          <w:tcPr>
            <w:tcW w:w="1613" w:type="dxa"/>
            <w:vAlign w:val="center"/>
          </w:tcPr>
          <w:p w14:paraId="1E28ACFB" w14:textId="2AF97F44" w:rsidR="002D7DF2" w:rsidRPr="001B3C28" w:rsidRDefault="002D7DF2" w:rsidP="00C852E2">
            <w:pPr>
              <w:pStyle w:val="TableText0"/>
              <w:jc w:val="center"/>
              <w:rPr>
                <w:iCs/>
              </w:rPr>
            </w:pPr>
            <w:r w:rsidRPr="00482700">
              <w:rPr>
                <w:iCs/>
              </w:rPr>
              <w:t>-$</w:t>
            </w:r>
            <w:r w:rsidR="00482700" w:rsidRPr="00482700">
              <w:rPr>
                <w:iCs/>
              </w:rPr>
              <w:t>284.18</w:t>
            </w:r>
          </w:p>
        </w:tc>
      </w:tr>
    </w:tbl>
    <w:p w14:paraId="345AA7B2" w14:textId="14B5E221" w:rsidR="00316046" w:rsidRDefault="00316046" w:rsidP="00C13C7C">
      <w:pPr>
        <w:pStyle w:val="FooterTableFigure"/>
      </w:pPr>
      <w:r w:rsidRPr="00316046">
        <w:rPr>
          <w:iCs/>
          <w:vertAlign w:val="superscript"/>
        </w:rPr>
        <w:t>a</w:t>
      </w:r>
      <w:r>
        <w:t xml:space="preserve"> 73.6% aligns with the proportion of the maximum treatment duration in the base case for ribociclib</w:t>
      </w:r>
    </w:p>
    <w:p w14:paraId="0CDF522B" w14:textId="71BD5864" w:rsidR="00C13C7C" w:rsidRPr="001B3C28" w:rsidRDefault="00C13C7C" w:rsidP="00C13C7C">
      <w:pPr>
        <w:pStyle w:val="FooterTableFigure"/>
      </w:pPr>
      <w:r w:rsidRPr="00DB3D39">
        <w:t>Source: Constructed during the evaluation</w:t>
      </w:r>
      <w:r w:rsidR="002D7DF2">
        <w:t xml:space="preserve"> </w:t>
      </w:r>
      <w:r w:rsidR="002D7DF2" w:rsidRPr="001B3C28">
        <w:t xml:space="preserve">and preparation of the </w:t>
      </w:r>
      <w:r w:rsidR="00316046">
        <w:t>Minutes</w:t>
      </w:r>
    </w:p>
    <w:p w14:paraId="7A0944C2" w14:textId="77777777" w:rsidR="00C13C7C" w:rsidRPr="00DB3D39" w:rsidRDefault="00C13C7C" w:rsidP="00C13C7C">
      <w:pPr>
        <w:pStyle w:val="4-SubsectionHeading"/>
      </w:pPr>
      <w:bookmarkStart w:id="63" w:name="_Toc177475553"/>
      <w:bookmarkEnd w:id="60"/>
      <w:r w:rsidRPr="00DB3D39">
        <w:t>Drug cost/patient/course</w:t>
      </w:r>
      <w:bookmarkEnd w:id="63"/>
    </w:p>
    <w:p w14:paraId="509FB572" w14:textId="3888389E" w:rsidR="00C13C7C" w:rsidRPr="00DB3D39" w:rsidRDefault="00FD59FB" w:rsidP="00C13C7C">
      <w:pPr>
        <w:pStyle w:val="Caption"/>
        <w:rPr>
          <w:rStyle w:val="CommentReference"/>
          <w:b w:val="0"/>
          <w:szCs w:val="24"/>
        </w:rPr>
      </w:pPr>
      <w:r w:rsidRPr="00DB3D39">
        <w:t>Table</w:t>
      </w:r>
      <w:r w:rsidR="00A15256" w:rsidRPr="00DB3D39">
        <w:t xml:space="preserve"> </w:t>
      </w:r>
      <w:r w:rsidR="00FF083B">
        <w:fldChar w:fldCharType="begin" w:fldLock="1"/>
      </w:r>
      <w:r w:rsidR="00FF083B">
        <w:instrText xml:space="preserve"> SEQ Table \* ARABIC </w:instrText>
      </w:r>
      <w:r w:rsidR="00FF083B">
        <w:fldChar w:fldCharType="separate"/>
      </w:r>
      <w:r w:rsidR="00FF083B">
        <w:rPr>
          <w:noProof/>
        </w:rPr>
        <w:t>15</w:t>
      </w:r>
      <w:r w:rsidR="00FF083B">
        <w:rPr>
          <w:noProof/>
        </w:rPr>
        <w:fldChar w:fldCharType="end"/>
      </w:r>
      <w:r w:rsidR="00C13C7C" w:rsidRPr="00DB3D39">
        <w:t>:</w:t>
      </w:r>
      <w:r w:rsidR="00C13C7C" w:rsidRPr="00DB3D39">
        <w:rPr>
          <w:rStyle w:val="CommentReference"/>
          <w:szCs w:val="24"/>
        </w:rPr>
        <w:t xml:space="preserve"> Drug cost per patient for </w:t>
      </w:r>
      <w:r w:rsidR="00665CEB" w:rsidRPr="00DB3D39">
        <w:rPr>
          <w:rStyle w:val="CommentReference"/>
          <w:szCs w:val="24"/>
        </w:rPr>
        <w:t>ribociclib</w:t>
      </w:r>
      <w:r w:rsidR="00C13C7C" w:rsidRPr="00DB3D39">
        <w:rPr>
          <w:rStyle w:val="CommentReference"/>
          <w:szCs w:val="24"/>
        </w:rPr>
        <w:t xml:space="preserve"> and </w:t>
      </w:r>
      <w:r w:rsidR="00665CEB" w:rsidRPr="00DB3D39">
        <w:rPr>
          <w:rStyle w:val="CommentReference"/>
          <w:szCs w:val="24"/>
        </w:rPr>
        <w:t>abemaciclib</w:t>
      </w:r>
      <w:r w:rsidR="00C13C7C" w:rsidRPr="00DB3D39">
        <w:rPr>
          <w:rStyle w:val="CommentReference"/>
          <w:szCs w:val="24"/>
        </w:rPr>
        <w:t xml:space="preserve"> drugs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5"/>
        <w:gridCol w:w="1562"/>
        <w:gridCol w:w="1255"/>
        <w:gridCol w:w="1259"/>
        <w:gridCol w:w="1255"/>
        <w:gridCol w:w="1260"/>
        <w:gridCol w:w="1260"/>
      </w:tblGrid>
      <w:tr w:rsidR="00747722" w:rsidRPr="00DB3D39" w14:paraId="6D0AA456" w14:textId="77777777">
        <w:trPr>
          <w:cantSplit/>
          <w:tblHeader/>
          <w:jc w:val="center"/>
        </w:trPr>
        <w:tc>
          <w:tcPr>
            <w:tcW w:w="646" w:type="pct"/>
            <w:shd w:val="clear" w:color="auto" w:fill="auto"/>
            <w:vAlign w:val="center"/>
          </w:tcPr>
          <w:p w14:paraId="5FC20FCF" w14:textId="77777777" w:rsidR="00747722" w:rsidRPr="00DB3D39" w:rsidRDefault="00747722">
            <w:pPr>
              <w:pStyle w:val="In-tableHeading"/>
              <w:jc w:val="center"/>
              <w:rPr>
                <w:lang w:val="en-AU"/>
              </w:rPr>
            </w:pPr>
          </w:p>
        </w:tc>
        <w:tc>
          <w:tcPr>
            <w:tcW w:w="2260" w:type="pct"/>
            <w:gridSpan w:val="3"/>
            <w:shd w:val="clear" w:color="auto" w:fill="auto"/>
            <w:vAlign w:val="center"/>
          </w:tcPr>
          <w:p w14:paraId="32E55928" w14:textId="77777777" w:rsidR="00747722" w:rsidRPr="00DB3D39" w:rsidRDefault="00747722">
            <w:pPr>
              <w:pStyle w:val="In-tableHeading"/>
              <w:jc w:val="center"/>
              <w:rPr>
                <w:lang w:val="en-AU"/>
              </w:rPr>
            </w:pPr>
            <w:r w:rsidRPr="00DB3D39">
              <w:rPr>
                <w:lang w:val="en-AU"/>
              </w:rPr>
              <w:t>Ribociclib</w:t>
            </w:r>
          </w:p>
        </w:tc>
        <w:tc>
          <w:tcPr>
            <w:tcW w:w="2094" w:type="pct"/>
            <w:gridSpan w:val="3"/>
            <w:shd w:val="clear" w:color="auto" w:fill="auto"/>
            <w:vAlign w:val="center"/>
          </w:tcPr>
          <w:p w14:paraId="239A2F05" w14:textId="77777777" w:rsidR="00747722" w:rsidRPr="00DB3D39" w:rsidRDefault="00747722">
            <w:pPr>
              <w:pStyle w:val="In-tableHeading"/>
              <w:jc w:val="center"/>
              <w:rPr>
                <w:lang w:val="en-AU"/>
              </w:rPr>
            </w:pPr>
            <w:r w:rsidRPr="00DB3D39">
              <w:rPr>
                <w:lang w:val="en-AU"/>
              </w:rPr>
              <w:t>Abemaciclib</w:t>
            </w:r>
          </w:p>
        </w:tc>
      </w:tr>
      <w:tr w:rsidR="00747722" w:rsidRPr="00DB3D39" w14:paraId="4CA436AD" w14:textId="77777777">
        <w:trPr>
          <w:cantSplit/>
          <w:tblHeader/>
          <w:jc w:val="center"/>
        </w:trPr>
        <w:tc>
          <w:tcPr>
            <w:tcW w:w="646" w:type="pct"/>
            <w:shd w:val="clear" w:color="auto" w:fill="auto"/>
            <w:vAlign w:val="center"/>
          </w:tcPr>
          <w:p w14:paraId="4C4F690F" w14:textId="77777777" w:rsidR="00747722" w:rsidRPr="00DB3D39" w:rsidRDefault="00747722">
            <w:pPr>
              <w:pStyle w:val="In-tableHeading"/>
              <w:jc w:val="center"/>
              <w:rPr>
                <w:lang w:val="en-AU"/>
              </w:rPr>
            </w:pPr>
          </w:p>
        </w:tc>
        <w:tc>
          <w:tcPr>
            <w:tcW w:w="866" w:type="pct"/>
            <w:shd w:val="clear" w:color="auto" w:fill="auto"/>
            <w:vAlign w:val="center"/>
          </w:tcPr>
          <w:p w14:paraId="1D7E3AFE" w14:textId="77777777" w:rsidR="00747722" w:rsidRPr="00DB3D39" w:rsidRDefault="00747722">
            <w:pPr>
              <w:pStyle w:val="In-tableHeading"/>
              <w:jc w:val="center"/>
              <w:rPr>
                <w:lang w:val="en-AU"/>
              </w:rPr>
            </w:pPr>
            <w:r w:rsidRPr="00DB3D39">
              <w:rPr>
                <w:lang w:val="en-AU"/>
              </w:rPr>
              <w:t>Trial dose and duration</w:t>
            </w:r>
          </w:p>
        </w:tc>
        <w:tc>
          <w:tcPr>
            <w:tcW w:w="696" w:type="pct"/>
            <w:shd w:val="clear" w:color="auto" w:fill="auto"/>
            <w:vAlign w:val="center"/>
          </w:tcPr>
          <w:p w14:paraId="0EA9F440" w14:textId="77777777" w:rsidR="00747722" w:rsidRPr="00DB3D39" w:rsidRDefault="00747722">
            <w:pPr>
              <w:pStyle w:val="In-tableHeading"/>
              <w:jc w:val="center"/>
              <w:rPr>
                <w:lang w:val="en-AU"/>
              </w:rPr>
            </w:pPr>
            <w:r w:rsidRPr="00DB3D39">
              <w:rPr>
                <w:lang w:val="en-AU"/>
              </w:rPr>
              <w:t>Model</w:t>
            </w:r>
          </w:p>
        </w:tc>
        <w:tc>
          <w:tcPr>
            <w:tcW w:w="698" w:type="pct"/>
            <w:shd w:val="clear" w:color="auto" w:fill="auto"/>
            <w:vAlign w:val="center"/>
          </w:tcPr>
          <w:p w14:paraId="290BE3CA" w14:textId="77777777" w:rsidR="00747722" w:rsidRPr="00DB3D39" w:rsidRDefault="00747722">
            <w:pPr>
              <w:pStyle w:val="In-tableHeading"/>
              <w:jc w:val="center"/>
              <w:rPr>
                <w:lang w:val="en-AU"/>
              </w:rPr>
            </w:pPr>
            <w:r w:rsidRPr="00DB3D39">
              <w:rPr>
                <w:lang w:val="en-AU"/>
              </w:rPr>
              <w:t>Financial estimates</w:t>
            </w:r>
          </w:p>
        </w:tc>
        <w:tc>
          <w:tcPr>
            <w:tcW w:w="696" w:type="pct"/>
            <w:shd w:val="clear" w:color="auto" w:fill="auto"/>
            <w:vAlign w:val="center"/>
          </w:tcPr>
          <w:p w14:paraId="482E7A20" w14:textId="77777777" w:rsidR="00747722" w:rsidRPr="00DB3D39" w:rsidRDefault="00747722">
            <w:pPr>
              <w:pStyle w:val="In-tableHeading"/>
              <w:jc w:val="center"/>
              <w:rPr>
                <w:lang w:val="en-AU"/>
              </w:rPr>
            </w:pPr>
            <w:r w:rsidRPr="00DB3D39">
              <w:rPr>
                <w:lang w:val="en-AU"/>
              </w:rPr>
              <w:t>Trial dose and duration</w:t>
            </w:r>
          </w:p>
        </w:tc>
        <w:tc>
          <w:tcPr>
            <w:tcW w:w="699" w:type="pct"/>
            <w:shd w:val="clear" w:color="auto" w:fill="auto"/>
            <w:vAlign w:val="center"/>
          </w:tcPr>
          <w:p w14:paraId="3A0FEAE0" w14:textId="77777777" w:rsidR="00747722" w:rsidRPr="00DB3D39" w:rsidRDefault="00747722">
            <w:pPr>
              <w:pStyle w:val="In-tableHeading"/>
              <w:jc w:val="center"/>
              <w:rPr>
                <w:lang w:val="en-AU"/>
              </w:rPr>
            </w:pPr>
            <w:r w:rsidRPr="00DB3D39">
              <w:rPr>
                <w:lang w:val="en-AU"/>
              </w:rPr>
              <w:t>Model</w:t>
            </w:r>
          </w:p>
        </w:tc>
        <w:tc>
          <w:tcPr>
            <w:tcW w:w="699" w:type="pct"/>
          </w:tcPr>
          <w:p w14:paraId="0FB277A2" w14:textId="77777777" w:rsidR="00747722" w:rsidRPr="00DB3D39" w:rsidRDefault="00747722">
            <w:pPr>
              <w:pStyle w:val="In-tableHeading"/>
              <w:jc w:val="center"/>
              <w:rPr>
                <w:lang w:val="en-AU"/>
              </w:rPr>
            </w:pPr>
            <w:r w:rsidRPr="00DB3D39">
              <w:rPr>
                <w:lang w:val="en-AU"/>
              </w:rPr>
              <w:t>Financial estimates</w:t>
            </w:r>
          </w:p>
        </w:tc>
      </w:tr>
      <w:tr w:rsidR="00BA5359" w:rsidRPr="00DB3D39" w14:paraId="04D9D923" w14:textId="77777777" w:rsidTr="00262050">
        <w:trPr>
          <w:cantSplit/>
          <w:jc w:val="center"/>
        </w:trPr>
        <w:tc>
          <w:tcPr>
            <w:tcW w:w="646" w:type="pct"/>
            <w:shd w:val="clear" w:color="auto" w:fill="auto"/>
          </w:tcPr>
          <w:p w14:paraId="52D266DC" w14:textId="77777777" w:rsidR="00BA5359" w:rsidRPr="00DB3D39" w:rsidRDefault="00BA5359" w:rsidP="00BA5359">
            <w:pPr>
              <w:pStyle w:val="TableText0"/>
            </w:pPr>
            <w:r w:rsidRPr="00DB3D39">
              <w:t>Estimated mean dose</w:t>
            </w:r>
          </w:p>
        </w:tc>
        <w:tc>
          <w:tcPr>
            <w:tcW w:w="866" w:type="pct"/>
            <w:shd w:val="clear" w:color="auto" w:fill="auto"/>
            <w:vAlign w:val="center"/>
          </w:tcPr>
          <w:p w14:paraId="6CC0E1DB" w14:textId="32ADEDC8" w:rsidR="00BA5359" w:rsidRPr="00DB3D39" w:rsidRDefault="00BA5359" w:rsidP="00262050">
            <w:pPr>
              <w:pStyle w:val="TableText0"/>
              <w:jc w:val="center"/>
              <w:rPr>
                <w:vertAlign w:val="superscript"/>
              </w:rPr>
            </w:pPr>
            <w:r w:rsidRPr="00DB3D39">
              <w:t>366 mg/day</w:t>
            </w:r>
            <w:r w:rsidRPr="00DB3D39">
              <w:rPr>
                <w:vertAlign w:val="superscript"/>
              </w:rPr>
              <w:t>a</w:t>
            </w:r>
          </w:p>
        </w:tc>
        <w:tc>
          <w:tcPr>
            <w:tcW w:w="696" w:type="pct"/>
            <w:shd w:val="clear" w:color="auto" w:fill="auto"/>
            <w:vAlign w:val="center"/>
          </w:tcPr>
          <w:p w14:paraId="3EA589E4" w14:textId="77777777" w:rsidR="00BA5359" w:rsidRPr="00DB3D39" w:rsidRDefault="00BA5359" w:rsidP="00262050">
            <w:pPr>
              <w:pStyle w:val="TableText0"/>
              <w:jc w:val="center"/>
              <w:rPr>
                <w:vertAlign w:val="superscript"/>
              </w:rPr>
            </w:pPr>
            <w:r w:rsidRPr="00DB3D39">
              <w:t>366 mg/day</w:t>
            </w:r>
            <w:r w:rsidRPr="00DB3D39">
              <w:rPr>
                <w:vertAlign w:val="superscript"/>
              </w:rPr>
              <w:t>a</w:t>
            </w:r>
          </w:p>
        </w:tc>
        <w:tc>
          <w:tcPr>
            <w:tcW w:w="698" w:type="pct"/>
            <w:shd w:val="clear" w:color="auto" w:fill="auto"/>
            <w:vAlign w:val="center"/>
          </w:tcPr>
          <w:p w14:paraId="6FA7C911" w14:textId="77777777" w:rsidR="00BA5359" w:rsidRPr="00DB3D39" w:rsidRDefault="00BA5359" w:rsidP="00262050">
            <w:pPr>
              <w:pStyle w:val="TableText0"/>
              <w:jc w:val="center"/>
              <w:rPr>
                <w:vertAlign w:val="superscript"/>
              </w:rPr>
            </w:pPr>
            <w:r w:rsidRPr="00DB3D39">
              <w:t>366 mg/day</w:t>
            </w:r>
            <w:r w:rsidRPr="00DB3D39">
              <w:rPr>
                <w:vertAlign w:val="superscript"/>
              </w:rPr>
              <w:t>a</w:t>
            </w:r>
          </w:p>
        </w:tc>
        <w:tc>
          <w:tcPr>
            <w:tcW w:w="696" w:type="pct"/>
            <w:shd w:val="clear" w:color="auto" w:fill="auto"/>
            <w:vAlign w:val="center"/>
          </w:tcPr>
          <w:p w14:paraId="12D977D5" w14:textId="57F8349D" w:rsidR="00BA5359" w:rsidRPr="00DB3D39" w:rsidRDefault="00BA5359" w:rsidP="00262050">
            <w:pPr>
              <w:pStyle w:val="TableText0"/>
              <w:jc w:val="center"/>
              <w:rPr>
                <w:vertAlign w:val="superscript"/>
              </w:rPr>
            </w:pPr>
            <w:r w:rsidRPr="00DB3D39">
              <w:t xml:space="preserve">235.92 </w:t>
            </w:r>
            <w:r w:rsidR="00D15829" w:rsidRPr="00DB3D39">
              <w:t>mg</w:t>
            </w:r>
            <w:r w:rsidR="00D15829">
              <w:rPr>
                <w:vertAlign w:val="superscript"/>
              </w:rPr>
              <w:t>f</w:t>
            </w:r>
          </w:p>
        </w:tc>
        <w:tc>
          <w:tcPr>
            <w:tcW w:w="699" w:type="pct"/>
            <w:shd w:val="clear" w:color="auto" w:fill="auto"/>
            <w:vAlign w:val="center"/>
          </w:tcPr>
          <w:p w14:paraId="3BD6D429" w14:textId="77777777" w:rsidR="00BA5359" w:rsidRPr="00DB3D39" w:rsidRDefault="00BA5359" w:rsidP="00262050">
            <w:pPr>
              <w:pStyle w:val="TableText0"/>
              <w:jc w:val="center"/>
            </w:pPr>
            <w:r w:rsidRPr="00DB3D39">
              <w:t>242.67 mg/day</w:t>
            </w:r>
          </w:p>
        </w:tc>
        <w:tc>
          <w:tcPr>
            <w:tcW w:w="699" w:type="pct"/>
            <w:vAlign w:val="center"/>
          </w:tcPr>
          <w:p w14:paraId="3B96020F" w14:textId="77777777" w:rsidR="00BA5359" w:rsidRPr="00DB3D39" w:rsidRDefault="00BA5359" w:rsidP="00262050">
            <w:pPr>
              <w:pStyle w:val="TableText0"/>
              <w:jc w:val="center"/>
            </w:pPr>
            <w:r w:rsidRPr="00DB3D39">
              <w:t>242.67 mg/day</w:t>
            </w:r>
          </w:p>
        </w:tc>
      </w:tr>
      <w:tr w:rsidR="00BA5359" w:rsidRPr="00DB3D39" w14:paraId="1C571A32" w14:textId="77777777" w:rsidTr="00262050">
        <w:trPr>
          <w:cantSplit/>
          <w:jc w:val="center"/>
        </w:trPr>
        <w:tc>
          <w:tcPr>
            <w:tcW w:w="646" w:type="pct"/>
            <w:shd w:val="clear" w:color="auto" w:fill="auto"/>
          </w:tcPr>
          <w:p w14:paraId="346BC578" w14:textId="77777777" w:rsidR="00BA5359" w:rsidRPr="00DB3D39" w:rsidRDefault="00BA5359" w:rsidP="00BA5359">
            <w:pPr>
              <w:pStyle w:val="TableText0"/>
            </w:pPr>
            <w:r w:rsidRPr="00DB3D39">
              <w:t>Mean duration</w:t>
            </w:r>
          </w:p>
        </w:tc>
        <w:tc>
          <w:tcPr>
            <w:tcW w:w="866" w:type="pct"/>
            <w:shd w:val="clear" w:color="auto" w:fill="auto"/>
            <w:vAlign w:val="center"/>
          </w:tcPr>
          <w:p w14:paraId="25835773" w14:textId="0C6BFF7A" w:rsidR="00BA5359" w:rsidRPr="00DB3D39" w:rsidRDefault="00BA5359" w:rsidP="00262050">
            <w:pPr>
              <w:pStyle w:val="TableText0"/>
              <w:jc w:val="center"/>
              <w:rPr>
                <w:vertAlign w:val="superscript"/>
              </w:rPr>
            </w:pPr>
            <w:r w:rsidRPr="00DB3D39">
              <w:t>114.84 weeks</w:t>
            </w:r>
            <w:r w:rsidR="00D15829">
              <w:rPr>
                <w:vertAlign w:val="superscript"/>
              </w:rPr>
              <w:t>b</w:t>
            </w:r>
          </w:p>
        </w:tc>
        <w:tc>
          <w:tcPr>
            <w:tcW w:w="696" w:type="pct"/>
            <w:shd w:val="clear" w:color="auto" w:fill="auto"/>
            <w:vAlign w:val="center"/>
          </w:tcPr>
          <w:p w14:paraId="3ABE9BDD" w14:textId="4E1B4E7E" w:rsidR="00BA5359" w:rsidRPr="00DB3D39" w:rsidRDefault="00BA5359" w:rsidP="00262050">
            <w:pPr>
              <w:pStyle w:val="TableText0"/>
              <w:jc w:val="center"/>
              <w:rPr>
                <w:vertAlign w:val="superscript"/>
              </w:rPr>
            </w:pPr>
            <w:r w:rsidRPr="00DB3D39">
              <w:t xml:space="preserve">114.84 </w:t>
            </w:r>
            <w:r w:rsidR="00D15829" w:rsidRPr="00DB3D39">
              <w:t>weeks</w:t>
            </w:r>
            <w:r w:rsidR="00D15829">
              <w:rPr>
                <w:vertAlign w:val="superscript"/>
              </w:rPr>
              <w:t>b</w:t>
            </w:r>
          </w:p>
        </w:tc>
        <w:tc>
          <w:tcPr>
            <w:tcW w:w="698" w:type="pct"/>
            <w:shd w:val="clear" w:color="auto" w:fill="auto"/>
            <w:vAlign w:val="center"/>
          </w:tcPr>
          <w:p w14:paraId="3D6E32E5" w14:textId="7A068698" w:rsidR="00BA5359" w:rsidRPr="00DB3D39" w:rsidRDefault="00BA5359" w:rsidP="00262050">
            <w:pPr>
              <w:pStyle w:val="TableText0"/>
              <w:jc w:val="center"/>
              <w:rPr>
                <w:vertAlign w:val="superscript"/>
              </w:rPr>
            </w:pPr>
            <w:r w:rsidRPr="00DB3D39">
              <w:t xml:space="preserve">114.84 </w:t>
            </w:r>
            <w:r w:rsidR="00D15829" w:rsidRPr="00DB3D39">
              <w:t>weeks</w:t>
            </w:r>
            <w:r w:rsidR="00D15829">
              <w:rPr>
                <w:vertAlign w:val="superscript"/>
              </w:rPr>
              <w:t>b</w:t>
            </w:r>
          </w:p>
        </w:tc>
        <w:tc>
          <w:tcPr>
            <w:tcW w:w="696" w:type="pct"/>
            <w:shd w:val="clear" w:color="auto" w:fill="auto"/>
            <w:vAlign w:val="center"/>
          </w:tcPr>
          <w:p w14:paraId="47A34B37" w14:textId="3D89751C" w:rsidR="00BA5359" w:rsidRPr="00DB3D39" w:rsidRDefault="00BA5359" w:rsidP="00262050">
            <w:pPr>
              <w:pStyle w:val="TableText0"/>
              <w:jc w:val="center"/>
              <w:rPr>
                <w:vertAlign w:val="superscript"/>
              </w:rPr>
            </w:pPr>
            <w:r w:rsidRPr="00DB3D39">
              <w:t xml:space="preserve">102.70 </w:t>
            </w:r>
            <w:r w:rsidR="00D15829" w:rsidRPr="00DB3D39">
              <w:t>weeks</w:t>
            </w:r>
            <w:r w:rsidR="00D15829">
              <w:rPr>
                <w:vertAlign w:val="superscript"/>
              </w:rPr>
              <w:t>f</w:t>
            </w:r>
          </w:p>
        </w:tc>
        <w:tc>
          <w:tcPr>
            <w:tcW w:w="699" w:type="pct"/>
            <w:shd w:val="clear" w:color="auto" w:fill="auto"/>
            <w:vAlign w:val="center"/>
          </w:tcPr>
          <w:p w14:paraId="5E895685" w14:textId="77777777" w:rsidR="00BA5359" w:rsidRPr="00DB3D39" w:rsidRDefault="00BA5359" w:rsidP="00262050">
            <w:pPr>
              <w:pStyle w:val="TableText0"/>
              <w:jc w:val="center"/>
            </w:pPr>
            <w:r w:rsidRPr="00DB3D39">
              <w:t>91 weeks</w:t>
            </w:r>
          </w:p>
        </w:tc>
        <w:tc>
          <w:tcPr>
            <w:tcW w:w="699" w:type="pct"/>
            <w:vAlign w:val="center"/>
          </w:tcPr>
          <w:p w14:paraId="55C9087A" w14:textId="77777777" w:rsidR="00BA5359" w:rsidRPr="00DB3D39" w:rsidRDefault="00BA5359" w:rsidP="00262050">
            <w:pPr>
              <w:pStyle w:val="TableText0"/>
              <w:jc w:val="center"/>
            </w:pPr>
            <w:r w:rsidRPr="00DB3D39">
              <w:t>91 weeks</w:t>
            </w:r>
          </w:p>
        </w:tc>
      </w:tr>
      <w:tr w:rsidR="00BA5359" w:rsidRPr="00DB3D39" w14:paraId="1190293A" w14:textId="77777777" w:rsidTr="00262050">
        <w:trPr>
          <w:cantSplit/>
          <w:jc w:val="center"/>
        </w:trPr>
        <w:tc>
          <w:tcPr>
            <w:tcW w:w="646" w:type="pct"/>
            <w:shd w:val="clear" w:color="auto" w:fill="auto"/>
          </w:tcPr>
          <w:p w14:paraId="5494BCE4" w14:textId="6B32C757" w:rsidR="00BA5359" w:rsidRPr="00DB3D39" w:rsidRDefault="00BA5359" w:rsidP="00BA5359">
            <w:pPr>
              <w:pStyle w:val="TableText0"/>
            </w:pPr>
            <w:r w:rsidRPr="00DB3D39">
              <w:t xml:space="preserve">Cost per </w:t>
            </w:r>
            <w:r w:rsidR="00D15829" w:rsidRPr="00DB3D39">
              <w:t>month</w:t>
            </w:r>
            <w:r w:rsidR="00D15829">
              <w:rPr>
                <w:vertAlign w:val="superscript"/>
              </w:rPr>
              <w:t>c</w:t>
            </w:r>
          </w:p>
        </w:tc>
        <w:tc>
          <w:tcPr>
            <w:tcW w:w="866" w:type="pct"/>
            <w:shd w:val="clear" w:color="auto" w:fill="auto"/>
            <w:vAlign w:val="center"/>
          </w:tcPr>
          <w:p w14:paraId="691F50AA" w14:textId="1B69B431" w:rsidR="00BA5359" w:rsidRPr="00DB3D39" w:rsidRDefault="00BA5359" w:rsidP="00262050">
            <w:pPr>
              <w:pStyle w:val="TableText0"/>
              <w:jc w:val="center"/>
            </w:pPr>
            <w:r w:rsidRPr="00DB3D39">
              <w:t>$3,528.26</w:t>
            </w:r>
          </w:p>
        </w:tc>
        <w:tc>
          <w:tcPr>
            <w:tcW w:w="696" w:type="pct"/>
            <w:shd w:val="clear" w:color="auto" w:fill="auto"/>
            <w:vAlign w:val="center"/>
          </w:tcPr>
          <w:p w14:paraId="716681CA" w14:textId="77777777" w:rsidR="00BA5359" w:rsidRPr="00DB3D39" w:rsidRDefault="00BA5359" w:rsidP="00262050">
            <w:pPr>
              <w:pStyle w:val="TableText0"/>
              <w:jc w:val="center"/>
            </w:pPr>
            <w:r w:rsidRPr="00DB3D39">
              <w:t>$3,528.26</w:t>
            </w:r>
          </w:p>
        </w:tc>
        <w:tc>
          <w:tcPr>
            <w:tcW w:w="698" w:type="pct"/>
            <w:shd w:val="clear" w:color="auto" w:fill="auto"/>
            <w:vAlign w:val="center"/>
          </w:tcPr>
          <w:p w14:paraId="048E2224" w14:textId="77777777" w:rsidR="00BA5359" w:rsidRPr="00DB3D39" w:rsidRDefault="00BA5359" w:rsidP="00262050">
            <w:pPr>
              <w:pStyle w:val="TableText0"/>
              <w:jc w:val="center"/>
            </w:pPr>
            <w:r w:rsidRPr="00DB3D39">
              <w:t>$3,648.78</w:t>
            </w:r>
          </w:p>
        </w:tc>
        <w:tc>
          <w:tcPr>
            <w:tcW w:w="696" w:type="pct"/>
            <w:shd w:val="clear" w:color="auto" w:fill="auto"/>
            <w:vAlign w:val="center"/>
          </w:tcPr>
          <w:p w14:paraId="5BC06703" w14:textId="77777777" w:rsidR="00BA5359" w:rsidRPr="00DB3D39" w:rsidRDefault="00BA5359" w:rsidP="00262050">
            <w:pPr>
              <w:pStyle w:val="TableText0"/>
              <w:jc w:val="center"/>
            </w:pPr>
            <w:r w:rsidRPr="00DB3D39">
              <w:t>$4,656.31</w:t>
            </w:r>
          </w:p>
        </w:tc>
        <w:tc>
          <w:tcPr>
            <w:tcW w:w="699" w:type="pct"/>
            <w:shd w:val="clear" w:color="auto" w:fill="auto"/>
            <w:vAlign w:val="center"/>
          </w:tcPr>
          <w:p w14:paraId="7F3CD72C" w14:textId="77777777" w:rsidR="00BA5359" w:rsidRPr="00DB3D39" w:rsidRDefault="00BA5359" w:rsidP="00262050">
            <w:pPr>
              <w:pStyle w:val="TableText0"/>
              <w:jc w:val="center"/>
            </w:pPr>
            <w:r w:rsidRPr="00DB3D39">
              <w:t>$4,484.30</w:t>
            </w:r>
          </w:p>
        </w:tc>
        <w:tc>
          <w:tcPr>
            <w:tcW w:w="699" w:type="pct"/>
            <w:vAlign w:val="center"/>
          </w:tcPr>
          <w:p w14:paraId="5C17A134" w14:textId="77777777" w:rsidR="00BA5359" w:rsidRPr="00DB3D39" w:rsidRDefault="00BA5359" w:rsidP="00262050">
            <w:pPr>
              <w:pStyle w:val="TableText0"/>
              <w:jc w:val="center"/>
            </w:pPr>
            <w:r w:rsidRPr="00DB3D39">
              <w:t>$4,594.71</w:t>
            </w:r>
          </w:p>
        </w:tc>
      </w:tr>
      <w:tr w:rsidR="00BA5359" w:rsidRPr="00DB3D39" w14:paraId="797286CF" w14:textId="77777777" w:rsidTr="00262050">
        <w:trPr>
          <w:cantSplit/>
          <w:jc w:val="center"/>
        </w:trPr>
        <w:tc>
          <w:tcPr>
            <w:tcW w:w="646" w:type="pct"/>
            <w:shd w:val="clear" w:color="auto" w:fill="auto"/>
          </w:tcPr>
          <w:p w14:paraId="628A47AC" w14:textId="77777777" w:rsidR="00BA5359" w:rsidRPr="00DB3D39" w:rsidRDefault="00BA5359" w:rsidP="00BA5359">
            <w:pPr>
              <w:pStyle w:val="TableText0"/>
            </w:pPr>
            <w:r w:rsidRPr="00DB3D39">
              <w:t>Cost/patient/ course</w:t>
            </w:r>
          </w:p>
        </w:tc>
        <w:tc>
          <w:tcPr>
            <w:tcW w:w="866" w:type="pct"/>
            <w:shd w:val="clear" w:color="auto" w:fill="auto"/>
            <w:vAlign w:val="center"/>
          </w:tcPr>
          <w:p w14:paraId="6DEC74C3" w14:textId="4A2842D5" w:rsidR="00BA5359" w:rsidRPr="00DB3D39" w:rsidRDefault="00BA5359" w:rsidP="00262050">
            <w:pPr>
              <w:pStyle w:val="TableText0"/>
              <w:jc w:val="center"/>
            </w:pPr>
            <w:r w:rsidRPr="00DB3D39">
              <w:t>$93,502</w:t>
            </w:r>
            <w:r w:rsidR="00D15829">
              <w:rPr>
                <w:vertAlign w:val="superscript"/>
              </w:rPr>
              <w:t>d</w:t>
            </w:r>
          </w:p>
        </w:tc>
        <w:tc>
          <w:tcPr>
            <w:tcW w:w="696" w:type="pct"/>
            <w:shd w:val="clear" w:color="auto" w:fill="auto"/>
            <w:vAlign w:val="center"/>
          </w:tcPr>
          <w:p w14:paraId="23485088" w14:textId="4E5D0AFE" w:rsidR="00BA5359" w:rsidRPr="00DB3D39" w:rsidRDefault="00BA5359" w:rsidP="00262050">
            <w:pPr>
              <w:pStyle w:val="TableText0"/>
              <w:jc w:val="center"/>
            </w:pPr>
            <w:r w:rsidRPr="00DB3D39">
              <w:t>$93,502</w:t>
            </w:r>
            <w:r w:rsidR="00D15829" w:rsidRPr="00D15829">
              <w:rPr>
                <w:vertAlign w:val="superscript"/>
              </w:rPr>
              <w:t>d</w:t>
            </w:r>
          </w:p>
        </w:tc>
        <w:tc>
          <w:tcPr>
            <w:tcW w:w="698" w:type="pct"/>
            <w:shd w:val="clear" w:color="auto" w:fill="auto"/>
            <w:vAlign w:val="center"/>
          </w:tcPr>
          <w:p w14:paraId="28463644" w14:textId="3C4FCCCF" w:rsidR="00BA5359" w:rsidRPr="00DB3D39" w:rsidRDefault="00BA5359" w:rsidP="00262050">
            <w:pPr>
              <w:pStyle w:val="TableText0"/>
              <w:jc w:val="center"/>
            </w:pPr>
            <w:r w:rsidRPr="00DB3D39">
              <w:t>$96,</w:t>
            </w:r>
            <w:r w:rsidR="00D15829" w:rsidRPr="00DB3D39">
              <w:t>697</w:t>
            </w:r>
            <w:r w:rsidR="00D15829">
              <w:rPr>
                <w:vertAlign w:val="superscript"/>
              </w:rPr>
              <w:t>e</w:t>
            </w:r>
          </w:p>
        </w:tc>
        <w:tc>
          <w:tcPr>
            <w:tcW w:w="696" w:type="pct"/>
            <w:shd w:val="clear" w:color="auto" w:fill="auto"/>
            <w:vAlign w:val="center"/>
          </w:tcPr>
          <w:p w14:paraId="289CA5C6" w14:textId="06E2BEC7" w:rsidR="00BA5359" w:rsidRPr="00DB3D39" w:rsidRDefault="00BA5359" w:rsidP="00262050">
            <w:pPr>
              <w:pStyle w:val="TableText0"/>
              <w:jc w:val="center"/>
            </w:pPr>
            <w:r w:rsidRPr="00DB3D39">
              <w:t>$110,354</w:t>
            </w:r>
            <w:r w:rsidR="00D15829" w:rsidRPr="00D15829">
              <w:rPr>
                <w:vertAlign w:val="superscript"/>
              </w:rPr>
              <w:t>g</w:t>
            </w:r>
          </w:p>
        </w:tc>
        <w:tc>
          <w:tcPr>
            <w:tcW w:w="699" w:type="pct"/>
            <w:shd w:val="clear" w:color="auto" w:fill="auto"/>
            <w:vAlign w:val="center"/>
          </w:tcPr>
          <w:p w14:paraId="1C9052F5" w14:textId="62DA25B7" w:rsidR="00BA5359" w:rsidRPr="00DB3D39" w:rsidRDefault="00BA5359" w:rsidP="00262050">
            <w:pPr>
              <w:pStyle w:val="TableText0"/>
              <w:jc w:val="center"/>
            </w:pPr>
            <w:r w:rsidRPr="00DB3D39">
              <w:t>$94,170</w:t>
            </w:r>
            <w:r w:rsidR="00D15829">
              <w:rPr>
                <w:vertAlign w:val="superscript"/>
              </w:rPr>
              <w:t>d</w:t>
            </w:r>
          </w:p>
        </w:tc>
        <w:tc>
          <w:tcPr>
            <w:tcW w:w="699" w:type="pct"/>
            <w:vAlign w:val="center"/>
          </w:tcPr>
          <w:p w14:paraId="67CB330E" w14:textId="0478BF8D" w:rsidR="00BA5359" w:rsidRPr="00DB3D39" w:rsidRDefault="00BA5359" w:rsidP="00262050">
            <w:pPr>
              <w:pStyle w:val="TableText0"/>
              <w:jc w:val="center"/>
              <w:rPr>
                <w:vertAlign w:val="superscript"/>
              </w:rPr>
            </w:pPr>
            <w:r w:rsidRPr="00DB3D39">
              <w:t>$96,489</w:t>
            </w:r>
            <w:r w:rsidR="00D15829">
              <w:rPr>
                <w:vertAlign w:val="superscript"/>
              </w:rPr>
              <w:t>h</w:t>
            </w:r>
          </w:p>
        </w:tc>
      </w:tr>
    </w:tbl>
    <w:p w14:paraId="13EEF69D" w14:textId="46D6495E" w:rsidR="001639BB" w:rsidRPr="00DB3D39" w:rsidRDefault="001639BB" w:rsidP="001639BB">
      <w:pPr>
        <w:pStyle w:val="FooterTableFigure"/>
      </w:pPr>
      <w:r w:rsidRPr="00DB3D39">
        <w:t xml:space="preserve">Source: constructed during the evaluation based on Section 3 and Section 4 of the </w:t>
      </w:r>
      <w:r w:rsidR="00387738">
        <w:t>s</w:t>
      </w:r>
      <w:r w:rsidRPr="00DB3D39">
        <w:t>ubmission</w:t>
      </w:r>
      <w:r w:rsidR="006044CF">
        <w:t>.</w:t>
      </w:r>
      <w:r w:rsidRPr="00DB3D39">
        <w:t xml:space="preserve"> </w:t>
      </w:r>
    </w:p>
    <w:p w14:paraId="78025EA4" w14:textId="15741821" w:rsidR="001639BB" w:rsidRPr="00DB3D39" w:rsidRDefault="00D85310" w:rsidP="001639BB">
      <w:pPr>
        <w:pStyle w:val="FooterTableFigure"/>
      </w:pPr>
      <w:r>
        <w:t>CMA= cost minimisation approach; ITT= intention to treat; PBS= Pharmaceutical Benefit Scheme</w:t>
      </w:r>
      <w:r w:rsidR="003148C5">
        <w:t xml:space="preserve"> </w:t>
      </w:r>
      <w:r w:rsidR="001639BB" w:rsidRPr="00DB3D39">
        <w:rPr>
          <w:vertAlign w:val="superscript"/>
        </w:rPr>
        <w:t>a</w:t>
      </w:r>
      <w:r w:rsidR="001639BB" w:rsidRPr="00DB3D39">
        <w:t xml:space="preserve"> Mean dose for ITT population.</w:t>
      </w:r>
    </w:p>
    <w:p w14:paraId="267AA444" w14:textId="45670669" w:rsidR="001639BB" w:rsidRPr="00DB3D39" w:rsidRDefault="00D15829" w:rsidP="001639BB">
      <w:pPr>
        <w:pStyle w:val="FooterTableFigure"/>
      </w:pPr>
      <w:r>
        <w:rPr>
          <w:vertAlign w:val="superscript"/>
        </w:rPr>
        <w:t>b</w:t>
      </w:r>
      <w:r w:rsidR="001639BB" w:rsidRPr="00DB3D39">
        <w:t xml:space="preserve"> Treatment duration from post hoc analysis provided with the submission</w:t>
      </w:r>
      <w:r w:rsidR="006C7695" w:rsidRPr="00DB3D39">
        <w:t xml:space="preserve"> truncated at 36 months</w:t>
      </w:r>
      <w:r w:rsidR="001639BB" w:rsidRPr="00DB3D39">
        <w:t>.</w:t>
      </w:r>
    </w:p>
    <w:p w14:paraId="63B16215" w14:textId="1F802387" w:rsidR="00FA5231" w:rsidRPr="00DB3D39" w:rsidRDefault="00D15829" w:rsidP="001639BB">
      <w:pPr>
        <w:pStyle w:val="FooterTableFigure"/>
      </w:pPr>
      <w:r>
        <w:rPr>
          <w:vertAlign w:val="superscript"/>
        </w:rPr>
        <w:t>c</w:t>
      </w:r>
      <w:r w:rsidRPr="00DB3D39">
        <w:rPr>
          <w:vertAlign w:val="superscript"/>
        </w:rPr>
        <w:t xml:space="preserve"> </w:t>
      </w:r>
      <w:r w:rsidR="00FA5231" w:rsidRPr="00DB3D39">
        <w:t>Calculated considering 4.33 weeks per month ((Total cost/mean duration) * 4.33).</w:t>
      </w:r>
    </w:p>
    <w:p w14:paraId="430E9C64" w14:textId="4AE24802" w:rsidR="00C860D2" w:rsidRPr="00DB3D39" w:rsidRDefault="00D15829" w:rsidP="00FC223D">
      <w:pPr>
        <w:pStyle w:val="FooterTableFigure"/>
      </w:pPr>
      <w:r>
        <w:rPr>
          <w:vertAlign w:val="superscript"/>
        </w:rPr>
        <w:t>d</w:t>
      </w:r>
      <w:r w:rsidR="00323DB8" w:rsidRPr="00DB3D39">
        <w:rPr>
          <w:vertAlign w:val="superscript"/>
        </w:rPr>
        <w:t xml:space="preserve"> </w:t>
      </w:r>
      <w:r w:rsidR="00323DB8" w:rsidRPr="00DB3D39">
        <w:t>Based on CMA.</w:t>
      </w:r>
    </w:p>
    <w:p w14:paraId="79F5DAC9" w14:textId="454584D9" w:rsidR="00323DB8" w:rsidRPr="00DB3D39" w:rsidRDefault="00D15829" w:rsidP="00FC223D">
      <w:pPr>
        <w:pStyle w:val="FooterTableFigure"/>
      </w:pPr>
      <w:r>
        <w:rPr>
          <w:vertAlign w:val="superscript"/>
        </w:rPr>
        <w:t>e</w:t>
      </w:r>
      <w:r w:rsidRPr="00DB3D39">
        <w:t xml:space="preserve"> </w:t>
      </w:r>
      <w:r w:rsidR="00323DB8" w:rsidRPr="00DB3D39">
        <w:t>Cost to PBS (less copays) estimated by converting Cell F29 to ‘1’ and Cells G29 to K 29 to ‘0’ in ‘2d.Pat</w:t>
      </w:r>
      <w:r w:rsidR="00BA5359">
        <w:t>i</w:t>
      </w:r>
      <w:r w:rsidR="00323DB8" w:rsidRPr="00DB3D39">
        <w:t>e</w:t>
      </w:r>
      <w:r w:rsidR="00BA5359">
        <w:t>nt</w:t>
      </w:r>
      <w:r w:rsidR="00323DB8" w:rsidRPr="00DB3D39">
        <w:t>s-DTG’ sheet in financials workbook.</w:t>
      </w:r>
    </w:p>
    <w:p w14:paraId="64E3FB72" w14:textId="17065944" w:rsidR="009122E7" w:rsidRPr="00DB3D39" w:rsidRDefault="00D15829" w:rsidP="00FC223D">
      <w:pPr>
        <w:pStyle w:val="FooterTableFigure"/>
        <w:rPr>
          <w:vertAlign w:val="superscript"/>
        </w:rPr>
      </w:pPr>
      <w:r>
        <w:rPr>
          <w:vertAlign w:val="superscript"/>
        </w:rPr>
        <w:t>f</w:t>
      </w:r>
      <w:r w:rsidRPr="00DB3D39">
        <w:rPr>
          <w:vertAlign w:val="superscript"/>
        </w:rPr>
        <w:t xml:space="preserve"> </w:t>
      </w:r>
      <w:r w:rsidR="009122E7" w:rsidRPr="00DB3D39">
        <w:t>Median dose and median duration from Goetz et al. 2023.</w:t>
      </w:r>
    </w:p>
    <w:p w14:paraId="15098791" w14:textId="284DF6C2" w:rsidR="00AA04B8" w:rsidRPr="00DB3D39" w:rsidRDefault="00D15829" w:rsidP="00FC223D">
      <w:pPr>
        <w:pStyle w:val="FooterTableFigure"/>
      </w:pPr>
      <w:r>
        <w:rPr>
          <w:vertAlign w:val="superscript"/>
        </w:rPr>
        <w:t>g</w:t>
      </w:r>
      <w:r w:rsidR="00AA04B8" w:rsidRPr="00DB3D39">
        <w:rPr>
          <w:vertAlign w:val="superscript"/>
        </w:rPr>
        <w:t xml:space="preserve"> </w:t>
      </w:r>
      <w:r w:rsidR="00AA04B8" w:rsidRPr="00DB3D39">
        <w:t>Estimated by changing the Cell W12 in economic analysis workbook to 102.70 weeks and using the dose distribution from Goetz et al. 2023.</w:t>
      </w:r>
    </w:p>
    <w:p w14:paraId="207D28F4" w14:textId="24C552AE" w:rsidR="00747722" w:rsidRPr="00DB3D39" w:rsidRDefault="00D15829" w:rsidP="00D74701">
      <w:pPr>
        <w:pStyle w:val="FooterTableFigure"/>
      </w:pPr>
      <w:r>
        <w:rPr>
          <w:vertAlign w:val="superscript"/>
        </w:rPr>
        <w:t>h</w:t>
      </w:r>
      <w:r w:rsidRPr="00DB3D39">
        <w:rPr>
          <w:vertAlign w:val="superscript"/>
        </w:rPr>
        <w:t xml:space="preserve"> </w:t>
      </w:r>
      <w:r w:rsidR="007C3A04" w:rsidRPr="00DB3D39">
        <w:t>Cost to PBS (less copays) estimated by converting Cell F51 to ‘1’ and Cells G51 to K51 to ‘0’ in ‘2d.Pat</w:t>
      </w:r>
      <w:r w:rsidR="00BA5359">
        <w:t>ie</w:t>
      </w:r>
      <w:r w:rsidR="00B0264C">
        <w:t>n</w:t>
      </w:r>
      <w:r w:rsidR="007C3A04" w:rsidRPr="00DB3D39">
        <w:t>ts-DTG’ sheet in financials workbook.</w:t>
      </w:r>
    </w:p>
    <w:p w14:paraId="622EF74D" w14:textId="77777777" w:rsidR="00C13C7C" w:rsidRPr="00172701" w:rsidRDefault="00C13C7C" w:rsidP="00C13C7C">
      <w:pPr>
        <w:pStyle w:val="4-SubsectionHeading"/>
      </w:pPr>
      <w:bookmarkStart w:id="64" w:name="_Toc177475554"/>
      <w:r w:rsidRPr="00DB3D39">
        <w:t xml:space="preserve">Estimated </w:t>
      </w:r>
      <w:r w:rsidRPr="00172701">
        <w:t>PBS usage &amp; financial implications</w:t>
      </w:r>
      <w:bookmarkEnd w:id="64"/>
    </w:p>
    <w:p w14:paraId="3ED22076" w14:textId="187BCDBE" w:rsidR="00C13C7C" w:rsidRPr="00172701" w:rsidRDefault="00C13C7C" w:rsidP="007C073C">
      <w:pPr>
        <w:pStyle w:val="3-BodyText"/>
        <w:rPr>
          <w:color w:val="0066FF"/>
        </w:rPr>
      </w:pPr>
      <w:r w:rsidRPr="00172701">
        <w:t xml:space="preserve">This submission </w:t>
      </w:r>
      <w:r w:rsidR="005E6319" w:rsidRPr="00172701">
        <w:t>was</w:t>
      </w:r>
      <w:r w:rsidR="00CC4F99" w:rsidRPr="00172701">
        <w:t xml:space="preserve"> not</w:t>
      </w:r>
      <w:r w:rsidRPr="00172701">
        <w:t xml:space="preserve"> considered by DUSC</w:t>
      </w:r>
      <w:r w:rsidRPr="00172701">
        <w:rPr>
          <w:color w:val="0070C0"/>
        </w:rPr>
        <w:t xml:space="preserve">. </w:t>
      </w:r>
    </w:p>
    <w:p w14:paraId="1E342064" w14:textId="6EBDCC8E" w:rsidR="00C13C7C" w:rsidRPr="00DB3D39" w:rsidRDefault="00C13C7C" w:rsidP="007C073C">
      <w:pPr>
        <w:pStyle w:val="3-BodyText"/>
        <w:rPr>
          <w:color w:val="0066FF"/>
        </w:rPr>
      </w:pPr>
      <w:r w:rsidRPr="00DB3D39">
        <w:t xml:space="preserve">The submission </w:t>
      </w:r>
      <w:r w:rsidR="004C2F6E" w:rsidRPr="00DB3D39">
        <w:t xml:space="preserve">applied </w:t>
      </w:r>
      <w:r w:rsidRPr="00DB3D39">
        <w:t xml:space="preserve">an epidemiological approach to estimate the number of patients eligible for treatment with ribociclib/abemaciclib. </w:t>
      </w:r>
      <w:r w:rsidR="00D51FB7" w:rsidRPr="00112EE5">
        <w:rPr>
          <w:rFonts w:eastAsia="Times New Roman" w:cstheme="minorHAnsi"/>
          <w:szCs w:val="24"/>
        </w:rPr>
        <w:t>T</w:t>
      </w:r>
      <w:r w:rsidR="00D51FB7" w:rsidRPr="00112EE5">
        <w:rPr>
          <w:rFonts w:cstheme="minorHAnsi"/>
          <w:szCs w:val="24"/>
        </w:rPr>
        <w:t>he</w:t>
      </w:r>
      <w:r w:rsidR="00D51FB7" w:rsidRPr="00112EE5">
        <w:t xml:space="preserve"> Sponsor chose to use an epidemiological approach as opposed to a market share approach due to insufficient data on the number of services processed for </w:t>
      </w:r>
      <w:r w:rsidR="00D51FB7" w:rsidRPr="00112EE5">
        <w:rPr>
          <w:iCs/>
        </w:rPr>
        <w:t>abema</w:t>
      </w:r>
      <w:r w:rsidR="003801ED" w:rsidRPr="00112EE5">
        <w:rPr>
          <w:iCs/>
        </w:rPr>
        <w:t>ciclib</w:t>
      </w:r>
      <w:r w:rsidR="00D51FB7" w:rsidRPr="00112EE5">
        <w:t xml:space="preserve"> in eBC (PBS </w:t>
      </w:r>
      <w:r w:rsidR="00D51FB7" w:rsidRPr="00112EE5">
        <w:lastRenderedPageBreak/>
        <w:t xml:space="preserve">listed May </w:t>
      </w:r>
      <w:r w:rsidR="00D51FB7" w:rsidRPr="00112EE5">
        <w:rPr>
          <w:iCs/>
        </w:rPr>
        <w:t>2024</w:t>
      </w:r>
      <w:r w:rsidR="003801ED" w:rsidRPr="00112EE5">
        <w:rPr>
          <w:iCs/>
        </w:rPr>
        <w:t>)</w:t>
      </w:r>
      <w:r w:rsidR="00E8065D" w:rsidRPr="00112EE5">
        <w:rPr>
          <w:iCs/>
        </w:rPr>
        <w:t>.</w:t>
      </w:r>
      <w:r w:rsidRPr="00DB3D39">
        <w:t xml:space="preserve"> The financial estimates presented in the submission were based on</w:t>
      </w:r>
      <w:r w:rsidR="00AD74EB" w:rsidRPr="00DB3D39">
        <w:t xml:space="preserve"> the</w:t>
      </w:r>
      <w:r w:rsidRPr="00DB3D39">
        <w:t xml:space="preserve"> published DPMQ</w:t>
      </w:r>
      <w:r w:rsidR="007F4375">
        <w:t xml:space="preserve"> and </w:t>
      </w:r>
      <w:r w:rsidR="007F4375" w:rsidRPr="001B3C28">
        <w:t>assumed that the once-in-a lifetime PBS restriction criterion for CDK4/6 inhibitors would continue to remain in place</w:t>
      </w:r>
      <w:r w:rsidRPr="001B3C28">
        <w:t>.</w:t>
      </w:r>
      <w:r w:rsidRPr="00DB3D39">
        <w:t xml:space="preserve"> The sources of data utilised are summarised in</w:t>
      </w:r>
      <w:r w:rsidR="00435AA7" w:rsidRPr="00DB3D39">
        <w:t xml:space="preserve"> </w:t>
      </w:r>
      <w:r w:rsidR="00435AA7" w:rsidRPr="00DB3D39">
        <w:fldChar w:fldCharType="begin" w:fldLock="1"/>
      </w:r>
      <w:r w:rsidR="00435AA7" w:rsidRPr="00DB3D39">
        <w:instrText xml:space="preserve"> REF _Ref176858819 \h </w:instrText>
      </w:r>
      <w:r w:rsidR="00435AA7" w:rsidRPr="00DB3D39">
        <w:fldChar w:fldCharType="separate"/>
      </w:r>
      <w:r w:rsidR="00FF083B" w:rsidRPr="00DB3D39">
        <w:t xml:space="preserve">Table </w:t>
      </w:r>
      <w:r w:rsidR="00FF083B">
        <w:rPr>
          <w:noProof/>
        </w:rPr>
        <w:t>16</w:t>
      </w:r>
      <w:r w:rsidR="00435AA7" w:rsidRPr="00DB3D39">
        <w:fldChar w:fldCharType="end"/>
      </w:r>
      <w:r w:rsidR="00435AA7" w:rsidRPr="00DB3D39">
        <w:t>.</w:t>
      </w:r>
      <w:r w:rsidR="006B78F8" w:rsidRPr="00DB3D39">
        <w:t xml:space="preserve"> </w:t>
      </w:r>
    </w:p>
    <w:p w14:paraId="50CB67C8" w14:textId="2E0F6029" w:rsidR="00C13C7C" w:rsidRPr="00DB3D39" w:rsidRDefault="00C13C7C" w:rsidP="009E7E3B">
      <w:pPr>
        <w:pStyle w:val="TableHeading"/>
        <w:spacing w:before="0" w:after="0"/>
        <w:rPr>
          <w:rStyle w:val="CommentReference"/>
          <w:b w:val="0"/>
        </w:rPr>
      </w:pPr>
      <w:bookmarkStart w:id="65" w:name="_Ref176858819"/>
      <w:r w:rsidRPr="00DB3D39">
        <w:t xml:space="preserve">Table </w:t>
      </w:r>
      <w:r w:rsidR="00FF083B">
        <w:fldChar w:fldCharType="begin" w:fldLock="1"/>
      </w:r>
      <w:r w:rsidR="00FF083B">
        <w:instrText xml:space="preserve"> SEQ Table \* ARABIC </w:instrText>
      </w:r>
      <w:r w:rsidR="00FF083B">
        <w:fldChar w:fldCharType="separate"/>
      </w:r>
      <w:r w:rsidR="00FF083B">
        <w:rPr>
          <w:noProof/>
        </w:rPr>
        <w:t>16</w:t>
      </w:r>
      <w:r w:rsidR="00FF083B">
        <w:rPr>
          <w:noProof/>
        </w:rPr>
        <w:fldChar w:fldCharType="end"/>
      </w:r>
      <w:bookmarkEnd w:id="65"/>
      <w:r w:rsidRPr="00DB3D39">
        <w:t>:</w:t>
      </w:r>
      <w:r w:rsidRPr="00DB3D39">
        <w:rPr>
          <w:rStyle w:val="CommentReference"/>
        </w:rPr>
        <w:t xml:space="preserve">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13"/>
        <w:gridCol w:w="3244"/>
        <w:gridCol w:w="4059"/>
      </w:tblGrid>
      <w:tr w:rsidR="004F0E49" w:rsidRPr="00DB3D39" w14:paraId="5D398DF4" w14:textId="77777777" w:rsidTr="00387738">
        <w:trPr>
          <w:tblHeader/>
        </w:trPr>
        <w:tc>
          <w:tcPr>
            <w:tcW w:w="950" w:type="pct"/>
            <w:shd w:val="clear" w:color="auto" w:fill="auto"/>
            <w:vAlign w:val="center"/>
          </w:tcPr>
          <w:p w14:paraId="26593A20" w14:textId="77777777" w:rsidR="004F0E49" w:rsidRPr="00DB3D39" w:rsidRDefault="004F0E49" w:rsidP="006B78F8">
            <w:pPr>
              <w:pStyle w:val="In-tableHeading"/>
              <w:rPr>
                <w:lang w:val="en-AU"/>
              </w:rPr>
            </w:pPr>
            <w:r w:rsidRPr="00DB3D39">
              <w:rPr>
                <w:lang w:val="en-AU"/>
              </w:rPr>
              <w:t>Parameter</w:t>
            </w:r>
          </w:p>
        </w:tc>
        <w:tc>
          <w:tcPr>
            <w:tcW w:w="1799" w:type="pct"/>
            <w:shd w:val="clear" w:color="auto" w:fill="auto"/>
            <w:vAlign w:val="center"/>
          </w:tcPr>
          <w:p w14:paraId="4817A8A1" w14:textId="77777777" w:rsidR="004F0E49" w:rsidRPr="00DB3D39" w:rsidRDefault="004F0E49" w:rsidP="006B78F8">
            <w:pPr>
              <w:pStyle w:val="In-tableHeading"/>
              <w:rPr>
                <w:lang w:val="en-AU"/>
              </w:rPr>
            </w:pPr>
            <w:r w:rsidRPr="00DB3D39">
              <w:rPr>
                <w:lang w:val="en-AU"/>
              </w:rPr>
              <w:t>Value applied and source</w:t>
            </w:r>
          </w:p>
        </w:tc>
        <w:tc>
          <w:tcPr>
            <w:tcW w:w="2251" w:type="pct"/>
            <w:shd w:val="clear" w:color="auto" w:fill="auto"/>
            <w:vAlign w:val="center"/>
          </w:tcPr>
          <w:p w14:paraId="4EACFB82" w14:textId="33724914" w:rsidR="004F0E49" w:rsidRPr="00DB3D39" w:rsidRDefault="009C0A2D" w:rsidP="006B78F8">
            <w:pPr>
              <w:pStyle w:val="In-tableHeading"/>
              <w:rPr>
                <w:lang w:val="en-AU"/>
              </w:rPr>
            </w:pPr>
            <w:r>
              <w:rPr>
                <w:lang w:val="en-AU"/>
              </w:rPr>
              <w:t xml:space="preserve"> Evaluation c</w:t>
            </w:r>
            <w:r w:rsidR="004F0E49" w:rsidRPr="00DB3D39">
              <w:rPr>
                <w:lang w:val="en-AU"/>
              </w:rPr>
              <w:t>omment</w:t>
            </w:r>
          </w:p>
        </w:tc>
      </w:tr>
      <w:tr w:rsidR="004F0E49" w:rsidRPr="00DB3D39" w14:paraId="387B64CA" w14:textId="77777777">
        <w:tc>
          <w:tcPr>
            <w:tcW w:w="5000" w:type="pct"/>
            <w:gridSpan w:val="3"/>
            <w:shd w:val="clear" w:color="auto" w:fill="auto"/>
          </w:tcPr>
          <w:p w14:paraId="0407C0C8" w14:textId="77777777" w:rsidR="004F0E49" w:rsidRPr="00DB3D39" w:rsidRDefault="004F0E49" w:rsidP="006B78F8">
            <w:pPr>
              <w:pStyle w:val="In-tableHeading"/>
              <w:rPr>
                <w:lang w:val="en-AU"/>
              </w:rPr>
            </w:pPr>
            <w:r w:rsidRPr="00DB3D39">
              <w:rPr>
                <w:lang w:val="en-AU"/>
              </w:rPr>
              <w:t>Eligible population</w:t>
            </w:r>
          </w:p>
        </w:tc>
      </w:tr>
      <w:tr w:rsidR="004F0E49" w:rsidRPr="00112EE5" w14:paraId="11076287" w14:textId="77777777" w:rsidTr="00387738">
        <w:tc>
          <w:tcPr>
            <w:tcW w:w="950" w:type="pct"/>
            <w:shd w:val="clear" w:color="auto" w:fill="auto"/>
          </w:tcPr>
          <w:p w14:paraId="70D672B2" w14:textId="77777777" w:rsidR="004F0E49" w:rsidRPr="00112EE5" w:rsidRDefault="004F0E49" w:rsidP="006B78F8">
            <w:pPr>
              <w:pStyle w:val="Tabletext"/>
            </w:pPr>
            <w:r w:rsidRPr="00112EE5">
              <w:t>Incidence of breast cancer</w:t>
            </w:r>
          </w:p>
        </w:tc>
        <w:tc>
          <w:tcPr>
            <w:tcW w:w="1799" w:type="pct"/>
            <w:shd w:val="clear" w:color="auto" w:fill="auto"/>
            <w:vAlign w:val="center"/>
          </w:tcPr>
          <w:p w14:paraId="6DFB0448" w14:textId="77777777" w:rsidR="004F0E49" w:rsidRPr="00112EE5" w:rsidRDefault="004F0E49" w:rsidP="006B78F8">
            <w:pPr>
              <w:pStyle w:val="Tabletext"/>
            </w:pPr>
            <w:r w:rsidRPr="00112EE5">
              <w:t xml:space="preserve">Assuming a linear projection applying an annual growth rate of 3.36% from the 2016 incidence of 17,354 cases </w:t>
            </w:r>
          </w:p>
          <w:p w14:paraId="51E03478" w14:textId="77777777" w:rsidR="004F0E49" w:rsidRPr="00112EE5" w:rsidRDefault="004F0E49" w:rsidP="006B78F8">
            <w:pPr>
              <w:pStyle w:val="Tabletext"/>
            </w:pPr>
          </w:p>
          <w:p w14:paraId="2149B23E" w14:textId="77777777" w:rsidR="004F0E49" w:rsidRPr="00112EE5" w:rsidRDefault="004F0E49" w:rsidP="006B78F8">
            <w:pPr>
              <w:pStyle w:val="Tabletext"/>
            </w:pPr>
            <w:r w:rsidRPr="00112EE5">
              <w:t>Abemaciclib PSD November 2023, Table 15 p.35</w:t>
            </w:r>
          </w:p>
        </w:tc>
        <w:tc>
          <w:tcPr>
            <w:tcW w:w="2251" w:type="pct"/>
            <w:shd w:val="clear" w:color="auto" w:fill="auto"/>
            <w:vAlign w:val="center"/>
          </w:tcPr>
          <w:p w14:paraId="2347B56A" w14:textId="22F376A7" w:rsidR="004F0E49" w:rsidRPr="00BA5359" w:rsidRDefault="00EE4363" w:rsidP="006B78F8">
            <w:pPr>
              <w:pStyle w:val="Tabletext"/>
              <w:rPr>
                <w:iCs/>
              </w:rPr>
            </w:pPr>
            <w:r w:rsidRPr="00BA5359">
              <w:rPr>
                <w:iCs/>
              </w:rPr>
              <w:t>Reasonable.</w:t>
            </w:r>
          </w:p>
        </w:tc>
      </w:tr>
      <w:tr w:rsidR="004F0E49" w:rsidRPr="00112EE5" w14:paraId="579EDEA4" w14:textId="77777777" w:rsidTr="00387738">
        <w:tc>
          <w:tcPr>
            <w:tcW w:w="950" w:type="pct"/>
            <w:shd w:val="clear" w:color="auto" w:fill="auto"/>
          </w:tcPr>
          <w:p w14:paraId="635B7F4D" w14:textId="409410B2" w:rsidR="004F0E49" w:rsidRPr="00112EE5" w:rsidRDefault="004F0E49" w:rsidP="006B78F8">
            <w:pPr>
              <w:pStyle w:val="Tabletext"/>
            </w:pPr>
            <w:r w:rsidRPr="00112EE5">
              <w:t>Proportion (%) HR+, HER2- BC</w:t>
            </w:r>
          </w:p>
        </w:tc>
        <w:tc>
          <w:tcPr>
            <w:tcW w:w="1799" w:type="pct"/>
            <w:shd w:val="clear" w:color="auto" w:fill="auto"/>
            <w:vAlign w:val="center"/>
          </w:tcPr>
          <w:p w14:paraId="482F97E5" w14:textId="0B5150F6" w:rsidR="004F0E49" w:rsidRPr="00112EE5" w:rsidRDefault="004F0E49" w:rsidP="006B78F8">
            <w:pPr>
              <w:pStyle w:val="Tabletext"/>
            </w:pPr>
            <w:r w:rsidRPr="00112EE5">
              <w:t>HR+/HER2</w:t>
            </w:r>
            <w:r w:rsidR="00A97BC8" w:rsidRPr="00112EE5">
              <w:t>-</w:t>
            </w:r>
            <w:r w:rsidRPr="00112EE5">
              <w:t xml:space="preserve"> BC: 70%</w:t>
            </w:r>
          </w:p>
          <w:p w14:paraId="64E30DBF" w14:textId="77777777" w:rsidR="004F0E49" w:rsidRPr="00112EE5" w:rsidRDefault="004F0E49" w:rsidP="006B78F8">
            <w:pPr>
              <w:pStyle w:val="Tabletext"/>
            </w:pPr>
          </w:p>
          <w:p w14:paraId="75934541" w14:textId="77777777" w:rsidR="004F0E49" w:rsidRPr="00112EE5" w:rsidRDefault="004F0E49" w:rsidP="006B78F8">
            <w:pPr>
              <w:pStyle w:val="Tabletext"/>
            </w:pPr>
            <w:r w:rsidRPr="00112EE5">
              <w:t>Abemaciclib PSD November 2023, Table 15 p.35</w:t>
            </w:r>
          </w:p>
        </w:tc>
        <w:tc>
          <w:tcPr>
            <w:tcW w:w="2251" w:type="pct"/>
            <w:shd w:val="clear" w:color="auto" w:fill="auto"/>
            <w:vAlign w:val="center"/>
          </w:tcPr>
          <w:p w14:paraId="2DD4CBE5" w14:textId="77777777" w:rsidR="004F0E49" w:rsidRPr="00112EE5" w:rsidRDefault="004F0E49" w:rsidP="006B78F8">
            <w:pPr>
              <w:pStyle w:val="Tabletext"/>
              <w:rPr>
                <w:iCs/>
              </w:rPr>
            </w:pPr>
            <w:r w:rsidRPr="00112EE5">
              <w:rPr>
                <w:iCs/>
              </w:rPr>
              <w:t>Reasonable.</w:t>
            </w:r>
          </w:p>
        </w:tc>
      </w:tr>
      <w:tr w:rsidR="004F0E49" w:rsidRPr="00112EE5" w14:paraId="58062091" w14:textId="77777777" w:rsidTr="00387738">
        <w:tc>
          <w:tcPr>
            <w:tcW w:w="950" w:type="pct"/>
            <w:shd w:val="clear" w:color="auto" w:fill="auto"/>
          </w:tcPr>
          <w:p w14:paraId="04D01A3D" w14:textId="77777777" w:rsidR="004F0E49" w:rsidRPr="00112EE5" w:rsidRDefault="004F0E49" w:rsidP="006B78F8">
            <w:pPr>
              <w:pStyle w:val="Tabletext"/>
            </w:pPr>
            <w:r w:rsidRPr="00112EE5">
              <w:t>Proportion (%) Stage I-III eBC</w:t>
            </w:r>
          </w:p>
        </w:tc>
        <w:tc>
          <w:tcPr>
            <w:tcW w:w="1799" w:type="pct"/>
            <w:shd w:val="clear" w:color="auto" w:fill="auto"/>
            <w:vAlign w:val="center"/>
          </w:tcPr>
          <w:p w14:paraId="3E8B55C6" w14:textId="025D5CD3" w:rsidR="004F0E49" w:rsidRPr="00112EE5" w:rsidRDefault="004F0E49" w:rsidP="006B78F8">
            <w:pPr>
              <w:pStyle w:val="Tabletext"/>
              <w:rPr>
                <w:vertAlign w:val="superscript"/>
              </w:rPr>
            </w:pPr>
            <w:r w:rsidRPr="00112EE5">
              <w:t>Stage I: 45.5%</w:t>
            </w:r>
            <w:r w:rsidR="005D0643" w:rsidRPr="00112EE5">
              <w:rPr>
                <w:vertAlign w:val="superscript"/>
              </w:rPr>
              <w:t>a</w:t>
            </w:r>
          </w:p>
          <w:p w14:paraId="02666EF1" w14:textId="77777777" w:rsidR="004F0E49" w:rsidRPr="00112EE5" w:rsidRDefault="004F0E49" w:rsidP="006B78F8">
            <w:pPr>
              <w:pStyle w:val="Tabletext"/>
            </w:pPr>
            <w:r w:rsidRPr="00112EE5">
              <w:t>Stage II: 36.7%</w:t>
            </w:r>
          </w:p>
          <w:p w14:paraId="2EBAB725" w14:textId="77777777" w:rsidR="004F0E49" w:rsidRPr="00112EE5" w:rsidRDefault="004F0E49" w:rsidP="006B78F8">
            <w:pPr>
              <w:pStyle w:val="Tabletext"/>
            </w:pPr>
            <w:r w:rsidRPr="00112EE5">
              <w:t>Stage III: 12.8%</w:t>
            </w:r>
          </w:p>
          <w:p w14:paraId="4C10C4A2" w14:textId="77777777" w:rsidR="004F0E49" w:rsidRPr="00112EE5" w:rsidRDefault="004F0E49" w:rsidP="006B78F8">
            <w:pPr>
              <w:pStyle w:val="Tabletext"/>
            </w:pPr>
            <w:r w:rsidRPr="00112EE5">
              <w:t>Stage I-III: 95.03%</w:t>
            </w:r>
          </w:p>
          <w:p w14:paraId="3A54628E" w14:textId="77777777" w:rsidR="004F0E49" w:rsidRPr="00112EE5" w:rsidRDefault="004F0E49" w:rsidP="006B78F8">
            <w:pPr>
              <w:pStyle w:val="Tabletext"/>
            </w:pPr>
          </w:p>
          <w:p w14:paraId="5255A40C" w14:textId="77777777" w:rsidR="004F0E49" w:rsidRPr="00112EE5" w:rsidRDefault="004F0E49" w:rsidP="006B78F8">
            <w:pPr>
              <w:pStyle w:val="Tabletext"/>
            </w:pPr>
            <w:r w:rsidRPr="00112EE5">
              <w:t>National Cancer Control Indicators 2018</w:t>
            </w:r>
          </w:p>
        </w:tc>
        <w:tc>
          <w:tcPr>
            <w:tcW w:w="2251" w:type="pct"/>
            <w:shd w:val="clear" w:color="auto" w:fill="auto"/>
            <w:vAlign w:val="center"/>
          </w:tcPr>
          <w:p w14:paraId="3A833E9F" w14:textId="77777777" w:rsidR="004F0E49" w:rsidRPr="00112EE5" w:rsidRDefault="004F0E49" w:rsidP="006B78F8">
            <w:pPr>
              <w:pStyle w:val="Tabletext"/>
              <w:rPr>
                <w:iCs/>
              </w:rPr>
            </w:pPr>
            <w:r w:rsidRPr="00112EE5">
              <w:rPr>
                <w:iCs/>
              </w:rPr>
              <w:t>Reasonable.</w:t>
            </w:r>
          </w:p>
        </w:tc>
      </w:tr>
      <w:tr w:rsidR="004F0E49" w:rsidRPr="00112EE5" w14:paraId="51F75E3C" w14:textId="77777777" w:rsidTr="00387738">
        <w:tc>
          <w:tcPr>
            <w:tcW w:w="950" w:type="pct"/>
            <w:shd w:val="clear" w:color="auto" w:fill="auto"/>
          </w:tcPr>
          <w:p w14:paraId="7E1C4D76" w14:textId="77777777" w:rsidR="004F0E49" w:rsidRPr="00112EE5" w:rsidRDefault="004F0E49" w:rsidP="006B78F8">
            <w:pPr>
              <w:pStyle w:val="Tabletext"/>
            </w:pPr>
            <w:r w:rsidRPr="00112EE5">
              <w:t>Proportion (%) node positive and high risk of recurrence eBC</w:t>
            </w:r>
          </w:p>
        </w:tc>
        <w:tc>
          <w:tcPr>
            <w:tcW w:w="1799" w:type="pct"/>
            <w:shd w:val="clear" w:color="auto" w:fill="auto"/>
            <w:vAlign w:val="center"/>
          </w:tcPr>
          <w:p w14:paraId="007233F2" w14:textId="329DBB5F" w:rsidR="004F0E49" w:rsidRPr="00112EE5" w:rsidRDefault="004F0E49" w:rsidP="006B78F8">
            <w:pPr>
              <w:pStyle w:val="Tabletext"/>
            </w:pPr>
            <w:r w:rsidRPr="00112EE5">
              <w:t xml:space="preserve">Total node positive: 24.6% </w:t>
            </w:r>
          </w:p>
          <w:p w14:paraId="383F6A89" w14:textId="77777777" w:rsidR="004F0E49" w:rsidRPr="00112EE5" w:rsidRDefault="004F0E49" w:rsidP="006B78F8">
            <w:pPr>
              <w:pStyle w:val="Tabletext"/>
            </w:pPr>
          </w:p>
          <w:p w14:paraId="73E6D645" w14:textId="682A09EB" w:rsidR="004F0E49" w:rsidRPr="00112EE5" w:rsidRDefault="004F0E49" w:rsidP="006B78F8">
            <w:pPr>
              <w:pStyle w:val="Tabletext"/>
            </w:pPr>
            <w:r w:rsidRPr="00112EE5">
              <w:t xml:space="preserve">High recurrence risk: 48.8% </w:t>
            </w:r>
          </w:p>
          <w:p w14:paraId="79B70BD3" w14:textId="77777777" w:rsidR="004F0E49" w:rsidRPr="00112EE5" w:rsidRDefault="004F0E49" w:rsidP="006B78F8">
            <w:pPr>
              <w:pStyle w:val="Tabletext"/>
            </w:pPr>
          </w:p>
          <w:p w14:paraId="7E4D9A1B" w14:textId="34EE0050" w:rsidR="004F0E49" w:rsidRPr="00112EE5" w:rsidRDefault="004F0E49" w:rsidP="006B78F8">
            <w:pPr>
              <w:pStyle w:val="Tabletext"/>
            </w:pPr>
            <w:r w:rsidRPr="00112EE5">
              <w:t>Nelson et al., 2022, Figure 1</w:t>
            </w:r>
          </w:p>
        </w:tc>
        <w:tc>
          <w:tcPr>
            <w:tcW w:w="2251" w:type="pct"/>
            <w:shd w:val="clear" w:color="auto" w:fill="auto"/>
            <w:vAlign w:val="center"/>
          </w:tcPr>
          <w:p w14:paraId="021DF2C7" w14:textId="77777777" w:rsidR="004F0E49" w:rsidRPr="00112EE5" w:rsidRDefault="004F0E49" w:rsidP="006B78F8">
            <w:pPr>
              <w:pStyle w:val="Tabletext"/>
              <w:rPr>
                <w:iCs/>
              </w:rPr>
            </w:pPr>
            <w:r w:rsidRPr="00112EE5">
              <w:rPr>
                <w:iCs/>
              </w:rPr>
              <w:t>Reasonable.</w:t>
            </w:r>
          </w:p>
        </w:tc>
      </w:tr>
      <w:tr w:rsidR="004F0E49" w:rsidRPr="00112EE5" w14:paraId="3710A4A0" w14:textId="77777777" w:rsidTr="004E5DE5">
        <w:tc>
          <w:tcPr>
            <w:tcW w:w="950" w:type="pct"/>
            <w:shd w:val="clear" w:color="auto" w:fill="auto"/>
          </w:tcPr>
          <w:p w14:paraId="19E70881" w14:textId="04E06A99" w:rsidR="004F0E49" w:rsidRPr="00112EE5" w:rsidRDefault="004F0E49" w:rsidP="006B78F8">
            <w:pPr>
              <w:pStyle w:val="Tabletext"/>
            </w:pPr>
            <w:r w:rsidRPr="00112EE5">
              <w:t>Proportion (%)</w:t>
            </w:r>
            <w:r w:rsidR="000F23F4" w:rsidRPr="00112EE5">
              <w:t xml:space="preserve"> </w:t>
            </w:r>
            <w:r w:rsidRPr="00112EE5">
              <w:t xml:space="preserve">treated with </w:t>
            </w:r>
            <w:r w:rsidR="008A4E79" w:rsidRPr="00112EE5">
              <w:t xml:space="preserve">AI </w:t>
            </w:r>
          </w:p>
        </w:tc>
        <w:tc>
          <w:tcPr>
            <w:tcW w:w="1799" w:type="pct"/>
            <w:shd w:val="clear" w:color="auto" w:fill="auto"/>
          </w:tcPr>
          <w:p w14:paraId="4F3E0C23" w14:textId="5ADFE47A" w:rsidR="004F0E49" w:rsidRPr="00112EE5" w:rsidRDefault="00C1698D" w:rsidP="004E5DE5">
            <w:pPr>
              <w:pStyle w:val="Tabletext"/>
            </w:pPr>
            <w:r w:rsidRPr="00112EE5">
              <w:t>81</w:t>
            </w:r>
            <w:r w:rsidR="004F0E49" w:rsidRPr="00112EE5">
              <w:t>%</w:t>
            </w:r>
          </w:p>
          <w:p w14:paraId="1A647B4D" w14:textId="77777777" w:rsidR="004F0E49" w:rsidRPr="00112EE5" w:rsidRDefault="004F0E49" w:rsidP="004E5DE5">
            <w:pPr>
              <w:pStyle w:val="Tabletext"/>
            </w:pPr>
          </w:p>
          <w:p w14:paraId="1BDAF19F" w14:textId="77777777" w:rsidR="004F0E49" w:rsidRPr="00112EE5" w:rsidRDefault="004F0E49" w:rsidP="004E5DE5">
            <w:pPr>
              <w:pStyle w:val="Tabletext"/>
            </w:pPr>
            <w:r w:rsidRPr="00112EE5">
              <w:t>10% PBS sample data</w:t>
            </w:r>
          </w:p>
        </w:tc>
        <w:tc>
          <w:tcPr>
            <w:tcW w:w="2251" w:type="pct"/>
            <w:shd w:val="clear" w:color="auto" w:fill="auto"/>
            <w:vAlign w:val="center"/>
          </w:tcPr>
          <w:p w14:paraId="39742087" w14:textId="1707C95B" w:rsidR="004F0E49" w:rsidRPr="001B3C28" w:rsidRDefault="007E56BC" w:rsidP="006B78F8">
            <w:pPr>
              <w:pStyle w:val="Tabletext"/>
              <w:rPr>
                <w:iCs/>
              </w:rPr>
            </w:pPr>
            <w:r w:rsidRPr="001B3C28">
              <w:rPr>
                <w:iCs/>
              </w:rPr>
              <w:t xml:space="preserve">The PSCR clarified (p4) that the 10% PBS sample data source did not distinguish patients by nodal status, and the proportion of patients treated with AI applies to all patients starting treatment in eBC. This </w:t>
            </w:r>
            <w:r w:rsidR="004A5163" w:rsidRPr="001B3C28">
              <w:rPr>
                <w:iCs/>
              </w:rPr>
              <w:t>estimate</w:t>
            </w:r>
            <w:r w:rsidRPr="001B3C28">
              <w:rPr>
                <w:iCs/>
              </w:rPr>
              <w:t xml:space="preserve"> is</w:t>
            </w:r>
            <w:r w:rsidR="004A5163" w:rsidRPr="001B3C28">
              <w:rPr>
                <w:iCs/>
              </w:rPr>
              <w:t xml:space="preserve"> therefore</w:t>
            </w:r>
            <w:r w:rsidRPr="001B3C28">
              <w:rPr>
                <w:iCs/>
              </w:rPr>
              <w:t xml:space="preserve"> uncertain</w:t>
            </w:r>
            <w:r w:rsidR="004A5163" w:rsidRPr="001B3C28">
              <w:rPr>
                <w:iCs/>
              </w:rPr>
              <w:t xml:space="preserve"> for the PBS population</w:t>
            </w:r>
            <w:r w:rsidRPr="001B3C28">
              <w:rPr>
                <w:iCs/>
              </w:rPr>
              <w:t xml:space="preserve"> because it </w:t>
            </w:r>
            <w:r w:rsidR="004A5163" w:rsidRPr="001B3C28">
              <w:rPr>
                <w:iCs/>
              </w:rPr>
              <w:t>does</w:t>
            </w:r>
            <w:r w:rsidRPr="001B3C28">
              <w:rPr>
                <w:iCs/>
              </w:rPr>
              <w:t xml:space="preserve"> not </w:t>
            </w:r>
            <w:r w:rsidR="004A5163" w:rsidRPr="001B3C28">
              <w:rPr>
                <w:iCs/>
              </w:rPr>
              <w:t>apply to</w:t>
            </w:r>
            <w:r w:rsidRPr="001B3C28">
              <w:rPr>
                <w:iCs/>
              </w:rPr>
              <w:t xml:space="preserve"> </w:t>
            </w:r>
            <w:r w:rsidR="004A5163" w:rsidRPr="001B3C28">
              <w:rPr>
                <w:iCs/>
              </w:rPr>
              <w:t xml:space="preserve">node positive </w:t>
            </w:r>
            <w:r w:rsidRPr="001B3C28">
              <w:rPr>
                <w:iCs/>
              </w:rPr>
              <w:t>patients who are at high risk of recurrence.</w:t>
            </w:r>
          </w:p>
        </w:tc>
      </w:tr>
      <w:tr w:rsidR="004F0E49" w:rsidRPr="00DB3D39" w14:paraId="4C6BAA0B" w14:textId="77777777">
        <w:tc>
          <w:tcPr>
            <w:tcW w:w="5000" w:type="pct"/>
            <w:gridSpan w:val="3"/>
            <w:shd w:val="clear" w:color="auto" w:fill="auto"/>
          </w:tcPr>
          <w:p w14:paraId="14884FD7" w14:textId="77777777" w:rsidR="004F0E49" w:rsidRPr="00DB3D39" w:rsidRDefault="004F0E49" w:rsidP="00F953C1">
            <w:pPr>
              <w:pStyle w:val="In-tableHeading"/>
              <w:rPr>
                <w:lang w:val="en-AU"/>
              </w:rPr>
            </w:pPr>
            <w:r w:rsidRPr="00DB3D39">
              <w:rPr>
                <w:lang w:val="en-AU"/>
              </w:rPr>
              <w:t>Uptake rate</w:t>
            </w:r>
          </w:p>
        </w:tc>
      </w:tr>
      <w:tr w:rsidR="004F0E49" w:rsidRPr="00DB3D39" w14:paraId="2485C524" w14:textId="77777777" w:rsidTr="00387738">
        <w:tc>
          <w:tcPr>
            <w:tcW w:w="950" w:type="pct"/>
            <w:shd w:val="clear" w:color="auto" w:fill="auto"/>
          </w:tcPr>
          <w:p w14:paraId="59675803" w14:textId="77777777" w:rsidR="004F0E49" w:rsidRPr="00DB3D39" w:rsidRDefault="004F0E49" w:rsidP="006B78F8">
            <w:pPr>
              <w:pStyle w:val="Tabletext"/>
            </w:pPr>
            <w:r w:rsidRPr="00DB3D39">
              <w:t>Uptake of abemaciclib</w:t>
            </w:r>
          </w:p>
        </w:tc>
        <w:tc>
          <w:tcPr>
            <w:tcW w:w="1799" w:type="pct"/>
            <w:shd w:val="clear" w:color="auto" w:fill="auto"/>
          </w:tcPr>
          <w:p w14:paraId="6CA85A22" w14:textId="748F3262" w:rsidR="004F0E49" w:rsidRPr="00DB3D39" w:rsidRDefault="004F0E49" w:rsidP="006B78F8">
            <w:pPr>
              <w:pStyle w:val="Tabletext"/>
            </w:pPr>
            <w:r w:rsidRPr="00DB3D39">
              <w:t xml:space="preserve">2025: </w:t>
            </w:r>
            <w:r w:rsidR="00BC7DFB" w:rsidRPr="00BC7DFB">
              <w:rPr>
                <w:color w:val="000000"/>
                <w:spacing w:val="56"/>
                <w:shd w:val="solid" w:color="000000" w:fill="000000"/>
                <w:fitText w:val="340" w:id="-761015552"/>
                <w14:textFill>
                  <w14:solidFill>
                    <w14:srgbClr w14:val="000000">
                      <w14:alpha w14:val="100000"/>
                    </w14:srgbClr>
                  </w14:solidFill>
                </w14:textFill>
              </w:rPr>
              <w:t>|||</w:t>
            </w:r>
            <w:r w:rsidR="00BC7DFB" w:rsidRPr="00BC7DFB">
              <w:rPr>
                <w:color w:val="000000"/>
                <w:spacing w:val="2"/>
                <w:shd w:val="solid" w:color="000000" w:fill="000000"/>
                <w:fitText w:val="340" w:id="-761015552"/>
                <w14:textFill>
                  <w14:solidFill>
                    <w14:srgbClr w14:val="000000">
                      <w14:alpha w14:val="100000"/>
                    </w14:srgbClr>
                  </w14:solidFill>
                </w14:textFill>
              </w:rPr>
              <w:t>|</w:t>
            </w:r>
            <w:r w:rsidRPr="00DB3D39">
              <w:t>%</w:t>
            </w:r>
          </w:p>
          <w:p w14:paraId="1196AB89" w14:textId="068FCABA" w:rsidR="004F0E49" w:rsidRPr="00DB3D39" w:rsidRDefault="004F0E49" w:rsidP="006B78F8">
            <w:pPr>
              <w:pStyle w:val="Tabletext"/>
            </w:pPr>
            <w:r w:rsidRPr="00DB3D39">
              <w:t xml:space="preserve">2026: </w:t>
            </w:r>
            <w:r w:rsidR="00BC7DFB" w:rsidRPr="00BC7DFB">
              <w:rPr>
                <w:color w:val="000000"/>
                <w:spacing w:val="56"/>
                <w:shd w:val="solid" w:color="000000" w:fill="000000"/>
                <w:fitText w:val="340" w:id="-761015551"/>
                <w14:textFill>
                  <w14:solidFill>
                    <w14:srgbClr w14:val="000000">
                      <w14:alpha w14:val="100000"/>
                    </w14:srgbClr>
                  </w14:solidFill>
                </w14:textFill>
              </w:rPr>
              <w:t>|||</w:t>
            </w:r>
            <w:r w:rsidR="00BC7DFB" w:rsidRPr="00BC7DFB">
              <w:rPr>
                <w:color w:val="000000"/>
                <w:spacing w:val="2"/>
                <w:shd w:val="solid" w:color="000000" w:fill="000000"/>
                <w:fitText w:val="340" w:id="-761015551"/>
                <w14:textFill>
                  <w14:solidFill>
                    <w14:srgbClr w14:val="000000">
                      <w14:alpha w14:val="100000"/>
                    </w14:srgbClr>
                  </w14:solidFill>
                </w14:textFill>
              </w:rPr>
              <w:t>|</w:t>
            </w:r>
            <w:r w:rsidRPr="00DB3D39">
              <w:t>%</w:t>
            </w:r>
          </w:p>
          <w:p w14:paraId="5C3F70DF" w14:textId="3C787FB3" w:rsidR="004F0E49" w:rsidRPr="00DB3D39" w:rsidRDefault="004F0E49" w:rsidP="006B78F8">
            <w:pPr>
              <w:pStyle w:val="Tabletext"/>
            </w:pPr>
            <w:r w:rsidRPr="00DB3D39">
              <w:t>2027</w:t>
            </w:r>
            <w:r w:rsidRPr="00227AFA">
              <w:t xml:space="preserve">: </w:t>
            </w:r>
            <w:r w:rsidR="00BC7DFB" w:rsidRPr="00BC7DFB">
              <w:rPr>
                <w:color w:val="000000"/>
                <w:spacing w:val="56"/>
                <w:shd w:val="solid" w:color="000000" w:fill="000000"/>
                <w:fitText w:val="340" w:id="-761015550"/>
                <w14:textFill>
                  <w14:solidFill>
                    <w14:srgbClr w14:val="000000">
                      <w14:alpha w14:val="100000"/>
                    </w14:srgbClr>
                  </w14:solidFill>
                </w14:textFill>
              </w:rPr>
              <w:t>|||</w:t>
            </w:r>
            <w:r w:rsidR="00BC7DFB" w:rsidRPr="00BC7DFB">
              <w:rPr>
                <w:color w:val="000000"/>
                <w:spacing w:val="2"/>
                <w:shd w:val="solid" w:color="000000" w:fill="000000"/>
                <w:fitText w:val="340" w:id="-761015550"/>
                <w14:textFill>
                  <w14:solidFill>
                    <w14:srgbClr w14:val="000000">
                      <w14:alpha w14:val="100000"/>
                    </w14:srgbClr>
                  </w14:solidFill>
                </w14:textFill>
              </w:rPr>
              <w:t>|</w:t>
            </w:r>
            <w:r w:rsidRPr="00DB3D39">
              <w:t>%</w:t>
            </w:r>
          </w:p>
          <w:p w14:paraId="08DA0D81" w14:textId="34CE6BB7" w:rsidR="004F0E49" w:rsidRPr="00DB3D39" w:rsidRDefault="004F0E49" w:rsidP="006B78F8">
            <w:pPr>
              <w:pStyle w:val="Tabletext"/>
            </w:pPr>
            <w:r w:rsidRPr="00DB3D39">
              <w:t xml:space="preserve">2028: </w:t>
            </w:r>
            <w:r w:rsidR="00BC7DFB" w:rsidRPr="00BC7DFB">
              <w:rPr>
                <w:color w:val="000000"/>
                <w:spacing w:val="56"/>
                <w:shd w:val="solid" w:color="000000" w:fill="000000"/>
                <w:fitText w:val="340" w:id="-761015549"/>
                <w14:textFill>
                  <w14:solidFill>
                    <w14:srgbClr w14:val="000000">
                      <w14:alpha w14:val="100000"/>
                    </w14:srgbClr>
                  </w14:solidFill>
                </w14:textFill>
              </w:rPr>
              <w:t>|||</w:t>
            </w:r>
            <w:r w:rsidR="00BC7DFB" w:rsidRPr="00BC7DFB">
              <w:rPr>
                <w:color w:val="000000"/>
                <w:spacing w:val="2"/>
                <w:shd w:val="solid" w:color="000000" w:fill="000000"/>
                <w:fitText w:val="340" w:id="-761015549"/>
                <w14:textFill>
                  <w14:solidFill>
                    <w14:srgbClr w14:val="000000">
                      <w14:alpha w14:val="100000"/>
                    </w14:srgbClr>
                  </w14:solidFill>
                </w14:textFill>
              </w:rPr>
              <w:t>|</w:t>
            </w:r>
            <w:r w:rsidRPr="00DB3D39">
              <w:t>%</w:t>
            </w:r>
          </w:p>
          <w:p w14:paraId="3044D652" w14:textId="76747023" w:rsidR="004F0E49" w:rsidRPr="00DB3D39" w:rsidRDefault="004F0E49" w:rsidP="006B78F8">
            <w:pPr>
              <w:pStyle w:val="Tabletext"/>
            </w:pPr>
            <w:r w:rsidRPr="00DB3D39">
              <w:t xml:space="preserve">2029: </w:t>
            </w:r>
            <w:r w:rsidR="00BC7DFB" w:rsidRPr="00BC7DFB">
              <w:rPr>
                <w:color w:val="000000"/>
                <w:spacing w:val="56"/>
                <w:shd w:val="solid" w:color="000000" w:fill="000000"/>
                <w:fitText w:val="340" w:id="-761015548"/>
                <w14:textFill>
                  <w14:solidFill>
                    <w14:srgbClr w14:val="000000">
                      <w14:alpha w14:val="100000"/>
                    </w14:srgbClr>
                  </w14:solidFill>
                </w14:textFill>
              </w:rPr>
              <w:t>|||</w:t>
            </w:r>
            <w:r w:rsidR="00BC7DFB" w:rsidRPr="00BC7DFB">
              <w:rPr>
                <w:color w:val="000000"/>
                <w:spacing w:val="2"/>
                <w:shd w:val="solid" w:color="000000" w:fill="000000"/>
                <w:fitText w:val="340" w:id="-761015548"/>
                <w14:textFill>
                  <w14:solidFill>
                    <w14:srgbClr w14:val="000000">
                      <w14:alpha w14:val="100000"/>
                    </w14:srgbClr>
                  </w14:solidFill>
                </w14:textFill>
              </w:rPr>
              <w:t>|</w:t>
            </w:r>
            <w:r w:rsidRPr="00DB3D39">
              <w:t>%</w:t>
            </w:r>
          </w:p>
          <w:p w14:paraId="5BDED411" w14:textId="13D68F75" w:rsidR="004F0E49" w:rsidRPr="00DB3D39" w:rsidRDefault="004F0E49" w:rsidP="006B78F8">
            <w:pPr>
              <w:pStyle w:val="Tabletext"/>
            </w:pPr>
            <w:r w:rsidRPr="00DB3D39">
              <w:t xml:space="preserve">2030: </w:t>
            </w:r>
            <w:r w:rsidR="00BC7DFB" w:rsidRPr="00BC7DFB">
              <w:rPr>
                <w:color w:val="000000"/>
                <w:spacing w:val="56"/>
                <w:shd w:val="solid" w:color="000000" w:fill="000000"/>
                <w:fitText w:val="340" w:id="-761015547"/>
                <w14:textFill>
                  <w14:solidFill>
                    <w14:srgbClr w14:val="000000">
                      <w14:alpha w14:val="100000"/>
                    </w14:srgbClr>
                  </w14:solidFill>
                </w14:textFill>
              </w:rPr>
              <w:t>|||</w:t>
            </w:r>
            <w:r w:rsidR="00BC7DFB" w:rsidRPr="00BC7DFB">
              <w:rPr>
                <w:color w:val="000000"/>
                <w:spacing w:val="2"/>
                <w:shd w:val="solid" w:color="000000" w:fill="000000"/>
                <w:fitText w:val="340" w:id="-761015547"/>
                <w14:textFill>
                  <w14:solidFill>
                    <w14:srgbClr w14:val="000000">
                      <w14:alpha w14:val="100000"/>
                    </w14:srgbClr>
                  </w14:solidFill>
                </w14:textFill>
              </w:rPr>
              <w:t>|</w:t>
            </w:r>
            <w:r w:rsidRPr="00DB3D39">
              <w:t>%</w:t>
            </w:r>
          </w:p>
          <w:p w14:paraId="0E7A6692" w14:textId="77777777" w:rsidR="004F0E49" w:rsidRPr="00DB3D39" w:rsidRDefault="004F0E49" w:rsidP="006B78F8">
            <w:pPr>
              <w:pStyle w:val="Tabletext"/>
            </w:pPr>
          </w:p>
          <w:p w14:paraId="08BDB314" w14:textId="77777777" w:rsidR="004F0E49" w:rsidRPr="00DB3D39" w:rsidRDefault="004F0E49" w:rsidP="006B78F8">
            <w:pPr>
              <w:pStyle w:val="Tabletext"/>
            </w:pPr>
            <w:r w:rsidRPr="00DB3D39">
              <w:t>Assumption</w:t>
            </w:r>
          </w:p>
        </w:tc>
        <w:tc>
          <w:tcPr>
            <w:tcW w:w="2251" w:type="pct"/>
            <w:shd w:val="clear" w:color="auto" w:fill="auto"/>
            <w:vAlign w:val="center"/>
          </w:tcPr>
          <w:p w14:paraId="708BB70B" w14:textId="77777777" w:rsidR="004F0E49" w:rsidRDefault="004F0E49" w:rsidP="006B78F8">
            <w:pPr>
              <w:pStyle w:val="Tabletext"/>
              <w:rPr>
                <w:iCs/>
              </w:rPr>
            </w:pPr>
            <w:r w:rsidRPr="00112EE5">
              <w:rPr>
                <w:iCs/>
              </w:rPr>
              <w:t xml:space="preserve">Overestimated. </w:t>
            </w:r>
          </w:p>
          <w:p w14:paraId="3AFA045A" w14:textId="401A88F2" w:rsidR="004F0E49" w:rsidRPr="001B3C28" w:rsidRDefault="00C16A18" w:rsidP="006B78F8">
            <w:pPr>
              <w:pStyle w:val="Tabletext"/>
            </w:pPr>
            <w:r w:rsidRPr="001B3C28">
              <w:t xml:space="preserve">A lower CDK4/6 inhibitor uptake rate would be more appropriate, </w:t>
            </w:r>
            <w:r w:rsidR="00A62C8E" w:rsidRPr="001B3C28">
              <w:t>noting that a maximum rate of 95% is very high</w:t>
            </w:r>
            <w:r w:rsidRPr="001B3C28">
              <w:t>.</w:t>
            </w:r>
          </w:p>
        </w:tc>
      </w:tr>
      <w:tr w:rsidR="004F0E49" w:rsidRPr="00112EE5" w14:paraId="5CC40051" w14:textId="77777777" w:rsidTr="00387738">
        <w:tc>
          <w:tcPr>
            <w:tcW w:w="950" w:type="pct"/>
            <w:shd w:val="clear" w:color="auto" w:fill="auto"/>
          </w:tcPr>
          <w:p w14:paraId="3AE8C4C1" w14:textId="77777777" w:rsidR="004F0E49" w:rsidRPr="00112EE5" w:rsidRDefault="004F0E49" w:rsidP="006B78F8">
            <w:pPr>
              <w:pStyle w:val="Tabletext"/>
            </w:pPr>
            <w:r w:rsidRPr="00112EE5">
              <w:t>Uptake of ribociclib in the CDK4/6 inhibitor-treated population</w:t>
            </w:r>
          </w:p>
        </w:tc>
        <w:tc>
          <w:tcPr>
            <w:tcW w:w="1799" w:type="pct"/>
            <w:shd w:val="clear" w:color="auto" w:fill="auto"/>
            <w:vAlign w:val="center"/>
          </w:tcPr>
          <w:p w14:paraId="0ED0EF51" w14:textId="37DB8128" w:rsidR="004F0E49" w:rsidRPr="00D25B8C" w:rsidRDefault="004F0E49" w:rsidP="006B78F8">
            <w:pPr>
              <w:pStyle w:val="Tabletext"/>
            </w:pPr>
            <w:r w:rsidRPr="00D25B8C">
              <w:t xml:space="preserve">2025: </w:t>
            </w:r>
            <w:r w:rsidR="00BC7DFB" w:rsidRPr="00BC7DFB">
              <w:rPr>
                <w:color w:val="000000"/>
                <w:spacing w:val="56"/>
                <w:shd w:val="solid" w:color="000000" w:fill="000000"/>
                <w:fitText w:val="340" w:id="-761015546"/>
                <w14:textFill>
                  <w14:solidFill>
                    <w14:srgbClr w14:val="000000">
                      <w14:alpha w14:val="100000"/>
                    </w14:srgbClr>
                  </w14:solidFill>
                </w14:textFill>
              </w:rPr>
              <w:t>|||</w:t>
            </w:r>
            <w:r w:rsidR="00BC7DFB" w:rsidRPr="00BC7DFB">
              <w:rPr>
                <w:color w:val="000000"/>
                <w:spacing w:val="2"/>
                <w:shd w:val="solid" w:color="000000" w:fill="000000"/>
                <w:fitText w:val="340" w:id="-761015546"/>
                <w14:textFill>
                  <w14:solidFill>
                    <w14:srgbClr w14:val="000000">
                      <w14:alpha w14:val="100000"/>
                    </w14:srgbClr>
                  </w14:solidFill>
                </w14:textFill>
              </w:rPr>
              <w:t>|</w:t>
            </w:r>
            <w:r w:rsidRPr="00D25B8C">
              <w:t>%</w:t>
            </w:r>
          </w:p>
          <w:p w14:paraId="0079A9AE" w14:textId="1C036D57" w:rsidR="004F0E49" w:rsidRPr="00D25B8C" w:rsidRDefault="004F0E49" w:rsidP="006B78F8">
            <w:pPr>
              <w:pStyle w:val="Tabletext"/>
            </w:pPr>
            <w:r w:rsidRPr="00D25B8C">
              <w:t xml:space="preserve">2026: </w:t>
            </w:r>
            <w:r w:rsidR="00BC7DFB" w:rsidRPr="00BC7DFB">
              <w:rPr>
                <w:color w:val="000000"/>
                <w:spacing w:val="56"/>
                <w:shd w:val="solid" w:color="000000" w:fill="000000"/>
                <w:fitText w:val="340" w:id="-761015545"/>
                <w14:textFill>
                  <w14:solidFill>
                    <w14:srgbClr w14:val="000000">
                      <w14:alpha w14:val="100000"/>
                    </w14:srgbClr>
                  </w14:solidFill>
                </w14:textFill>
              </w:rPr>
              <w:t>|||</w:t>
            </w:r>
            <w:r w:rsidR="00BC7DFB" w:rsidRPr="00BC7DFB">
              <w:rPr>
                <w:color w:val="000000"/>
                <w:spacing w:val="2"/>
                <w:shd w:val="solid" w:color="000000" w:fill="000000"/>
                <w:fitText w:val="340" w:id="-761015545"/>
                <w14:textFill>
                  <w14:solidFill>
                    <w14:srgbClr w14:val="000000">
                      <w14:alpha w14:val="100000"/>
                    </w14:srgbClr>
                  </w14:solidFill>
                </w14:textFill>
              </w:rPr>
              <w:t>|</w:t>
            </w:r>
            <w:r w:rsidRPr="00D25B8C">
              <w:t>%</w:t>
            </w:r>
          </w:p>
          <w:p w14:paraId="566F34FA" w14:textId="7EEC065A" w:rsidR="004F0E49" w:rsidRPr="00D25B8C" w:rsidRDefault="004F0E49" w:rsidP="006B78F8">
            <w:pPr>
              <w:pStyle w:val="Tabletext"/>
            </w:pPr>
            <w:r w:rsidRPr="00D25B8C">
              <w:t xml:space="preserve">2027: </w:t>
            </w:r>
            <w:r w:rsidR="00BC7DFB" w:rsidRPr="00BC7DFB">
              <w:rPr>
                <w:color w:val="000000"/>
                <w:spacing w:val="56"/>
                <w:shd w:val="solid" w:color="000000" w:fill="000000"/>
                <w:fitText w:val="340" w:id="-761015544"/>
                <w14:textFill>
                  <w14:solidFill>
                    <w14:srgbClr w14:val="000000">
                      <w14:alpha w14:val="100000"/>
                    </w14:srgbClr>
                  </w14:solidFill>
                </w14:textFill>
              </w:rPr>
              <w:t>|||</w:t>
            </w:r>
            <w:r w:rsidR="00BC7DFB" w:rsidRPr="00BC7DFB">
              <w:rPr>
                <w:color w:val="000000"/>
                <w:spacing w:val="2"/>
                <w:shd w:val="solid" w:color="000000" w:fill="000000"/>
                <w:fitText w:val="340" w:id="-761015544"/>
                <w14:textFill>
                  <w14:solidFill>
                    <w14:srgbClr w14:val="000000">
                      <w14:alpha w14:val="100000"/>
                    </w14:srgbClr>
                  </w14:solidFill>
                </w14:textFill>
              </w:rPr>
              <w:t>|</w:t>
            </w:r>
            <w:r w:rsidRPr="00D25B8C">
              <w:t>%</w:t>
            </w:r>
          </w:p>
          <w:p w14:paraId="03504094" w14:textId="7C02DD31" w:rsidR="004F0E49" w:rsidRPr="00D25B8C" w:rsidRDefault="004F0E49" w:rsidP="006B78F8">
            <w:pPr>
              <w:pStyle w:val="Tabletext"/>
            </w:pPr>
            <w:r w:rsidRPr="00D25B8C">
              <w:t xml:space="preserve">2028: </w:t>
            </w:r>
            <w:r w:rsidR="00BC7DFB" w:rsidRPr="00BC7DFB">
              <w:rPr>
                <w:color w:val="000000"/>
                <w:spacing w:val="56"/>
                <w:shd w:val="solid" w:color="000000" w:fill="000000"/>
                <w:fitText w:val="340" w:id="-761015543"/>
                <w14:textFill>
                  <w14:solidFill>
                    <w14:srgbClr w14:val="000000">
                      <w14:alpha w14:val="100000"/>
                    </w14:srgbClr>
                  </w14:solidFill>
                </w14:textFill>
              </w:rPr>
              <w:t>|||</w:t>
            </w:r>
            <w:r w:rsidR="00BC7DFB" w:rsidRPr="00BC7DFB">
              <w:rPr>
                <w:color w:val="000000"/>
                <w:spacing w:val="2"/>
                <w:shd w:val="solid" w:color="000000" w:fill="000000"/>
                <w:fitText w:val="340" w:id="-761015543"/>
                <w14:textFill>
                  <w14:solidFill>
                    <w14:srgbClr w14:val="000000">
                      <w14:alpha w14:val="100000"/>
                    </w14:srgbClr>
                  </w14:solidFill>
                </w14:textFill>
              </w:rPr>
              <w:t>|</w:t>
            </w:r>
            <w:r w:rsidRPr="00D25B8C">
              <w:t>%</w:t>
            </w:r>
          </w:p>
          <w:p w14:paraId="38CA1FF8" w14:textId="3B5B7BDE" w:rsidR="004F0E49" w:rsidRPr="00D25B8C" w:rsidRDefault="004F0E49" w:rsidP="006B78F8">
            <w:pPr>
              <w:pStyle w:val="Tabletext"/>
            </w:pPr>
            <w:r w:rsidRPr="00D25B8C">
              <w:t xml:space="preserve">2029: </w:t>
            </w:r>
            <w:r w:rsidR="00BC7DFB" w:rsidRPr="00BC7DFB">
              <w:rPr>
                <w:color w:val="000000"/>
                <w:spacing w:val="56"/>
                <w:shd w:val="solid" w:color="000000" w:fill="000000"/>
                <w:fitText w:val="340" w:id="-761015542"/>
                <w14:textFill>
                  <w14:solidFill>
                    <w14:srgbClr w14:val="000000">
                      <w14:alpha w14:val="100000"/>
                    </w14:srgbClr>
                  </w14:solidFill>
                </w14:textFill>
              </w:rPr>
              <w:t>|||</w:t>
            </w:r>
            <w:r w:rsidR="00BC7DFB" w:rsidRPr="00BC7DFB">
              <w:rPr>
                <w:color w:val="000000"/>
                <w:spacing w:val="2"/>
                <w:shd w:val="solid" w:color="000000" w:fill="000000"/>
                <w:fitText w:val="340" w:id="-761015542"/>
                <w14:textFill>
                  <w14:solidFill>
                    <w14:srgbClr w14:val="000000">
                      <w14:alpha w14:val="100000"/>
                    </w14:srgbClr>
                  </w14:solidFill>
                </w14:textFill>
              </w:rPr>
              <w:t>|</w:t>
            </w:r>
            <w:r w:rsidRPr="00D25B8C">
              <w:t>%</w:t>
            </w:r>
          </w:p>
          <w:p w14:paraId="3D393B66" w14:textId="46563E05" w:rsidR="004F0E49" w:rsidRPr="00D25B8C" w:rsidRDefault="004F0E49" w:rsidP="006B78F8">
            <w:pPr>
              <w:pStyle w:val="Tabletext"/>
            </w:pPr>
            <w:r w:rsidRPr="00D25B8C">
              <w:t xml:space="preserve">2030: </w:t>
            </w:r>
            <w:r w:rsidR="00BC7DFB" w:rsidRPr="00BC7DFB">
              <w:rPr>
                <w:color w:val="000000"/>
                <w:spacing w:val="56"/>
                <w:shd w:val="solid" w:color="000000" w:fill="000000"/>
                <w:fitText w:val="340" w:id="-761015541"/>
                <w14:textFill>
                  <w14:solidFill>
                    <w14:srgbClr w14:val="000000">
                      <w14:alpha w14:val="100000"/>
                    </w14:srgbClr>
                  </w14:solidFill>
                </w14:textFill>
              </w:rPr>
              <w:t>|||</w:t>
            </w:r>
            <w:r w:rsidR="00BC7DFB" w:rsidRPr="00BC7DFB">
              <w:rPr>
                <w:color w:val="000000"/>
                <w:spacing w:val="2"/>
                <w:shd w:val="solid" w:color="000000" w:fill="000000"/>
                <w:fitText w:val="340" w:id="-761015541"/>
                <w14:textFill>
                  <w14:solidFill>
                    <w14:srgbClr w14:val="000000">
                      <w14:alpha w14:val="100000"/>
                    </w14:srgbClr>
                  </w14:solidFill>
                </w14:textFill>
              </w:rPr>
              <w:t>|</w:t>
            </w:r>
            <w:r w:rsidRPr="00D25B8C">
              <w:t>%</w:t>
            </w:r>
          </w:p>
          <w:p w14:paraId="57A87B6A" w14:textId="77777777" w:rsidR="004F0E49" w:rsidRPr="00112EE5" w:rsidRDefault="004F0E49" w:rsidP="006B78F8">
            <w:pPr>
              <w:pStyle w:val="Tabletext"/>
            </w:pPr>
          </w:p>
          <w:p w14:paraId="759376A8" w14:textId="77777777" w:rsidR="004F0E49" w:rsidRPr="00112EE5" w:rsidRDefault="004F0E49" w:rsidP="006B78F8">
            <w:pPr>
              <w:pStyle w:val="Tabletext"/>
            </w:pPr>
            <w:r w:rsidRPr="00112EE5">
              <w:t>Assumption.</w:t>
            </w:r>
          </w:p>
        </w:tc>
        <w:tc>
          <w:tcPr>
            <w:tcW w:w="2251" w:type="pct"/>
            <w:shd w:val="clear" w:color="auto" w:fill="auto"/>
            <w:vAlign w:val="center"/>
          </w:tcPr>
          <w:p w14:paraId="353C137A" w14:textId="23BC5D30" w:rsidR="004F0E49" w:rsidRPr="00112EE5" w:rsidRDefault="004F0E49" w:rsidP="006B78F8">
            <w:pPr>
              <w:pStyle w:val="Tabletext"/>
              <w:rPr>
                <w:iCs/>
              </w:rPr>
            </w:pPr>
            <w:r w:rsidRPr="00112EE5">
              <w:rPr>
                <w:iCs/>
              </w:rPr>
              <w:t>Uncertain.</w:t>
            </w:r>
            <w:r w:rsidR="00AE21B6">
              <w:rPr>
                <w:iCs/>
              </w:rPr>
              <w:t xml:space="preserve"> The PBAC considered this to be an underestimate.</w:t>
            </w:r>
          </w:p>
        </w:tc>
      </w:tr>
      <w:tr w:rsidR="004F0E49" w:rsidRPr="00DB3D39" w14:paraId="34A533F8" w14:textId="77777777">
        <w:tc>
          <w:tcPr>
            <w:tcW w:w="5000" w:type="pct"/>
            <w:gridSpan w:val="3"/>
            <w:shd w:val="clear" w:color="auto" w:fill="auto"/>
          </w:tcPr>
          <w:p w14:paraId="664D0AD3" w14:textId="77777777" w:rsidR="004F0E49" w:rsidRPr="00DB3D39" w:rsidRDefault="004F0E49" w:rsidP="00FB0708">
            <w:pPr>
              <w:pStyle w:val="In-tableHeading"/>
              <w:rPr>
                <w:lang w:val="en-AU"/>
              </w:rPr>
            </w:pPr>
            <w:r w:rsidRPr="00DB3D39">
              <w:rPr>
                <w:lang w:val="en-AU"/>
              </w:rPr>
              <w:lastRenderedPageBreak/>
              <w:t>Utilisation and cost of medicines</w:t>
            </w:r>
          </w:p>
        </w:tc>
      </w:tr>
      <w:tr w:rsidR="004F0E49" w:rsidRPr="00112EE5" w14:paraId="7B3756F5" w14:textId="77777777" w:rsidTr="00387738">
        <w:tc>
          <w:tcPr>
            <w:tcW w:w="950" w:type="pct"/>
            <w:shd w:val="clear" w:color="auto" w:fill="auto"/>
          </w:tcPr>
          <w:p w14:paraId="40C7797A" w14:textId="77777777" w:rsidR="004F0E49" w:rsidRPr="00112EE5" w:rsidRDefault="004F0E49" w:rsidP="006B78F8">
            <w:pPr>
              <w:pStyle w:val="Tabletext"/>
              <w:rPr>
                <w:b/>
              </w:rPr>
            </w:pPr>
            <w:r w:rsidRPr="00112EE5">
              <w:t>Utilisation by dose</w:t>
            </w:r>
          </w:p>
        </w:tc>
        <w:tc>
          <w:tcPr>
            <w:tcW w:w="1799" w:type="pct"/>
            <w:shd w:val="clear" w:color="auto" w:fill="auto"/>
            <w:vAlign w:val="center"/>
          </w:tcPr>
          <w:p w14:paraId="3F8C02A1" w14:textId="77777777" w:rsidR="004F0E49" w:rsidRPr="00112EE5" w:rsidRDefault="004F0E49" w:rsidP="006B78F8">
            <w:pPr>
              <w:pStyle w:val="Tabletext"/>
            </w:pPr>
            <w:r w:rsidRPr="00112EE5">
              <w:t>Abemaciclib utilisation:</w:t>
            </w:r>
          </w:p>
          <w:p w14:paraId="794DB500" w14:textId="77777777" w:rsidR="004F0E49" w:rsidRPr="00112EE5" w:rsidRDefault="004F0E49" w:rsidP="006B78F8">
            <w:pPr>
              <w:pStyle w:val="Tabletext"/>
            </w:pPr>
            <w:r w:rsidRPr="00112EE5">
              <w:t xml:space="preserve">   56 x 50 mg tablet:   13.9%</w:t>
            </w:r>
          </w:p>
          <w:p w14:paraId="3525AB06" w14:textId="77777777" w:rsidR="004F0E49" w:rsidRPr="00112EE5" w:rsidRDefault="004F0E49" w:rsidP="006B78F8">
            <w:pPr>
              <w:pStyle w:val="Tabletext"/>
            </w:pPr>
            <w:r w:rsidRPr="00112EE5">
              <w:t xml:space="preserve">   56 x 100 mg tablet: 29.5%</w:t>
            </w:r>
          </w:p>
          <w:p w14:paraId="011EDFEC" w14:textId="77777777" w:rsidR="004F0E49" w:rsidRPr="00112EE5" w:rsidRDefault="004F0E49" w:rsidP="006B78F8">
            <w:pPr>
              <w:pStyle w:val="Tabletext"/>
            </w:pPr>
            <w:r w:rsidRPr="00112EE5">
              <w:t xml:space="preserve">   56 x 150 mg tablet: 56.6%</w:t>
            </w:r>
          </w:p>
          <w:p w14:paraId="188112F0" w14:textId="77777777" w:rsidR="004F0E49" w:rsidRPr="00112EE5" w:rsidRDefault="004F0E49" w:rsidP="006B78F8">
            <w:pPr>
              <w:pStyle w:val="Tabletext"/>
            </w:pPr>
          </w:p>
          <w:p w14:paraId="2AC04F7E" w14:textId="77777777" w:rsidR="004F0E49" w:rsidRPr="00112EE5" w:rsidRDefault="004F0E49" w:rsidP="006B78F8">
            <w:pPr>
              <w:pStyle w:val="Tabletext"/>
            </w:pPr>
            <w:r w:rsidRPr="00112EE5">
              <w:t>Rugo et al., 2022 Figure 2</w:t>
            </w:r>
          </w:p>
          <w:p w14:paraId="2EB64CA2" w14:textId="77777777" w:rsidR="004F0E49" w:rsidRPr="00112EE5" w:rsidRDefault="004F0E49" w:rsidP="006B78F8">
            <w:pPr>
              <w:pStyle w:val="Tabletext"/>
            </w:pPr>
          </w:p>
          <w:p w14:paraId="22A6B95C" w14:textId="77777777" w:rsidR="004F0E49" w:rsidRPr="00112EE5" w:rsidRDefault="004F0E49" w:rsidP="006B78F8">
            <w:pPr>
              <w:pStyle w:val="Tabletext"/>
            </w:pPr>
            <w:r w:rsidRPr="00112EE5">
              <w:t>Ribociclib utilisation:</w:t>
            </w:r>
          </w:p>
          <w:p w14:paraId="7121B9BA" w14:textId="77777777" w:rsidR="004F0E49" w:rsidRPr="00112EE5" w:rsidRDefault="004F0E49" w:rsidP="006B78F8">
            <w:pPr>
              <w:pStyle w:val="Tabletext"/>
            </w:pPr>
            <w:r w:rsidRPr="00112EE5">
              <w:t xml:space="preserve">   21 x 200 mg tablet: 26.7%</w:t>
            </w:r>
          </w:p>
          <w:p w14:paraId="35DEF8B7" w14:textId="77777777" w:rsidR="004F0E49" w:rsidRPr="00112EE5" w:rsidRDefault="004F0E49" w:rsidP="006B78F8">
            <w:pPr>
              <w:pStyle w:val="Tabletext"/>
            </w:pPr>
            <w:r w:rsidRPr="00112EE5">
              <w:t xml:space="preserve">   42 x 200 mg tablet: 73.3%</w:t>
            </w:r>
          </w:p>
          <w:p w14:paraId="45F84225" w14:textId="77777777" w:rsidR="004F0E49" w:rsidRPr="00112EE5" w:rsidRDefault="004F0E49" w:rsidP="006B78F8">
            <w:pPr>
              <w:pStyle w:val="Tabletext"/>
            </w:pPr>
          </w:p>
          <w:p w14:paraId="600E7216" w14:textId="77777777" w:rsidR="004F0E49" w:rsidRPr="00112EE5" w:rsidRDefault="004F0E49" w:rsidP="006B78F8">
            <w:pPr>
              <w:pStyle w:val="Tabletext"/>
            </w:pPr>
            <w:r w:rsidRPr="00112EE5">
              <w:t>NATALEE Final iDFS Analysis and Safety Update Table 4-3 p. 39-40</w:t>
            </w:r>
          </w:p>
        </w:tc>
        <w:tc>
          <w:tcPr>
            <w:tcW w:w="2251" w:type="pct"/>
            <w:shd w:val="clear" w:color="auto" w:fill="auto"/>
            <w:vAlign w:val="center"/>
          </w:tcPr>
          <w:p w14:paraId="253B9E5F" w14:textId="6530B48D" w:rsidR="004F0E49" w:rsidRPr="00112EE5" w:rsidRDefault="004F0E49" w:rsidP="006B78F8">
            <w:pPr>
              <w:pStyle w:val="Tabletext"/>
              <w:rPr>
                <w:iCs/>
              </w:rPr>
            </w:pPr>
            <w:r w:rsidRPr="00112EE5">
              <w:rPr>
                <w:iCs/>
              </w:rPr>
              <w:t>Reasonable. However, the assumed utilisation across abemaciclib dose forms (150 mg vs. 100 mg vs. 50 mg) was based on trial observed dose reductions. These values slightly differ from those applied in the initial abemaciclib submission (50.1%; 37.9%; 12.0%) (para 6.58, abemaciclib, PSD, November 2023 PBAC meeting) which was based on PBS script data in the advanced setting.</w:t>
            </w:r>
            <w:r w:rsidR="00757701">
              <w:rPr>
                <w:iCs/>
              </w:rPr>
              <w:t xml:space="preserve"> The PBAC considered the impact of this would be minimal.</w:t>
            </w:r>
          </w:p>
        </w:tc>
      </w:tr>
      <w:tr w:rsidR="004F0E49" w:rsidRPr="00DB3D39" w14:paraId="5C299BEF" w14:textId="77777777" w:rsidTr="00387738">
        <w:tc>
          <w:tcPr>
            <w:tcW w:w="950" w:type="pct"/>
            <w:shd w:val="clear" w:color="auto" w:fill="auto"/>
          </w:tcPr>
          <w:p w14:paraId="150FFAE7" w14:textId="77777777" w:rsidR="004F0E49" w:rsidRPr="00DB3D39" w:rsidRDefault="004F0E49" w:rsidP="006B78F8">
            <w:pPr>
              <w:pStyle w:val="Tabletext"/>
            </w:pPr>
            <w:r w:rsidRPr="00DB3D39">
              <w:t>Duration of treatment</w:t>
            </w:r>
          </w:p>
        </w:tc>
        <w:tc>
          <w:tcPr>
            <w:tcW w:w="1799" w:type="pct"/>
            <w:shd w:val="clear" w:color="auto" w:fill="auto"/>
            <w:vAlign w:val="center"/>
          </w:tcPr>
          <w:p w14:paraId="21193A2D" w14:textId="77777777" w:rsidR="004F0E49" w:rsidRPr="00DB3D39" w:rsidRDefault="004F0E49" w:rsidP="006B78F8">
            <w:pPr>
              <w:pStyle w:val="Tabletext"/>
            </w:pPr>
            <w:r w:rsidRPr="00DB3D39">
              <w:t>Abemaciclib: 91 weeks, para 7.13 Abemaciclib PSD November 2023 PBAC meeting</w:t>
            </w:r>
          </w:p>
          <w:p w14:paraId="5FD9840C" w14:textId="77777777" w:rsidR="004F0E49" w:rsidRPr="00DB3D39" w:rsidRDefault="004F0E49" w:rsidP="006B78F8">
            <w:pPr>
              <w:pStyle w:val="Tabletext"/>
            </w:pPr>
          </w:p>
          <w:p w14:paraId="36ABA6F0" w14:textId="77777777" w:rsidR="004F0E49" w:rsidRPr="00DB3D39" w:rsidRDefault="004F0E49" w:rsidP="006B78F8">
            <w:pPr>
              <w:pStyle w:val="Tabletext"/>
            </w:pPr>
            <w:r w:rsidRPr="00DB3D39">
              <w:t>Ribociclib: 114.84 weeks</w:t>
            </w:r>
          </w:p>
          <w:p w14:paraId="72301236" w14:textId="77777777" w:rsidR="004F0E49" w:rsidRPr="00DB3D39" w:rsidRDefault="004F0E49" w:rsidP="006B78F8">
            <w:pPr>
              <w:pStyle w:val="Tabletext"/>
            </w:pPr>
            <w:r w:rsidRPr="00DB3D39">
              <w:t>NATALEE TTD post hoc analysis (PBS subgroup)</w:t>
            </w:r>
          </w:p>
        </w:tc>
        <w:tc>
          <w:tcPr>
            <w:tcW w:w="2251" w:type="pct"/>
            <w:shd w:val="clear" w:color="auto" w:fill="auto"/>
            <w:vAlign w:val="center"/>
          </w:tcPr>
          <w:p w14:paraId="39379755" w14:textId="77777777" w:rsidR="004F0E49" w:rsidRPr="00112EE5" w:rsidRDefault="004F0E49" w:rsidP="006B78F8">
            <w:pPr>
              <w:pStyle w:val="Tabletext"/>
              <w:rPr>
                <w:iCs/>
              </w:rPr>
            </w:pPr>
            <w:r w:rsidRPr="00112EE5">
              <w:rPr>
                <w:iCs/>
              </w:rPr>
              <w:t xml:space="preserve">Overestimate. </w:t>
            </w:r>
          </w:p>
          <w:p w14:paraId="24B55925" w14:textId="1FDE53DE" w:rsidR="004F0E49" w:rsidRPr="00DB3D39" w:rsidRDefault="004F0E49" w:rsidP="006B78F8">
            <w:pPr>
              <w:pStyle w:val="Tabletext"/>
              <w:rPr>
                <w:i/>
                <w:iCs/>
              </w:rPr>
            </w:pPr>
            <w:r w:rsidRPr="00112EE5">
              <w:rPr>
                <w:iCs/>
              </w:rPr>
              <w:t xml:space="preserve">The PBAC </w:t>
            </w:r>
            <w:r w:rsidR="00F2637B">
              <w:rPr>
                <w:iCs/>
              </w:rPr>
              <w:t xml:space="preserve">previously </w:t>
            </w:r>
            <w:r w:rsidRPr="00112EE5">
              <w:rPr>
                <w:iCs/>
              </w:rPr>
              <w:t>considered that abemaciclib use in clinical practice was likely to be less than the mean treatment duration reported in the monarchE trial</w:t>
            </w:r>
            <w:r w:rsidR="00B0264C">
              <w:rPr>
                <w:iCs/>
              </w:rPr>
              <w:t xml:space="preserve"> </w:t>
            </w:r>
            <w:r w:rsidRPr="00112EE5">
              <w:rPr>
                <w:iCs/>
              </w:rPr>
              <w:t>due to related toxicities and the likely older cohort treated through the PBS (para 7.13, abemaciclib PSD, November 2023 PBAC meeting)</w:t>
            </w:r>
            <w:r w:rsidR="00F2637B">
              <w:rPr>
                <w:iCs/>
              </w:rPr>
              <w:t xml:space="preserve"> and that</w:t>
            </w:r>
            <w:r w:rsidRPr="00112EE5">
              <w:rPr>
                <w:iCs/>
              </w:rPr>
              <w:t xml:space="preserve"> a mean treatment duration of 18 months was a more reasonable estimate. </w:t>
            </w:r>
          </w:p>
        </w:tc>
      </w:tr>
      <w:tr w:rsidR="004F0E49" w:rsidRPr="00112EE5" w14:paraId="42E3072E" w14:textId="77777777" w:rsidTr="00387738">
        <w:tc>
          <w:tcPr>
            <w:tcW w:w="950" w:type="pct"/>
            <w:shd w:val="clear" w:color="auto" w:fill="auto"/>
          </w:tcPr>
          <w:p w14:paraId="43500235" w14:textId="77777777" w:rsidR="004F0E49" w:rsidRPr="00112EE5" w:rsidRDefault="004F0E49" w:rsidP="006B78F8">
            <w:pPr>
              <w:pStyle w:val="Tabletext"/>
            </w:pPr>
            <w:r w:rsidRPr="00112EE5">
              <w:t>Cost of medicines</w:t>
            </w:r>
          </w:p>
        </w:tc>
        <w:tc>
          <w:tcPr>
            <w:tcW w:w="1799" w:type="pct"/>
            <w:shd w:val="clear" w:color="auto" w:fill="auto"/>
            <w:vAlign w:val="center"/>
          </w:tcPr>
          <w:p w14:paraId="6F7171AF" w14:textId="77777777" w:rsidR="004F0E49" w:rsidRPr="00112EE5" w:rsidRDefault="004F0E49" w:rsidP="006B78F8">
            <w:pPr>
              <w:pStyle w:val="Tabletext"/>
            </w:pPr>
            <w:r w:rsidRPr="00112EE5">
              <w:t>Published DPMQ</w:t>
            </w:r>
          </w:p>
          <w:p w14:paraId="6E233CE2" w14:textId="77777777" w:rsidR="004F0E49" w:rsidRPr="00112EE5" w:rsidRDefault="004F0E49" w:rsidP="006B78F8">
            <w:pPr>
              <w:pStyle w:val="Tabletext"/>
            </w:pPr>
            <w:r w:rsidRPr="00112EE5">
              <w:t>Abemaciclib</w:t>
            </w:r>
          </w:p>
          <w:p w14:paraId="58E3A31C" w14:textId="77777777" w:rsidR="004F0E49" w:rsidRPr="00112EE5" w:rsidRDefault="004F0E49" w:rsidP="006B78F8">
            <w:pPr>
              <w:pStyle w:val="Tabletext"/>
            </w:pPr>
            <w:r w:rsidRPr="00112EE5">
              <w:t>56 x 50 mg tablet:   $4,250.45</w:t>
            </w:r>
          </w:p>
          <w:p w14:paraId="2FF55080" w14:textId="77777777" w:rsidR="004F0E49" w:rsidRPr="00112EE5" w:rsidRDefault="004F0E49" w:rsidP="006B78F8">
            <w:pPr>
              <w:pStyle w:val="Tabletext"/>
            </w:pPr>
            <w:r w:rsidRPr="00112EE5">
              <w:t xml:space="preserve">56 x 100 mg tablet: $4,250.45 </w:t>
            </w:r>
          </w:p>
          <w:p w14:paraId="711E047B" w14:textId="77777777" w:rsidR="004F0E49" w:rsidRPr="00112EE5" w:rsidRDefault="004F0E49" w:rsidP="006B78F8">
            <w:pPr>
              <w:pStyle w:val="Tabletext"/>
            </w:pPr>
            <w:r w:rsidRPr="00112EE5">
              <w:t>56 x 150 mg tablet: $4,250.45</w:t>
            </w:r>
          </w:p>
          <w:p w14:paraId="279ED58D" w14:textId="77777777" w:rsidR="004F0E49" w:rsidRPr="00112EE5" w:rsidRDefault="004F0E49" w:rsidP="006B78F8">
            <w:pPr>
              <w:pStyle w:val="Tabletext"/>
            </w:pPr>
          </w:p>
          <w:p w14:paraId="1373473C" w14:textId="77777777" w:rsidR="004F0E49" w:rsidRPr="00112EE5" w:rsidRDefault="004F0E49" w:rsidP="006B78F8">
            <w:pPr>
              <w:pStyle w:val="Tabletext"/>
            </w:pPr>
            <w:r w:rsidRPr="00112EE5">
              <w:t>Ribociclib (Estimated from CMA)</w:t>
            </w:r>
          </w:p>
          <w:p w14:paraId="48808770" w14:textId="77777777" w:rsidR="004F0E49" w:rsidRPr="00112EE5" w:rsidRDefault="004F0E49" w:rsidP="006B78F8">
            <w:pPr>
              <w:pStyle w:val="Tabletext"/>
            </w:pPr>
            <w:r w:rsidRPr="00112EE5">
              <w:t>21 x 200 mg tablet: $1,847.51</w:t>
            </w:r>
          </w:p>
          <w:p w14:paraId="05D8A7D6" w14:textId="77777777" w:rsidR="004F0E49" w:rsidRPr="00112EE5" w:rsidRDefault="004F0E49" w:rsidP="006B78F8">
            <w:pPr>
              <w:pStyle w:val="Tabletext"/>
            </w:pPr>
            <w:r w:rsidRPr="00112EE5">
              <w:t>42 x 200 mg tablet: $3,557.28</w:t>
            </w:r>
          </w:p>
        </w:tc>
        <w:tc>
          <w:tcPr>
            <w:tcW w:w="2251" w:type="pct"/>
            <w:shd w:val="clear" w:color="auto" w:fill="auto"/>
            <w:vAlign w:val="center"/>
          </w:tcPr>
          <w:p w14:paraId="63AB6F8B" w14:textId="01877D4D" w:rsidR="004F0E49" w:rsidRPr="00112EE5" w:rsidRDefault="004F0E49" w:rsidP="006B78F8">
            <w:pPr>
              <w:pStyle w:val="Tabletext"/>
              <w:rPr>
                <w:iCs/>
              </w:rPr>
            </w:pPr>
            <w:r w:rsidRPr="00112EE5">
              <w:rPr>
                <w:iCs/>
              </w:rPr>
              <w:t xml:space="preserve">AEMP (42 pack: $3,394.68, 24 pack: $1,697.34) of ribociclib used to estimate published DPMQ was found to be different from that estimated in CMA (42 pack: $3,715.84, 24 pack: $1,857.82). </w:t>
            </w:r>
          </w:p>
        </w:tc>
      </w:tr>
      <w:tr w:rsidR="004F0E49" w:rsidRPr="00DB3D39" w14:paraId="77B94BCE" w14:textId="77777777" w:rsidTr="00387738">
        <w:tc>
          <w:tcPr>
            <w:tcW w:w="950" w:type="pct"/>
            <w:shd w:val="clear" w:color="auto" w:fill="auto"/>
          </w:tcPr>
          <w:p w14:paraId="1A9747D4" w14:textId="77777777" w:rsidR="004F0E49" w:rsidRPr="00DB3D39" w:rsidRDefault="004F0E49" w:rsidP="006B78F8">
            <w:pPr>
              <w:pStyle w:val="Tabletext"/>
              <w:rPr>
                <w:b/>
              </w:rPr>
            </w:pPr>
            <w:r w:rsidRPr="00DB3D39">
              <w:t>Tests and investigations</w:t>
            </w:r>
          </w:p>
        </w:tc>
        <w:tc>
          <w:tcPr>
            <w:tcW w:w="1799" w:type="pct"/>
            <w:shd w:val="clear" w:color="auto" w:fill="auto"/>
            <w:vAlign w:val="center"/>
          </w:tcPr>
          <w:p w14:paraId="38AB5ADF" w14:textId="77777777" w:rsidR="004F0E49" w:rsidRPr="00DB3D39" w:rsidRDefault="004F0E49" w:rsidP="006B78F8">
            <w:pPr>
              <w:pStyle w:val="Tabletext"/>
            </w:pPr>
            <w:r w:rsidRPr="00DB3D39">
              <w:t>Abemaciclib: (Abemaciclib TGA PI)</w:t>
            </w:r>
          </w:p>
          <w:p w14:paraId="20C9E219" w14:textId="77777777" w:rsidR="004F0E49" w:rsidRPr="00DB3D39" w:rsidRDefault="004F0E49" w:rsidP="006B78F8">
            <w:pPr>
              <w:pStyle w:val="Tabletext"/>
            </w:pPr>
            <w:r w:rsidRPr="00DB3D39">
              <w:t>Full blood count: 7</w:t>
            </w:r>
          </w:p>
          <w:p w14:paraId="7BF39EB0" w14:textId="77777777" w:rsidR="004F0E49" w:rsidRPr="00DB3D39" w:rsidRDefault="004F0E49" w:rsidP="006B78F8">
            <w:pPr>
              <w:pStyle w:val="Tabletext"/>
            </w:pPr>
            <w:r w:rsidRPr="00DB3D39">
              <w:t>ALT &amp; AST: 7</w:t>
            </w:r>
          </w:p>
          <w:p w14:paraId="4C1BBC53" w14:textId="77777777" w:rsidR="004F0E49" w:rsidRPr="00DB3D39" w:rsidRDefault="004F0E49" w:rsidP="006B78F8">
            <w:pPr>
              <w:pStyle w:val="Tabletext"/>
            </w:pPr>
            <w:r w:rsidRPr="00DB3D39">
              <w:t>Specialist visit: 1 (29.5%) 2 (13.9%)</w:t>
            </w:r>
          </w:p>
          <w:p w14:paraId="5F1495B1" w14:textId="77777777" w:rsidR="004F0E49" w:rsidRPr="00DB3D39" w:rsidRDefault="004F0E49" w:rsidP="006B78F8">
            <w:pPr>
              <w:pStyle w:val="Tabletext"/>
            </w:pPr>
          </w:p>
          <w:p w14:paraId="33BF8377" w14:textId="77777777" w:rsidR="004F0E49" w:rsidRPr="00DB3D39" w:rsidRDefault="004F0E49" w:rsidP="006B78F8">
            <w:pPr>
              <w:pStyle w:val="Tabletext"/>
            </w:pPr>
            <w:r w:rsidRPr="00DB3D39">
              <w:t>Ribociclib: (Ribociclib TGA PI)</w:t>
            </w:r>
          </w:p>
          <w:p w14:paraId="55232FBD" w14:textId="77777777" w:rsidR="004F0E49" w:rsidRPr="00DB3D39" w:rsidRDefault="004F0E49" w:rsidP="006B78F8">
            <w:pPr>
              <w:pStyle w:val="Tabletext"/>
            </w:pPr>
            <w:r w:rsidRPr="00DB3D39">
              <w:t>Electrocardiogram: 2</w:t>
            </w:r>
          </w:p>
          <w:p w14:paraId="41EB58C0" w14:textId="77777777" w:rsidR="004F0E49" w:rsidRPr="00DB3D39" w:rsidRDefault="004F0E49" w:rsidP="006B78F8">
            <w:pPr>
              <w:pStyle w:val="Tabletext"/>
            </w:pPr>
            <w:r w:rsidRPr="00DB3D39">
              <w:t>Full blood count: 10</w:t>
            </w:r>
          </w:p>
          <w:p w14:paraId="7CB89796" w14:textId="77777777" w:rsidR="004F0E49" w:rsidRPr="00DB3D39" w:rsidRDefault="004F0E49" w:rsidP="006B78F8">
            <w:pPr>
              <w:pStyle w:val="Tabletext"/>
            </w:pPr>
            <w:r w:rsidRPr="00DB3D39">
              <w:t>Serum electrolytes: 3</w:t>
            </w:r>
          </w:p>
          <w:p w14:paraId="509C4D87" w14:textId="77777777" w:rsidR="004F0E49" w:rsidRPr="00DB3D39" w:rsidRDefault="004F0E49" w:rsidP="006B78F8">
            <w:pPr>
              <w:pStyle w:val="Tabletext"/>
            </w:pPr>
            <w:r w:rsidRPr="00DB3D39">
              <w:t>Liver function tests: 7</w:t>
            </w:r>
          </w:p>
          <w:p w14:paraId="17570D96" w14:textId="3D79116E" w:rsidR="004F0E49" w:rsidRPr="00DB3D39" w:rsidRDefault="004F0E49" w:rsidP="006B78F8">
            <w:pPr>
              <w:pStyle w:val="Tabletext"/>
            </w:pPr>
            <w:r w:rsidRPr="00DB3D39">
              <w:t>Serum electrolytes &amp; LFT: 3</w:t>
            </w:r>
          </w:p>
          <w:p w14:paraId="01B0E94B" w14:textId="77777777" w:rsidR="004F0E49" w:rsidRPr="00DB3D39" w:rsidRDefault="004F0E49" w:rsidP="006B78F8">
            <w:pPr>
              <w:pStyle w:val="Tabletext"/>
            </w:pPr>
            <w:r w:rsidRPr="00DB3D39">
              <w:t>Specialist visit: 1 (26.7%)</w:t>
            </w:r>
          </w:p>
        </w:tc>
        <w:tc>
          <w:tcPr>
            <w:tcW w:w="2251" w:type="pct"/>
            <w:shd w:val="clear" w:color="auto" w:fill="auto"/>
            <w:vAlign w:val="center"/>
          </w:tcPr>
          <w:p w14:paraId="7AF2A5C1" w14:textId="77777777" w:rsidR="004F0E49" w:rsidRPr="00112EE5" w:rsidRDefault="004F0E49" w:rsidP="006B78F8">
            <w:pPr>
              <w:pStyle w:val="Tabletext"/>
              <w:rPr>
                <w:iCs/>
              </w:rPr>
            </w:pPr>
            <w:r w:rsidRPr="00112EE5">
              <w:rPr>
                <w:iCs/>
              </w:rPr>
              <w:t xml:space="preserve">Underestimate. </w:t>
            </w:r>
          </w:p>
          <w:p w14:paraId="49CDD035" w14:textId="58DE2487" w:rsidR="004F0E49" w:rsidRPr="00DB3D39" w:rsidRDefault="004F0E49" w:rsidP="006B78F8">
            <w:pPr>
              <w:pStyle w:val="Tabletext"/>
              <w:rPr>
                <w:i/>
                <w:iCs/>
              </w:rPr>
            </w:pPr>
            <w:r w:rsidRPr="00112EE5">
              <w:rPr>
                <w:iCs/>
              </w:rPr>
              <w:t>Some patients with prolonged QT might also require additional ECGs, cardiology reviews, oncologist consultations for treatment cessation ± monitoring, with additional oncologist review to switch over to abemaciclib, if appropriate.</w:t>
            </w:r>
            <w:r w:rsidR="0095285B">
              <w:rPr>
                <w:iCs/>
              </w:rPr>
              <w:t xml:space="preserve"> The PBAC noted the impact would be small given the event is relatively rare (see paragraph </w:t>
            </w:r>
            <w:r w:rsidR="0095285B">
              <w:rPr>
                <w:iCs/>
              </w:rPr>
              <w:fldChar w:fldCharType="begin" w:fldLock="1"/>
            </w:r>
            <w:r w:rsidR="0095285B">
              <w:rPr>
                <w:iCs/>
              </w:rPr>
              <w:instrText xml:space="preserve"> REF _Ref183184879 \r \h </w:instrText>
            </w:r>
            <w:r w:rsidR="0095285B">
              <w:rPr>
                <w:iCs/>
              </w:rPr>
            </w:r>
            <w:r w:rsidR="0095285B">
              <w:rPr>
                <w:iCs/>
              </w:rPr>
              <w:fldChar w:fldCharType="separate"/>
            </w:r>
            <w:r w:rsidR="0095285B">
              <w:rPr>
                <w:iCs/>
              </w:rPr>
              <w:t>6.34</w:t>
            </w:r>
            <w:r w:rsidR="0095285B">
              <w:rPr>
                <w:iCs/>
              </w:rPr>
              <w:fldChar w:fldCharType="end"/>
            </w:r>
            <w:r w:rsidR="0095285B">
              <w:rPr>
                <w:iCs/>
              </w:rPr>
              <w:t>).</w:t>
            </w:r>
          </w:p>
        </w:tc>
      </w:tr>
      <w:tr w:rsidR="004F0E49" w:rsidRPr="00DB3D39" w14:paraId="3A6C2998" w14:textId="77777777" w:rsidTr="00F23733">
        <w:tc>
          <w:tcPr>
            <w:tcW w:w="950" w:type="pct"/>
            <w:shd w:val="clear" w:color="auto" w:fill="auto"/>
          </w:tcPr>
          <w:p w14:paraId="1A9E13C7" w14:textId="77777777" w:rsidR="004F0E49" w:rsidRPr="00DB3D39" w:rsidRDefault="004F0E49" w:rsidP="006B78F8">
            <w:pPr>
              <w:pStyle w:val="Tabletext"/>
            </w:pPr>
            <w:r w:rsidRPr="00DB3D39">
              <w:t>Tests and investigation cost</w:t>
            </w:r>
          </w:p>
        </w:tc>
        <w:tc>
          <w:tcPr>
            <w:tcW w:w="1799" w:type="pct"/>
            <w:shd w:val="clear" w:color="auto" w:fill="auto"/>
            <w:vAlign w:val="center"/>
          </w:tcPr>
          <w:p w14:paraId="3D69692C" w14:textId="77777777" w:rsidR="004F0E49" w:rsidRPr="00DB3D39" w:rsidRDefault="004F0E49" w:rsidP="006B78F8">
            <w:pPr>
              <w:pStyle w:val="Tabletext"/>
            </w:pPr>
            <w:r w:rsidRPr="00DB3D39">
              <w:t>MBS Fee (Item)</w:t>
            </w:r>
          </w:p>
          <w:p w14:paraId="0FF49973" w14:textId="77777777" w:rsidR="004F0E49" w:rsidRPr="00DB3D39" w:rsidRDefault="004F0E49" w:rsidP="006B78F8">
            <w:pPr>
              <w:pStyle w:val="Tabletext"/>
            </w:pPr>
            <w:r w:rsidRPr="00DB3D39">
              <w:t>Abemaciclib:</w:t>
            </w:r>
          </w:p>
          <w:p w14:paraId="35AF89CC" w14:textId="77777777" w:rsidR="004F0E49" w:rsidRPr="00DB3D39" w:rsidRDefault="004F0E49" w:rsidP="006B78F8">
            <w:pPr>
              <w:pStyle w:val="Tabletext"/>
            </w:pPr>
            <w:r w:rsidRPr="00DB3D39">
              <w:t xml:space="preserve"> Full blood count: $16.95 (65070)</w:t>
            </w:r>
          </w:p>
          <w:p w14:paraId="2A4639B7" w14:textId="77777777" w:rsidR="004F0E49" w:rsidRPr="00DB3D39" w:rsidRDefault="004F0E49" w:rsidP="006B78F8">
            <w:pPr>
              <w:pStyle w:val="Tabletext"/>
            </w:pPr>
            <w:r w:rsidRPr="00DB3D39">
              <w:t xml:space="preserve"> ALT &amp; AST: $11.65 (66503)</w:t>
            </w:r>
          </w:p>
          <w:p w14:paraId="6320FCD1" w14:textId="77777777" w:rsidR="004F0E49" w:rsidRPr="00DB3D39" w:rsidRDefault="004F0E49" w:rsidP="006B78F8">
            <w:pPr>
              <w:pStyle w:val="Tabletext"/>
            </w:pPr>
            <w:r w:rsidRPr="00DB3D39">
              <w:t xml:space="preserve"> Specialist visit: $84.35 (116)</w:t>
            </w:r>
          </w:p>
          <w:p w14:paraId="038FC7E1" w14:textId="77777777" w:rsidR="004F0E49" w:rsidRPr="00DB3D39" w:rsidRDefault="004F0E49" w:rsidP="006B78F8">
            <w:pPr>
              <w:pStyle w:val="Tabletext"/>
            </w:pPr>
          </w:p>
          <w:p w14:paraId="3DF3B012" w14:textId="77777777" w:rsidR="004F0E49" w:rsidRPr="00DB3D39" w:rsidRDefault="004F0E49" w:rsidP="006B78F8">
            <w:pPr>
              <w:pStyle w:val="Tabletext"/>
            </w:pPr>
            <w:r w:rsidRPr="00DB3D39">
              <w:t>Ribociclib:</w:t>
            </w:r>
          </w:p>
          <w:p w14:paraId="48B67842" w14:textId="689E8FAF" w:rsidR="004F0E49" w:rsidRPr="00DB3D39" w:rsidRDefault="004F0E49" w:rsidP="006B78F8">
            <w:pPr>
              <w:pStyle w:val="Tabletext"/>
            </w:pPr>
            <w:r w:rsidRPr="00DB3D39">
              <w:t>Electrocardiogram: $249.95 (55129)</w:t>
            </w:r>
          </w:p>
          <w:p w14:paraId="1B304E07" w14:textId="77777777" w:rsidR="004F0E49" w:rsidRPr="00DB3D39" w:rsidRDefault="004F0E49" w:rsidP="006B78F8">
            <w:pPr>
              <w:pStyle w:val="Tabletext"/>
            </w:pPr>
            <w:r w:rsidRPr="00DB3D39">
              <w:t xml:space="preserve"> Full blood count: $16.95 (65070)</w:t>
            </w:r>
          </w:p>
          <w:p w14:paraId="272E120D" w14:textId="77777777" w:rsidR="004F0E49" w:rsidRPr="00DB3D39" w:rsidRDefault="004F0E49" w:rsidP="006B78F8">
            <w:pPr>
              <w:pStyle w:val="Tabletext"/>
            </w:pPr>
            <w:r w:rsidRPr="00DB3D39">
              <w:t xml:space="preserve"> Serum electrolytes: $15.65 (66509)</w:t>
            </w:r>
          </w:p>
          <w:p w14:paraId="2D773658" w14:textId="77777777" w:rsidR="004F0E49" w:rsidRPr="00DB3D39" w:rsidRDefault="004F0E49" w:rsidP="006B78F8">
            <w:pPr>
              <w:pStyle w:val="Tabletext"/>
            </w:pPr>
            <w:r w:rsidRPr="00DB3D39">
              <w:lastRenderedPageBreak/>
              <w:t>LFT: $17.70 (66512)</w:t>
            </w:r>
          </w:p>
          <w:p w14:paraId="516C9B98" w14:textId="77777777" w:rsidR="004F0E49" w:rsidRPr="00DB3D39" w:rsidRDefault="004F0E49" w:rsidP="006B78F8">
            <w:pPr>
              <w:pStyle w:val="Tabletext"/>
            </w:pPr>
            <w:r w:rsidRPr="00DB3D39">
              <w:t>Serum electrolytes &amp; LFT: $17.70 (66512)</w:t>
            </w:r>
          </w:p>
          <w:p w14:paraId="4E99F6F3" w14:textId="4E429067" w:rsidR="004F0E49" w:rsidRPr="00DB3D39" w:rsidRDefault="004F0E49" w:rsidP="006B78F8">
            <w:pPr>
              <w:pStyle w:val="Tabletext"/>
            </w:pPr>
            <w:r w:rsidRPr="00DB3D39">
              <w:t>Specialist visit: $84.35 (116)</w:t>
            </w:r>
          </w:p>
        </w:tc>
        <w:tc>
          <w:tcPr>
            <w:tcW w:w="2251" w:type="pct"/>
            <w:shd w:val="clear" w:color="auto" w:fill="auto"/>
            <w:vAlign w:val="center"/>
          </w:tcPr>
          <w:p w14:paraId="03A3B53A" w14:textId="2A2F719C" w:rsidR="004F0E49" w:rsidRPr="00DB3D39" w:rsidRDefault="004F0E49" w:rsidP="006B78F8">
            <w:pPr>
              <w:pStyle w:val="Tabletext"/>
            </w:pPr>
            <w:r w:rsidRPr="00112EE5">
              <w:rPr>
                <w:iCs/>
              </w:rPr>
              <w:lastRenderedPageBreak/>
              <w:t>Appropriate</w:t>
            </w:r>
            <w:r w:rsidR="000B750E" w:rsidRPr="00112EE5">
              <w:rPr>
                <w:iCs/>
              </w:rPr>
              <w:t xml:space="preserve">, </w:t>
            </w:r>
            <w:r w:rsidR="000D509D" w:rsidRPr="00112EE5">
              <w:rPr>
                <w:iCs/>
              </w:rPr>
              <w:t xml:space="preserve">although </w:t>
            </w:r>
            <w:r w:rsidR="000B750E" w:rsidRPr="00112EE5">
              <w:rPr>
                <w:iCs/>
              </w:rPr>
              <w:t xml:space="preserve">noting that </w:t>
            </w:r>
            <w:r w:rsidR="000D509D" w:rsidRPr="00112EE5">
              <w:rPr>
                <w:iCs/>
              </w:rPr>
              <w:t xml:space="preserve">it appeared </w:t>
            </w:r>
            <w:r w:rsidR="00F26970" w:rsidRPr="00112EE5">
              <w:rPr>
                <w:iCs/>
              </w:rPr>
              <w:t>that</w:t>
            </w:r>
            <w:r w:rsidR="000D509D" w:rsidRPr="00112EE5">
              <w:rPr>
                <w:iCs/>
              </w:rPr>
              <w:t xml:space="preserve"> </w:t>
            </w:r>
            <w:r w:rsidR="000B750E" w:rsidRPr="00112EE5">
              <w:rPr>
                <w:iCs/>
              </w:rPr>
              <w:t>t</w:t>
            </w:r>
            <w:r w:rsidR="002541C1" w:rsidRPr="00112EE5">
              <w:rPr>
                <w:iCs/>
              </w:rPr>
              <w:t xml:space="preserve">he submission </w:t>
            </w:r>
            <w:r w:rsidR="000D509D" w:rsidRPr="00112EE5">
              <w:rPr>
                <w:iCs/>
              </w:rPr>
              <w:t>used the full fee rather than the</w:t>
            </w:r>
            <w:r w:rsidR="002541C1" w:rsidRPr="00112EE5">
              <w:rPr>
                <w:iCs/>
              </w:rPr>
              <w:t xml:space="preserve"> 80% MBS rebate.</w:t>
            </w:r>
          </w:p>
        </w:tc>
      </w:tr>
    </w:tbl>
    <w:p w14:paraId="6284768C" w14:textId="77777777" w:rsidR="00C13C7C" w:rsidRPr="00DB3D39" w:rsidRDefault="00C13C7C" w:rsidP="00C13C7C">
      <w:pPr>
        <w:pStyle w:val="FooterTableFigure"/>
      </w:pPr>
      <w:r w:rsidRPr="00DB3D39">
        <w:t>Source: Table 4.1-1 p191 of the submission</w:t>
      </w:r>
    </w:p>
    <w:p w14:paraId="0EC4B9E5" w14:textId="2E16C0A8" w:rsidR="00C13C7C" w:rsidRPr="00DB3D39" w:rsidRDefault="00C13C7C" w:rsidP="00C13C7C">
      <w:pPr>
        <w:pStyle w:val="FooterTableFigure"/>
      </w:pPr>
      <w:r w:rsidRPr="00DB3D39">
        <w:rPr>
          <w:szCs w:val="18"/>
        </w:rPr>
        <w:t xml:space="preserve">ABS = Australian Bureau of Statistics; </w:t>
      </w:r>
      <w:r w:rsidR="00FC4D94">
        <w:rPr>
          <w:szCs w:val="18"/>
        </w:rPr>
        <w:t xml:space="preserve">AI = Aromatase inhibitor; </w:t>
      </w:r>
      <w:r w:rsidRPr="00DB3D39">
        <w:rPr>
          <w:szCs w:val="18"/>
        </w:rPr>
        <w:t>AIHW = Australian Institute of Health and Welfare, ALT = Alanine Aminotransferase; AST = Aspartate Aminotransferase, BC = breast cancer, DPMW = dispensed price maximum quantity, ET = endocrine therapy, HER</w:t>
      </w:r>
      <w:r w:rsidR="00460B36">
        <w:rPr>
          <w:szCs w:val="18"/>
        </w:rPr>
        <w:t>2</w:t>
      </w:r>
      <w:r w:rsidRPr="00DB3D39">
        <w:rPr>
          <w:szCs w:val="18"/>
        </w:rPr>
        <w:t xml:space="preserve">- = human epidermal growth factor receptor 2 negative, HR+ = </w:t>
      </w:r>
      <w:r w:rsidR="006C1769" w:rsidRPr="00DB3D39">
        <w:rPr>
          <w:szCs w:val="18"/>
        </w:rPr>
        <w:t>h</w:t>
      </w:r>
      <w:r w:rsidRPr="00DB3D39">
        <w:rPr>
          <w:szCs w:val="18"/>
        </w:rPr>
        <w:t>ormone receptor positive, LFT = liver function test, PBS = Pharmaceutical Benefits Scheme, RPBS = Repatriation Pharmaceutical Benefits Scheme</w:t>
      </w:r>
    </w:p>
    <w:p w14:paraId="4E475380" w14:textId="0E6ACE21" w:rsidR="005D0643" w:rsidRPr="00DB3D39" w:rsidRDefault="005D0643" w:rsidP="00C13C7C">
      <w:pPr>
        <w:pStyle w:val="FooterTableFigure"/>
      </w:pPr>
      <w:r w:rsidRPr="00DB3D39">
        <w:rPr>
          <w:szCs w:val="18"/>
          <w:vertAlign w:val="superscript"/>
        </w:rPr>
        <w:t>a</w:t>
      </w:r>
      <w:r w:rsidRPr="00DB3D39">
        <w:rPr>
          <w:szCs w:val="18"/>
        </w:rPr>
        <w:t xml:space="preserve"> Stage I patients </w:t>
      </w:r>
      <w:r w:rsidR="00513ED4">
        <w:rPr>
          <w:szCs w:val="18"/>
        </w:rPr>
        <w:t>were</w:t>
      </w:r>
      <w:r w:rsidR="00F26C04" w:rsidRPr="00DB3D39">
        <w:rPr>
          <w:szCs w:val="18"/>
        </w:rPr>
        <w:t xml:space="preserve"> not included in the estimated population as the submission further estimated node positive </w:t>
      </w:r>
      <w:r w:rsidR="006A76BB" w:rsidRPr="00DB3D39">
        <w:rPr>
          <w:szCs w:val="18"/>
        </w:rPr>
        <w:t xml:space="preserve">status using data from Nelson et al </w:t>
      </w:r>
      <w:r w:rsidR="006A76BB" w:rsidRPr="007D610E">
        <w:rPr>
          <w:szCs w:val="18"/>
        </w:rPr>
        <w:t>202</w:t>
      </w:r>
      <w:r w:rsidR="0000770B" w:rsidRPr="007D610E">
        <w:rPr>
          <w:szCs w:val="18"/>
        </w:rPr>
        <w:t>2</w:t>
      </w:r>
      <w:r w:rsidR="007D610E" w:rsidRPr="007D610E">
        <w:rPr>
          <w:szCs w:val="18"/>
        </w:rPr>
        <w:t>, which only included node positive patients</w:t>
      </w:r>
      <w:r w:rsidR="006A76BB" w:rsidRPr="007D610E">
        <w:rPr>
          <w:szCs w:val="18"/>
        </w:rPr>
        <w:t>.</w:t>
      </w:r>
      <w:r w:rsidR="006A76BB" w:rsidRPr="00DB3D39">
        <w:rPr>
          <w:szCs w:val="18"/>
        </w:rPr>
        <w:t xml:space="preserve"> </w:t>
      </w:r>
    </w:p>
    <w:p w14:paraId="2C1C4249" w14:textId="3F8BEE1E" w:rsidR="00C13C7C" w:rsidRPr="00DB3D39" w:rsidRDefault="00C13C7C" w:rsidP="007C073C">
      <w:pPr>
        <w:pStyle w:val="3-BodyText"/>
      </w:pPr>
      <w:r w:rsidRPr="00DB3D39">
        <w:t>Estimated use and financial implications of listing ribociclib are presented in</w:t>
      </w:r>
      <w:r w:rsidR="00435AA7" w:rsidRPr="00DB3D39">
        <w:t xml:space="preserve"> </w:t>
      </w:r>
      <w:r w:rsidR="001A2D00" w:rsidRPr="00DB3D39">
        <w:fldChar w:fldCharType="begin" w:fldLock="1"/>
      </w:r>
      <w:r w:rsidR="001A2D00" w:rsidRPr="00DB3D39">
        <w:instrText xml:space="preserve"> REF _Ref176858837 \h </w:instrText>
      </w:r>
      <w:r w:rsidR="001A2D00" w:rsidRPr="00DB3D39">
        <w:fldChar w:fldCharType="separate"/>
      </w:r>
      <w:r w:rsidR="00FF083B" w:rsidRPr="00DB3D39">
        <w:t xml:space="preserve">Table </w:t>
      </w:r>
      <w:r w:rsidR="00FF083B">
        <w:rPr>
          <w:noProof/>
        </w:rPr>
        <w:t>17</w:t>
      </w:r>
      <w:r w:rsidR="001A2D00" w:rsidRPr="00DB3D39">
        <w:fldChar w:fldCharType="end"/>
      </w:r>
      <w:r w:rsidRPr="00DB3D39">
        <w:t>.</w:t>
      </w:r>
    </w:p>
    <w:p w14:paraId="5327B7EB" w14:textId="27890081" w:rsidR="00C13C7C" w:rsidRPr="00DB3D39" w:rsidRDefault="00C13C7C" w:rsidP="00C13C7C">
      <w:pPr>
        <w:pStyle w:val="Caption"/>
      </w:pPr>
      <w:bookmarkStart w:id="66" w:name="_Ref176858837"/>
      <w:r w:rsidRPr="00DB3D39">
        <w:t xml:space="preserve">Table </w:t>
      </w:r>
      <w:r w:rsidR="00FF083B">
        <w:fldChar w:fldCharType="begin" w:fldLock="1"/>
      </w:r>
      <w:r w:rsidR="00FF083B">
        <w:instrText xml:space="preserve"> SEQ Table \* ARABIC </w:instrText>
      </w:r>
      <w:r w:rsidR="00FF083B">
        <w:fldChar w:fldCharType="separate"/>
      </w:r>
      <w:r w:rsidR="00FF083B">
        <w:rPr>
          <w:noProof/>
        </w:rPr>
        <w:t>17</w:t>
      </w:r>
      <w:r w:rsidR="00FF083B">
        <w:rPr>
          <w:noProof/>
        </w:rPr>
        <w:fldChar w:fldCharType="end"/>
      </w:r>
      <w:bookmarkEnd w:id="66"/>
      <w:r w:rsidRPr="00DB3D39">
        <w:t>:</w:t>
      </w:r>
      <w:r w:rsidRPr="00DB3D39">
        <w:rPr>
          <w:rStyle w:val="CommentReference"/>
          <w:szCs w:val="24"/>
        </w:rPr>
        <w:t xml:space="preserve"> Estimated use and financial implications</w:t>
      </w:r>
      <w:r w:rsidR="00114793" w:rsidRPr="00DB3D39">
        <w:rPr>
          <w:rStyle w:val="CommentReference"/>
          <w:szCs w:val="24"/>
        </w:rPr>
        <w:t xml:space="preserve"> using published prices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04"/>
        <w:gridCol w:w="1102"/>
        <w:gridCol w:w="1102"/>
        <w:gridCol w:w="1102"/>
        <w:gridCol w:w="1102"/>
        <w:gridCol w:w="1102"/>
        <w:gridCol w:w="1102"/>
      </w:tblGrid>
      <w:tr w:rsidR="004F0E49" w:rsidRPr="00DB3D39" w14:paraId="637CBFB7" w14:textId="77777777">
        <w:trPr>
          <w:tblHeader/>
        </w:trPr>
        <w:tc>
          <w:tcPr>
            <w:tcW w:w="1334" w:type="pct"/>
            <w:shd w:val="clear" w:color="auto" w:fill="auto"/>
            <w:vAlign w:val="center"/>
          </w:tcPr>
          <w:p w14:paraId="35C7A490" w14:textId="77777777" w:rsidR="004F0E49" w:rsidRPr="00DB3D39" w:rsidRDefault="004F0E49">
            <w:pPr>
              <w:pStyle w:val="In-tableHeading"/>
              <w:jc w:val="center"/>
              <w:rPr>
                <w:lang w:val="en-AU"/>
              </w:rPr>
            </w:pPr>
          </w:p>
        </w:tc>
        <w:tc>
          <w:tcPr>
            <w:tcW w:w="611" w:type="pct"/>
            <w:shd w:val="clear" w:color="auto" w:fill="auto"/>
            <w:vAlign w:val="center"/>
          </w:tcPr>
          <w:p w14:paraId="4700FB42" w14:textId="77777777" w:rsidR="004F0E49" w:rsidRPr="00DB3D39" w:rsidRDefault="004F0E49">
            <w:pPr>
              <w:pStyle w:val="In-tableHeading"/>
              <w:jc w:val="center"/>
              <w:rPr>
                <w:lang w:val="en-AU"/>
              </w:rPr>
            </w:pPr>
            <w:r w:rsidRPr="00DB3D39">
              <w:rPr>
                <w:lang w:val="en-AU"/>
              </w:rPr>
              <w:t>Year 1</w:t>
            </w:r>
          </w:p>
        </w:tc>
        <w:tc>
          <w:tcPr>
            <w:tcW w:w="611" w:type="pct"/>
            <w:shd w:val="clear" w:color="auto" w:fill="auto"/>
            <w:vAlign w:val="center"/>
          </w:tcPr>
          <w:p w14:paraId="0BB3EFBE" w14:textId="77777777" w:rsidR="004F0E49" w:rsidRPr="00DB3D39" w:rsidRDefault="004F0E49">
            <w:pPr>
              <w:pStyle w:val="In-tableHeading"/>
              <w:jc w:val="center"/>
              <w:rPr>
                <w:lang w:val="en-AU"/>
              </w:rPr>
            </w:pPr>
            <w:r w:rsidRPr="00DB3D39">
              <w:rPr>
                <w:lang w:val="en-AU"/>
              </w:rPr>
              <w:t>Year 2</w:t>
            </w:r>
          </w:p>
        </w:tc>
        <w:tc>
          <w:tcPr>
            <w:tcW w:w="611" w:type="pct"/>
            <w:shd w:val="clear" w:color="auto" w:fill="auto"/>
            <w:vAlign w:val="center"/>
          </w:tcPr>
          <w:p w14:paraId="1100FA8F" w14:textId="77777777" w:rsidR="004F0E49" w:rsidRPr="00DB3D39" w:rsidRDefault="004F0E49">
            <w:pPr>
              <w:pStyle w:val="In-tableHeading"/>
              <w:jc w:val="center"/>
              <w:rPr>
                <w:lang w:val="en-AU"/>
              </w:rPr>
            </w:pPr>
            <w:r w:rsidRPr="00DB3D39">
              <w:rPr>
                <w:lang w:val="en-AU"/>
              </w:rPr>
              <w:t>Year 3</w:t>
            </w:r>
          </w:p>
        </w:tc>
        <w:tc>
          <w:tcPr>
            <w:tcW w:w="611" w:type="pct"/>
            <w:shd w:val="clear" w:color="auto" w:fill="auto"/>
            <w:vAlign w:val="center"/>
          </w:tcPr>
          <w:p w14:paraId="6D98EBB4" w14:textId="77777777" w:rsidR="004F0E49" w:rsidRPr="00DB3D39" w:rsidRDefault="004F0E49">
            <w:pPr>
              <w:pStyle w:val="In-tableHeading"/>
              <w:jc w:val="center"/>
              <w:rPr>
                <w:lang w:val="en-AU"/>
              </w:rPr>
            </w:pPr>
            <w:r w:rsidRPr="00DB3D39">
              <w:rPr>
                <w:lang w:val="en-AU"/>
              </w:rPr>
              <w:t>Year 4</w:t>
            </w:r>
          </w:p>
        </w:tc>
        <w:tc>
          <w:tcPr>
            <w:tcW w:w="611" w:type="pct"/>
            <w:shd w:val="clear" w:color="auto" w:fill="auto"/>
            <w:vAlign w:val="center"/>
          </w:tcPr>
          <w:p w14:paraId="1E975B98" w14:textId="77777777" w:rsidR="004F0E49" w:rsidRPr="00DB3D39" w:rsidRDefault="004F0E49">
            <w:pPr>
              <w:pStyle w:val="In-tableHeading"/>
              <w:jc w:val="center"/>
              <w:rPr>
                <w:lang w:val="en-AU"/>
              </w:rPr>
            </w:pPr>
            <w:r w:rsidRPr="00DB3D39">
              <w:rPr>
                <w:lang w:val="en-AU"/>
              </w:rPr>
              <w:t>Year 5</w:t>
            </w:r>
          </w:p>
        </w:tc>
        <w:tc>
          <w:tcPr>
            <w:tcW w:w="611" w:type="pct"/>
          </w:tcPr>
          <w:p w14:paraId="2FA18BCB" w14:textId="77777777" w:rsidR="004F0E49" w:rsidRPr="00DB3D39" w:rsidRDefault="004F0E49">
            <w:pPr>
              <w:pStyle w:val="In-tableHeading"/>
              <w:jc w:val="center"/>
              <w:rPr>
                <w:lang w:val="en-AU"/>
              </w:rPr>
            </w:pPr>
            <w:r w:rsidRPr="00DB3D39">
              <w:rPr>
                <w:lang w:val="en-AU"/>
              </w:rPr>
              <w:t>Year 6</w:t>
            </w:r>
          </w:p>
        </w:tc>
      </w:tr>
      <w:tr w:rsidR="004F0E49" w:rsidRPr="00DB3D39" w14:paraId="29F6C1C1" w14:textId="77777777">
        <w:tc>
          <w:tcPr>
            <w:tcW w:w="5000" w:type="pct"/>
            <w:gridSpan w:val="7"/>
            <w:shd w:val="clear" w:color="auto" w:fill="auto"/>
            <w:vAlign w:val="center"/>
          </w:tcPr>
          <w:p w14:paraId="43D3A892" w14:textId="77777777" w:rsidR="004F0E49" w:rsidRPr="00DB3D39" w:rsidRDefault="004F0E49">
            <w:pPr>
              <w:pStyle w:val="In-tableHeading"/>
              <w:rPr>
                <w:bCs/>
                <w:color w:val="000000"/>
                <w:lang w:val="en-AU"/>
              </w:rPr>
            </w:pPr>
            <w:r w:rsidRPr="00DB3D39">
              <w:rPr>
                <w:bCs/>
                <w:color w:val="000000"/>
                <w:lang w:val="en-AU"/>
              </w:rPr>
              <w:t>Estimated extent of use</w:t>
            </w:r>
          </w:p>
        </w:tc>
      </w:tr>
      <w:tr w:rsidR="004F0E49" w:rsidRPr="00DB3D39" w14:paraId="293D3AC6" w14:textId="77777777" w:rsidTr="00067C39">
        <w:tc>
          <w:tcPr>
            <w:tcW w:w="1334" w:type="pct"/>
            <w:shd w:val="clear" w:color="auto" w:fill="auto"/>
            <w:vAlign w:val="center"/>
          </w:tcPr>
          <w:p w14:paraId="7A73E559" w14:textId="551C7416" w:rsidR="004F0E49" w:rsidRPr="00DB3D39" w:rsidRDefault="004F0E49">
            <w:pPr>
              <w:pStyle w:val="TableText0"/>
              <w:rPr>
                <w:rFonts w:ascii="Times" w:hAnsi="Times"/>
                <w:vertAlign w:val="superscript"/>
              </w:rPr>
            </w:pPr>
            <w:r w:rsidRPr="00DB3D39">
              <w:t>Number of patients treated</w:t>
            </w:r>
            <w:r w:rsidR="00BA7525" w:rsidRPr="00DB3D39">
              <w:rPr>
                <w:vertAlign w:val="superscript"/>
              </w:rPr>
              <w:t>a</w:t>
            </w:r>
          </w:p>
        </w:tc>
        <w:tc>
          <w:tcPr>
            <w:tcW w:w="611" w:type="pct"/>
            <w:shd w:val="clear" w:color="auto" w:fill="auto"/>
            <w:vAlign w:val="center"/>
          </w:tcPr>
          <w:p w14:paraId="4B32782C" w14:textId="79F14B61" w:rsidR="004F0E49" w:rsidRPr="00067C39" w:rsidRDefault="00BC7DFB" w:rsidP="00067C39">
            <w:pPr>
              <w:pStyle w:val="TableText0"/>
              <w:jc w:val="center"/>
              <w:rPr>
                <w:vertAlign w:val="superscript"/>
              </w:rPr>
            </w:pPr>
            <w:r w:rsidRPr="00BC7DFB">
              <w:rPr>
                <w:rFonts w:hint="eastAsia"/>
                <w:color w:val="000000"/>
                <w:w w:val="15"/>
                <w:shd w:val="solid" w:color="000000" w:fill="000000"/>
                <w:fitText w:val="60" w:id="-761015540"/>
                <w14:textFill>
                  <w14:solidFill>
                    <w14:srgbClr w14:val="000000">
                      <w14:alpha w14:val="100000"/>
                    </w14:srgbClr>
                  </w14:solidFill>
                </w14:textFill>
              </w:rPr>
              <w:t xml:space="preserve">　</w:t>
            </w:r>
            <w:r w:rsidRPr="00BC7DFB">
              <w:rPr>
                <w:color w:val="000000"/>
                <w:w w:val="15"/>
                <w:shd w:val="solid" w:color="000000" w:fill="000000"/>
                <w:fitText w:val="60" w:id="-761015540"/>
                <w14:textFill>
                  <w14:solidFill>
                    <w14:srgbClr w14:val="000000">
                      <w14:alpha w14:val="100000"/>
                    </w14:srgbClr>
                  </w14:solidFill>
                </w14:textFill>
              </w:rPr>
              <w:t>|</w:t>
            </w:r>
            <w:r w:rsidRPr="00BC7DFB">
              <w:rPr>
                <w:rFonts w:hint="eastAsia"/>
                <w:color w:val="000000"/>
                <w:spacing w:val="-5"/>
                <w:w w:val="15"/>
                <w:shd w:val="solid" w:color="000000" w:fill="000000"/>
                <w:fitText w:val="60" w:id="-761015540"/>
                <w14:textFill>
                  <w14:solidFill>
                    <w14:srgbClr w14:val="000000">
                      <w14:alpha w14:val="100000"/>
                    </w14:srgbClr>
                  </w14:solidFill>
                </w14:textFill>
              </w:rPr>
              <w:t xml:space="preserve">　</w:t>
            </w:r>
            <w:r w:rsidR="004F0E49" w:rsidRPr="00DB3D39">
              <w:t xml:space="preserve"> </w:t>
            </w:r>
            <w:r w:rsidR="00067C39">
              <w:rPr>
                <w:vertAlign w:val="superscript"/>
              </w:rPr>
              <w:t>1</w:t>
            </w:r>
          </w:p>
        </w:tc>
        <w:tc>
          <w:tcPr>
            <w:tcW w:w="611" w:type="pct"/>
            <w:shd w:val="clear" w:color="auto" w:fill="auto"/>
            <w:vAlign w:val="center"/>
          </w:tcPr>
          <w:p w14:paraId="6A391F1A" w14:textId="5546A7E0" w:rsidR="004F0E49" w:rsidRPr="00DB3D39" w:rsidRDefault="00BC7DFB" w:rsidP="00067C39">
            <w:pPr>
              <w:pStyle w:val="TableText0"/>
              <w:jc w:val="center"/>
            </w:pPr>
            <w:r w:rsidRPr="00BC7DFB">
              <w:rPr>
                <w:rFonts w:hint="eastAsia"/>
                <w:color w:val="000000"/>
                <w:w w:val="15"/>
                <w:shd w:val="solid" w:color="000000" w:fill="000000"/>
                <w:fitText w:val="60" w:id="-761015539"/>
                <w14:textFill>
                  <w14:solidFill>
                    <w14:srgbClr w14:val="000000">
                      <w14:alpha w14:val="100000"/>
                    </w14:srgbClr>
                  </w14:solidFill>
                </w14:textFill>
              </w:rPr>
              <w:t xml:space="preserve">　</w:t>
            </w:r>
            <w:r w:rsidRPr="00BC7DFB">
              <w:rPr>
                <w:color w:val="000000"/>
                <w:w w:val="15"/>
                <w:shd w:val="solid" w:color="000000" w:fill="000000"/>
                <w:fitText w:val="60" w:id="-761015539"/>
                <w14:textFill>
                  <w14:solidFill>
                    <w14:srgbClr w14:val="000000">
                      <w14:alpha w14:val="100000"/>
                    </w14:srgbClr>
                  </w14:solidFill>
                </w14:textFill>
              </w:rPr>
              <w:t>|</w:t>
            </w:r>
            <w:r w:rsidRPr="00BC7DFB">
              <w:rPr>
                <w:rFonts w:hint="eastAsia"/>
                <w:color w:val="000000"/>
                <w:spacing w:val="-5"/>
                <w:w w:val="15"/>
                <w:shd w:val="solid" w:color="000000" w:fill="000000"/>
                <w:fitText w:val="60" w:id="-761015539"/>
                <w14:textFill>
                  <w14:solidFill>
                    <w14:srgbClr w14:val="000000">
                      <w14:alpha w14:val="100000"/>
                    </w14:srgbClr>
                  </w14:solidFill>
                </w14:textFill>
              </w:rPr>
              <w:t xml:space="preserve">　</w:t>
            </w:r>
            <w:r w:rsidR="00067C39" w:rsidRPr="00DB3D39">
              <w:t xml:space="preserve"> </w:t>
            </w:r>
            <w:r w:rsidR="00067C39">
              <w:rPr>
                <w:vertAlign w:val="superscript"/>
              </w:rPr>
              <w:t>1</w:t>
            </w:r>
          </w:p>
        </w:tc>
        <w:tc>
          <w:tcPr>
            <w:tcW w:w="611" w:type="pct"/>
            <w:shd w:val="clear" w:color="auto" w:fill="auto"/>
            <w:vAlign w:val="center"/>
          </w:tcPr>
          <w:p w14:paraId="2C6B1099" w14:textId="7FFFD675" w:rsidR="004F0E49" w:rsidRPr="00DB3D39" w:rsidRDefault="00BC7DFB" w:rsidP="00067C39">
            <w:pPr>
              <w:pStyle w:val="TableText0"/>
              <w:jc w:val="center"/>
            </w:pPr>
            <w:r w:rsidRPr="00BC7DFB">
              <w:rPr>
                <w:rFonts w:hint="eastAsia"/>
                <w:color w:val="000000"/>
                <w:w w:val="15"/>
                <w:shd w:val="solid" w:color="000000" w:fill="000000"/>
                <w:fitText w:val="60" w:id="-761015538"/>
                <w14:textFill>
                  <w14:solidFill>
                    <w14:srgbClr w14:val="000000">
                      <w14:alpha w14:val="100000"/>
                    </w14:srgbClr>
                  </w14:solidFill>
                </w14:textFill>
              </w:rPr>
              <w:t xml:space="preserve">　</w:t>
            </w:r>
            <w:r w:rsidRPr="00BC7DFB">
              <w:rPr>
                <w:color w:val="000000"/>
                <w:w w:val="15"/>
                <w:shd w:val="solid" w:color="000000" w:fill="000000"/>
                <w:fitText w:val="60" w:id="-761015538"/>
                <w14:textFill>
                  <w14:solidFill>
                    <w14:srgbClr w14:val="000000">
                      <w14:alpha w14:val="100000"/>
                    </w14:srgbClr>
                  </w14:solidFill>
                </w14:textFill>
              </w:rPr>
              <w:t>|</w:t>
            </w:r>
            <w:r w:rsidRPr="00BC7DFB">
              <w:rPr>
                <w:rFonts w:hint="eastAsia"/>
                <w:color w:val="000000"/>
                <w:spacing w:val="-5"/>
                <w:w w:val="15"/>
                <w:shd w:val="solid" w:color="000000" w:fill="000000"/>
                <w:fitText w:val="60" w:id="-761015538"/>
                <w14:textFill>
                  <w14:solidFill>
                    <w14:srgbClr w14:val="000000">
                      <w14:alpha w14:val="100000"/>
                    </w14:srgbClr>
                  </w14:solidFill>
                </w14:textFill>
              </w:rPr>
              <w:t xml:space="preserve">　</w:t>
            </w:r>
            <w:r w:rsidR="00067C39" w:rsidRPr="00DB3D39">
              <w:t xml:space="preserve"> </w:t>
            </w:r>
            <w:r w:rsidR="00067C39">
              <w:rPr>
                <w:vertAlign w:val="superscript"/>
              </w:rPr>
              <w:t>1</w:t>
            </w:r>
          </w:p>
        </w:tc>
        <w:tc>
          <w:tcPr>
            <w:tcW w:w="611" w:type="pct"/>
            <w:shd w:val="clear" w:color="auto" w:fill="auto"/>
            <w:vAlign w:val="center"/>
          </w:tcPr>
          <w:p w14:paraId="2268837E" w14:textId="79E4B2F0" w:rsidR="004F0E49" w:rsidRPr="00DB3D39" w:rsidRDefault="00BC7DFB" w:rsidP="00067C39">
            <w:pPr>
              <w:pStyle w:val="TableText0"/>
              <w:jc w:val="center"/>
            </w:pPr>
            <w:r w:rsidRPr="00BC7DFB">
              <w:rPr>
                <w:rFonts w:hint="eastAsia"/>
                <w:color w:val="000000"/>
                <w:w w:val="15"/>
                <w:shd w:val="solid" w:color="000000" w:fill="000000"/>
                <w:fitText w:val="60" w:id="-761015537"/>
                <w14:textFill>
                  <w14:solidFill>
                    <w14:srgbClr w14:val="000000">
                      <w14:alpha w14:val="100000"/>
                    </w14:srgbClr>
                  </w14:solidFill>
                </w14:textFill>
              </w:rPr>
              <w:t xml:space="preserve">　</w:t>
            </w:r>
            <w:r w:rsidRPr="00BC7DFB">
              <w:rPr>
                <w:color w:val="000000"/>
                <w:w w:val="15"/>
                <w:shd w:val="solid" w:color="000000" w:fill="000000"/>
                <w:fitText w:val="60" w:id="-761015537"/>
                <w14:textFill>
                  <w14:solidFill>
                    <w14:srgbClr w14:val="000000">
                      <w14:alpha w14:val="100000"/>
                    </w14:srgbClr>
                  </w14:solidFill>
                </w14:textFill>
              </w:rPr>
              <w:t>|</w:t>
            </w:r>
            <w:r w:rsidRPr="00BC7DFB">
              <w:rPr>
                <w:rFonts w:hint="eastAsia"/>
                <w:color w:val="000000"/>
                <w:spacing w:val="-5"/>
                <w:w w:val="15"/>
                <w:shd w:val="solid" w:color="000000" w:fill="000000"/>
                <w:fitText w:val="60" w:id="-761015537"/>
                <w14:textFill>
                  <w14:solidFill>
                    <w14:srgbClr w14:val="000000">
                      <w14:alpha w14:val="100000"/>
                    </w14:srgbClr>
                  </w14:solidFill>
                </w14:textFill>
              </w:rPr>
              <w:t xml:space="preserve">　</w:t>
            </w:r>
            <w:r w:rsidR="00067C39" w:rsidRPr="00DB3D39">
              <w:t xml:space="preserve"> </w:t>
            </w:r>
            <w:r w:rsidR="00067C39">
              <w:rPr>
                <w:vertAlign w:val="superscript"/>
              </w:rPr>
              <w:t>1</w:t>
            </w:r>
          </w:p>
        </w:tc>
        <w:tc>
          <w:tcPr>
            <w:tcW w:w="611" w:type="pct"/>
            <w:shd w:val="clear" w:color="auto" w:fill="auto"/>
            <w:vAlign w:val="center"/>
          </w:tcPr>
          <w:p w14:paraId="1E893E4F" w14:textId="10FBC892" w:rsidR="004F0E49" w:rsidRPr="00DB3D39" w:rsidRDefault="00BC7DFB" w:rsidP="00067C39">
            <w:pPr>
              <w:pStyle w:val="TableText0"/>
              <w:jc w:val="center"/>
            </w:pPr>
            <w:r w:rsidRPr="00BC7DFB">
              <w:rPr>
                <w:rFonts w:hint="eastAsia"/>
                <w:color w:val="000000"/>
                <w:w w:val="15"/>
                <w:shd w:val="solid" w:color="000000" w:fill="000000"/>
                <w:fitText w:val="60" w:id="-761015536"/>
                <w14:textFill>
                  <w14:solidFill>
                    <w14:srgbClr w14:val="000000">
                      <w14:alpha w14:val="100000"/>
                    </w14:srgbClr>
                  </w14:solidFill>
                </w14:textFill>
              </w:rPr>
              <w:t xml:space="preserve">　</w:t>
            </w:r>
            <w:r w:rsidRPr="00BC7DFB">
              <w:rPr>
                <w:color w:val="000000"/>
                <w:w w:val="15"/>
                <w:shd w:val="solid" w:color="000000" w:fill="000000"/>
                <w:fitText w:val="60" w:id="-761015536"/>
                <w14:textFill>
                  <w14:solidFill>
                    <w14:srgbClr w14:val="000000">
                      <w14:alpha w14:val="100000"/>
                    </w14:srgbClr>
                  </w14:solidFill>
                </w14:textFill>
              </w:rPr>
              <w:t>|</w:t>
            </w:r>
            <w:r w:rsidRPr="00BC7DFB">
              <w:rPr>
                <w:rFonts w:hint="eastAsia"/>
                <w:color w:val="000000"/>
                <w:spacing w:val="-5"/>
                <w:w w:val="15"/>
                <w:shd w:val="solid" w:color="000000" w:fill="000000"/>
                <w:fitText w:val="60" w:id="-761015536"/>
                <w14:textFill>
                  <w14:solidFill>
                    <w14:srgbClr w14:val="000000">
                      <w14:alpha w14:val="100000"/>
                    </w14:srgbClr>
                  </w14:solidFill>
                </w14:textFill>
              </w:rPr>
              <w:t xml:space="preserve">　</w:t>
            </w:r>
            <w:r w:rsidR="00067C39" w:rsidRPr="00DB3D39">
              <w:t xml:space="preserve"> </w:t>
            </w:r>
            <w:r w:rsidR="00067C39">
              <w:rPr>
                <w:vertAlign w:val="superscript"/>
              </w:rPr>
              <w:t>1</w:t>
            </w:r>
          </w:p>
        </w:tc>
        <w:tc>
          <w:tcPr>
            <w:tcW w:w="611" w:type="pct"/>
            <w:vAlign w:val="center"/>
          </w:tcPr>
          <w:p w14:paraId="122825C2" w14:textId="0E223217" w:rsidR="004F0E49" w:rsidRPr="00DB3D39" w:rsidRDefault="00BC7DFB" w:rsidP="00067C39">
            <w:pPr>
              <w:pStyle w:val="TableText0"/>
              <w:jc w:val="center"/>
            </w:pPr>
            <w:r w:rsidRPr="00BC7DFB">
              <w:rPr>
                <w:rFonts w:hint="eastAsia"/>
                <w:color w:val="000000"/>
                <w:w w:val="15"/>
                <w:shd w:val="solid" w:color="000000" w:fill="000000"/>
                <w:fitText w:val="60" w:id="-761015552"/>
                <w14:textFill>
                  <w14:solidFill>
                    <w14:srgbClr w14:val="000000">
                      <w14:alpha w14:val="100000"/>
                    </w14:srgbClr>
                  </w14:solidFill>
                </w14:textFill>
              </w:rPr>
              <w:t xml:space="preserve">　</w:t>
            </w:r>
            <w:r w:rsidRPr="00BC7DFB">
              <w:rPr>
                <w:color w:val="000000"/>
                <w:w w:val="15"/>
                <w:shd w:val="solid" w:color="000000" w:fill="000000"/>
                <w:fitText w:val="60" w:id="-761015552"/>
                <w14:textFill>
                  <w14:solidFill>
                    <w14:srgbClr w14:val="000000">
                      <w14:alpha w14:val="100000"/>
                    </w14:srgbClr>
                  </w14:solidFill>
                </w14:textFill>
              </w:rPr>
              <w:t>|</w:t>
            </w:r>
            <w:r w:rsidRPr="00BC7DFB">
              <w:rPr>
                <w:rFonts w:hint="eastAsia"/>
                <w:color w:val="000000"/>
                <w:spacing w:val="-5"/>
                <w:w w:val="15"/>
                <w:shd w:val="solid" w:color="000000" w:fill="000000"/>
                <w:fitText w:val="60" w:id="-761015552"/>
                <w14:textFill>
                  <w14:solidFill>
                    <w14:srgbClr w14:val="000000">
                      <w14:alpha w14:val="100000"/>
                    </w14:srgbClr>
                  </w14:solidFill>
                </w14:textFill>
              </w:rPr>
              <w:t xml:space="preserve">　</w:t>
            </w:r>
            <w:r w:rsidR="00067C39" w:rsidRPr="00DB3D39">
              <w:t xml:space="preserve"> </w:t>
            </w:r>
            <w:r w:rsidR="00067C39">
              <w:rPr>
                <w:vertAlign w:val="superscript"/>
              </w:rPr>
              <w:t>1</w:t>
            </w:r>
          </w:p>
        </w:tc>
      </w:tr>
      <w:tr w:rsidR="004F0E49" w:rsidRPr="00DB3D39" w14:paraId="73846574" w14:textId="77777777" w:rsidTr="00067C39">
        <w:tc>
          <w:tcPr>
            <w:tcW w:w="1334" w:type="pct"/>
            <w:shd w:val="clear" w:color="auto" w:fill="auto"/>
            <w:vAlign w:val="center"/>
          </w:tcPr>
          <w:p w14:paraId="2D0499B8" w14:textId="39DEBE25" w:rsidR="004F0E49" w:rsidRPr="00DB3D39" w:rsidRDefault="004F0E49">
            <w:pPr>
              <w:pStyle w:val="TableText0"/>
              <w:rPr>
                <w:rFonts w:ascii="Times" w:hAnsi="Times"/>
              </w:rPr>
            </w:pPr>
            <w:r w:rsidRPr="00DB3D39">
              <w:t>Number of scripts dispensed</w:t>
            </w:r>
            <w:r w:rsidR="00BA7525" w:rsidRPr="00DB3D39">
              <w:rPr>
                <w:vertAlign w:val="superscript"/>
              </w:rPr>
              <w:t>b</w:t>
            </w:r>
          </w:p>
        </w:tc>
        <w:tc>
          <w:tcPr>
            <w:tcW w:w="611" w:type="pct"/>
            <w:shd w:val="clear" w:color="auto" w:fill="auto"/>
            <w:vAlign w:val="center"/>
          </w:tcPr>
          <w:p w14:paraId="2489EEE1" w14:textId="7A593F50" w:rsidR="004F0E49" w:rsidRPr="00DB3D39" w:rsidRDefault="00BC7DFB" w:rsidP="00067C39">
            <w:pPr>
              <w:pStyle w:val="TableText0"/>
              <w:jc w:val="center"/>
            </w:pPr>
            <w:r w:rsidRPr="00BC7DFB">
              <w:rPr>
                <w:rFonts w:hint="eastAsia"/>
                <w:color w:val="000000"/>
                <w:w w:val="15"/>
                <w:shd w:val="solid" w:color="000000" w:fill="000000"/>
                <w:fitText w:val="60" w:id="-761015551"/>
                <w14:textFill>
                  <w14:solidFill>
                    <w14:srgbClr w14:val="000000">
                      <w14:alpha w14:val="100000"/>
                    </w14:srgbClr>
                  </w14:solidFill>
                </w14:textFill>
              </w:rPr>
              <w:t xml:space="preserve">　</w:t>
            </w:r>
            <w:r w:rsidRPr="00BC7DFB">
              <w:rPr>
                <w:color w:val="000000"/>
                <w:w w:val="15"/>
                <w:shd w:val="solid" w:color="000000" w:fill="000000"/>
                <w:fitText w:val="60" w:id="-761015551"/>
                <w14:textFill>
                  <w14:solidFill>
                    <w14:srgbClr w14:val="000000">
                      <w14:alpha w14:val="100000"/>
                    </w14:srgbClr>
                  </w14:solidFill>
                </w14:textFill>
              </w:rPr>
              <w:t>|</w:t>
            </w:r>
            <w:r w:rsidRPr="00BC7DFB">
              <w:rPr>
                <w:rFonts w:hint="eastAsia"/>
                <w:color w:val="000000"/>
                <w:spacing w:val="-5"/>
                <w:w w:val="15"/>
                <w:shd w:val="solid" w:color="000000" w:fill="000000"/>
                <w:fitText w:val="60" w:id="-761015551"/>
                <w14:textFill>
                  <w14:solidFill>
                    <w14:srgbClr w14:val="000000">
                      <w14:alpha w14:val="100000"/>
                    </w14:srgbClr>
                  </w14:solidFill>
                </w14:textFill>
              </w:rPr>
              <w:t xml:space="preserve">　</w:t>
            </w:r>
            <w:r w:rsidR="00067C39" w:rsidRPr="00DB3D39">
              <w:t xml:space="preserve"> </w:t>
            </w:r>
            <w:r w:rsidR="00067C39">
              <w:rPr>
                <w:vertAlign w:val="superscript"/>
              </w:rPr>
              <w:t>2</w:t>
            </w:r>
          </w:p>
        </w:tc>
        <w:tc>
          <w:tcPr>
            <w:tcW w:w="611" w:type="pct"/>
            <w:shd w:val="clear" w:color="auto" w:fill="auto"/>
            <w:vAlign w:val="center"/>
          </w:tcPr>
          <w:p w14:paraId="5A9DE8B5" w14:textId="66145D72" w:rsidR="004F0E49" w:rsidRPr="00DB3D39" w:rsidRDefault="00BC7DFB" w:rsidP="00067C39">
            <w:pPr>
              <w:pStyle w:val="TableText0"/>
              <w:jc w:val="center"/>
            </w:pPr>
            <w:r w:rsidRPr="00BC7DFB">
              <w:rPr>
                <w:rFonts w:hint="eastAsia"/>
                <w:color w:val="000000"/>
                <w:w w:val="15"/>
                <w:shd w:val="solid" w:color="000000" w:fill="000000"/>
                <w:fitText w:val="60" w:id="-761015550"/>
                <w14:textFill>
                  <w14:solidFill>
                    <w14:srgbClr w14:val="000000">
                      <w14:alpha w14:val="100000"/>
                    </w14:srgbClr>
                  </w14:solidFill>
                </w14:textFill>
              </w:rPr>
              <w:t xml:space="preserve">　</w:t>
            </w:r>
            <w:r w:rsidRPr="00BC7DFB">
              <w:rPr>
                <w:color w:val="000000"/>
                <w:w w:val="15"/>
                <w:shd w:val="solid" w:color="000000" w:fill="000000"/>
                <w:fitText w:val="60" w:id="-761015550"/>
                <w14:textFill>
                  <w14:solidFill>
                    <w14:srgbClr w14:val="000000">
                      <w14:alpha w14:val="100000"/>
                    </w14:srgbClr>
                  </w14:solidFill>
                </w14:textFill>
              </w:rPr>
              <w:t>|</w:t>
            </w:r>
            <w:r w:rsidRPr="00BC7DFB">
              <w:rPr>
                <w:rFonts w:hint="eastAsia"/>
                <w:color w:val="000000"/>
                <w:spacing w:val="-5"/>
                <w:w w:val="15"/>
                <w:shd w:val="solid" w:color="000000" w:fill="000000"/>
                <w:fitText w:val="60" w:id="-761015550"/>
                <w14:textFill>
                  <w14:solidFill>
                    <w14:srgbClr w14:val="000000">
                      <w14:alpha w14:val="100000"/>
                    </w14:srgbClr>
                  </w14:solidFill>
                </w14:textFill>
              </w:rPr>
              <w:t xml:space="preserve">　</w:t>
            </w:r>
            <w:r w:rsidR="00067C39" w:rsidRPr="00DB3D39">
              <w:t xml:space="preserve"> </w:t>
            </w:r>
            <w:r w:rsidR="00067C39">
              <w:rPr>
                <w:vertAlign w:val="superscript"/>
              </w:rPr>
              <w:t>3</w:t>
            </w:r>
          </w:p>
        </w:tc>
        <w:tc>
          <w:tcPr>
            <w:tcW w:w="611" w:type="pct"/>
            <w:shd w:val="clear" w:color="auto" w:fill="auto"/>
            <w:vAlign w:val="center"/>
          </w:tcPr>
          <w:p w14:paraId="76F53FB7" w14:textId="22C4BA53" w:rsidR="004F0E49" w:rsidRPr="00DB3D39" w:rsidRDefault="00BC7DFB" w:rsidP="00067C39">
            <w:pPr>
              <w:pStyle w:val="TableText0"/>
              <w:jc w:val="center"/>
            </w:pPr>
            <w:r w:rsidRPr="00BC7DFB">
              <w:rPr>
                <w:rFonts w:hint="eastAsia"/>
                <w:color w:val="000000"/>
                <w:w w:val="15"/>
                <w:shd w:val="solid" w:color="000000" w:fill="000000"/>
                <w:fitText w:val="60" w:id="-761015549"/>
                <w14:textFill>
                  <w14:solidFill>
                    <w14:srgbClr w14:val="000000">
                      <w14:alpha w14:val="100000"/>
                    </w14:srgbClr>
                  </w14:solidFill>
                </w14:textFill>
              </w:rPr>
              <w:t xml:space="preserve">　</w:t>
            </w:r>
            <w:r w:rsidRPr="00BC7DFB">
              <w:rPr>
                <w:color w:val="000000"/>
                <w:w w:val="15"/>
                <w:shd w:val="solid" w:color="000000" w:fill="000000"/>
                <w:fitText w:val="60" w:id="-761015549"/>
                <w14:textFill>
                  <w14:solidFill>
                    <w14:srgbClr w14:val="000000">
                      <w14:alpha w14:val="100000"/>
                    </w14:srgbClr>
                  </w14:solidFill>
                </w14:textFill>
              </w:rPr>
              <w:t>|</w:t>
            </w:r>
            <w:r w:rsidRPr="00BC7DFB">
              <w:rPr>
                <w:rFonts w:hint="eastAsia"/>
                <w:color w:val="000000"/>
                <w:spacing w:val="-5"/>
                <w:w w:val="15"/>
                <w:shd w:val="solid" w:color="000000" w:fill="000000"/>
                <w:fitText w:val="60" w:id="-761015549"/>
                <w14:textFill>
                  <w14:solidFill>
                    <w14:srgbClr w14:val="000000">
                      <w14:alpha w14:val="100000"/>
                    </w14:srgbClr>
                  </w14:solidFill>
                </w14:textFill>
              </w:rPr>
              <w:t xml:space="preserve">　</w:t>
            </w:r>
            <w:r w:rsidR="00067C39" w:rsidRPr="00DB3D39">
              <w:t xml:space="preserve"> </w:t>
            </w:r>
            <w:r w:rsidR="00067C39">
              <w:rPr>
                <w:vertAlign w:val="superscript"/>
              </w:rPr>
              <w:t>3</w:t>
            </w:r>
          </w:p>
        </w:tc>
        <w:tc>
          <w:tcPr>
            <w:tcW w:w="611" w:type="pct"/>
            <w:shd w:val="clear" w:color="auto" w:fill="auto"/>
            <w:vAlign w:val="center"/>
          </w:tcPr>
          <w:p w14:paraId="399A5920" w14:textId="2298B70F" w:rsidR="004F0E49" w:rsidRPr="00DB3D39" w:rsidRDefault="00BC7DFB" w:rsidP="00067C39">
            <w:pPr>
              <w:pStyle w:val="TableText0"/>
              <w:jc w:val="center"/>
            </w:pPr>
            <w:r w:rsidRPr="00BC7DFB">
              <w:rPr>
                <w:rFonts w:hint="eastAsia"/>
                <w:color w:val="000000"/>
                <w:w w:val="15"/>
                <w:shd w:val="solid" w:color="000000" w:fill="000000"/>
                <w:fitText w:val="60" w:id="-761015548"/>
                <w14:textFill>
                  <w14:solidFill>
                    <w14:srgbClr w14:val="000000">
                      <w14:alpha w14:val="100000"/>
                    </w14:srgbClr>
                  </w14:solidFill>
                </w14:textFill>
              </w:rPr>
              <w:t xml:space="preserve">　</w:t>
            </w:r>
            <w:r w:rsidRPr="00BC7DFB">
              <w:rPr>
                <w:color w:val="000000"/>
                <w:w w:val="15"/>
                <w:shd w:val="solid" w:color="000000" w:fill="000000"/>
                <w:fitText w:val="60" w:id="-761015548"/>
                <w14:textFill>
                  <w14:solidFill>
                    <w14:srgbClr w14:val="000000">
                      <w14:alpha w14:val="100000"/>
                    </w14:srgbClr>
                  </w14:solidFill>
                </w14:textFill>
              </w:rPr>
              <w:t>|</w:t>
            </w:r>
            <w:r w:rsidRPr="00BC7DFB">
              <w:rPr>
                <w:rFonts w:hint="eastAsia"/>
                <w:color w:val="000000"/>
                <w:spacing w:val="-5"/>
                <w:w w:val="15"/>
                <w:shd w:val="solid" w:color="000000" w:fill="000000"/>
                <w:fitText w:val="60" w:id="-761015548"/>
                <w14:textFill>
                  <w14:solidFill>
                    <w14:srgbClr w14:val="000000">
                      <w14:alpha w14:val="100000"/>
                    </w14:srgbClr>
                  </w14:solidFill>
                </w14:textFill>
              </w:rPr>
              <w:t xml:space="preserve">　</w:t>
            </w:r>
            <w:r w:rsidR="00067C39" w:rsidRPr="00DB3D39">
              <w:t xml:space="preserve"> </w:t>
            </w:r>
            <w:r w:rsidR="00067C39">
              <w:rPr>
                <w:vertAlign w:val="superscript"/>
              </w:rPr>
              <w:t>4</w:t>
            </w:r>
          </w:p>
        </w:tc>
        <w:tc>
          <w:tcPr>
            <w:tcW w:w="611" w:type="pct"/>
            <w:shd w:val="clear" w:color="auto" w:fill="auto"/>
            <w:vAlign w:val="center"/>
          </w:tcPr>
          <w:p w14:paraId="7159EE06" w14:textId="37A29E21" w:rsidR="004F0E49" w:rsidRPr="00DB3D39" w:rsidRDefault="00BC7DFB" w:rsidP="00067C39">
            <w:pPr>
              <w:pStyle w:val="TableText0"/>
              <w:jc w:val="center"/>
            </w:pPr>
            <w:r w:rsidRPr="00BC7DFB">
              <w:rPr>
                <w:rFonts w:hint="eastAsia"/>
                <w:color w:val="000000"/>
                <w:w w:val="15"/>
                <w:shd w:val="solid" w:color="000000" w:fill="000000"/>
                <w:fitText w:val="60" w:id="-761015547"/>
                <w14:textFill>
                  <w14:solidFill>
                    <w14:srgbClr w14:val="000000">
                      <w14:alpha w14:val="100000"/>
                    </w14:srgbClr>
                  </w14:solidFill>
                </w14:textFill>
              </w:rPr>
              <w:t xml:space="preserve">　</w:t>
            </w:r>
            <w:r w:rsidRPr="00BC7DFB">
              <w:rPr>
                <w:color w:val="000000"/>
                <w:w w:val="15"/>
                <w:shd w:val="solid" w:color="000000" w:fill="000000"/>
                <w:fitText w:val="60" w:id="-761015547"/>
                <w14:textFill>
                  <w14:solidFill>
                    <w14:srgbClr w14:val="000000">
                      <w14:alpha w14:val="100000"/>
                    </w14:srgbClr>
                  </w14:solidFill>
                </w14:textFill>
              </w:rPr>
              <w:t>|</w:t>
            </w:r>
            <w:r w:rsidRPr="00BC7DFB">
              <w:rPr>
                <w:rFonts w:hint="eastAsia"/>
                <w:color w:val="000000"/>
                <w:spacing w:val="-5"/>
                <w:w w:val="15"/>
                <w:shd w:val="solid" w:color="000000" w:fill="000000"/>
                <w:fitText w:val="60" w:id="-761015547"/>
                <w14:textFill>
                  <w14:solidFill>
                    <w14:srgbClr w14:val="000000">
                      <w14:alpha w14:val="100000"/>
                    </w14:srgbClr>
                  </w14:solidFill>
                </w14:textFill>
              </w:rPr>
              <w:t xml:space="preserve">　</w:t>
            </w:r>
            <w:r w:rsidR="00067C39" w:rsidRPr="00DB3D39">
              <w:t xml:space="preserve"> </w:t>
            </w:r>
            <w:r w:rsidR="00067C39">
              <w:rPr>
                <w:vertAlign w:val="superscript"/>
              </w:rPr>
              <w:t>4</w:t>
            </w:r>
          </w:p>
        </w:tc>
        <w:tc>
          <w:tcPr>
            <w:tcW w:w="611" w:type="pct"/>
            <w:vAlign w:val="center"/>
          </w:tcPr>
          <w:p w14:paraId="220D4E5F" w14:textId="3EEA38F6" w:rsidR="004F0E49" w:rsidRPr="00DB3D39" w:rsidRDefault="00BC7DFB" w:rsidP="00067C39">
            <w:pPr>
              <w:pStyle w:val="TableText0"/>
              <w:jc w:val="center"/>
            </w:pPr>
            <w:r w:rsidRPr="00BC7DFB">
              <w:rPr>
                <w:rFonts w:hint="eastAsia"/>
                <w:color w:val="000000"/>
                <w:w w:val="15"/>
                <w:shd w:val="solid" w:color="000000" w:fill="000000"/>
                <w:fitText w:val="60" w:id="-761015546"/>
                <w14:textFill>
                  <w14:solidFill>
                    <w14:srgbClr w14:val="000000">
                      <w14:alpha w14:val="100000"/>
                    </w14:srgbClr>
                  </w14:solidFill>
                </w14:textFill>
              </w:rPr>
              <w:t xml:space="preserve">　</w:t>
            </w:r>
            <w:r w:rsidRPr="00BC7DFB">
              <w:rPr>
                <w:color w:val="000000"/>
                <w:w w:val="15"/>
                <w:shd w:val="solid" w:color="000000" w:fill="000000"/>
                <w:fitText w:val="60" w:id="-761015546"/>
                <w14:textFill>
                  <w14:solidFill>
                    <w14:srgbClr w14:val="000000">
                      <w14:alpha w14:val="100000"/>
                    </w14:srgbClr>
                  </w14:solidFill>
                </w14:textFill>
              </w:rPr>
              <w:t>|</w:t>
            </w:r>
            <w:r w:rsidRPr="00BC7DFB">
              <w:rPr>
                <w:rFonts w:hint="eastAsia"/>
                <w:color w:val="000000"/>
                <w:spacing w:val="-5"/>
                <w:w w:val="15"/>
                <w:shd w:val="solid" w:color="000000" w:fill="000000"/>
                <w:fitText w:val="60" w:id="-761015546"/>
                <w14:textFill>
                  <w14:solidFill>
                    <w14:srgbClr w14:val="000000">
                      <w14:alpha w14:val="100000"/>
                    </w14:srgbClr>
                  </w14:solidFill>
                </w14:textFill>
              </w:rPr>
              <w:t xml:space="preserve">　</w:t>
            </w:r>
            <w:r w:rsidR="00067C39" w:rsidRPr="00DB3D39">
              <w:t xml:space="preserve"> </w:t>
            </w:r>
            <w:r w:rsidR="00067C39">
              <w:rPr>
                <w:vertAlign w:val="superscript"/>
              </w:rPr>
              <w:t>4</w:t>
            </w:r>
          </w:p>
        </w:tc>
      </w:tr>
      <w:tr w:rsidR="004F0E49" w:rsidRPr="00DB3D39" w14:paraId="44A403BF" w14:textId="77777777">
        <w:tc>
          <w:tcPr>
            <w:tcW w:w="5000" w:type="pct"/>
            <w:gridSpan w:val="7"/>
            <w:shd w:val="clear" w:color="auto" w:fill="auto"/>
            <w:vAlign w:val="center"/>
          </w:tcPr>
          <w:p w14:paraId="39351644" w14:textId="77777777" w:rsidR="004F0E49" w:rsidRPr="00DB3D39" w:rsidRDefault="004F0E49">
            <w:pPr>
              <w:pStyle w:val="In-tableHeading"/>
              <w:rPr>
                <w:lang w:val="en-AU"/>
              </w:rPr>
            </w:pPr>
            <w:r w:rsidRPr="00DB3D39">
              <w:rPr>
                <w:lang w:val="en-AU"/>
              </w:rPr>
              <w:t>Estimated financial implications of ribociclib</w:t>
            </w:r>
          </w:p>
        </w:tc>
      </w:tr>
      <w:tr w:rsidR="004F0E49" w:rsidRPr="00DB3D39" w14:paraId="3682F8C8" w14:textId="77777777" w:rsidTr="005F6B80">
        <w:tc>
          <w:tcPr>
            <w:tcW w:w="1334" w:type="pct"/>
            <w:shd w:val="clear" w:color="auto" w:fill="auto"/>
            <w:vAlign w:val="center"/>
          </w:tcPr>
          <w:p w14:paraId="63309671" w14:textId="31F5D073" w:rsidR="004F0E49" w:rsidRPr="00DB3D39" w:rsidRDefault="004F0E49">
            <w:pPr>
              <w:pStyle w:val="TableText0"/>
            </w:pPr>
            <w:r w:rsidRPr="00DB3D39">
              <w:t>Cost to PBS/RPBS less copayments</w:t>
            </w:r>
            <w:r w:rsidRPr="00DB3D39">
              <w:rPr>
                <w:vertAlign w:val="superscript"/>
              </w:rPr>
              <w:t xml:space="preserve"> </w:t>
            </w:r>
            <w:r w:rsidR="00D31F72" w:rsidRPr="00DB3D39">
              <w:rPr>
                <w:vertAlign w:val="superscript"/>
              </w:rPr>
              <w:t>c</w:t>
            </w:r>
          </w:p>
        </w:tc>
        <w:tc>
          <w:tcPr>
            <w:tcW w:w="611" w:type="pct"/>
            <w:shd w:val="clear" w:color="auto" w:fill="auto"/>
            <w:vAlign w:val="center"/>
          </w:tcPr>
          <w:p w14:paraId="5A086802" w14:textId="3F884D41" w:rsidR="004F0E49" w:rsidRPr="00DB3D39" w:rsidRDefault="004F0E49" w:rsidP="005F6B80">
            <w:pPr>
              <w:pStyle w:val="TableText0"/>
              <w:jc w:val="center"/>
            </w:pPr>
            <w:r w:rsidRPr="00DB3D39">
              <w:t>$</w:t>
            </w:r>
            <w:r w:rsidR="00BC7DFB" w:rsidRPr="00BC7DFB">
              <w:rPr>
                <w:rFonts w:hint="eastAsia"/>
                <w:color w:val="000000"/>
                <w:w w:val="31"/>
                <w:shd w:val="solid" w:color="000000" w:fill="000000"/>
                <w:fitText w:val="140" w:id="-761015545"/>
                <w14:textFill>
                  <w14:solidFill>
                    <w14:srgbClr w14:val="000000">
                      <w14:alpha w14:val="100000"/>
                    </w14:srgbClr>
                  </w14:solidFill>
                </w14:textFill>
              </w:rPr>
              <w:t xml:space="preserve">　</w:t>
            </w:r>
            <w:r w:rsidR="00BC7DFB" w:rsidRPr="00BC7DFB">
              <w:rPr>
                <w:color w:val="000000"/>
                <w:w w:val="31"/>
                <w:shd w:val="solid" w:color="000000" w:fill="000000"/>
                <w:fitText w:val="140" w:id="-761015545"/>
                <w14:textFill>
                  <w14:solidFill>
                    <w14:srgbClr w14:val="000000">
                      <w14:alpha w14:val="100000"/>
                    </w14:srgbClr>
                  </w14:solidFill>
                </w14:textFill>
              </w:rPr>
              <w:t>|</w:t>
            </w:r>
            <w:r w:rsidR="00BC7DFB" w:rsidRPr="00BC7DFB">
              <w:rPr>
                <w:rFonts w:hint="eastAsia"/>
                <w:color w:val="000000"/>
                <w:spacing w:val="4"/>
                <w:w w:val="31"/>
                <w:shd w:val="solid" w:color="000000" w:fill="000000"/>
                <w:fitText w:val="140" w:id="-761015545"/>
                <w14:textFill>
                  <w14:solidFill>
                    <w14:srgbClr w14:val="000000">
                      <w14:alpha w14:val="100000"/>
                    </w14:srgbClr>
                  </w14:solidFill>
                </w14:textFill>
              </w:rPr>
              <w:t xml:space="preserve">　</w:t>
            </w:r>
            <w:r w:rsidR="00067C39" w:rsidRPr="00DB3D39">
              <w:t xml:space="preserve"> </w:t>
            </w:r>
            <w:r w:rsidR="00067C39">
              <w:rPr>
                <w:vertAlign w:val="superscript"/>
              </w:rPr>
              <w:t>5</w:t>
            </w:r>
          </w:p>
        </w:tc>
        <w:tc>
          <w:tcPr>
            <w:tcW w:w="611" w:type="pct"/>
            <w:shd w:val="clear" w:color="auto" w:fill="auto"/>
            <w:vAlign w:val="center"/>
          </w:tcPr>
          <w:p w14:paraId="0F8AF157" w14:textId="32716190" w:rsidR="004F0E49" w:rsidRPr="00DB3D39" w:rsidRDefault="004F0E49" w:rsidP="005F6B80">
            <w:pPr>
              <w:pStyle w:val="TableText0"/>
              <w:jc w:val="center"/>
            </w:pPr>
            <w:r w:rsidRPr="00DB3D39">
              <w:t>$</w:t>
            </w:r>
            <w:r w:rsidR="00BC7DFB" w:rsidRPr="00BC7DFB">
              <w:rPr>
                <w:rFonts w:hint="eastAsia"/>
                <w:color w:val="000000"/>
                <w:w w:val="31"/>
                <w:shd w:val="solid" w:color="000000" w:fill="000000"/>
                <w:fitText w:val="140" w:id="-761015544"/>
                <w14:textFill>
                  <w14:solidFill>
                    <w14:srgbClr w14:val="000000">
                      <w14:alpha w14:val="100000"/>
                    </w14:srgbClr>
                  </w14:solidFill>
                </w14:textFill>
              </w:rPr>
              <w:t xml:space="preserve">　</w:t>
            </w:r>
            <w:r w:rsidR="00BC7DFB" w:rsidRPr="00BC7DFB">
              <w:rPr>
                <w:color w:val="000000"/>
                <w:w w:val="31"/>
                <w:shd w:val="solid" w:color="000000" w:fill="000000"/>
                <w:fitText w:val="140" w:id="-761015544"/>
                <w14:textFill>
                  <w14:solidFill>
                    <w14:srgbClr w14:val="000000">
                      <w14:alpha w14:val="100000"/>
                    </w14:srgbClr>
                  </w14:solidFill>
                </w14:textFill>
              </w:rPr>
              <w:t>|</w:t>
            </w:r>
            <w:r w:rsidR="00BC7DFB" w:rsidRPr="00BC7DFB">
              <w:rPr>
                <w:rFonts w:hint="eastAsia"/>
                <w:color w:val="000000"/>
                <w:spacing w:val="4"/>
                <w:w w:val="31"/>
                <w:shd w:val="solid" w:color="000000" w:fill="000000"/>
                <w:fitText w:val="140" w:id="-761015544"/>
                <w14:textFill>
                  <w14:solidFill>
                    <w14:srgbClr w14:val="000000">
                      <w14:alpha w14:val="100000"/>
                    </w14:srgbClr>
                  </w14:solidFill>
                </w14:textFill>
              </w:rPr>
              <w:t xml:space="preserve">　</w:t>
            </w:r>
            <w:r w:rsidR="00067C39" w:rsidRPr="00DB3D39">
              <w:t xml:space="preserve"> </w:t>
            </w:r>
            <w:r w:rsidR="00067C39">
              <w:rPr>
                <w:vertAlign w:val="superscript"/>
              </w:rPr>
              <w:t>6</w:t>
            </w:r>
          </w:p>
        </w:tc>
        <w:tc>
          <w:tcPr>
            <w:tcW w:w="611" w:type="pct"/>
            <w:shd w:val="clear" w:color="auto" w:fill="auto"/>
            <w:vAlign w:val="center"/>
          </w:tcPr>
          <w:p w14:paraId="60595D90" w14:textId="103D6B12" w:rsidR="004F0E49" w:rsidRPr="00DB3D39" w:rsidRDefault="004F0E49" w:rsidP="005F6B80">
            <w:pPr>
              <w:pStyle w:val="TableText0"/>
              <w:jc w:val="center"/>
            </w:pPr>
            <w:r w:rsidRPr="00DB3D39">
              <w:t>$</w:t>
            </w:r>
            <w:r w:rsidR="00BC7DFB" w:rsidRPr="00BC7DFB">
              <w:rPr>
                <w:rFonts w:hint="eastAsia"/>
                <w:color w:val="000000"/>
                <w:w w:val="31"/>
                <w:shd w:val="solid" w:color="000000" w:fill="000000"/>
                <w:fitText w:val="140" w:id="-761015543"/>
                <w14:textFill>
                  <w14:solidFill>
                    <w14:srgbClr w14:val="000000">
                      <w14:alpha w14:val="100000"/>
                    </w14:srgbClr>
                  </w14:solidFill>
                </w14:textFill>
              </w:rPr>
              <w:t xml:space="preserve">　</w:t>
            </w:r>
            <w:r w:rsidR="00BC7DFB" w:rsidRPr="00BC7DFB">
              <w:rPr>
                <w:color w:val="000000"/>
                <w:w w:val="31"/>
                <w:shd w:val="solid" w:color="000000" w:fill="000000"/>
                <w:fitText w:val="140" w:id="-761015543"/>
                <w14:textFill>
                  <w14:solidFill>
                    <w14:srgbClr w14:val="000000">
                      <w14:alpha w14:val="100000"/>
                    </w14:srgbClr>
                  </w14:solidFill>
                </w14:textFill>
              </w:rPr>
              <w:t>|</w:t>
            </w:r>
            <w:r w:rsidR="00BC7DFB" w:rsidRPr="00BC7DFB">
              <w:rPr>
                <w:rFonts w:hint="eastAsia"/>
                <w:color w:val="000000"/>
                <w:spacing w:val="4"/>
                <w:w w:val="31"/>
                <w:shd w:val="solid" w:color="000000" w:fill="000000"/>
                <w:fitText w:val="140" w:id="-761015543"/>
                <w14:textFill>
                  <w14:solidFill>
                    <w14:srgbClr w14:val="000000">
                      <w14:alpha w14:val="100000"/>
                    </w14:srgbClr>
                  </w14:solidFill>
                </w14:textFill>
              </w:rPr>
              <w:t xml:space="preserve">　</w:t>
            </w:r>
            <w:r w:rsidR="00067C39" w:rsidRPr="00DB3D39">
              <w:t xml:space="preserve"> </w:t>
            </w:r>
            <w:r w:rsidR="00067C39">
              <w:rPr>
                <w:vertAlign w:val="superscript"/>
              </w:rPr>
              <w:t>7</w:t>
            </w:r>
          </w:p>
        </w:tc>
        <w:tc>
          <w:tcPr>
            <w:tcW w:w="611" w:type="pct"/>
            <w:shd w:val="clear" w:color="auto" w:fill="auto"/>
            <w:vAlign w:val="center"/>
          </w:tcPr>
          <w:p w14:paraId="5F6737AD" w14:textId="18F50731" w:rsidR="004F0E49" w:rsidRPr="00DB3D39" w:rsidRDefault="004F0E49" w:rsidP="005F6B80">
            <w:pPr>
              <w:pStyle w:val="TableText0"/>
              <w:jc w:val="center"/>
            </w:pPr>
            <w:r w:rsidRPr="00DB3D39">
              <w:t>$</w:t>
            </w:r>
            <w:r w:rsidR="00BC7DFB" w:rsidRPr="00BC7DFB">
              <w:rPr>
                <w:rFonts w:hint="eastAsia"/>
                <w:color w:val="000000"/>
                <w:w w:val="31"/>
                <w:shd w:val="solid" w:color="000000" w:fill="000000"/>
                <w:fitText w:val="140" w:id="-761015542"/>
                <w14:textFill>
                  <w14:solidFill>
                    <w14:srgbClr w14:val="000000">
                      <w14:alpha w14:val="100000"/>
                    </w14:srgbClr>
                  </w14:solidFill>
                </w14:textFill>
              </w:rPr>
              <w:t xml:space="preserve">　</w:t>
            </w:r>
            <w:r w:rsidR="00BC7DFB" w:rsidRPr="00BC7DFB">
              <w:rPr>
                <w:color w:val="000000"/>
                <w:w w:val="31"/>
                <w:shd w:val="solid" w:color="000000" w:fill="000000"/>
                <w:fitText w:val="140" w:id="-761015542"/>
                <w14:textFill>
                  <w14:solidFill>
                    <w14:srgbClr w14:val="000000">
                      <w14:alpha w14:val="100000"/>
                    </w14:srgbClr>
                  </w14:solidFill>
                </w14:textFill>
              </w:rPr>
              <w:t>|</w:t>
            </w:r>
            <w:r w:rsidR="00BC7DFB" w:rsidRPr="00BC7DFB">
              <w:rPr>
                <w:rFonts w:hint="eastAsia"/>
                <w:color w:val="000000"/>
                <w:spacing w:val="4"/>
                <w:w w:val="31"/>
                <w:shd w:val="solid" w:color="000000" w:fill="000000"/>
                <w:fitText w:val="140" w:id="-761015542"/>
                <w14:textFill>
                  <w14:solidFill>
                    <w14:srgbClr w14:val="000000">
                      <w14:alpha w14:val="100000"/>
                    </w14:srgbClr>
                  </w14:solidFill>
                </w14:textFill>
              </w:rPr>
              <w:t xml:space="preserve">　</w:t>
            </w:r>
            <w:r w:rsidR="00067C39" w:rsidRPr="00DB3D39">
              <w:t xml:space="preserve"> </w:t>
            </w:r>
            <w:r w:rsidR="00067C39">
              <w:rPr>
                <w:vertAlign w:val="superscript"/>
              </w:rPr>
              <w:t>8</w:t>
            </w:r>
          </w:p>
        </w:tc>
        <w:tc>
          <w:tcPr>
            <w:tcW w:w="611" w:type="pct"/>
            <w:shd w:val="clear" w:color="auto" w:fill="auto"/>
            <w:vAlign w:val="center"/>
          </w:tcPr>
          <w:p w14:paraId="15CFC3F0" w14:textId="1787B866" w:rsidR="004F0E49" w:rsidRPr="00DB3D39" w:rsidRDefault="004F0E49" w:rsidP="005F6B80">
            <w:pPr>
              <w:pStyle w:val="TableText0"/>
              <w:jc w:val="center"/>
            </w:pPr>
            <w:r w:rsidRPr="00DB3D39">
              <w:t>$</w:t>
            </w:r>
            <w:r w:rsidR="00BC7DFB" w:rsidRPr="00BC7DFB">
              <w:rPr>
                <w:rFonts w:hint="eastAsia"/>
                <w:color w:val="000000"/>
                <w:w w:val="31"/>
                <w:shd w:val="solid" w:color="000000" w:fill="000000"/>
                <w:fitText w:val="140" w:id="-761015541"/>
                <w14:textFill>
                  <w14:solidFill>
                    <w14:srgbClr w14:val="000000">
                      <w14:alpha w14:val="100000"/>
                    </w14:srgbClr>
                  </w14:solidFill>
                </w14:textFill>
              </w:rPr>
              <w:t xml:space="preserve">　</w:t>
            </w:r>
            <w:r w:rsidR="00BC7DFB" w:rsidRPr="00BC7DFB">
              <w:rPr>
                <w:color w:val="000000"/>
                <w:w w:val="31"/>
                <w:shd w:val="solid" w:color="000000" w:fill="000000"/>
                <w:fitText w:val="140" w:id="-761015541"/>
                <w14:textFill>
                  <w14:solidFill>
                    <w14:srgbClr w14:val="000000">
                      <w14:alpha w14:val="100000"/>
                    </w14:srgbClr>
                  </w14:solidFill>
                </w14:textFill>
              </w:rPr>
              <w:t>|</w:t>
            </w:r>
            <w:r w:rsidR="00BC7DFB" w:rsidRPr="00BC7DFB">
              <w:rPr>
                <w:rFonts w:hint="eastAsia"/>
                <w:color w:val="000000"/>
                <w:spacing w:val="4"/>
                <w:w w:val="31"/>
                <w:shd w:val="solid" w:color="000000" w:fill="000000"/>
                <w:fitText w:val="140" w:id="-761015541"/>
                <w14:textFill>
                  <w14:solidFill>
                    <w14:srgbClr w14:val="000000">
                      <w14:alpha w14:val="100000"/>
                    </w14:srgbClr>
                  </w14:solidFill>
                </w14:textFill>
              </w:rPr>
              <w:t xml:space="preserve">　</w:t>
            </w:r>
            <w:r w:rsidR="00067C39" w:rsidRPr="00DB3D39">
              <w:t xml:space="preserve"> </w:t>
            </w:r>
            <w:r w:rsidR="00067C39">
              <w:rPr>
                <w:vertAlign w:val="superscript"/>
              </w:rPr>
              <w:t>8</w:t>
            </w:r>
          </w:p>
        </w:tc>
        <w:tc>
          <w:tcPr>
            <w:tcW w:w="611" w:type="pct"/>
            <w:vAlign w:val="center"/>
          </w:tcPr>
          <w:p w14:paraId="5E9C8ABA" w14:textId="63E3BBF1" w:rsidR="004F0E49" w:rsidRPr="00DB3D39" w:rsidRDefault="004F0E49" w:rsidP="005F6B80">
            <w:pPr>
              <w:pStyle w:val="TableText0"/>
              <w:jc w:val="center"/>
            </w:pPr>
            <w:r w:rsidRPr="00DB3D39">
              <w:t>$</w:t>
            </w:r>
            <w:r w:rsidR="00BC7DFB" w:rsidRPr="00BC7DFB">
              <w:rPr>
                <w:rFonts w:hint="eastAsia"/>
                <w:color w:val="000000"/>
                <w:w w:val="31"/>
                <w:shd w:val="solid" w:color="000000" w:fill="000000"/>
                <w:fitText w:val="140" w:id="-761015540"/>
                <w14:textFill>
                  <w14:solidFill>
                    <w14:srgbClr w14:val="000000">
                      <w14:alpha w14:val="100000"/>
                    </w14:srgbClr>
                  </w14:solidFill>
                </w14:textFill>
              </w:rPr>
              <w:t xml:space="preserve">　</w:t>
            </w:r>
            <w:r w:rsidR="00BC7DFB" w:rsidRPr="00BC7DFB">
              <w:rPr>
                <w:color w:val="000000"/>
                <w:w w:val="31"/>
                <w:shd w:val="solid" w:color="000000" w:fill="000000"/>
                <w:fitText w:val="140" w:id="-761015540"/>
                <w14:textFill>
                  <w14:solidFill>
                    <w14:srgbClr w14:val="000000">
                      <w14:alpha w14:val="100000"/>
                    </w14:srgbClr>
                  </w14:solidFill>
                </w14:textFill>
              </w:rPr>
              <w:t>|</w:t>
            </w:r>
            <w:r w:rsidR="00BC7DFB" w:rsidRPr="00BC7DFB">
              <w:rPr>
                <w:rFonts w:hint="eastAsia"/>
                <w:color w:val="000000"/>
                <w:w w:val="31"/>
                <w:shd w:val="solid" w:color="000000" w:fill="000000"/>
                <w:fitText w:val="140" w:id="-761015540"/>
                <w14:textFill>
                  <w14:solidFill>
                    <w14:srgbClr w14:val="000000">
                      <w14:alpha w14:val="100000"/>
                    </w14:srgbClr>
                  </w14:solidFill>
                </w14:textFill>
              </w:rPr>
              <w:t xml:space="preserve">　</w:t>
            </w:r>
            <w:r w:rsidR="00067C39" w:rsidRPr="00DB3D39">
              <w:t xml:space="preserve"> </w:t>
            </w:r>
            <w:r w:rsidR="00067C39">
              <w:rPr>
                <w:vertAlign w:val="superscript"/>
              </w:rPr>
              <w:t>9</w:t>
            </w:r>
          </w:p>
        </w:tc>
      </w:tr>
      <w:tr w:rsidR="004F0E49" w:rsidRPr="00DB3D39" w14:paraId="5AB87C74" w14:textId="77777777">
        <w:tc>
          <w:tcPr>
            <w:tcW w:w="5000" w:type="pct"/>
            <w:gridSpan w:val="7"/>
            <w:shd w:val="clear" w:color="auto" w:fill="auto"/>
            <w:vAlign w:val="center"/>
          </w:tcPr>
          <w:p w14:paraId="598EEA1F" w14:textId="77777777" w:rsidR="004F0E49" w:rsidRPr="00DB3D39" w:rsidRDefault="004F0E49">
            <w:pPr>
              <w:pStyle w:val="TableText0"/>
              <w:rPr>
                <w:b/>
                <w:bCs w:val="0"/>
              </w:rPr>
            </w:pPr>
            <w:r w:rsidRPr="00DB3D39">
              <w:rPr>
                <w:b/>
                <w:bCs w:val="0"/>
              </w:rPr>
              <w:t>Estimated financial implications for abemaciclib</w:t>
            </w:r>
          </w:p>
        </w:tc>
      </w:tr>
      <w:tr w:rsidR="004F0E49" w:rsidRPr="00DB3D39" w14:paraId="0138EB1D" w14:textId="77777777" w:rsidTr="005F6B80">
        <w:tc>
          <w:tcPr>
            <w:tcW w:w="1334" w:type="pct"/>
            <w:shd w:val="clear" w:color="auto" w:fill="auto"/>
            <w:vAlign w:val="center"/>
          </w:tcPr>
          <w:p w14:paraId="728B5C22" w14:textId="77777777" w:rsidR="004F0E49" w:rsidRPr="00DB3D39" w:rsidRDefault="004F0E49">
            <w:pPr>
              <w:pStyle w:val="TableText0"/>
            </w:pPr>
            <w:r w:rsidRPr="00DB3D39">
              <w:t>Cost to PBS/RPBS less copayments</w:t>
            </w:r>
          </w:p>
        </w:tc>
        <w:tc>
          <w:tcPr>
            <w:tcW w:w="611" w:type="pct"/>
            <w:shd w:val="clear" w:color="auto" w:fill="auto"/>
            <w:vAlign w:val="center"/>
          </w:tcPr>
          <w:p w14:paraId="675A7711" w14:textId="4951C5E7" w:rsidR="004F0E49" w:rsidRPr="00DB3D39" w:rsidRDefault="004F0E49" w:rsidP="005F6B80">
            <w:pPr>
              <w:pStyle w:val="TableText0"/>
              <w:jc w:val="center"/>
            </w:pPr>
            <w:r w:rsidRPr="00DB3D39">
              <w:t>-$</w:t>
            </w:r>
            <w:r w:rsidR="00BC7DFB" w:rsidRPr="00BC7DFB">
              <w:rPr>
                <w:color w:val="000000"/>
                <w:spacing w:val="114"/>
                <w:shd w:val="solid" w:color="000000" w:fill="000000"/>
                <w:fitText w:val="200" w:id="-761015539"/>
                <w14:textFill>
                  <w14:solidFill>
                    <w14:srgbClr w14:val="000000">
                      <w14:alpha w14:val="100000"/>
                    </w14:srgbClr>
                  </w14:solidFill>
                </w14:textFill>
              </w:rPr>
              <w:t>|</w:t>
            </w:r>
            <w:r w:rsidR="00BC7DFB" w:rsidRPr="00BC7DFB">
              <w:rPr>
                <w:color w:val="000000"/>
                <w:spacing w:val="1"/>
                <w:shd w:val="solid" w:color="000000" w:fill="000000"/>
                <w:fitText w:val="200" w:id="-761015539"/>
                <w14:textFill>
                  <w14:solidFill>
                    <w14:srgbClr w14:val="000000">
                      <w14:alpha w14:val="100000"/>
                    </w14:srgbClr>
                  </w14:solidFill>
                </w14:textFill>
              </w:rPr>
              <w:t>|</w:t>
            </w:r>
            <w:r w:rsidR="00067C39" w:rsidRPr="00DB3D39">
              <w:t xml:space="preserve"> </w:t>
            </w:r>
            <w:r w:rsidR="00067C39">
              <w:rPr>
                <w:vertAlign w:val="superscript"/>
              </w:rPr>
              <w:t>10</w:t>
            </w:r>
          </w:p>
        </w:tc>
        <w:tc>
          <w:tcPr>
            <w:tcW w:w="611" w:type="pct"/>
            <w:shd w:val="clear" w:color="auto" w:fill="auto"/>
            <w:vAlign w:val="center"/>
          </w:tcPr>
          <w:p w14:paraId="1496A49D" w14:textId="6BB5EFC8" w:rsidR="004F0E49" w:rsidRPr="00DB3D39" w:rsidRDefault="004F0E49" w:rsidP="005F6B80">
            <w:pPr>
              <w:pStyle w:val="TableText0"/>
              <w:jc w:val="center"/>
            </w:pPr>
            <w:r w:rsidRPr="00DB3D39">
              <w:t>-$</w:t>
            </w:r>
            <w:r w:rsidR="00BC7DFB" w:rsidRPr="00BC7DFB">
              <w:rPr>
                <w:color w:val="000000"/>
                <w:spacing w:val="114"/>
                <w:shd w:val="solid" w:color="000000" w:fill="000000"/>
                <w:fitText w:val="200" w:id="-761015538"/>
                <w14:textFill>
                  <w14:solidFill>
                    <w14:srgbClr w14:val="000000">
                      <w14:alpha w14:val="100000"/>
                    </w14:srgbClr>
                  </w14:solidFill>
                </w14:textFill>
              </w:rPr>
              <w:t>|</w:t>
            </w:r>
            <w:r w:rsidR="00BC7DFB" w:rsidRPr="00BC7DFB">
              <w:rPr>
                <w:color w:val="000000"/>
                <w:spacing w:val="1"/>
                <w:shd w:val="solid" w:color="000000" w:fill="000000"/>
                <w:fitText w:val="200" w:id="-761015538"/>
                <w14:textFill>
                  <w14:solidFill>
                    <w14:srgbClr w14:val="000000">
                      <w14:alpha w14:val="100000"/>
                    </w14:srgbClr>
                  </w14:solidFill>
                </w14:textFill>
              </w:rPr>
              <w:t>|</w:t>
            </w:r>
            <w:r w:rsidR="00067C39" w:rsidRPr="00DB3D39">
              <w:t xml:space="preserve"> </w:t>
            </w:r>
            <w:r w:rsidR="00067C39">
              <w:rPr>
                <w:vertAlign w:val="superscript"/>
              </w:rPr>
              <w:t>10</w:t>
            </w:r>
          </w:p>
        </w:tc>
        <w:tc>
          <w:tcPr>
            <w:tcW w:w="611" w:type="pct"/>
            <w:shd w:val="clear" w:color="auto" w:fill="auto"/>
            <w:vAlign w:val="center"/>
          </w:tcPr>
          <w:p w14:paraId="7235E1EA" w14:textId="7ADD66A4" w:rsidR="004F0E49" w:rsidRPr="00DB3D39" w:rsidRDefault="004F0E49" w:rsidP="005F6B80">
            <w:pPr>
              <w:pStyle w:val="TableText0"/>
              <w:jc w:val="center"/>
            </w:pPr>
            <w:r w:rsidRPr="00DB3D39">
              <w:t>-$</w:t>
            </w:r>
            <w:r w:rsidR="00BC7DFB" w:rsidRPr="00BC7DFB">
              <w:rPr>
                <w:color w:val="000000"/>
                <w:spacing w:val="114"/>
                <w:shd w:val="solid" w:color="000000" w:fill="000000"/>
                <w:fitText w:val="200" w:id="-761015537"/>
                <w14:textFill>
                  <w14:solidFill>
                    <w14:srgbClr w14:val="000000">
                      <w14:alpha w14:val="100000"/>
                    </w14:srgbClr>
                  </w14:solidFill>
                </w14:textFill>
              </w:rPr>
              <w:t>|</w:t>
            </w:r>
            <w:r w:rsidR="00BC7DFB" w:rsidRPr="00BC7DFB">
              <w:rPr>
                <w:color w:val="000000"/>
                <w:spacing w:val="1"/>
                <w:shd w:val="solid" w:color="000000" w:fill="000000"/>
                <w:fitText w:val="200" w:id="-761015537"/>
                <w14:textFill>
                  <w14:solidFill>
                    <w14:srgbClr w14:val="000000">
                      <w14:alpha w14:val="100000"/>
                    </w14:srgbClr>
                  </w14:solidFill>
                </w14:textFill>
              </w:rPr>
              <w:t>|</w:t>
            </w:r>
            <w:r w:rsidR="00067C39" w:rsidRPr="00DB3D39">
              <w:t xml:space="preserve"> </w:t>
            </w:r>
            <w:r w:rsidR="00067C39">
              <w:rPr>
                <w:vertAlign w:val="superscript"/>
              </w:rPr>
              <w:t>10</w:t>
            </w:r>
          </w:p>
        </w:tc>
        <w:tc>
          <w:tcPr>
            <w:tcW w:w="611" w:type="pct"/>
            <w:shd w:val="clear" w:color="auto" w:fill="auto"/>
            <w:vAlign w:val="center"/>
          </w:tcPr>
          <w:p w14:paraId="1828C7C5" w14:textId="48CD15C2" w:rsidR="004F0E49" w:rsidRPr="00DB3D39" w:rsidRDefault="004F0E49" w:rsidP="005F6B80">
            <w:pPr>
              <w:pStyle w:val="TableText0"/>
              <w:jc w:val="center"/>
            </w:pPr>
            <w:r w:rsidRPr="00DB3D39">
              <w:t>-$</w:t>
            </w:r>
            <w:r w:rsidR="00BC7DFB" w:rsidRPr="00BC7DFB">
              <w:rPr>
                <w:color w:val="000000"/>
                <w:spacing w:val="114"/>
                <w:shd w:val="solid" w:color="000000" w:fill="000000"/>
                <w:fitText w:val="200" w:id="-761015536"/>
                <w14:textFill>
                  <w14:solidFill>
                    <w14:srgbClr w14:val="000000">
                      <w14:alpha w14:val="100000"/>
                    </w14:srgbClr>
                  </w14:solidFill>
                </w14:textFill>
              </w:rPr>
              <w:t>|</w:t>
            </w:r>
            <w:r w:rsidR="00BC7DFB" w:rsidRPr="00BC7DFB">
              <w:rPr>
                <w:color w:val="000000"/>
                <w:spacing w:val="1"/>
                <w:shd w:val="solid" w:color="000000" w:fill="000000"/>
                <w:fitText w:val="200" w:id="-761015536"/>
                <w14:textFill>
                  <w14:solidFill>
                    <w14:srgbClr w14:val="000000">
                      <w14:alpha w14:val="100000"/>
                    </w14:srgbClr>
                  </w14:solidFill>
                </w14:textFill>
              </w:rPr>
              <w:t>|</w:t>
            </w:r>
            <w:r w:rsidR="00067C39" w:rsidRPr="00DB3D39">
              <w:t xml:space="preserve"> </w:t>
            </w:r>
            <w:r w:rsidR="00067C39">
              <w:rPr>
                <w:vertAlign w:val="superscript"/>
              </w:rPr>
              <w:t>10</w:t>
            </w:r>
          </w:p>
        </w:tc>
        <w:tc>
          <w:tcPr>
            <w:tcW w:w="611" w:type="pct"/>
            <w:shd w:val="clear" w:color="auto" w:fill="auto"/>
            <w:vAlign w:val="center"/>
          </w:tcPr>
          <w:p w14:paraId="6F848A7C" w14:textId="40E4994A" w:rsidR="004F0E49" w:rsidRPr="00DB3D39" w:rsidRDefault="004F0E49" w:rsidP="005F6B80">
            <w:pPr>
              <w:pStyle w:val="TableText0"/>
              <w:jc w:val="center"/>
            </w:pPr>
            <w:r w:rsidRPr="00DB3D39">
              <w:t>-$</w:t>
            </w:r>
            <w:r w:rsidR="00BC7DFB" w:rsidRPr="00BC7DFB">
              <w:rPr>
                <w:color w:val="000000"/>
                <w:spacing w:val="114"/>
                <w:shd w:val="solid" w:color="000000" w:fill="000000"/>
                <w:fitText w:val="200" w:id="-761015552"/>
                <w14:textFill>
                  <w14:solidFill>
                    <w14:srgbClr w14:val="000000">
                      <w14:alpha w14:val="100000"/>
                    </w14:srgbClr>
                  </w14:solidFill>
                </w14:textFill>
              </w:rPr>
              <w:t>|</w:t>
            </w:r>
            <w:r w:rsidR="00BC7DFB" w:rsidRPr="00BC7DFB">
              <w:rPr>
                <w:color w:val="000000"/>
                <w:spacing w:val="1"/>
                <w:shd w:val="solid" w:color="000000" w:fill="000000"/>
                <w:fitText w:val="200" w:id="-761015552"/>
                <w14:textFill>
                  <w14:solidFill>
                    <w14:srgbClr w14:val="000000">
                      <w14:alpha w14:val="100000"/>
                    </w14:srgbClr>
                  </w14:solidFill>
                </w14:textFill>
              </w:rPr>
              <w:t>|</w:t>
            </w:r>
            <w:r w:rsidR="00067C39" w:rsidRPr="00DB3D39">
              <w:t xml:space="preserve"> </w:t>
            </w:r>
            <w:r w:rsidR="00067C39">
              <w:rPr>
                <w:vertAlign w:val="superscript"/>
              </w:rPr>
              <w:t>10</w:t>
            </w:r>
          </w:p>
        </w:tc>
        <w:tc>
          <w:tcPr>
            <w:tcW w:w="611" w:type="pct"/>
            <w:vAlign w:val="center"/>
          </w:tcPr>
          <w:p w14:paraId="4AC1A08C" w14:textId="0035752C" w:rsidR="004F0E49" w:rsidRPr="00DB3D39" w:rsidRDefault="004F0E49" w:rsidP="005F6B80">
            <w:pPr>
              <w:pStyle w:val="TableText0"/>
              <w:jc w:val="center"/>
            </w:pPr>
            <w:r w:rsidRPr="00DB3D39">
              <w:t>-$</w:t>
            </w:r>
            <w:r w:rsidR="00BC7DFB" w:rsidRPr="00BC7DFB">
              <w:rPr>
                <w:color w:val="000000"/>
                <w:spacing w:val="114"/>
                <w:shd w:val="solid" w:color="000000" w:fill="000000"/>
                <w:fitText w:val="200" w:id="-761015551"/>
                <w14:textFill>
                  <w14:solidFill>
                    <w14:srgbClr w14:val="000000">
                      <w14:alpha w14:val="100000"/>
                    </w14:srgbClr>
                  </w14:solidFill>
                </w14:textFill>
              </w:rPr>
              <w:t>|</w:t>
            </w:r>
            <w:r w:rsidR="00BC7DFB" w:rsidRPr="00BC7DFB">
              <w:rPr>
                <w:color w:val="000000"/>
                <w:spacing w:val="1"/>
                <w:shd w:val="solid" w:color="000000" w:fill="000000"/>
                <w:fitText w:val="200" w:id="-761015551"/>
                <w14:textFill>
                  <w14:solidFill>
                    <w14:srgbClr w14:val="000000">
                      <w14:alpha w14:val="100000"/>
                    </w14:srgbClr>
                  </w14:solidFill>
                </w14:textFill>
              </w:rPr>
              <w:t>|</w:t>
            </w:r>
            <w:r w:rsidR="00067C39" w:rsidRPr="00DB3D39">
              <w:t xml:space="preserve"> </w:t>
            </w:r>
            <w:r w:rsidR="00067C39">
              <w:rPr>
                <w:vertAlign w:val="superscript"/>
              </w:rPr>
              <w:t>10</w:t>
            </w:r>
          </w:p>
        </w:tc>
      </w:tr>
      <w:tr w:rsidR="004F0E49" w:rsidRPr="00DB3D39" w14:paraId="458CE26A" w14:textId="77777777">
        <w:tc>
          <w:tcPr>
            <w:tcW w:w="5000" w:type="pct"/>
            <w:gridSpan w:val="7"/>
            <w:shd w:val="clear" w:color="auto" w:fill="auto"/>
            <w:vAlign w:val="center"/>
          </w:tcPr>
          <w:p w14:paraId="7FA05940" w14:textId="77777777" w:rsidR="004F0E49" w:rsidRPr="00DB3D39" w:rsidRDefault="004F0E49">
            <w:pPr>
              <w:pStyle w:val="In-tableHeading"/>
              <w:rPr>
                <w:lang w:val="en-AU"/>
              </w:rPr>
            </w:pPr>
            <w:r w:rsidRPr="00DB3D39">
              <w:rPr>
                <w:lang w:val="en-AU"/>
              </w:rPr>
              <w:t>Net financial implications</w:t>
            </w:r>
          </w:p>
        </w:tc>
      </w:tr>
      <w:tr w:rsidR="004F0E49" w:rsidRPr="00DB3D39" w14:paraId="0BFF9AEC" w14:textId="77777777" w:rsidTr="005F6B80">
        <w:tc>
          <w:tcPr>
            <w:tcW w:w="1334" w:type="pct"/>
            <w:shd w:val="clear" w:color="auto" w:fill="auto"/>
            <w:vAlign w:val="center"/>
          </w:tcPr>
          <w:p w14:paraId="48D6CCC1" w14:textId="0E229529" w:rsidR="004F0E49" w:rsidRPr="00DB3D39" w:rsidRDefault="004F0E49">
            <w:pPr>
              <w:pStyle w:val="TableText0"/>
            </w:pPr>
            <w:r w:rsidRPr="00DB3D39">
              <w:t>Net cost to PBS/RPBS</w:t>
            </w:r>
            <w:r w:rsidRPr="00DB3D39">
              <w:rPr>
                <w:vertAlign w:val="superscript"/>
              </w:rPr>
              <w:t xml:space="preserve"> </w:t>
            </w:r>
            <w:r w:rsidR="00D31F72" w:rsidRPr="00DB3D39">
              <w:rPr>
                <w:vertAlign w:val="superscript"/>
              </w:rPr>
              <w:t>c</w:t>
            </w:r>
          </w:p>
        </w:tc>
        <w:tc>
          <w:tcPr>
            <w:tcW w:w="611" w:type="pct"/>
            <w:shd w:val="clear" w:color="auto" w:fill="auto"/>
            <w:vAlign w:val="center"/>
          </w:tcPr>
          <w:p w14:paraId="7379F68E" w14:textId="7ED3A4C7" w:rsidR="004F0E49" w:rsidRPr="00DB3D39" w:rsidRDefault="004F0E49" w:rsidP="005F6B80">
            <w:pPr>
              <w:pStyle w:val="TableText0"/>
              <w:jc w:val="center"/>
            </w:pPr>
            <w:r w:rsidRPr="00DB3D39">
              <w:t>-$</w:t>
            </w:r>
            <w:r w:rsidR="00BC7DFB" w:rsidRPr="00BC7DFB">
              <w:rPr>
                <w:color w:val="000000"/>
                <w:spacing w:val="114"/>
                <w:shd w:val="solid" w:color="000000" w:fill="000000"/>
                <w:fitText w:val="200" w:id="-761015550"/>
                <w14:textFill>
                  <w14:solidFill>
                    <w14:srgbClr w14:val="000000">
                      <w14:alpha w14:val="100000"/>
                    </w14:srgbClr>
                  </w14:solidFill>
                </w14:textFill>
              </w:rPr>
              <w:t>|</w:t>
            </w:r>
            <w:r w:rsidR="00BC7DFB" w:rsidRPr="00BC7DFB">
              <w:rPr>
                <w:color w:val="000000"/>
                <w:spacing w:val="1"/>
                <w:shd w:val="solid" w:color="000000" w:fill="000000"/>
                <w:fitText w:val="200" w:id="-761015550"/>
                <w14:textFill>
                  <w14:solidFill>
                    <w14:srgbClr w14:val="000000">
                      <w14:alpha w14:val="100000"/>
                    </w14:srgbClr>
                  </w14:solidFill>
                </w14:textFill>
              </w:rPr>
              <w:t>|</w:t>
            </w:r>
            <w:r w:rsidR="00067C39" w:rsidRPr="00DB3D39">
              <w:t xml:space="preserve"> </w:t>
            </w:r>
            <w:r w:rsidR="00067C39">
              <w:rPr>
                <w:vertAlign w:val="superscript"/>
              </w:rPr>
              <w:t>10</w:t>
            </w:r>
          </w:p>
        </w:tc>
        <w:tc>
          <w:tcPr>
            <w:tcW w:w="611" w:type="pct"/>
            <w:shd w:val="clear" w:color="auto" w:fill="auto"/>
            <w:vAlign w:val="center"/>
          </w:tcPr>
          <w:p w14:paraId="28F49BC0" w14:textId="08700A03" w:rsidR="004F0E49" w:rsidRPr="00DB3D39" w:rsidRDefault="004F0E49" w:rsidP="005F6B80">
            <w:pPr>
              <w:pStyle w:val="TableText0"/>
              <w:jc w:val="center"/>
            </w:pPr>
            <w:r w:rsidRPr="00DB3D39">
              <w:t>-$</w:t>
            </w:r>
            <w:r w:rsidR="00BC7DFB" w:rsidRPr="00BC7DFB">
              <w:rPr>
                <w:color w:val="000000"/>
                <w:spacing w:val="114"/>
                <w:shd w:val="solid" w:color="000000" w:fill="000000"/>
                <w:fitText w:val="200" w:id="-761015549"/>
                <w14:textFill>
                  <w14:solidFill>
                    <w14:srgbClr w14:val="000000">
                      <w14:alpha w14:val="100000"/>
                    </w14:srgbClr>
                  </w14:solidFill>
                </w14:textFill>
              </w:rPr>
              <w:t>|</w:t>
            </w:r>
            <w:r w:rsidR="00BC7DFB" w:rsidRPr="00BC7DFB">
              <w:rPr>
                <w:color w:val="000000"/>
                <w:spacing w:val="1"/>
                <w:shd w:val="solid" w:color="000000" w:fill="000000"/>
                <w:fitText w:val="200" w:id="-761015549"/>
                <w14:textFill>
                  <w14:solidFill>
                    <w14:srgbClr w14:val="000000">
                      <w14:alpha w14:val="100000"/>
                    </w14:srgbClr>
                  </w14:solidFill>
                </w14:textFill>
              </w:rPr>
              <w:t>|</w:t>
            </w:r>
            <w:r w:rsidR="00067C39" w:rsidRPr="00DB3D39">
              <w:t xml:space="preserve"> </w:t>
            </w:r>
            <w:r w:rsidR="00067C39">
              <w:rPr>
                <w:vertAlign w:val="superscript"/>
              </w:rPr>
              <w:t>10</w:t>
            </w:r>
          </w:p>
        </w:tc>
        <w:tc>
          <w:tcPr>
            <w:tcW w:w="611" w:type="pct"/>
            <w:shd w:val="clear" w:color="auto" w:fill="auto"/>
            <w:vAlign w:val="center"/>
          </w:tcPr>
          <w:p w14:paraId="4B07D975" w14:textId="1BCDAA85" w:rsidR="004F0E49" w:rsidRPr="00DB3D39" w:rsidRDefault="004F0E49" w:rsidP="005F6B80">
            <w:pPr>
              <w:pStyle w:val="TableText0"/>
              <w:jc w:val="center"/>
            </w:pPr>
            <w:r w:rsidRPr="00DB3D39">
              <w:t>-$</w:t>
            </w:r>
            <w:r w:rsidR="00BC7DFB" w:rsidRPr="00BC7DFB">
              <w:rPr>
                <w:color w:val="000000"/>
                <w:spacing w:val="114"/>
                <w:shd w:val="solid" w:color="000000" w:fill="000000"/>
                <w:fitText w:val="200" w:id="-761015548"/>
                <w14:textFill>
                  <w14:solidFill>
                    <w14:srgbClr w14:val="000000">
                      <w14:alpha w14:val="100000"/>
                    </w14:srgbClr>
                  </w14:solidFill>
                </w14:textFill>
              </w:rPr>
              <w:t>|</w:t>
            </w:r>
            <w:r w:rsidR="00BC7DFB" w:rsidRPr="00BC7DFB">
              <w:rPr>
                <w:color w:val="000000"/>
                <w:spacing w:val="1"/>
                <w:shd w:val="solid" w:color="000000" w:fill="000000"/>
                <w:fitText w:val="200" w:id="-761015548"/>
                <w14:textFill>
                  <w14:solidFill>
                    <w14:srgbClr w14:val="000000">
                      <w14:alpha w14:val="100000"/>
                    </w14:srgbClr>
                  </w14:solidFill>
                </w14:textFill>
              </w:rPr>
              <w:t>|</w:t>
            </w:r>
            <w:r w:rsidR="00067C39" w:rsidRPr="00DB3D39">
              <w:t xml:space="preserve"> </w:t>
            </w:r>
            <w:r w:rsidR="00067C39">
              <w:rPr>
                <w:vertAlign w:val="superscript"/>
              </w:rPr>
              <w:t>10</w:t>
            </w:r>
          </w:p>
        </w:tc>
        <w:tc>
          <w:tcPr>
            <w:tcW w:w="611" w:type="pct"/>
            <w:shd w:val="clear" w:color="auto" w:fill="auto"/>
            <w:vAlign w:val="center"/>
          </w:tcPr>
          <w:p w14:paraId="072E4D00" w14:textId="7024B674" w:rsidR="004F0E49" w:rsidRPr="00DB3D39" w:rsidRDefault="004F0E49" w:rsidP="005F6B80">
            <w:pPr>
              <w:pStyle w:val="TableText0"/>
              <w:jc w:val="center"/>
            </w:pPr>
            <w:r w:rsidRPr="00DB3D39">
              <w:t>-$</w:t>
            </w:r>
            <w:r w:rsidR="00BC7DFB" w:rsidRPr="00BC7DFB">
              <w:rPr>
                <w:color w:val="000000"/>
                <w:spacing w:val="114"/>
                <w:shd w:val="solid" w:color="000000" w:fill="000000"/>
                <w:fitText w:val="200" w:id="-761015547"/>
                <w14:textFill>
                  <w14:solidFill>
                    <w14:srgbClr w14:val="000000">
                      <w14:alpha w14:val="100000"/>
                    </w14:srgbClr>
                  </w14:solidFill>
                </w14:textFill>
              </w:rPr>
              <w:t>|</w:t>
            </w:r>
            <w:r w:rsidR="00BC7DFB" w:rsidRPr="00BC7DFB">
              <w:rPr>
                <w:color w:val="000000"/>
                <w:spacing w:val="1"/>
                <w:shd w:val="solid" w:color="000000" w:fill="000000"/>
                <w:fitText w:val="200" w:id="-761015547"/>
                <w14:textFill>
                  <w14:solidFill>
                    <w14:srgbClr w14:val="000000">
                      <w14:alpha w14:val="100000"/>
                    </w14:srgbClr>
                  </w14:solidFill>
                </w14:textFill>
              </w:rPr>
              <w:t>|</w:t>
            </w:r>
            <w:r w:rsidR="00067C39" w:rsidRPr="00DB3D39">
              <w:t xml:space="preserve"> </w:t>
            </w:r>
            <w:r w:rsidR="00067C39">
              <w:rPr>
                <w:vertAlign w:val="superscript"/>
              </w:rPr>
              <w:t>10</w:t>
            </w:r>
          </w:p>
        </w:tc>
        <w:tc>
          <w:tcPr>
            <w:tcW w:w="611" w:type="pct"/>
            <w:shd w:val="clear" w:color="auto" w:fill="auto"/>
            <w:vAlign w:val="center"/>
          </w:tcPr>
          <w:p w14:paraId="164CB745" w14:textId="49781AF3" w:rsidR="004F0E49" w:rsidRPr="00DB3D39" w:rsidRDefault="004F0E49" w:rsidP="005F6B80">
            <w:pPr>
              <w:pStyle w:val="TableText0"/>
              <w:jc w:val="center"/>
            </w:pPr>
            <w:r w:rsidRPr="00DB3D39">
              <w:t>-$</w:t>
            </w:r>
            <w:r w:rsidR="00BC7DFB" w:rsidRPr="00BC7DFB">
              <w:rPr>
                <w:color w:val="000000"/>
                <w:spacing w:val="114"/>
                <w:shd w:val="solid" w:color="000000" w:fill="000000"/>
                <w:fitText w:val="200" w:id="-761015546"/>
                <w14:textFill>
                  <w14:solidFill>
                    <w14:srgbClr w14:val="000000">
                      <w14:alpha w14:val="100000"/>
                    </w14:srgbClr>
                  </w14:solidFill>
                </w14:textFill>
              </w:rPr>
              <w:t>|</w:t>
            </w:r>
            <w:r w:rsidR="00BC7DFB" w:rsidRPr="00BC7DFB">
              <w:rPr>
                <w:color w:val="000000"/>
                <w:spacing w:val="1"/>
                <w:shd w:val="solid" w:color="000000" w:fill="000000"/>
                <w:fitText w:val="200" w:id="-761015546"/>
                <w14:textFill>
                  <w14:solidFill>
                    <w14:srgbClr w14:val="000000">
                      <w14:alpha w14:val="100000"/>
                    </w14:srgbClr>
                  </w14:solidFill>
                </w14:textFill>
              </w:rPr>
              <w:t>|</w:t>
            </w:r>
            <w:r w:rsidR="00067C39" w:rsidRPr="00DB3D39">
              <w:t xml:space="preserve"> </w:t>
            </w:r>
            <w:r w:rsidR="00067C39">
              <w:rPr>
                <w:vertAlign w:val="superscript"/>
              </w:rPr>
              <w:t>10</w:t>
            </w:r>
          </w:p>
        </w:tc>
        <w:tc>
          <w:tcPr>
            <w:tcW w:w="611" w:type="pct"/>
            <w:vAlign w:val="center"/>
          </w:tcPr>
          <w:p w14:paraId="181F835F" w14:textId="3232E23B" w:rsidR="004F0E49" w:rsidRPr="00DB3D39" w:rsidRDefault="004F0E49" w:rsidP="005F6B80">
            <w:pPr>
              <w:pStyle w:val="TableText0"/>
              <w:jc w:val="center"/>
            </w:pPr>
            <w:r w:rsidRPr="00DB3D39">
              <w:t>-$</w:t>
            </w:r>
            <w:r w:rsidR="00BC7DFB" w:rsidRPr="00BC7DFB">
              <w:rPr>
                <w:color w:val="000000"/>
                <w:spacing w:val="114"/>
                <w:shd w:val="solid" w:color="000000" w:fill="000000"/>
                <w:fitText w:val="200" w:id="-761015545"/>
                <w14:textFill>
                  <w14:solidFill>
                    <w14:srgbClr w14:val="000000">
                      <w14:alpha w14:val="100000"/>
                    </w14:srgbClr>
                  </w14:solidFill>
                </w14:textFill>
              </w:rPr>
              <w:t>|</w:t>
            </w:r>
            <w:r w:rsidR="00BC7DFB" w:rsidRPr="00BC7DFB">
              <w:rPr>
                <w:color w:val="000000"/>
                <w:spacing w:val="1"/>
                <w:shd w:val="solid" w:color="000000" w:fill="000000"/>
                <w:fitText w:val="200" w:id="-761015545"/>
                <w14:textFill>
                  <w14:solidFill>
                    <w14:srgbClr w14:val="000000">
                      <w14:alpha w14:val="100000"/>
                    </w14:srgbClr>
                  </w14:solidFill>
                </w14:textFill>
              </w:rPr>
              <w:t>|</w:t>
            </w:r>
            <w:r w:rsidR="00067C39" w:rsidRPr="00DB3D39">
              <w:t xml:space="preserve"> </w:t>
            </w:r>
            <w:r w:rsidR="00067C39">
              <w:rPr>
                <w:vertAlign w:val="superscript"/>
              </w:rPr>
              <w:t>10</w:t>
            </w:r>
          </w:p>
        </w:tc>
      </w:tr>
      <w:tr w:rsidR="004F0E49" w:rsidRPr="00DB3D39" w14:paraId="751FE7C2" w14:textId="77777777" w:rsidTr="005F6B80">
        <w:tc>
          <w:tcPr>
            <w:tcW w:w="1334" w:type="pct"/>
            <w:shd w:val="clear" w:color="auto" w:fill="auto"/>
            <w:vAlign w:val="center"/>
          </w:tcPr>
          <w:p w14:paraId="67E7072E" w14:textId="77777777" w:rsidR="004F0E49" w:rsidRPr="00DB3D39" w:rsidRDefault="004F0E49">
            <w:pPr>
              <w:pStyle w:val="TableText0"/>
              <w:rPr>
                <w:rFonts w:ascii="Times" w:hAnsi="Times"/>
              </w:rPr>
            </w:pPr>
            <w:r w:rsidRPr="00DB3D39">
              <w:t>Net cost to MBS</w:t>
            </w:r>
          </w:p>
        </w:tc>
        <w:tc>
          <w:tcPr>
            <w:tcW w:w="611" w:type="pct"/>
            <w:shd w:val="clear" w:color="auto" w:fill="auto"/>
            <w:vAlign w:val="center"/>
          </w:tcPr>
          <w:p w14:paraId="250B5970" w14:textId="5FA46793" w:rsidR="004F0E49" w:rsidRPr="00DB3D39" w:rsidRDefault="004F0E49" w:rsidP="005F6B80">
            <w:pPr>
              <w:pStyle w:val="TableText0"/>
              <w:jc w:val="center"/>
            </w:pPr>
            <w:r w:rsidRPr="00DB3D39">
              <w:t>$</w:t>
            </w:r>
            <w:r w:rsidR="00BC7DFB" w:rsidRPr="00BC7DFB">
              <w:rPr>
                <w:rFonts w:hint="eastAsia"/>
                <w:color w:val="000000"/>
                <w:w w:val="31"/>
                <w:shd w:val="solid" w:color="000000" w:fill="000000"/>
                <w:fitText w:val="140" w:id="-761015544"/>
                <w14:textFill>
                  <w14:solidFill>
                    <w14:srgbClr w14:val="000000">
                      <w14:alpha w14:val="100000"/>
                    </w14:srgbClr>
                  </w14:solidFill>
                </w14:textFill>
              </w:rPr>
              <w:t xml:space="preserve">　</w:t>
            </w:r>
            <w:r w:rsidR="00BC7DFB" w:rsidRPr="00BC7DFB">
              <w:rPr>
                <w:color w:val="000000"/>
                <w:w w:val="31"/>
                <w:shd w:val="solid" w:color="000000" w:fill="000000"/>
                <w:fitText w:val="140" w:id="-761015544"/>
                <w14:textFill>
                  <w14:solidFill>
                    <w14:srgbClr w14:val="000000">
                      <w14:alpha w14:val="100000"/>
                    </w14:srgbClr>
                  </w14:solidFill>
                </w14:textFill>
              </w:rPr>
              <w:t>|</w:t>
            </w:r>
            <w:r w:rsidR="00BC7DFB" w:rsidRPr="00BC7DFB">
              <w:rPr>
                <w:rFonts w:hint="eastAsia"/>
                <w:color w:val="000000"/>
                <w:spacing w:val="4"/>
                <w:w w:val="31"/>
                <w:shd w:val="solid" w:color="000000" w:fill="000000"/>
                <w:fitText w:val="140" w:id="-761015544"/>
                <w14:textFill>
                  <w14:solidFill>
                    <w14:srgbClr w14:val="000000">
                      <w14:alpha w14:val="100000"/>
                    </w14:srgbClr>
                  </w14:solidFill>
                </w14:textFill>
              </w:rPr>
              <w:t xml:space="preserve">　</w:t>
            </w:r>
            <w:r w:rsidR="005F6B80" w:rsidRPr="00DB3D39">
              <w:t xml:space="preserve"> </w:t>
            </w:r>
            <w:r w:rsidR="005F6B80">
              <w:rPr>
                <w:vertAlign w:val="superscript"/>
              </w:rPr>
              <w:t>11</w:t>
            </w:r>
          </w:p>
        </w:tc>
        <w:tc>
          <w:tcPr>
            <w:tcW w:w="611" w:type="pct"/>
            <w:shd w:val="clear" w:color="auto" w:fill="auto"/>
            <w:vAlign w:val="center"/>
          </w:tcPr>
          <w:p w14:paraId="3F72DC7A" w14:textId="41C4C919" w:rsidR="004F0E49" w:rsidRPr="00DB3D39" w:rsidRDefault="004F0E49" w:rsidP="005F6B80">
            <w:pPr>
              <w:pStyle w:val="TableText0"/>
              <w:jc w:val="center"/>
            </w:pPr>
            <w:r w:rsidRPr="00DB3D39">
              <w:t>$</w:t>
            </w:r>
            <w:r w:rsidR="00BC7DFB" w:rsidRPr="00BC7DFB">
              <w:rPr>
                <w:rFonts w:hint="eastAsia"/>
                <w:color w:val="000000"/>
                <w:w w:val="31"/>
                <w:shd w:val="solid" w:color="000000" w:fill="000000"/>
                <w:fitText w:val="140" w:id="-761015543"/>
                <w14:textFill>
                  <w14:solidFill>
                    <w14:srgbClr w14:val="000000">
                      <w14:alpha w14:val="100000"/>
                    </w14:srgbClr>
                  </w14:solidFill>
                </w14:textFill>
              </w:rPr>
              <w:t xml:space="preserve">　</w:t>
            </w:r>
            <w:r w:rsidR="00BC7DFB" w:rsidRPr="00BC7DFB">
              <w:rPr>
                <w:color w:val="000000"/>
                <w:w w:val="31"/>
                <w:shd w:val="solid" w:color="000000" w:fill="000000"/>
                <w:fitText w:val="140" w:id="-761015543"/>
                <w14:textFill>
                  <w14:solidFill>
                    <w14:srgbClr w14:val="000000">
                      <w14:alpha w14:val="100000"/>
                    </w14:srgbClr>
                  </w14:solidFill>
                </w14:textFill>
              </w:rPr>
              <w:t>|</w:t>
            </w:r>
            <w:r w:rsidR="00BC7DFB" w:rsidRPr="00BC7DFB">
              <w:rPr>
                <w:rFonts w:hint="eastAsia"/>
                <w:color w:val="000000"/>
                <w:spacing w:val="4"/>
                <w:w w:val="31"/>
                <w:shd w:val="solid" w:color="000000" w:fill="000000"/>
                <w:fitText w:val="140" w:id="-761015543"/>
                <w14:textFill>
                  <w14:solidFill>
                    <w14:srgbClr w14:val="000000">
                      <w14:alpha w14:val="100000"/>
                    </w14:srgbClr>
                  </w14:solidFill>
                </w14:textFill>
              </w:rPr>
              <w:t xml:space="preserve">　</w:t>
            </w:r>
            <w:r w:rsidR="005F6B80" w:rsidRPr="00DB3D39">
              <w:t xml:space="preserve"> </w:t>
            </w:r>
            <w:r w:rsidR="005F6B80">
              <w:rPr>
                <w:vertAlign w:val="superscript"/>
              </w:rPr>
              <w:t>11</w:t>
            </w:r>
          </w:p>
        </w:tc>
        <w:tc>
          <w:tcPr>
            <w:tcW w:w="611" w:type="pct"/>
            <w:shd w:val="clear" w:color="auto" w:fill="auto"/>
            <w:vAlign w:val="center"/>
          </w:tcPr>
          <w:p w14:paraId="34811667" w14:textId="6EED1F9D" w:rsidR="004F0E49" w:rsidRPr="00DB3D39" w:rsidRDefault="004F0E49" w:rsidP="005F6B80">
            <w:pPr>
              <w:pStyle w:val="TableText0"/>
              <w:jc w:val="center"/>
            </w:pPr>
            <w:r w:rsidRPr="00DB3D39">
              <w:t>$</w:t>
            </w:r>
            <w:r w:rsidR="00BC7DFB" w:rsidRPr="00BC7DFB">
              <w:rPr>
                <w:rFonts w:hint="eastAsia"/>
                <w:color w:val="000000"/>
                <w:w w:val="31"/>
                <w:shd w:val="solid" w:color="000000" w:fill="000000"/>
                <w:fitText w:val="140" w:id="-761015542"/>
                <w14:textFill>
                  <w14:solidFill>
                    <w14:srgbClr w14:val="000000">
                      <w14:alpha w14:val="100000"/>
                    </w14:srgbClr>
                  </w14:solidFill>
                </w14:textFill>
              </w:rPr>
              <w:t xml:space="preserve">　</w:t>
            </w:r>
            <w:r w:rsidR="00BC7DFB" w:rsidRPr="00BC7DFB">
              <w:rPr>
                <w:color w:val="000000"/>
                <w:w w:val="31"/>
                <w:shd w:val="solid" w:color="000000" w:fill="000000"/>
                <w:fitText w:val="140" w:id="-761015542"/>
                <w14:textFill>
                  <w14:solidFill>
                    <w14:srgbClr w14:val="000000">
                      <w14:alpha w14:val="100000"/>
                    </w14:srgbClr>
                  </w14:solidFill>
                </w14:textFill>
              </w:rPr>
              <w:t>|</w:t>
            </w:r>
            <w:r w:rsidR="00BC7DFB" w:rsidRPr="00BC7DFB">
              <w:rPr>
                <w:rFonts w:hint="eastAsia"/>
                <w:color w:val="000000"/>
                <w:spacing w:val="4"/>
                <w:w w:val="31"/>
                <w:shd w:val="solid" w:color="000000" w:fill="000000"/>
                <w:fitText w:val="140" w:id="-761015542"/>
                <w14:textFill>
                  <w14:solidFill>
                    <w14:srgbClr w14:val="000000">
                      <w14:alpha w14:val="100000"/>
                    </w14:srgbClr>
                  </w14:solidFill>
                </w14:textFill>
              </w:rPr>
              <w:t xml:space="preserve">　</w:t>
            </w:r>
            <w:r w:rsidR="005F6B80" w:rsidRPr="00DB3D39">
              <w:t xml:space="preserve"> </w:t>
            </w:r>
            <w:r w:rsidR="005F6B80">
              <w:rPr>
                <w:vertAlign w:val="superscript"/>
              </w:rPr>
              <w:t>11</w:t>
            </w:r>
          </w:p>
        </w:tc>
        <w:tc>
          <w:tcPr>
            <w:tcW w:w="611" w:type="pct"/>
            <w:shd w:val="clear" w:color="auto" w:fill="auto"/>
            <w:vAlign w:val="center"/>
          </w:tcPr>
          <w:p w14:paraId="57453E57" w14:textId="0D340D55" w:rsidR="004F0E49" w:rsidRPr="00DB3D39" w:rsidRDefault="004F0E49" w:rsidP="005F6B80">
            <w:pPr>
              <w:pStyle w:val="TableText0"/>
              <w:jc w:val="center"/>
            </w:pPr>
            <w:r w:rsidRPr="00DB3D39">
              <w:t>$</w:t>
            </w:r>
            <w:r w:rsidR="00BC7DFB" w:rsidRPr="00BC7DFB">
              <w:rPr>
                <w:rFonts w:hint="eastAsia"/>
                <w:color w:val="000000"/>
                <w:w w:val="31"/>
                <w:shd w:val="solid" w:color="000000" w:fill="000000"/>
                <w:fitText w:val="140" w:id="-761015541"/>
                <w14:textFill>
                  <w14:solidFill>
                    <w14:srgbClr w14:val="000000">
                      <w14:alpha w14:val="100000"/>
                    </w14:srgbClr>
                  </w14:solidFill>
                </w14:textFill>
              </w:rPr>
              <w:t xml:space="preserve">　</w:t>
            </w:r>
            <w:r w:rsidR="00BC7DFB" w:rsidRPr="00BC7DFB">
              <w:rPr>
                <w:color w:val="000000"/>
                <w:w w:val="31"/>
                <w:shd w:val="solid" w:color="000000" w:fill="000000"/>
                <w:fitText w:val="140" w:id="-761015541"/>
                <w14:textFill>
                  <w14:solidFill>
                    <w14:srgbClr w14:val="000000">
                      <w14:alpha w14:val="100000"/>
                    </w14:srgbClr>
                  </w14:solidFill>
                </w14:textFill>
              </w:rPr>
              <w:t>|</w:t>
            </w:r>
            <w:r w:rsidR="00BC7DFB" w:rsidRPr="00BC7DFB">
              <w:rPr>
                <w:rFonts w:hint="eastAsia"/>
                <w:color w:val="000000"/>
                <w:spacing w:val="4"/>
                <w:w w:val="31"/>
                <w:shd w:val="solid" w:color="000000" w:fill="000000"/>
                <w:fitText w:val="140" w:id="-761015541"/>
                <w14:textFill>
                  <w14:solidFill>
                    <w14:srgbClr w14:val="000000">
                      <w14:alpha w14:val="100000"/>
                    </w14:srgbClr>
                  </w14:solidFill>
                </w14:textFill>
              </w:rPr>
              <w:t xml:space="preserve">　</w:t>
            </w:r>
            <w:r w:rsidR="005F6B80" w:rsidRPr="00DB3D39">
              <w:t xml:space="preserve"> </w:t>
            </w:r>
            <w:r w:rsidR="005F6B80">
              <w:rPr>
                <w:vertAlign w:val="superscript"/>
              </w:rPr>
              <w:t>11</w:t>
            </w:r>
          </w:p>
        </w:tc>
        <w:tc>
          <w:tcPr>
            <w:tcW w:w="611" w:type="pct"/>
            <w:shd w:val="clear" w:color="auto" w:fill="auto"/>
            <w:vAlign w:val="center"/>
          </w:tcPr>
          <w:p w14:paraId="1675700B" w14:textId="24931507" w:rsidR="004F0E49" w:rsidRPr="00DB3D39" w:rsidRDefault="004F0E49" w:rsidP="005F6B80">
            <w:pPr>
              <w:pStyle w:val="TableText0"/>
              <w:jc w:val="center"/>
            </w:pPr>
            <w:r w:rsidRPr="00DB3D39">
              <w:t>$</w:t>
            </w:r>
            <w:r w:rsidR="00BC7DFB" w:rsidRPr="00BC7DFB">
              <w:rPr>
                <w:rFonts w:hint="eastAsia"/>
                <w:color w:val="000000"/>
                <w:w w:val="31"/>
                <w:shd w:val="solid" w:color="000000" w:fill="000000"/>
                <w:fitText w:val="140" w:id="-761015540"/>
                <w14:textFill>
                  <w14:solidFill>
                    <w14:srgbClr w14:val="000000">
                      <w14:alpha w14:val="100000"/>
                    </w14:srgbClr>
                  </w14:solidFill>
                </w14:textFill>
              </w:rPr>
              <w:t xml:space="preserve">　</w:t>
            </w:r>
            <w:r w:rsidR="00BC7DFB" w:rsidRPr="00BC7DFB">
              <w:rPr>
                <w:color w:val="000000"/>
                <w:w w:val="31"/>
                <w:shd w:val="solid" w:color="000000" w:fill="000000"/>
                <w:fitText w:val="140" w:id="-761015540"/>
                <w14:textFill>
                  <w14:solidFill>
                    <w14:srgbClr w14:val="000000">
                      <w14:alpha w14:val="100000"/>
                    </w14:srgbClr>
                  </w14:solidFill>
                </w14:textFill>
              </w:rPr>
              <w:t>|</w:t>
            </w:r>
            <w:r w:rsidR="00BC7DFB" w:rsidRPr="00BC7DFB">
              <w:rPr>
                <w:rFonts w:hint="eastAsia"/>
                <w:color w:val="000000"/>
                <w:spacing w:val="4"/>
                <w:w w:val="31"/>
                <w:shd w:val="solid" w:color="000000" w:fill="000000"/>
                <w:fitText w:val="140" w:id="-761015540"/>
                <w14:textFill>
                  <w14:solidFill>
                    <w14:srgbClr w14:val="000000">
                      <w14:alpha w14:val="100000"/>
                    </w14:srgbClr>
                  </w14:solidFill>
                </w14:textFill>
              </w:rPr>
              <w:t xml:space="preserve">　</w:t>
            </w:r>
            <w:r w:rsidR="005F6B80" w:rsidRPr="00DB3D39">
              <w:t xml:space="preserve"> </w:t>
            </w:r>
            <w:r w:rsidR="005F6B80">
              <w:rPr>
                <w:vertAlign w:val="superscript"/>
              </w:rPr>
              <w:t>11</w:t>
            </w:r>
          </w:p>
        </w:tc>
        <w:tc>
          <w:tcPr>
            <w:tcW w:w="611" w:type="pct"/>
            <w:vAlign w:val="center"/>
          </w:tcPr>
          <w:p w14:paraId="325800B5" w14:textId="0300AE0F" w:rsidR="004F0E49" w:rsidRPr="00DB3D39" w:rsidRDefault="004F0E49" w:rsidP="005F6B80">
            <w:pPr>
              <w:pStyle w:val="TableText0"/>
              <w:jc w:val="center"/>
            </w:pPr>
            <w:r w:rsidRPr="00DB3D39">
              <w:t>$</w:t>
            </w:r>
            <w:r w:rsidR="00BC7DFB" w:rsidRPr="00BC7DFB">
              <w:rPr>
                <w:rFonts w:hint="eastAsia"/>
                <w:color w:val="000000"/>
                <w:w w:val="31"/>
                <w:shd w:val="solid" w:color="000000" w:fill="000000"/>
                <w:fitText w:val="140" w:id="-761015539"/>
                <w14:textFill>
                  <w14:solidFill>
                    <w14:srgbClr w14:val="000000">
                      <w14:alpha w14:val="100000"/>
                    </w14:srgbClr>
                  </w14:solidFill>
                </w14:textFill>
              </w:rPr>
              <w:t xml:space="preserve">　</w:t>
            </w:r>
            <w:r w:rsidR="00BC7DFB" w:rsidRPr="00BC7DFB">
              <w:rPr>
                <w:color w:val="000000"/>
                <w:w w:val="31"/>
                <w:shd w:val="solid" w:color="000000" w:fill="000000"/>
                <w:fitText w:val="140" w:id="-761015539"/>
                <w14:textFill>
                  <w14:solidFill>
                    <w14:srgbClr w14:val="000000">
                      <w14:alpha w14:val="100000"/>
                    </w14:srgbClr>
                  </w14:solidFill>
                </w14:textFill>
              </w:rPr>
              <w:t>|</w:t>
            </w:r>
            <w:r w:rsidR="00BC7DFB" w:rsidRPr="00BC7DFB">
              <w:rPr>
                <w:rFonts w:hint="eastAsia"/>
                <w:color w:val="000000"/>
                <w:w w:val="31"/>
                <w:shd w:val="solid" w:color="000000" w:fill="000000"/>
                <w:fitText w:val="140" w:id="-761015539"/>
                <w14:textFill>
                  <w14:solidFill>
                    <w14:srgbClr w14:val="000000">
                      <w14:alpha w14:val="100000"/>
                    </w14:srgbClr>
                  </w14:solidFill>
                </w14:textFill>
              </w:rPr>
              <w:t xml:space="preserve">　</w:t>
            </w:r>
            <w:r w:rsidR="005F6B80" w:rsidRPr="00DB3D39">
              <w:t xml:space="preserve"> </w:t>
            </w:r>
            <w:r w:rsidR="005F6B80">
              <w:rPr>
                <w:vertAlign w:val="superscript"/>
              </w:rPr>
              <w:t>11</w:t>
            </w:r>
          </w:p>
        </w:tc>
      </w:tr>
      <w:tr w:rsidR="004F0E49" w:rsidRPr="00DB3D39" w14:paraId="1939594A" w14:textId="77777777" w:rsidTr="005F6B80">
        <w:tc>
          <w:tcPr>
            <w:tcW w:w="1334" w:type="pct"/>
            <w:shd w:val="clear" w:color="auto" w:fill="auto"/>
            <w:vAlign w:val="center"/>
          </w:tcPr>
          <w:p w14:paraId="640AECAB" w14:textId="0CB4FA73" w:rsidR="004F0E49" w:rsidRPr="00DB3D39" w:rsidRDefault="004F0E49">
            <w:pPr>
              <w:pStyle w:val="TableText0"/>
            </w:pPr>
            <w:r w:rsidRPr="00DB3D39">
              <w:t>Net cost to PBS/RPBS/MBS</w:t>
            </w:r>
            <w:r w:rsidRPr="00DB3D39">
              <w:rPr>
                <w:vertAlign w:val="superscript"/>
              </w:rPr>
              <w:t xml:space="preserve"> </w:t>
            </w:r>
            <w:r w:rsidR="00D31F72" w:rsidRPr="00DB3D39">
              <w:rPr>
                <w:vertAlign w:val="superscript"/>
              </w:rPr>
              <w:t>c</w:t>
            </w:r>
          </w:p>
        </w:tc>
        <w:tc>
          <w:tcPr>
            <w:tcW w:w="611" w:type="pct"/>
            <w:shd w:val="clear" w:color="auto" w:fill="auto"/>
            <w:vAlign w:val="center"/>
          </w:tcPr>
          <w:p w14:paraId="12264B3E" w14:textId="65A83B78" w:rsidR="004F0E49" w:rsidRPr="00DB3D39" w:rsidRDefault="004F0E49" w:rsidP="005F6B80">
            <w:pPr>
              <w:pStyle w:val="TableText0"/>
              <w:jc w:val="center"/>
            </w:pPr>
            <w:r w:rsidRPr="00DB3D39">
              <w:t>-$</w:t>
            </w:r>
            <w:r w:rsidR="00BC7DFB" w:rsidRPr="00BC7DFB">
              <w:rPr>
                <w:color w:val="000000"/>
                <w:spacing w:val="114"/>
                <w:shd w:val="solid" w:color="000000" w:fill="000000"/>
                <w:fitText w:val="200" w:id="-761015538"/>
                <w14:textFill>
                  <w14:solidFill>
                    <w14:srgbClr w14:val="000000">
                      <w14:alpha w14:val="100000"/>
                    </w14:srgbClr>
                  </w14:solidFill>
                </w14:textFill>
              </w:rPr>
              <w:t>|</w:t>
            </w:r>
            <w:r w:rsidR="00BC7DFB" w:rsidRPr="00BC7DFB">
              <w:rPr>
                <w:color w:val="000000"/>
                <w:spacing w:val="1"/>
                <w:shd w:val="solid" w:color="000000" w:fill="000000"/>
                <w:fitText w:val="200" w:id="-761015538"/>
                <w14:textFill>
                  <w14:solidFill>
                    <w14:srgbClr w14:val="000000">
                      <w14:alpha w14:val="100000"/>
                    </w14:srgbClr>
                  </w14:solidFill>
                </w14:textFill>
              </w:rPr>
              <w:t>|</w:t>
            </w:r>
            <w:r w:rsidR="00067C39" w:rsidRPr="00DB3D39">
              <w:t xml:space="preserve"> </w:t>
            </w:r>
            <w:r w:rsidR="00067C39">
              <w:rPr>
                <w:vertAlign w:val="superscript"/>
              </w:rPr>
              <w:t>10</w:t>
            </w:r>
          </w:p>
        </w:tc>
        <w:tc>
          <w:tcPr>
            <w:tcW w:w="611" w:type="pct"/>
            <w:shd w:val="clear" w:color="auto" w:fill="auto"/>
            <w:vAlign w:val="center"/>
          </w:tcPr>
          <w:p w14:paraId="62214B4F" w14:textId="26BFAF79" w:rsidR="004F0E49" w:rsidRPr="00DB3D39" w:rsidRDefault="004F0E49" w:rsidP="005F6B80">
            <w:pPr>
              <w:pStyle w:val="TableText0"/>
              <w:jc w:val="center"/>
            </w:pPr>
            <w:r w:rsidRPr="00DB3D39">
              <w:t>-$</w:t>
            </w:r>
            <w:r w:rsidR="00BC7DFB" w:rsidRPr="00BC7DFB">
              <w:rPr>
                <w:color w:val="000000"/>
                <w:spacing w:val="114"/>
                <w:shd w:val="solid" w:color="000000" w:fill="000000"/>
                <w:fitText w:val="200" w:id="-761015537"/>
                <w14:textFill>
                  <w14:solidFill>
                    <w14:srgbClr w14:val="000000">
                      <w14:alpha w14:val="100000"/>
                    </w14:srgbClr>
                  </w14:solidFill>
                </w14:textFill>
              </w:rPr>
              <w:t>|</w:t>
            </w:r>
            <w:r w:rsidR="00BC7DFB" w:rsidRPr="00BC7DFB">
              <w:rPr>
                <w:color w:val="000000"/>
                <w:spacing w:val="1"/>
                <w:shd w:val="solid" w:color="000000" w:fill="000000"/>
                <w:fitText w:val="200" w:id="-761015537"/>
                <w14:textFill>
                  <w14:solidFill>
                    <w14:srgbClr w14:val="000000">
                      <w14:alpha w14:val="100000"/>
                    </w14:srgbClr>
                  </w14:solidFill>
                </w14:textFill>
              </w:rPr>
              <w:t>|</w:t>
            </w:r>
            <w:r w:rsidR="00067C39" w:rsidRPr="00DB3D39">
              <w:t xml:space="preserve"> </w:t>
            </w:r>
            <w:r w:rsidR="00067C39">
              <w:rPr>
                <w:vertAlign w:val="superscript"/>
              </w:rPr>
              <w:t>10</w:t>
            </w:r>
          </w:p>
        </w:tc>
        <w:tc>
          <w:tcPr>
            <w:tcW w:w="611" w:type="pct"/>
            <w:shd w:val="clear" w:color="auto" w:fill="auto"/>
            <w:vAlign w:val="center"/>
          </w:tcPr>
          <w:p w14:paraId="325301F9" w14:textId="0CA0B294" w:rsidR="004F0E49" w:rsidRPr="00DB3D39" w:rsidRDefault="004F0E49" w:rsidP="005F6B80">
            <w:pPr>
              <w:pStyle w:val="TableText0"/>
              <w:jc w:val="center"/>
            </w:pPr>
            <w:r w:rsidRPr="00DB3D39">
              <w:t>-$</w:t>
            </w:r>
            <w:r w:rsidR="00BC7DFB" w:rsidRPr="00BC7DFB">
              <w:rPr>
                <w:color w:val="000000"/>
                <w:spacing w:val="114"/>
                <w:shd w:val="solid" w:color="000000" w:fill="000000"/>
                <w:fitText w:val="200" w:id="-761015536"/>
                <w14:textFill>
                  <w14:solidFill>
                    <w14:srgbClr w14:val="000000">
                      <w14:alpha w14:val="100000"/>
                    </w14:srgbClr>
                  </w14:solidFill>
                </w14:textFill>
              </w:rPr>
              <w:t>|</w:t>
            </w:r>
            <w:r w:rsidR="00BC7DFB" w:rsidRPr="00BC7DFB">
              <w:rPr>
                <w:color w:val="000000"/>
                <w:spacing w:val="1"/>
                <w:shd w:val="solid" w:color="000000" w:fill="000000"/>
                <w:fitText w:val="200" w:id="-761015536"/>
                <w14:textFill>
                  <w14:solidFill>
                    <w14:srgbClr w14:val="000000">
                      <w14:alpha w14:val="100000"/>
                    </w14:srgbClr>
                  </w14:solidFill>
                </w14:textFill>
              </w:rPr>
              <w:t>|</w:t>
            </w:r>
            <w:r w:rsidR="00067C39" w:rsidRPr="00DB3D39">
              <w:t xml:space="preserve"> </w:t>
            </w:r>
            <w:r w:rsidR="00067C39">
              <w:rPr>
                <w:vertAlign w:val="superscript"/>
              </w:rPr>
              <w:t>10</w:t>
            </w:r>
          </w:p>
        </w:tc>
        <w:tc>
          <w:tcPr>
            <w:tcW w:w="611" w:type="pct"/>
            <w:shd w:val="clear" w:color="auto" w:fill="auto"/>
            <w:vAlign w:val="center"/>
          </w:tcPr>
          <w:p w14:paraId="357F72FE" w14:textId="3F73CBAE" w:rsidR="004F0E49" w:rsidRPr="00DB3D39" w:rsidRDefault="004F0E49" w:rsidP="005F6B80">
            <w:pPr>
              <w:pStyle w:val="TableText0"/>
              <w:jc w:val="center"/>
            </w:pPr>
            <w:r w:rsidRPr="00DB3D39">
              <w:t>-$</w:t>
            </w:r>
            <w:r w:rsidR="00BC7DFB" w:rsidRPr="00BC7DFB">
              <w:rPr>
                <w:color w:val="000000"/>
                <w:spacing w:val="114"/>
                <w:shd w:val="solid" w:color="000000" w:fill="000000"/>
                <w:fitText w:val="200" w:id="-761015552"/>
                <w14:textFill>
                  <w14:solidFill>
                    <w14:srgbClr w14:val="000000">
                      <w14:alpha w14:val="100000"/>
                    </w14:srgbClr>
                  </w14:solidFill>
                </w14:textFill>
              </w:rPr>
              <w:t>|</w:t>
            </w:r>
            <w:r w:rsidR="00BC7DFB" w:rsidRPr="00BC7DFB">
              <w:rPr>
                <w:color w:val="000000"/>
                <w:spacing w:val="1"/>
                <w:shd w:val="solid" w:color="000000" w:fill="000000"/>
                <w:fitText w:val="200" w:id="-761015552"/>
                <w14:textFill>
                  <w14:solidFill>
                    <w14:srgbClr w14:val="000000">
                      <w14:alpha w14:val="100000"/>
                    </w14:srgbClr>
                  </w14:solidFill>
                </w14:textFill>
              </w:rPr>
              <w:t>|</w:t>
            </w:r>
            <w:r w:rsidR="00067C39" w:rsidRPr="00DB3D39">
              <w:t xml:space="preserve"> </w:t>
            </w:r>
            <w:r w:rsidR="00067C39">
              <w:rPr>
                <w:vertAlign w:val="superscript"/>
              </w:rPr>
              <w:t>10</w:t>
            </w:r>
          </w:p>
        </w:tc>
        <w:tc>
          <w:tcPr>
            <w:tcW w:w="611" w:type="pct"/>
            <w:shd w:val="clear" w:color="auto" w:fill="auto"/>
            <w:vAlign w:val="center"/>
          </w:tcPr>
          <w:p w14:paraId="756B4353" w14:textId="339352D0" w:rsidR="004F0E49" w:rsidRPr="00DB3D39" w:rsidRDefault="004F0E49" w:rsidP="005F6B80">
            <w:pPr>
              <w:pStyle w:val="TableText0"/>
              <w:jc w:val="center"/>
            </w:pPr>
            <w:r w:rsidRPr="00DB3D39">
              <w:t>-$</w:t>
            </w:r>
            <w:r w:rsidR="00BC7DFB" w:rsidRPr="00BC7DFB">
              <w:rPr>
                <w:color w:val="000000"/>
                <w:spacing w:val="114"/>
                <w:shd w:val="solid" w:color="000000" w:fill="000000"/>
                <w:fitText w:val="200" w:id="-761015551"/>
                <w14:textFill>
                  <w14:solidFill>
                    <w14:srgbClr w14:val="000000">
                      <w14:alpha w14:val="100000"/>
                    </w14:srgbClr>
                  </w14:solidFill>
                </w14:textFill>
              </w:rPr>
              <w:t>|</w:t>
            </w:r>
            <w:r w:rsidR="00BC7DFB" w:rsidRPr="00BC7DFB">
              <w:rPr>
                <w:color w:val="000000"/>
                <w:spacing w:val="1"/>
                <w:shd w:val="solid" w:color="000000" w:fill="000000"/>
                <w:fitText w:val="200" w:id="-761015551"/>
                <w14:textFill>
                  <w14:solidFill>
                    <w14:srgbClr w14:val="000000">
                      <w14:alpha w14:val="100000"/>
                    </w14:srgbClr>
                  </w14:solidFill>
                </w14:textFill>
              </w:rPr>
              <w:t>|</w:t>
            </w:r>
            <w:r w:rsidR="00067C39" w:rsidRPr="00DB3D39">
              <w:t xml:space="preserve"> </w:t>
            </w:r>
            <w:r w:rsidR="00067C39">
              <w:rPr>
                <w:vertAlign w:val="superscript"/>
              </w:rPr>
              <w:t>10</w:t>
            </w:r>
          </w:p>
        </w:tc>
        <w:tc>
          <w:tcPr>
            <w:tcW w:w="611" w:type="pct"/>
            <w:vAlign w:val="center"/>
          </w:tcPr>
          <w:p w14:paraId="2F02CB2D" w14:textId="5C038747" w:rsidR="004F0E49" w:rsidRPr="00DB3D39" w:rsidRDefault="004F0E49" w:rsidP="005F6B80">
            <w:pPr>
              <w:pStyle w:val="TableText0"/>
              <w:jc w:val="center"/>
            </w:pPr>
            <w:r w:rsidRPr="00DB3D39">
              <w:t>-$</w:t>
            </w:r>
            <w:r w:rsidR="00BC7DFB" w:rsidRPr="00BC7DFB">
              <w:rPr>
                <w:color w:val="000000"/>
                <w:spacing w:val="114"/>
                <w:shd w:val="solid" w:color="000000" w:fill="000000"/>
                <w:fitText w:val="200" w:id="-761015550"/>
                <w14:textFill>
                  <w14:solidFill>
                    <w14:srgbClr w14:val="000000">
                      <w14:alpha w14:val="100000"/>
                    </w14:srgbClr>
                  </w14:solidFill>
                </w14:textFill>
              </w:rPr>
              <w:t>|</w:t>
            </w:r>
            <w:r w:rsidR="00BC7DFB" w:rsidRPr="00BC7DFB">
              <w:rPr>
                <w:color w:val="000000"/>
                <w:spacing w:val="1"/>
                <w:shd w:val="solid" w:color="000000" w:fill="000000"/>
                <w:fitText w:val="200" w:id="-761015550"/>
                <w14:textFill>
                  <w14:solidFill>
                    <w14:srgbClr w14:val="000000">
                      <w14:alpha w14:val="100000"/>
                    </w14:srgbClr>
                  </w14:solidFill>
                </w14:textFill>
              </w:rPr>
              <w:t>|</w:t>
            </w:r>
            <w:r w:rsidR="00067C39" w:rsidRPr="00DB3D39">
              <w:t xml:space="preserve"> </w:t>
            </w:r>
            <w:r w:rsidR="00067C39">
              <w:rPr>
                <w:vertAlign w:val="superscript"/>
              </w:rPr>
              <w:t>10</w:t>
            </w:r>
          </w:p>
        </w:tc>
      </w:tr>
    </w:tbl>
    <w:p w14:paraId="48231A7D" w14:textId="77777777" w:rsidR="00C13C7C" w:rsidRPr="00DB3D39" w:rsidRDefault="00C13C7C" w:rsidP="00C13C7C">
      <w:pPr>
        <w:pStyle w:val="FooterTableFigure"/>
        <w:rPr>
          <w:rFonts w:cstheme="minorHAnsi"/>
          <w:szCs w:val="18"/>
        </w:rPr>
      </w:pPr>
      <w:r w:rsidRPr="00DB3D39">
        <w:t xml:space="preserve">Source: Table 4.2-1 p 200, Table 4.2-2 p201, Table 4.2-3 p201 Table 4.3-4 p 204, </w:t>
      </w:r>
      <w:r w:rsidRPr="00DB3D39">
        <w:rPr>
          <w:szCs w:val="18"/>
        </w:rPr>
        <w:t>Table 4.4-1 p205</w:t>
      </w:r>
      <w:r w:rsidRPr="00DB3D39">
        <w:t xml:space="preserve"> and </w:t>
      </w:r>
      <w:r w:rsidRPr="00DB3D39">
        <w:rPr>
          <w:rFonts w:cstheme="minorHAnsi"/>
          <w:szCs w:val="18"/>
        </w:rPr>
        <w:t xml:space="preserve">Table 4.5-3 p207 of the submission. </w:t>
      </w:r>
    </w:p>
    <w:p w14:paraId="05BC0681" w14:textId="77777777" w:rsidR="00C13C7C" w:rsidRPr="00DB3D39" w:rsidRDefault="00C13C7C" w:rsidP="00C13C7C">
      <w:pPr>
        <w:pStyle w:val="FooterTableFigure"/>
        <w:rPr>
          <w:rStyle w:val="CommentReference"/>
        </w:rPr>
      </w:pPr>
      <w:r w:rsidRPr="00DB3D39">
        <w:t>PBS = Pharmaceutical Benefits Scheme; RPBS = Repatriation Pharmaceutical Benefits Scheme, SA = Services Australia, MBS = Medicare Benefits Schedule.</w:t>
      </w:r>
    </w:p>
    <w:p w14:paraId="55174881" w14:textId="79455234" w:rsidR="00BA7525" w:rsidRPr="00DB3D39" w:rsidRDefault="00C13C7C" w:rsidP="00C13C7C">
      <w:pPr>
        <w:pStyle w:val="FooterTableFigure"/>
      </w:pPr>
      <w:r w:rsidRPr="00DB3D39">
        <w:rPr>
          <w:vertAlign w:val="superscript"/>
        </w:rPr>
        <w:t>a</w:t>
      </w:r>
      <w:r w:rsidRPr="00DB3D39">
        <w:t xml:space="preserve"> </w:t>
      </w:r>
      <w:r w:rsidR="00BA7525" w:rsidRPr="00DB3D39">
        <w:t>From Year 2, the number of treated patients includes patients who initiate abemaciclib therapy in the previous year and continue on their second year of treatment.</w:t>
      </w:r>
    </w:p>
    <w:p w14:paraId="2D78C58F" w14:textId="77777777" w:rsidR="00BA7525" w:rsidRPr="00DB3D39" w:rsidRDefault="00C13C7C" w:rsidP="00BA7525">
      <w:pPr>
        <w:pStyle w:val="FooterTableFigure"/>
      </w:pPr>
      <w:r w:rsidRPr="00DB3D39">
        <w:rPr>
          <w:vertAlign w:val="superscript"/>
        </w:rPr>
        <w:t xml:space="preserve">b </w:t>
      </w:r>
      <w:r w:rsidR="00BA7525" w:rsidRPr="00DB3D39">
        <w:t>Assuming scripts per treatment:13.04 (200 mg x 42 tabs: 73.26%, 200 mg x 21 tabs: 26.74%) estimated in the submission</w:t>
      </w:r>
    </w:p>
    <w:p w14:paraId="01D05B39" w14:textId="14C4A512" w:rsidR="00C13C7C" w:rsidRDefault="00BA7525" w:rsidP="00003C55">
      <w:pPr>
        <w:pStyle w:val="FooterTableFigure"/>
        <w:spacing w:after="0"/>
      </w:pPr>
      <w:r w:rsidRPr="00DB3D39">
        <w:rPr>
          <w:vertAlign w:val="superscript"/>
        </w:rPr>
        <w:t>c</w:t>
      </w:r>
      <w:r w:rsidR="00C13C7C" w:rsidRPr="00DB3D39">
        <w:rPr>
          <w:vertAlign w:val="superscript"/>
        </w:rPr>
        <w:t xml:space="preserve"> </w:t>
      </w:r>
      <w:r w:rsidR="00C13C7C" w:rsidRPr="00DB3D39">
        <w:t xml:space="preserve">Using revised DMPQ with AEMP estimated in </w:t>
      </w:r>
      <w:r w:rsidR="00387738">
        <w:t>the economic evaluation</w:t>
      </w:r>
      <w:r w:rsidR="00C13C7C" w:rsidRPr="00DB3D39">
        <w:t>.</w:t>
      </w:r>
    </w:p>
    <w:p w14:paraId="1B502C8C" w14:textId="77777777" w:rsidR="00003C55" w:rsidRPr="00F56B14" w:rsidRDefault="00003C55" w:rsidP="00003C55">
      <w:pPr>
        <w:jc w:val="left"/>
        <w:rPr>
          <w:rFonts w:ascii="Arial Narrow" w:hAnsi="Arial Narrow" w:cstheme="minorHAnsi"/>
          <w:bCs/>
          <w:i/>
          <w:iCs/>
          <w:sz w:val="18"/>
          <w:szCs w:val="18"/>
        </w:rPr>
      </w:pPr>
      <w:r w:rsidRPr="00F56B14">
        <w:rPr>
          <w:rFonts w:ascii="Arial Narrow" w:hAnsi="Arial Narrow" w:cstheme="minorHAnsi"/>
          <w:bCs/>
          <w:i/>
          <w:iCs/>
          <w:sz w:val="18"/>
          <w:szCs w:val="18"/>
        </w:rPr>
        <w:t xml:space="preserve">The redacted values correspond to the following ranges: </w:t>
      </w:r>
    </w:p>
    <w:p w14:paraId="6DC9A683" w14:textId="48A4158B" w:rsidR="00003C55" w:rsidRPr="00F56B14" w:rsidRDefault="00003C55" w:rsidP="00794671">
      <w:pPr>
        <w:jc w:val="left"/>
        <w:rPr>
          <w:rFonts w:ascii="Arial Narrow" w:hAnsi="Arial Narrow" w:cstheme="minorHAnsi"/>
          <w:bCs/>
          <w:i/>
          <w:iCs/>
          <w:sz w:val="18"/>
          <w:szCs w:val="18"/>
        </w:rPr>
      </w:pPr>
      <w:r w:rsidRPr="00F56B14">
        <w:rPr>
          <w:rFonts w:ascii="Arial Narrow" w:hAnsi="Arial Narrow" w:cstheme="minorHAnsi"/>
          <w:bCs/>
          <w:i/>
          <w:iCs/>
          <w:sz w:val="18"/>
          <w:szCs w:val="18"/>
          <w:vertAlign w:val="superscript"/>
        </w:rPr>
        <w:t>1</w:t>
      </w:r>
      <w:r w:rsidRPr="00F56B14">
        <w:rPr>
          <w:rFonts w:ascii="Arial Narrow" w:hAnsi="Arial Narrow" w:cstheme="minorHAnsi"/>
          <w:bCs/>
          <w:i/>
          <w:iCs/>
          <w:sz w:val="18"/>
          <w:szCs w:val="18"/>
        </w:rPr>
        <w:t xml:space="preserve"> </w:t>
      </w:r>
      <w:r w:rsidR="00F37776" w:rsidRPr="00F37776">
        <w:rPr>
          <w:rFonts w:ascii="Arial Narrow" w:hAnsi="Arial Narrow" w:cstheme="minorHAnsi"/>
          <w:bCs/>
          <w:i/>
          <w:iCs/>
          <w:sz w:val="18"/>
          <w:szCs w:val="18"/>
        </w:rPr>
        <w:t>500 to &lt; 5,000</w:t>
      </w:r>
    </w:p>
    <w:p w14:paraId="6C05DD82" w14:textId="43D3474F" w:rsidR="00003C55" w:rsidRPr="00F56B14" w:rsidRDefault="00003C55" w:rsidP="00794671">
      <w:pPr>
        <w:jc w:val="left"/>
        <w:rPr>
          <w:rFonts w:ascii="Arial Narrow" w:hAnsi="Arial Narrow" w:cstheme="minorHAnsi"/>
          <w:bCs/>
          <w:i/>
          <w:iCs/>
          <w:sz w:val="18"/>
          <w:szCs w:val="18"/>
        </w:rPr>
      </w:pPr>
      <w:r w:rsidRPr="00F56B14">
        <w:rPr>
          <w:rFonts w:ascii="Arial Narrow" w:hAnsi="Arial Narrow" w:cstheme="minorHAnsi"/>
          <w:bCs/>
          <w:i/>
          <w:iCs/>
          <w:sz w:val="18"/>
          <w:szCs w:val="18"/>
          <w:vertAlign w:val="superscript"/>
        </w:rPr>
        <w:t>2</w:t>
      </w:r>
      <w:r w:rsidRPr="00F56B14">
        <w:rPr>
          <w:rFonts w:ascii="Arial Narrow" w:hAnsi="Arial Narrow" w:cstheme="minorHAnsi"/>
          <w:bCs/>
          <w:i/>
          <w:iCs/>
          <w:sz w:val="18"/>
          <w:szCs w:val="18"/>
        </w:rPr>
        <w:t xml:space="preserve"> </w:t>
      </w:r>
      <w:r w:rsidR="00731479" w:rsidRPr="00731479">
        <w:rPr>
          <w:rFonts w:ascii="Arial Narrow" w:hAnsi="Arial Narrow" w:cstheme="minorHAnsi"/>
          <w:bCs/>
          <w:i/>
          <w:iCs/>
          <w:sz w:val="18"/>
          <w:szCs w:val="18"/>
        </w:rPr>
        <w:t>5,000 to &lt; 10,000</w:t>
      </w:r>
    </w:p>
    <w:p w14:paraId="7F906401" w14:textId="4622BD2E" w:rsidR="00003C55" w:rsidRDefault="00003C55" w:rsidP="00794671">
      <w:pPr>
        <w:jc w:val="left"/>
        <w:rPr>
          <w:rFonts w:ascii="Arial Narrow" w:hAnsi="Arial Narrow" w:cstheme="minorHAnsi"/>
          <w:bCs/>
          <w:i/>
          <w:iCs/>
          <w:sz w:val="18"/>
          <w:szCs w:val="18"/>
        </w:rPr>
      </w:pPr>
      <w:r w:rsidRPr="00F56B14">
        <w:rPr>
          <w:rFonts w:ascii="Arial Narrow" w:hAnsi="Arial Narrow" w:cstheme="minorHAnsi"/>
          <w:bCs/>
          <w:i/>
          <w:iCs/>
          <w:sz w:val="18"/>
          <w:szCs w:val="18"/>
          <w:vertAlign w:val="superscript"/>
        </w:rPr>
        <w:t>3</w:t>
      </w:r>
      <w:r w:rsidRPr="00F56B14">
        <w:rPr>
          <w:rFonts w:ascii="Arial Narrow" w:hAnsi="Arial Narrow" w:cstheme="minorHAnsi"/>
          <w:bCs/>
          <w:i/>
          <w:iCs/>
          <w:sz w:val="18"/>
          <w:szCs w:val="18"/>
        </w:rPr>
        <w:t xml:space="preserve"> </w:t>
      </w:r>
      <w:r w:rsidR="006A79E0" w:rsidRPr="006A79E0">
        <w:rPr>
          <w:rFonts w:ascii="Arial Narrow" w:hAnsi="Arial Narrow" w:cstheme="minorHAnsi"/>
          <w:bCs/>
          <w:i/>
          <w:iCs/>
          <w:sz w:val="18"/>
          <w:szCs w:val="18"/>
        </w:rPr>
        <w:t>10,000 to &lt; 20,000</w:t>
      </w:r>
      <w:r w:rsidRPr="00F56B14">
        <w:rPr>
          <w:rFonts w:ascii="Arial Narrow" w:hAnsi="Arial Narrow" w:cstheme="minorHAnsi"/>
          <w:bCs/>
          <w:i/>
          <w:iCs/>
          <w:sz w:val="18"/>
          <w:szCs w:val="18"/>
        </w:rPr>
        <w:t xml:space="preserve"> </w:t>
      </w:r>
    </w:p>
    <w:p w14:paraId="401B4B8D" w14:textId="6D955C54" w:rsidR="00920F0D" w:rsidRPr="00F56B14" w:rsidRDefault="005143F4" w:rsidP="00794671">
      <w:pPr>
        <w:jc w:val="left"/>
        <w:rPr>
          <w:rFonts w:ascii="Arial Narrow" w:hAnsi="Arial Narrow" w:cstheme="minorHAnsi"/>
          <w:bCs/>
          <w:i/>
          <w:iCs/>
          <w:sz w:val="18"/>
          <w:szCs w:val="18"/>
        </w:rPr>
      </w:pPr>
      <w:r>
        <w:rPr>
          <w:rFonts w:ascii="Arial Narrow" w:hAnsi="Arial Narrow" w:cstheme="minorHAnsi"/>
          <w:bCs/>
          <w:i/>
          <w:iCs/>
          <w:sz w:val="18"/>
          <w:szCs w:val="18"/>
          <w:vertAlign w:val="superscript"/>
        </w:rPr>
        <w:t>4</w:t>
      </w:r>
      <w:r w:rsidR="00003C55" w:rsidRPr="00F56B14">
        <w:rPr>
          <w:rFonts w:ascii="Arial Narrow" w:hAnsi="Arial Narrow" w:cstheme="minorHAnsi"/>
          <w:bCs/>
          <w:i/>
          <w:iCs/>
          <w:sz w:val="18"/>
          <w:szCs w:val="18"/>
        </w:rPr>
        <w:t xml:space="preserve"> </w:t>
      </w:r>
      <w:r w:rsidR="00920F0D" w:rsidRPr="00920F0D">
        <w:rPr>
          <w:rFonts w:ascii="Arial Narrow" w:hAnsi="Arial Narrow" w:cstheme="minorHAnsi"/>
          <w:bCs/>
          <w:i/>
          <w:iCs/>
          <w:sz w:val="18"/>
          <w:szCs w:val="18"/>
        </w:rPr>
        <w:t>20,000 to &lt; 30,000</w:t>
      </w:r>
    </w:p>
    <w:p w14:paraId="2E0041DB" w14:textId="1603ED5E" w:rsidR="00003C55" w:rsidRPr="00F56B14" w:rsidRDefault="005143F4" w:rsidP="00794671">
      <w:pPr>
        <w:jc w:val="left"/>
        <w:rPr>
          <w:rFonts w:ascii="Arial Narrow" w:hAnsi="Arial Narrow" w:cstheme="minorHAnsi"/>
          <w:bCs/>
          <w:i/>
          <w:iCs/>
          <w:sz w:val="18"/>
          <w:szCs w:val="18"/>
        </w:rPr>
      </w:pPr>
      <w:r>
        <w:rPr>
          <w:rFonts w:ascii="Arial Narrow" w:hAnsi="Arial Narrow" w:cstheme="minorHAnsi"/>
          <w:bCs/>
          <w:i/>
          <w:iCs/>
          <w:sz w:val="18"/>
          <w:szCs w:val="18"/>
          <w:vertAlign w:val="superscript"/>
        </w:rPr>
        <w:t>5</w:t>
      </w:r>
      <w:r w:rsidR="00003C55" w:rsidRPr="00F56B14">
        <w:rPr>
          <w:rFonts w:ascii="Arial Narrow" w:hAnsi="Arial Narrow" w:cstheme="minorHAnsi"/>
          <w:bCs/>
          <w:i/>
          <w:iCs/>
          <w:sz w:val="18"/>
          <w:szCs w:val="18"/>
        </w:rPr>
        <w:t xml:space="preserve"> </w:t>
      </w:r>
      <w:r w:rsidR="003544D4" w:rsidRPr="003544D4">
        <w:rPr>
          <w:rFonts w:ascii="Arial Narrow" w:hAnsi="Arial Narrow" w:cstheme="minorHAnsi"/>
          <w:bCs/>
          <w:i/>
          <w:iCs/>
          <w:sz w:val="18"/>
          <w:szCs w:val="18"/>
        </w:rPr>
        <w:t>$20 million to &lt; $30 million</w:t>
      </w:r>
    </w:p>
    <w:p w14:paraId="5AEB40D4" w14:textId="4F3B6B3C" w:rsidR="00003C55" w:rsidRPr="00DB3D39" w:rsidRDefault="005143F4" w:rsidP="00794671">
      <w:pPr>
        <w:pStyle w:val="FooterTableFigure"/>
        <w:spacing w:after="0"/>
      </w:pPr>
      <w:r>
        <w:rPr>
          <w:rFonts w:cstheme="minorHAnsi"/>
          <w:bCs/>
          <w:i/>
          <w:iCs/>
          <w:szCs w:val="18"/>
          <w:vertAlign w:val="superscript"/>
        </w:rPr>
        <w:t>6</w:t>
      </w:r>
      <w:r w:rsidR="00003C55" w:rsidRPr="00F56B14">
        <w:rPr>
          <w:rFonts w:cstheme="minorHAnsi"/>
          <w:bCs/>
          <w:i/>
          <w:iCs/>
          <w:szCs w:val="18"/>
        </w:rPr>
        <w:t xml:space="preserve"> </w:t>
      </w:r>
      <w:r w:rsidR="009E712C" w:rsidRPr="009E712C">
        <w:rPr>
          <w:rFonts w:cstheme="minorHAnsi"/>
          <w:bCs/>
          <w:i/>
          <w:iCs/>
          <w:szCs w:val="18"/>
        </w:rPr>
        <w:t>$</w:t>
      </w:r>
      <w:r w:rsidR="00BB7433">
        <w:rPr>
          <w:rFonts w:cstheme="minorHAnsi"/>
          <w:bCs/>
          <w:i/>
          <w:iCs/>
          <w:szCs w:val="18"/>
        </w:rPr>
        <w:t>5</w:t>
      </w:r>
      <w:r w:rsidR="009E712C" w:rsidRPr="009E712C">
        <w:rPr>
          <w:rFonts w:cstheme="minorHAnsi"/>
          <w:bCs/>
          <w:i/>
          <w:iCs/>
          <w:szCs w:val="18"/>
        </w:rPr>
        <w:t>0 million to &lt; $</w:t>
      </w:r>
      <w:r w:rsidR="00BB7433">
        <w:rPr>
          <w:rFonts w:cstheme="minorHAnsi"/>
          <w:bCs/>
          <w:i/>
          <w:iCs/>
          <w:szCs w:val="18"/>
        </w:rPr>
        <w:t>6</w:t>
      </w:r>
      <w:r w:rsidR="009E712C" w:rsidRPr="009E712C">
        <w:rPr>
          <w:rFonts w:cstheme="minorHAnsi"/>
          <w:bCs/>
          <w:i/>
          <w:iCs/>
          <w:szCs w:val="18"/>
        </w:rPr>
        <w:t>0 million</w:t>
      </w:r>
    </w:p>
    <w:p w14:paraId="472BE8D1" w14:textId="358DABB3" w:rsidR="00003C55" w:rsidRPr="00F56B14" w:rsidRDefault="005143F4" w:rsidP="00794671">
      <w:pPr>
        <w:jc w:val="left"/>
        <w:rPr>
          <w:rFonts w:ascii="Arial Narrow" w:hAnsi="Arial Narrow" w:cstheme="minorHAnsi"/>
          <w:bCs/>
          <w:i/>
          <w:iCs/>
          <w:sz w:val="18"/>
          <w:szCs w:val="18"/>
        </w:rPr>
      </w:pPr>
      <w:r>
        <w:rPr>
          <w:rFonts w:ascii="Arial Narrow" w:hAnsi="Arial Narrow" w:cstheme="minorHAnsi"/>
          <w:bCs/>
          <w:i/>
          <w:iCs/>
          <w:sz w:val="18"/>
          <w:szCs w:val="18"/>
          <w:vertAlign w:val="superscript"/>
        </w:rPr>
        <w:t>7</w:t>
      </w:r>
      <w:r w:rsidR="00003C55" w:rsidRPr="00F56B14">
        <w:rPr>
          <w:rFonts w:ascii="Arial Narrow" w:hAnsi="Arial Narrow" w:cstheme="minorHAnsi"/>
          <w:bCs/>
          <w:i/>
          <w:iCs/>
          <w:sz w:val="18"/>
          <w:szCs w:val="18"/>
        </w:rPr>
        <w:t xml:space="preserve"> </w:t>
      </w:r>
      <w:r w:rsidR="00795CD4" w:rsidRPr="00795CD4">
        <w:rPr>
          <w:rFonts w:ascii="Arial Narrow" w:hAnsi="Arial Narrow" w:cstheme="minorHAnsi"/>
          <w:bCs/>
          <w:i/>
          <w:iCs/>
          <w:sz w:val="18"/>
          <w:szCs w:val="18"/>
        </w:rPr>
        <w:t>$60 million to &lt; $70 million</w:t>
      </w:r>
    </w:p>
    <w:p w14:paraId="7A8F86CB" w14:textId="1700AFC5" w:rsidR="00003C55" w:rsidRPr="00F56B14" w:rsidRDefault="005143F4" w:rsidP="00794671">
      <w:pPr>
        <w:jc w:val="left"/>
        <w:rPr>
          <w:rFonts w:ascii="Arial Narrow" w:hAnsi="Arial Narrow" w:cstheme="minorHAnsi"/>
          <w:bCs/>
          <w:i/>
          <w:iCs/>
          <w:sz w:val="18"/>
          <w:szCs w:val="18"/>
        </w:rPr>
      </w:pPr>
      <w:r>
        <w:rPr>
          <w:rFonts w:ascii="Arial Narrow" w:hAnsi="Arial Narrow" w:cstheme="minorHAnsi"/>
          <w:bCs/>
          <w:i/>
          <w:iCs/>
          <w:sz w:val="18"/>
          <w:szCs w:val="18"/>
          <w:vertAlign w:val="superscript"/>
        </w:rPr>
        <w:t>8</w:t>
      </w:r>
      <w:r w:rsidR="00003C55" w:rsidRPr="00F56B14">
        <w:rPr>
          <w:rFonts w:ascii="Arial Narrow" w:hAnsi="Arial Narrow" w:cstheme="minorHAnsi"/>
          <w:bCs/>
          <w:i/>
          <w:iCs/>
          <w:sz w:val="18"/>
          <w:szCs w:val="18"/>
        </w:rPr>
        <w:t xml:space="preserve"> </w:t>
      </w:r>
      <w:r w:rsidR="00472495" w:rsidRPr="00472495">
        <w:rPr>
          <w:rFonts w:ascii="Arial Narrow" w:hAnsi="Arial Narrow" w:cstheme="minorHAnsi"/>
          <w:bCs/>
          <w:i/>
          <w:iCs/>
          <w:sz w:val="18"/>
          <w:szCs w:val="18"/>
        </w:rPr>
        <w:t>$70 million to &lt; $80 million</w:t>
      </w:r>
    </w:p>
    <w:p w14:paraId="6F331706" w14:textId="6374672E" w:rsidR="00003C55" w:rsidRPr="00DB3D39" w:rsidRDefault="005143F4" w:rsidP="00794671">
      <w:pPr>
        <w:pStyle w:val="FooterTableFigure"/>
        <w:spacing w:after="0"/>
      </w:pPr>
      <w:r>
        <w:rPr>
          <w:rFonts w:cstheme="minorHAnsi"/>
          <w:bCs/>
          <w:i/>
          <w:iCs/>
          <w:szCs w:val="18"/>
          <w:vertAlign w:val="superscript"/>
        </w:rPr>
        <w:t>9</w:t>
      </w:r>
      <w:r w:rsidR="00003C55" w:rsidRPr="00F56B14">
        <w:rPr>
          <w:rFonts w:cstheme="minorHAnsi"/>
          <w:bCs/>
          <w:i/>
          <w:iCs/>
          <w:szCs w:val="18"/>
        </w:rPr>
        <w:t xml:space="preserve"> </w:t>
      </w:r>
      <w:r w:rsidR="00D15BE4" w:rsidRPr="00D15BE4">
        <w:rPr>
          <w:rFonts w:cstheme="minorHAnsi"/>
          <w:bCs/>
          <w:i/>
          <w:iCs/>
          <w:szCs w:val="18"/>
        </w:rPr>
        <w:t>$80 million to &lt; $90 million</w:t>
      </w:r>
    </w:p>
    <w:p w14:paraId="5A7A2036" w14:textId="520CEA51" w:rsidR="00003C55" w:rsidRPr="00F56B14" w:rsidRDefault="00003C55" w:rsidP="00794671">
      <w:pPr>
        <w:jc w:val="left"/>
        <w:rPr>
          <w:rFonts w:ascii="Arial Narrow" w:hAnsi="Arial Narrow" w:cstheme="minorHAnsi"/>
          <w:bCs/>
          <w:i/>
          <w:iCs/>
          <w:sz w:val="18"/>
          <w:szCs w:val="18"/>
        </w:rPr>
      </w:pPr>
      <w:r w:rsidRPr="00F56B14">
        <w:rPr>
          <w:rFonts w:ascii="Arial Narrow" w:hAnsi="Arial Narrow" w:cstheme="minorHAnsi"/>
          <w:bCs/>
          <w:i/>
          <w:iCs/>
          <w:sz w:val="18"/>
          <w:szCs w:val="18"/>
          <w:vertAlign w:val="superscript"/>
        </w:rPr>
        <w:t>1</w:t>
      </w:r>
      <w:r w:rsidR="005143F4">
        <w:rPr>
          <w:rFonts w:ascii="Arial Narrow" w:hAnsi="Arial Narrow" w:cstheme="minorHAnsi"/>
          <w:bCs/>
          <w:i/>
          <w:iCs/>
          <w:sz w:val="18"/>
          <w:szCs w:val="18"/>
          <w:vertAlign w:val="superscript"/>
        </w:rPr>
        <w:t>0</w:t>
      </w:r>
      <w:r w:rsidRPr="00F56B14">
        <w:rPr>
          <w:rFonts w:ascii="Arial Narrow" w:hAnsi="Arial Narrow" w:cstheme="minorHAnsi"/>
          <w:bCs/>
          <w:i/>
          <w:iCs/>
          <w:sz w:val="18"/>
          <w:szCs w:val="18"/>
        </w:rPr>
        <w:t xml:space="preserve"> </w:t>
      </w:r>
      <w:r w:rsidR="00E76730" w:rsidRPr="00E76730">
        <w:rPr>
          <w:rFonts w:ascii="Arial Narrow" w:hAnsi="Arial Narrow" w:cstheme="minorHAnsi"/>
          <w:bCs/>
          <w:i/>
          <w:iCs/>
          <w:sz w:val="18"/>
          <w:szCs w:val="18"/>
        </w:rPr>
        <w:t>net cost saving</w:t>
      </w:r>
    </w:p>
    <w:p w14:paraId="2BAE6D50" w14:textId="03A72AE7" w:rsidR="00003C55" w:rsidRPr="00DB3D39" w:rsidRDefault="005143F4" w:rsidP="005143F4">
      <w:pPr>
        <w:spacing w:after="120"/>
        <w:jc w:val="left"/>
      </w:pPr>
      <w:r>
        <w:rPr>
          <w:rFonts w:ascii="Arial Narrow" w:hAnsi="Arial Narrow" w:cstheme="minorHAnsi"/>
          <w:bCs/>
          <w:i/>
          <w:iCs/>
          <w:sz w:val="18"/>
          <w:szCs w:val="18"/>
          <w:vertAlign w:val="superscript"/>
        </w:rPr>
        <w:t>11</w:t>
      </w:r>
      <w:r w:rsidR="00003C55" w:rsidRPr="00F56B14">
        <w:rPr>
          <w:rFonts w:ascii="Arial Narrow" w:hAnsi="Arial Narrow" w:cstheme="minorHAnsi"/>
          <w:bCs/>
          <w:i/>
          <w:iCs/>
          <w:sz w:val="18"/>
          <w:szCs w:val="18"/>
        </w:rPr>
        <w:t xml:space="preserve"> </w:t>
      </w:r>
      <w:r w:rsidR="00F266AE" w:rsidRPr="00F266AE">
        <w:rPr>
          <w:rFonts w:ascii="Arial Narrow" w:hAnsi="Arial Narrow" w:cstheme="minorHAnsi"/>
          <w:bCs/>
          <w:i/>
          <w:iCs/>
          <w:sz w:val="18"/>
          <w:szCs w:val="18"/>
        </w:rPr>
        <w:t>$0 to &lt; $10 million</w:t>
      </w:r>
    </w:p>
    <w:p w14:paraId="4001F9A1" w14:textId="31F58633" w:rsidR="00012569" w:rsidRPr="001B3C28" w:rsidRDefault="004F0E49" w:rsidP="007C073C">
      <w:pPr>
        <w:pStyle w:val="3-BodyText"/>
      </w:pPr>
      <w:r w:rsidRPr="00DB3D39">
        <w:t xml:space="preserve">The submission estimated the uptake rates of abemaciclib </w:t>
      </w:r>
      <w:r w:rsidR="00AC1E03" w:rsidRPr="00DB3D39">
        <w:t xml:space="preserve">to estimate the use of </w:t>
      </w:r>
      <w:r w:rsidR="005D1EAB" w:rsidRPr="00DB3D39">
        <w:t>ribociclib</w:t>
      </w:r>
      <w:r w:rsidR="00C54A7B" w:rsidRPr="00DB3D39">
        <w:t>,</w:t>
      </w:r>
      <w:r w:rsidR="005D1EAB" w:rsidRPr="00DB3D39">
        <w:t xml:space="preserve"> </w:t>
      </w:r>
      <w:r w:rsidRPr="00DB3D39">
        <w:t xml:space="preserve">as ribociclib would likely substitute some of the use of abemaciclib if listed. The submission assumed that </w:t>
      </w:r>
      <w:r w:rsidR="00BC7DFB" w:rsidRPr="0026022F">
        <w:rPr>
          <w:color w:val="000000"/>
          <w:w w:val="15"/>
          <w:shd w:val="solid" w:color="000000" w:fill="000000"/>
          <w:fitText w:val="-20" w:id="-761015549"/>
          <w14:textFill>
            <w14:solidFill>
              <w14:srgbClr w14:val="000000">
                <w14:alpha w14:val="100000"/>
              </w14:srgbClr>
            </w14:solidFill>
          </w14:textFill>
        </w:rPr>
        <w:t xml:space="preserve">|  </w:t>
      </w:r>
      <w:r w:rsidR="00BC7DFB" w:rsidRPr="0026022F">
        <w:rPr>
          <w:color w:val="000000"/>
          <w:spacing w:val="-69"/>
          <w:w w:val="15"/>
          <w:shd w:val="solid" w:color="000000" w:fill="000000"/>
          <w:fitText w:val="-20" w:id="-761015549"/>
          <w14:textFill>
            <w14:solidFill>
              <w14:srgbClr w14:val="000000">
                <w14:alpha w14:val="100000"/>
              </w14:srgbClr>
            </w14:solidFill>
          </w14:textFill>
        </w:rPr>
        <w:t>|</w:t>
      </w:r>
      <w:r w:rsidRPr="00DB3D39">
        <w:t>% of the total eligible population are expected to commence treatment with abemaciclib in Year 1</w:t>
      </w:r>
      <w:r w:rsidR="00B53ED5">
        <w:t xml:space="preserve"> </w:t>
      </w:r>
      <w:r w:rsidR="00B53ED5" w:rsidRPr="001B3C28">
        <w:t>(as the only CDK4/6 inhibitor currently available for this population)</w:t>
      </w:r>
      <w:r w:rsidRPr="00DB3D39">
        <w:t xml:space="preserve"> and </w:t>
      </w:r>
      <w:r w:rsidR="00387738">
        <w:t xml:space="preserve">that </w:t>
      </w:r>
      <w:r w:rsidRPr="00DB3D39">
        <w:t>this increases each year to reach 95% in Year 6.</w:t>
      </w:r>
      <w:r w:rsidR="00B53ED5">
        <w:t xml:space="preserve"> </w:t>
      </w:r>
      <w:r w:rsidR="00B53ED5" w:rsidRPr="001B3C28">
        <w:t xml:space="preserve">[Within that population, the market share of ribociclib </w:t>
      </w:r>
      <w:r w:rsidR="00BE45F9" w:rsidRPr="001B3C28">
        <w:t>is estimated to be</w:t>
      </w:r>
      <w:r w:rsidR="00B53ED5" w:rsidRPr="001B3C28">
        <w:t xml:space="preserve"> </w:t>
      </w:r>
      <w:r w:rsidR="00BC7DFB" w:rsidRPr="0026022F">
        <w:rPr>
          <w:color w:val="000000"/>
          <w:w w:val="15"/>
          <w:shd w:val="solid" w:color="000000" w:fill="000000"/>
          <w:fitText w:val="-20" w:id="-761015548"/>
          <w14:textFill>
            <w14:solidFill>
              <w14:srgbClr w14:val="000000">
                <w14:alpha w14:val="100000"/>
              </w14:srgbClr>
            </w14:solidFill>
          </w14:textFill>
        </w:rPr>
        <w:t xml:space="preserve">|  </w:t>
      </w:r>
      <w:r w:rsidR="00BC7DFB" w:rsidRPr="0026022F">
        <w:rPr>
          <w:color w:val="000000"/>
          <w:spacing w:val="-69"/>
          <w:w w:val="15"/>
          <w:shd w:val="solid" w:color="000000" w:fill="000000"/>
          <w:fitText w:val="-20" w:id="-761015548"/>
          <w14:textFill>
            <w14:solidFill>
              <w14:srgbClr w14:val="000000">
                <w14:alpha w14:val="100000"/>
              </w14:srgbClr>
            </w14:solidFill>
          </w14:textFill>
        </w:rPr>
        <w:t>|</w:t>
      </w:r>
      <w:r w:rsidR="00BE45F9" w:rsidRPr="001B3C28">
        <w:noBreakHyphen/>
      </w:r>
      <w:r w:rsidR="00BC7DFB" w:rsidRPr="0026022F">
        <w:rPr>
          <w:color w:val="000000"/>
          <w:w w:val="15"/>
          <w:shd w:val="solid" w:color="000000" w:fill="000000"/>
          <w:fitText w:val="-20" w:id="-761015547"/>
          <w14:textFill>
            <w14:solidFill>
              <w14:srgbClr w14:val="000000">
                <w14:alpha w14:val="100000"/>
              </w14:srgbClr>
            </w14:solidFill>
          </w14:textFill>
        </w:rPr>
        <w:t xml:space="preserve">|  </w:t>
      </w:r>
      <w:r w:rsidR="00BC7DFB" w:rsidRPr="0026022F">
        <w:rPr>
          <w:color w:val="000000"/>
          <w:spacing w:val="-69"/>
          <w:w w:val="15"/>
          <w:shd w:val="solid" w:color="000000" w:fill="000000"/>
          <w:fitText w:val="-20" w:id="-761015547"/>
          <w14:textFill>
            <w14:solidFill>
              <w14:srgbClr w14:val="000000">
                <w14:alpha w14:val="100000"/>
              </w14:srgbClr>
            </w14:solidFill>
          </w14:textFill>
        </w:rPr>
        <w:t>|</w:t>
      </w:r>
      <w:r w:rsidR="00B53ED5" w:rsidRPr="001B3C28">
        <w:t>% over 6 years, if recommended for listing].</w:t>
      </w:r>
      <w:r w:rsidR="00AA54F8" w:rsidRPr="001B3C28">
        <w:t xml:space="preserve"> The evaluation</w:t>
      </w:r>
      <w:r w:rsidR="00C6400A" w:rsidRPr="001B3C28">
        <w:t xml:space="preserve"> and the ESC</w:t>
      </w:r>
      <w:r w:rsidR="00AA54F8" w:rsidRPr="001B3C28">
        <w:t xml:space="preserve"> considered that </w:t>
      </w:r>
      <w:r w:rsidR="00AA54F8" w:rsidRPr="001B3C28">
        <w:lastRenderedPageBreak/>
        <w:t>a lower</w:t>
      </w:r>
      <w:r w:rsidR="003E0755" w:rsidRPr="001B3C28">
        <w:t xml:space="preserve"> CDK4/6 inhibitor</w:t>
      </w:r>
      <w:r w:rsidR="00AA54F8" w:rsidRPr="001B3C28">
        <w:t xml:space="preserve"> uptake rate would be more appropriate,</w:t>
      </w:r>
      <w:r w:rsidR="00C16A18" w:rsidRPr="001B3C28">
        <w:t xml:space="preserve"> noting that a maximum rate of 95% is very high</w:t>
      </w:r>
      <w:r w:rsidR="00C6400A" w:rsidRPr="001B3C28">
        <w:t xml:space="preserve"> for this patient population</w:t>
      </w:r>
      <w:r w:rsidR="003E0755" w:rsidRPr="001B3C28">
        <w:t>.</w:t>
      </w:r>
      <w:r w:rsidRPr="001B3C28">
        <w:t xml:space="preserve"> The PBAC previously not</w:t>
      </w:r>
      <w:r w:rsidR="003E0755" w:rsidRPr="001B3C28">
        <w:t>ed</w:t>
      </w:r>
      <w:r w:rsidRPr="001B3C28">
        <w:t xml:space="preserve"> the rapid uptake of abemaciclib in the Australian patient familiarisation program (para</w:t>
      </w:r>
      <w:r w:rsidR="00B53ED5" w:rsidRPr="001B3C28">
        <w:t>graph</w:t>
      </w:r>
      <w:r w:rsidRPr="001B3C28">
        <w:t xml:space="preserve"> 7.14, abemaciclib PSD, March 2023). </w:t>
      </w:r>
      <w:r w:rsidR="00B53ED5" w:rsidRPr="001B3C28">
        <w:t>The PSCR maintained</w:t>
      </w:r>
      <w:r w:rsidR="003E0755" w:rsidRPr="001B3C28">
        <w:t xml:space="preserve"> that the</w:t>
      </w:r>
      <w:r w:rsidR="00B53ED5" w:rsidRPr="001B3C28">
        <w:t xml:space="preserve"> estimate of </w:t>
      </w:r>
      <w:r w:rsidR="00BC7DFB" w:rsidRPr="0026022F">
        <w:rPr>
          <w:color w:val="000000"/>
          <w:w w:val="15"/>
          <w:shd w:val="solid" w:color="000000" w:fill="000000"/>
          <w:fitText w:val="-20" w:id="-761015546"/>
          <w14:textFill>
            <w14:solidFill>
              <w14:srgbClr w14:val="000000">
                <w14:alpha w14:val="100000"/>
              </w14:srgbClr>
            </w14:solidFill>
          </w14:textFill>
        </w:rPr>
        <w:t xml:space="preserve">|  </w:t>
      </w:r>
      <w:r w:rsidR="00BC7DFB" w:rsidRPr="0026022F">
        <w:rPr>
          <w:color w:val="000000"/>
          <w:spacing w:val="-69"/>
          <w:w w:val="15"/>
          <w:shd w:val="solid" w:color="000000" w:fill="000000"/>
          <w:fitText w:val="-20" w:id="-761015546"/>
          <w14:textFill>
            <w14:solidFill>
              <w14:srgbClr w14:val="000000">
                <w14:alpha w14:val="100000"/>
              </w14:srgbClr>
            </w14:solidFill>
          </w14:textFill>
        </w:rPr>
        <w:t>|</w:t>
      </w:r>
      <w:r w:rsidR="00B53ED5" w:rsidRPr="001B3C28">
        <w:t>-</w:t>
      </w:r>
      <w:r w:rsidR="00BC7DFB" w:rsidRPr="0026022F">
        <w:rPr>
          <w:color w:val="000000"/>
          <w:w w:val="15"/>
          <w:shd w:val="solid" w:color="000000" w:fill="000000"/>
          <w:fitText w:val="-20" w:id="-761015545"/>
          <w14:textFill>
            <w14:solidFill>
              <w14:srgbClr w14:val="000000">
                <w14:alpha w14:val="100000"/>
              </w14:srgbClr>
            </w14:solidFill>
          </w14:textFill>
        </w:rPr>
        <w:t xml:space="preserve">|  </w:t>
      </w:r>
      <w:r w:rsidR="00BC7DFB" w:rsidRPr="0026022F">
        <w:rPr>
          <w:color w:val="000000"/>
          <w:spacing w:val="-69"/>
          <w:w w:val="15"/>
          <w:shd w:val="solid" w:color="000000" w:fill="000000"/>
          <w:fitText w:val="-20" w:id="-761015545"/>
          <w14:textFill>
            <w14:solidFill>
              <w14:srgbClr w14:val="000000">
                <w14:alpha w14:val="100000"/>
              </w14:srgbClr>
            </w14:solidFill>
          </w14:textFill>
        </w:rPr>
        <w:t>|</w:t>
      </w:r>
      <w:r w:rsidR="00B53ED5" w:rsidRPr="001B3C28">
        <w:t>% over 6 years for utilisation of CDK4/6 inhibitors in eBC</w:t>
      </w:r>
      <w:r w:rsidR="003E0755" w:rsidRPr="001B3C28">
        <w:t xml:space="preserve"> is appropriate</w:t>
      </w:r>
      <w:r w:rsidR="00B53ED5" w:rsidRPr="001B3C28">
        <w:t xml:space="preserve"> based on experience with the early access program for ribociclib in eBC. </w:t>
      </w:r>
      <w:r w:rsidR="009F3162" w:rsidRPr="009F3162">
        <w:t>Recent clinical experience in patients with high</w:t>
      </w:r>
      <w:r w:rsidR="009F3162">
        <w:t>-</w:t>
      </w:r>
      <w:r w:rsidR="009F3162" w:rsidRPr="009F3162">
        <w:t xml:space="preserve">risk early breast cancer has suggested that approximately 20% of patients eligible for CDK4/6 inhibitors decline to commence these therapies for a number of reasons including risk of toxicities, age, frailty, residual toxicities from other treatments and the current restriction that permits one course of CDK4/6 </w:t>
      </w:r>
      <w:r w:rsidR="00F77EA4">
        <w:t xml:space="preserve">inhibitors </w:t>
      </w:r>
      <w:r w:rsidR="009F3162" w:rsidRPr="009F3162">
        <w:t xml:space="preserve">per lifetime. The PBAC consider that an </w:t>
      </w:r>
      <w:r w:rsidR="00BC7DFB" w:rsidRPr="0026022F">
        <w:rPr>
          <w:color w:val="000000"/>
          <w:w w:val="15"/>
          <w:shd w:val="solid" w:color="000000" w:fill="000000"/>
          <w:fitText w:val="-20" w:id="-761015544"/>
          <w14:textFill>
            <w14:solidFill>
              <w14:srgbClr w14:val="000000">
                <w14:alpha w14:val="100000"/>
              </w14:srgbClr>
            </w14:solidFill>
          </w14:textFill>
        </w:rPr>
        <w:t xml:space="preserve">|  </w:t>
      </w:r>
      <w:r w:rsidR="00BC7DFB" w:rsidRPr="0026022F">
        <w:rPr>
          <w:color w:val="000000"/>
          <w:spacing w:val="-69"/>
          <w:w w:val="15"/>
          <w:shd w:val="solid" w:color="000000" w:fill="000000"/>
          <w:fitText w:val="-20" w:id="-761015544"/>
          <w14:textFill>
            <w14:solidFill>
              <w14:srgbClr w14:val="000000">
                <w14:alpha w14:val="100000"/>
              </w14:srgbClr>
            </w14:solidFill>
          </w14:textFill>
        </w:rPr>
        <w:t>|</w:t>
      </w:r>
      <w:r w:rsidR="009F3162" w:rsidRPr="009F3162">
        <w:t xml:space="preserve">% uptake rate would be </w:t>
      </w:r>
      <w:r w:rsidR="00F77EA4">
        <w:t>appropriate considering</w:t>
      </w:r>
      <w:r w:rsidR="009F3162" w:rsidRPr="009F3162">
        <w:t xml:space="preserve"> these factors.</w:t>
      </w:r>
    </w:p>
    <w:p w14:paraId="3DDE859C" w14:textId="177BD702" w:rsidR="00EC339B" w:rsidRPr="00012569" w:rsidRDefault="00792B99" w:rsidP="007C073C">
      <w:pPr>
        <w:pStyle w:val="3-BodyText"/>
      </w:pPr>
      <w:r w:rsidRPr="00E655F5">
        <w:t xml:space="preserve">The submission assumed 100% </w:t>
      </w:r>
      <w:r w:rsidR="00E655F5" w:rsidRPr="00E655F5">
        <w:t xml:space="preserve">therapy </w:t>
      </w:r>
      <w:r w:rsidRPr="00E655F5">
        <w:t>compliance</w:t>
      </w:r>
      <w:r w:rsidRPr="00112EE5">
        <w:t xml:space="preserve">. </w:t>
      </w:r>
      <w:r w:rsidR="00E655F5" w:rsidRPr="00112EE5">
        <w:t>This may represent an overestimate</w:t>
      </w:r>
      <w:r w:rsidR="00AC6341" w:rsidRPr="00112EE5">
        <w:t>. P</w:t>
      </w:r>
      <w:r w:rsidRPr="00112EE5">
        <w:t xml:space="preserve">revious PBAC advice suggested a compliance rate less than for hormonal therapy (84%) in case of abemaciclib (para 7.14, abemaciclib PSD, </w:t>
      </w:r>
      <w:r w:rsidR="005F6B80" w:rsidRPr="00112EE5">
        <w:t>March</w:t>
      </w:r>
      <w:r w:rsidR="005F6B80">
        <w:t> </w:t>
      </w:r>
      <w:r w:rsidRPr="00112EE5">
        <w:t>2023).</w:t>
      </w:r>
    </w:p>
    <w:p w14:paraId="18D93222" w14:textId="23A7ACDC" w:rsidR="008A64F9" w:rsidRPr="009B0E17" w:rsidRDefault="009B0E17" w:rsidP="007C073C">
      <w:pPr>
        <w:pStyle w:val="3-BodyText"/>
      </w:pPr>
      <w:r>
        <w:t>T</w:t>
      </w:r>
      <w:r w:rsidR="00012569" w:rsidRPr="009B0E17">
        <w:t>he cost savings</w:t>
      </w:r>
      <w:r>
        <w:t xml:space="preserve"> estimated in the submission</w:t>
      </w:r>
      <w:r w:rsidR="00496377" w:rsidRPr="009B0E17">
        <w:t xml:space="preserve"> (</w:t>
      </w:r>
      <w:r w:rsidR="00D15BE4">
        <w:t xml:space="preserve">net </w:t>
      </w:r>
      <w:r w:rsidR="00496377" w:rsidRPr="009B0E17">
        <w:t>cost saving in Year 1</w:t>
      </w:r>
      <w:r w:rsidR="00B44B71" w:rsidRPr="009B0E17">
        <w:t>, based on published prices</w:t>
      </w:r>
      <w:r w:rsidR="00496377" w:rsidRPr="009B0E17">
        <w:t>)</w:t>
      </w:r>
      <w:r w:rsidR="00627189" w:rsidRPr="009B0E17">
        <w:t xml:space="preserve"> </w:t>
      </w:r>
      <w:r>
        <w:t xml:space="preserve">are </w:t>
      </w:r>
      <w:r w:rsidR="00627189" w:rsidRPr="009B0E17">
        <w:t>primarily because</w:t>
      </w:r>
      <w:r w:rsidR="008A64F9" w:rsidRPr="009B0E17">
        <w:t xml:space="preserve"> the modelled treatment duration for ribociclib (114.84 weeks) is longer than for abemaciclib (91 weeks),</w:t>
      </w:r>
      <w:r w:rsidR="00627189" w:rsidRPr="009B0E17">
        <w:t xml:space="preserve"> and therefore</w:t>
      </w:r>
      <w:r w:rsidR="008A64F9" w:rsidRPr="009B0E17">
        <w:t xml:space="preserve"> the impact of the cost of the additional treatment duration for ribociclib only becomes more apparent in later years.</w:t>
      </w:r>
    </w:p>
    <w:p w14:paraId="1ED1E247" w14:textId="77777777" w:rsidR="00B252F9" w:rsidRPr="00DB3D39" w:rsidRDefault="00B252F9" w:rsidP="00B252F9">
      <w:pPr>
        <w:pStyle w:val="4-SubsectionHeading"/>
      </w:pPr>
      <w:bookmarkStart w:id="67" w:name="_Toc177475556"/>
      <w:bookmarkStart w:id="68" w:name="_Toc177475555"/>
      <w:r w:rsidRPr="00DB3D39">
        <w:t>Financial Management – Risk Sharing Arrangements</w:t>
      </w:r>
      <w:bookmarkEnd w:id="67"/>
    </w:p>
    <w:p w14:paraId="74E28532" w14:textId="1FBEBDB5" w:rsidR="00B252F9" w:rsidRPr="001B3C28" w:rsidRDefault="00B252F9" w:rsidP="007C073C">
      <w:pPr>
        <w:pStyle w:val="3-BodyText"/>
      </w:pPr>
      <w:r w:rsidRPr="00DB3D39">
        <w:t xml:space="preserve">No risk-sharing arrangement </w:t>
      </w:r>
      <w:r>
        <w:t xml:space="preserve">(RSA) </w:t>
      </w:r>
      <w:r w:rsidRPr="00DB3D39">
        <w:t>was proposed in the submission</w:t>
      </w:r>
      <w:r>
        <w:t xml:space="preserve">. </w:t>
      </w:r>
      <w:r w:rsidRPr="001B3C28">
        <w:t>The ESC considered it would be appropriate for ribociclib to join the existing RSA for abemaciclib.</w:t>
      </w:r>
    </w:p>
    <w:p w14:paraId="79F6B43F" w14:textId="77777777" w:rsidR="00C13C7C" w:rsidRPr="00DB3D39" w:rsidRDefault="00C13C7C" w:rsidP="00C13C7C">
      <w:pPr>
        <w:pStyle w:val="4-SubsectionHeading"/>
      </w:pPr>
      <w:r w:rsidRPr="00DB3D39">
        <w:t>Quality Use of Medicines</w:t>
      </w:r>
      <w:bookmarkEnd w:id="68"/>
    </w:p>
    <w:p w14:paraId="086DC0DD" w14:textId="166F1571" w:rsidR="00C13C7C" w:rsidRPr="001B3C28" w:rsidRDefault="00C13C7C" w:rsidP="007C073C">
      <w:pPr>
        <w:pStyle w:val="3-BodyText"/>
        <w:rPr>
          <w:color w:val="3366FF"/>
        </w:rPr>
      </w:pPr>
      <w:r w:rsidRPr="00112EE5">
        <w:rPr>
          <w:iCs/>
        </w:rPr>
        <w:t xml:space="preserve">The submission did not propose any activities to support the quality use of medicines. </w:t>
      </w:r>
      <w:r w:rsidR="00E603B3" w:rsidRPr="00112EE5">
        <w:rPr>
          <w:iCs/>
        </w:rPr>
        <w:t>For</w:t>
      </w:r>
      <w:r w:rsidRPr="00112EE5">
        <w:rPr>
          <w:iCs/>
        </w:rPr>
        <w:t xml:space="preserve"> abemaciclib,</w:t>
      </w:r>
      <w:r w:rsidRPr="00DB3D39">
        <w:t xml:space="preserve"> </w:t>
      </w:r>
      <w:r w:rsidRPr="00112EE5">
        <w:t>DUSC considered that there was uncertainty around the potential for harm, due to lack of longer-term data.</w:t>
      </w:r>
      <w:r w:rsidRPr="00DB3D39">
        <w:rPr>
          <w:color w:val="3366FF"/>
        </w:rPr>
        <w:t xml:space="preserve"> </w:t>
      </w:r>
      <w:r w:rsidRPr="00112EE5">
        <w:t xml:space="preserve">DUSC noted that </w:t>
      </w:r>
      <w:r w:rsidR="00E603B3" w:rsidRPr="00112EE5">
        <w:t xml:space="preserve">the </w:t>
      </w:r>
      <w:r w:rsidRPr="00112EE5">
        <w:t>results indicate there are substantial risks from treatment with abemaciclib for minimal benefit (Abemaciclib DUSC advice Mar</w:t>
      </w:r>
      <w:r w:rsidR="00931D74">
        <w:t>ch</w:t>
      </w:r>
      <w:r w:rsidRPr="00112EE5">
        <w:t xml:space="preserve"> 2022). </w:t>
      </w:r>
    </w:p>
    <w:p w14:paraId="5723E739" w14:textId="33AF750A" w:rsidR="00AC14DD" w:rsidRPr="00A54AD7" w:rsidRDefault="00792DA6" w:rsidP="007C073C">
      <w:pPr>
        <w:pStyle w:val="3-BodyText"/>
        <w:numPr>
          <w:ilvl w:val="0"/>
          <w:numId w:val="0"/>
        </w:numPr>
        <w:ind w:left="709"/>
        <w:rPr>
          <w:i/>
          <w:iCs/>
          <w:color w:val="3366FF"/>
        </w:rPr>
      </w:pPr>
      <w:r w:rsidRPr="00A54AD7">
        <w:rPr>
          <w:i/>
          <w:iCs/>
        </w:rPr>
        <w:t>For more detail on PBAC’s view, see section 7 PBAC outcome.</w:t>
      </w:r>
    </w:p>
    <w:p w14:paraId="1CDD2E8B" w14:textId="75BF2BDD" w:rsidR="00A95B27" w:rsidRPr="0090150D" w:rsidRDefault="00A95B27" w:rsidP="00A95B27">
      <w:pPr>
        <w:pStyle w:val="2-SectionHeading"/>
        <w:numPr>
          <w:ilvl w:val="0"/>
          <w:numId w:val="1"/>
        </w:numPr>
      </w:pPr>
      <w:bookmarkStart w:id="69" w:name="_Hlk76381249"/>
      <w:bookmarkStart w:id="70" w:name="_Toc177475558"/>
      <w:r w:rsidRPr="0090150D">
        <w:t>PBAC Outcome</w:t>
      </w:r>
    </w:p>
    <w:p w14:paraId="127CE8BB" w14:textId="76E691F9" w:rsidR="00A95B27" w:rsidRPr="00292E81" w:rsidRDefault="005B68B9" w:rsidP="005B68B9">
      <w:pPr>
        <w:widowControl w:val="0"/>
        <w:numPr>
          <w:ilvl w:val="1"/>
          <w:numId w:val="1"/>
        </w:numPr>
        <w:spacing w:after="120"/>
        <w:ind w:left="720"/>
        <w:rPr>
          <w:rFonts w:asciiTheme="minorHAnsi" w:hAnsiTheme="minorHAnsi"/>
          <w:snapToGrid w:val="0"/>
          <w:lang w:val="en-GB"/>
        </w:rPr>
      </w:pPr>
      <w:r w:rsidRPr="00292E81">
        <w:t>The PBAC recommended the General Schedule Authority Required listing of ribociclib, in combination with standard adjuvant endocrine therapy (ET), for the treatment of hormone receptor positive (HR+), human epidermal growth factor receptor 2 negative (HER2-), lymph node positive, invasive, resected early breast cancer (eBC) at high risk of disease recurrence.</w:t>
      </w:r>
      <w:r w:rsidR="00292E81" w:rsidRPr="00292E81">
        <w:t xml:space="preserve"> </w:t>
      </w:r>
      <w:r w:rsidR="00292E81" w:rsidRPr="00292E81">
        <w:rPr>
          <w:rFonts w:asciiTheme="minorHAnsi" w:hAnsiTheme="minorHAnsi"/>
          <w:snapToGrid w:val="0"/>
          <w:lang w:val="en-GB"/>
        </w:rPr>
        <w:t xml:space="preserve">The PBAC’s recommendation for listing was based on, among </w:t>
      </w:r>
      <w:r w:rsidR="00292E81" w:rsidRPr="00292E81">
        <w:rPr>
          <w:rFonts w:asciiTheme="minorHAnsi" w:hAnsiTheme="minorHAnsi"/>
          <w:snapToGrid w:val="0"/>
          <w:lang w:val="en-GB"/>
        </w:rPr>
        <w:lastRenderedPageBreak/>
        <w:t>other matters, its assessment that the cost-effectiveness of ribociclib in eBC would be acceptable if it were cost minimised to abemaciclib.</w:t>
      </w:r>
      <w:r w:rsidRPr="00292E81">
        <w:t xml:space="preserve"> The PBAC considered the evidence presented in the submission demonstrated</w:t>
      </w:r>
      <w:r w:rsidR="00292E81" w:rsidRPr="00292E81">
        <w:t xml:space="preserve"> that ribociclib plus adjuvant ET has non-inferior efficacy compared to abemaciclib plus adjuvant ET, and a non-inferior but different safety profile.</w:t>
      </w:r>
    </w:p>
    <w:p w14:paraId="228A4D8F" w14:textId="61BA8959" w:rsidR="00292E81" w:rsidRPr="00EA73FF" w:rsidRDefault="00E80877" w:rsidP="00A54AD7">
      <w:pPr>
        <w:widowControl w:val="0"/>
        <w:numPr>
          <w:ilvl w:val="1"/>
          <w:numId w:val="1"/>
        </w:numPr>
        <w:spacing w:after="120"/>
        <w:ind w:left="720"/>
        <w:rPr>
          <w:rFonts w:asciiTheme="minorHAnsi" w:hAnsiTheme="minorHAnsi"/>
          <w:snapToGrid w:val="0"/>
          <w:lang w:val="en-GB"/>
        </w:rPr>
      </w:pPr>
      <w:bookmarkStart w:id="71" w:name="_Ref118727999"/>
      <w:r w:rsidRPr="00EA73FF">
        <w:rPr>
          <w:rFonts w:asciiTheme="minorHAnsi" w:hAnsiTheme="minorHAnsi"/>
          <w:snapToGrid w:val="0"/>
          <w:lang w:val="en-GB"/>
        </w:rPr>
        <w:t>The PBAC considered the equi-effective doses were</w:t>
      </w:r>
      <w:r w:rsidR="00EA73FF" w:rsidRPr="00EA73FF">
        <w:rPr>
          <w:rFonts w:asciiTheme="minorHAnsi" w:hAnsiTheme="minorHAnsi"/>
          <w:snapToGrid w:val="0"/>
          <w:lang w:val="en-GB"/>
        </w:rPr>
        <w:t>:</w:t>
      </w:r>
      <w:r w:rsidRPr="00EA73FF">
        <w:rPr>
          <w:rFonts w:asciiTheme="minorHAnsi" w:hAnsiTheme="minorHAnsi"/>
          <w:snapToGrid w:val="0"/>
        </w:rPr>
        <w:t xml:space="preserve"> </w:t>
      </w:r>
      <w:bookmarkEnd w:id="71"/>
    </w:p>
    <w:p w14:paraId="78D2B065" w14:textId="477DE925" w:rsidR="00EA73FF" w:rsidRPr="00EA73FF" w:rsidRDefault="00EA73FF" w:rsidP="00A54AD7">
      <w:pPr>
        <w:pStyle w:val="ListParagraph"/>
        <w:rPr>
          <w:snapToGrid w:val="0"/>
          <w:lang w:val="en-GB"/>
        </w:rPr>
      </w:pPr>
      <w:r w:rsidRPr="00EA73FF">
        <w:rPr>
          <w:snapToGrid w:val="0"/>
          <w:lang w:val="en-GB"/>
        </w:rPr>
        <w:t xml:space="preserve">ribociclib 366.0 mg QD on days 1 to 21 of a 28-day cycle for </w:t>
      </w:r>
      <w:r w:rsidR="007E3EBB">
        <w:rPr>
          <w:snapToGrid w:val="0"/>
          <w:lang w:val="en-GB"/>
        </w:rPr>
        <w:t>11</w:t>
      </w:r>
      <w:r w:rsidR="005A2F09">
        <w:rPr>
          <w:snapToGrid w:val="0"/>
          <w:lang w:val="en-GB"/>
        </w:rPr>
        <w:t>4.8</w:t>
      </w:r>
      <w:r w:rsidR="005D3C26">
        <w:rPr>
          <w:snapToGrid w:val="0"/>
          <w:lang w:val="en-GB"/>
        </w:rPr>
        <w:t>4</w:t>
      </w:r>
      <w:r w:rsidRPr="00EA73FF">
        <w:rPr>
          <w:snapToGrid w:val="0"/>
          <w:lang w:val="en-GB"/>
        </w:rPr>
        <w:t xml:space="preserve"> weeks; </w:t>
      </w:r>
    </w:p>
    <w:p w14:paraId="19EC9492" w14:textId="5683BE77" w:rsidR="00EA73FF" w:rsidRPr="00EA73FF" w:rsidRDefault="00EA73FF" w:rsidP="00A54AD7">
      <w:pPr>
        <w:pStyle w:val="ListParagraph"/>
        <w:rPr>
          <w:snapToGrid w:val="0"/>
          <w:lang w:val="en-GB"/>
        </w:rPr>
      </w:pPr>
      <w:r w:rsidRPr="00EA73FF">
        <w:rPr>
          <w:snapToGrid w:val="0"/>
          <w:lang w:val="en-GB"/>
        </w:rPr>
        <w:t>abemaciclib 121.34 mg BID for 7</w:t>
      </w:r>
      <w:r w:rsidR="00EC635D">
        <w:rPr>
          <w:snapToGrid w:val="0"/>
          <w:lang w:val="en-GB"/>
        </w:rPr>
        <w:t>6.5</w:t>
      </w:r>
      <w:r w:rsidR="005D3C26">
        <w:rPr>
          <w:snapToGrid w:val="0"/>
          <w:lang w:val="en-GB"/>
        </w:rPr>
        <w:t>6</w:t>
      </w:r>
      <w:r w:rsidRPr="00EA73FF">
        <w:rPr>
          <w:snapToGrid w:val="0"/>
          <w:lang w:val="en-GB"/>
        </w:rPr>
        <w:t xml:space="preserve"> weeks</w:t>
      </w:r>
      <w:r>
        <w:rPr>
          <w:snapToGrid w:val="0"/>
          <w:lang w:val="en-GB"/>
        </w:rPr>
        <w:t>.</w:t>
      </w:r>
    </w:p>
    <w:p w14:paraId="6FB19A47" w14:textId="63E19D8E" w:rsidR="00EA73FF" w:rsidRDefault="00EA73FF" w:rsidP="00EA73FF">
      <w:pPr>
        <w:widowControl w:val="0"/>
        <w:spacing w:after="120"/>
        <w:ind w:left="720"/>
        <w:rPr>
          <w:rFonts w:asciiTheme="minorHAnsi" w:hAnsiTheme="minorHAnsi"/>
          <w:snapToGrid w:val="0"/>
          <w:lang w:val="en-GB"/>
        </w:rPr>
      </w:pPr>
      <w:r>
        <w:rPr>
          <w:rFonts w:asciiTheme="minorHAnsi" w:hAnsiTheme="minorHAnsi"/>
          <w:snapToGrid w:val="0"/>
          <w:lang w:val="en-GB"/>
        </w:rPr>
        <w:t xml:space="preserve">The rationale for the equi-effective doses recommended by the PBAC is provided in paragraph </w:t>
      </w:r>
      <w:r>
        <w:rPr>
          <w:rFonts w:asciiTheme="minorHAnsi" w:hAnsiTheme="minorHAnsi"/>
          <w:snapToGrid w:val="0"/>
          <w:lang w:val="en-GB"/>
        </w:rPr>
        <w:fldChar w:fldCharType="begin" w:fldLock="1"/>
      </w:r>
      <w:r>
        <w:rPr>
          <w:rFonts w:asciiTheme="minorHAnsi" w:hAnsiTheme="minorHAnsi"/>
          <w:snapToGrid w:val="0"/>
          <w:lang w:val="en-GB"/>
        </w:rPr>
        <w:instrText xml:space="preserve"> REF _Ref182923094 \r \h </w:instrText>
      </w:r>
      <w:r>
        <w:rPr>
          <w:rFonts w:asciiTheme="minorHAnsi" w:hAnsiTheme="minorHAnsi"/>
          <w:snapToGrid w:val="0"/>
          <w:lang w:val="en-GB"/>
        </w:rPr>
      </w:r>
      <w:r>
        <w:rPr>
          <w:rFonts w:asciiTheme="minorHAnsi" w:hAnsiTheme="minorHAnsi"/>
          <w:snapToGrid w:val="0"/>
          <w:lang w:val="en-GB"/>
        </w:rPr>
        <w:fldChar w:fldCharType="separate"/>
      </w:r>
      <w:r>
        <w:rPr>
          <w:rFonts w:asciiTheme="minorHAnsi" w:hAnsiTheme="minorHAnsi"/>
          <w:snapToGrid w:val="0"/>
          <w:lang w:val="en-GB"/>
        </w:rPr>
        <w:t>7.12</w:t>
      </w:r>
      <w:r>
        <w:rPr>
          <w:rFonts w:asciiTheme="minorHAnsi" w:hAnsiTheme="minorHAnsi"/>
          <w:snapToGrid w:val="0"/>
          <w:lang w:val="en-GB"/>
        </w:rPr>
        <w:fldChar w:fldCharType="end"/>
      </w:r>
      <w:r>
        <w:rPr>
          <w:rFonts w:asciiTheme="minorHAnsi" w:hAnsiTheme="minorHAnsi"/>
          <w:snapToGrid w:val="0"/>
          <w:lang w:val="en-GB"/>
        </w:rPr>
        <w:t xml:space="preserve"> below.</w:t>
      </w:r>
    </w:p>
    <w:p w14:paraId="754755F7" w14:textId="00E5C215" w:rsidR="00A95B27" w:rsidRPr="00062A82" w:rsidRDefault="00062A82" w:rsidP="00A95B27">
      <w:pPr>
        <w:widowControl w:val="0"/>
        <w:numPr>
          <w:ilvl w:val="1"/>
          <w:numId w:val="1"/>
        </w:numPr>
        <w:spacing w:after="120"/>
        <w:ind w:left="720"/>
        <w:rPr>
          <w:rFonts w:asciiTheme="minorHAnsi" w:hAnsiTheme="minorHAnsi"/>
          <w:snapToGrid w:val="0"/>
          <w:lang w:val="en-GB"/>
        </w:rPr>
      </w:pPr>
      <w:r w:rsidRPr="00062A82">
        <w:rPr>
          <w:rFonts w:asciiTheme="minorHAnsi" w:hAnsiTheme="minorHAnsi"/>
          <w:snapToGrid w:val="0"/>
          <w:lang w:val="en-GB"/>
        </w:rPr>
        <w:t xml:space="preserve">The PBAC noted </w:t>
      </w:r>
      <w:r w:rsidR="00A03F16">
        <w:rPr>
          <w:rFonts w:asciiTheme="minorHAnsi" w:hAnsiTheme="minorHAnsi"/>
          <w:snapToGrid w:val="0"/>
          <w:lang w:val="en-GB"/>
        </w:rPr>
        <w:t xml:space="preserve">that there was a </w:t>
      </w:r>
      <w:r w:rsidRPr="00062A82">
        <w:rPr>
          <w:rFonts w:asciiTheme="minorHAnsi" w:hAnsiTheme="minorHAnsi"/>
          <w:snapToGrid w:val="0"/>
          <w:lang w:val="en-GB"/>
        </w:rPr>
        <w:t>moderate clinical need to have an alternative CDK4/6 inhibitor treatment for eBC on the PBS, in particular for</w:t>
      </w:r>
      <w:r w:rsidRPr="00062A82">
        <w:rPr>
          <w:rFonts w:asciiTheme="minorHAnsi" w:hAnsiTheme="minorHAnsi"/>
          <w:bCs/>
          <w:snapToGrid w:val="0"/>
        </w:rPr>
        <w:t xml:space="preserve"> patients unable to tolerate the currently PBS listed medicine, abemaciclib. The PBAC noted the consumer comments to this effect and acknowledged the psycho-social benefits to patients </w:t>
      </w:r>
      <w:r>
        <w:rPr>
          <w:rFonts w:asciiTheme="minorHAnsi" w:hAnsiTheme="minorHAnsi"/>
          <w:bCs/>
          <w:snapToGrid w:val="0"/>
        </w:rPr>
        <w:t>in terms of</w:t>
      </w:r>
      <w:r w:rsidRPr="00062A82">
        <w:rPr>
          <w:rFonts w:asciiTheme="minorHAnsi" w:hAnsiTheme="minorHAnsi"/>
          <w:bCs/>
          <w:snapToGrid w:val="0"/>
        </w:rPr>
        <w:t xml:space="preserve"> reducing the fear of recurrence, given that CDK4/6 inhibitors show </w:t>
      </w:r>
      <w:r w:rsidR="00681A2F">
        <w:rPr>
          <w:rFonts w:asciiTheme="minorHAnsi" w:hAnsiTheme="minorHAnsi"/>
          <w:bCs/>
          <w:snapToGrid w:val="0"/>
        </w:rPr>
        <w:t xml:space="preserve">a </w:t>
      </w:r>
      <w:r w:rsidRPr="00062A82">
        <w:rPr>
          <w:rFonts w:asciiTheme="minorHAnsi" w:hAnsiTheme="minorHAnsi"/>
          <w:bCs/>
          <w:snapToGrid w:val="0"/>
        </w:rPr>
        <w:t>benefit in the curative setting.</w:t>
      </w:r>
    </w:p>
    <w:p w14:paraId="6E00FE75" w14:textId="42AC970A" w:rsidR="00A61F95" w:rsidRPr="00A61F95" w:rsidRDefault="005571A8" w:rsidP="000D6F8E">
      <w:pPr>
        <w:widowControl w:val="0"/>
        <w:numPr>
          <w:ilvl w:val="1"/>
          <w:numId w:val="1"/>
        </w:numPr>
        <w:spacing w:after="120"/>
        <w:ind w:left="720"/>
        <w:rPr>
          <w:rFonts w:asciiTheme="minorHAnsi" w:hAnsiTheme="minorHAnsi"/>
          <w:snapToGrid w:val="0"/>
          <w:lang w:val="en-GB"/>
        </w:rPr>
      </w:pPr>
      <w:r w:rsidRPr="00102259">
        <w:rPr>
          <w:lang w:val="en-GB"/>
        </w:rPr>
        <w:t>The PBAC considered it was appropriate to align the</w:t>
      </w:r>
      <w:r w:rsidR="006A0244">
        <w:rPr>
          <w:lang w:val="en-GB"/>
        </w:rPr>
        <w:t xml:space="preserve"> PBS</w:t>
      </w:r>
      <w:r w:rsidRPr="00102259">
        <w:rPr>
          <w:lang w:val="en-GB"/>
        </w:rPr>
        <w:t xml:space="preserve"> listing of </w:t>
      </w:r>
      <w:r>
        <w:rPr>
          <w:lang w:val="en-GB"/>
        </w:rPr>
        <w:t>ribociclib in eBC</w:t>
      </w:r>
      <w:r w:rsidRPr="00102259">
        <w:rPr>
          <w:lang w:val="en-GB"/>
        </w:rPr>
        <w:t xml:space="preserve"> with </w:t>
      </w:r>
      <w:r>
        <w:rPr>
          <w:lang w:val="en-GB"/>
        </w:rPr>
        <w:t>abemaciclib</w:t>
      </w:r>
      <w:r w:rsidR="00A61F95">
        <w:rPr>
          <w:lang w:val="en-GB"/>
        </w:rPr>
        <w:t xml:space="preserve"> in terms of time between initiation of adjuvant ET and </w:t>
      </w:r>
      <w:r w:rsidR="00AA3253">
        <w:rPr>
          <w:lang w:val="en-GB"/>
        </w:rPr>
        <w:t>ribociclib and</w:t>
      </w:r>
      <w:r w:rsidR="006A0244">
        <w:rPr>
          <w:lang w:val="en-GB"/>
        </w:rPr>
        <w:t xml:space="preserve"> allowing</w:t>
      </w:r>
      <w:r w:rsidR="00A61F95">
        <w:rPr>
          <w:lang w:val="en-GB"/>
        </w:rPr>
        <w:t xml:space="preserve"> </w:t>
      </w:r>
      <w:r w:rsidR="00A61F95" w:rsidRPr="00226EF1">
        <w:t>one line of therapy at any disease staging</w:t>
      </w:r>
      <w:r w:rsidRPr="00102259">
        <w:rPr>
          <w:lang w:val="en-GB"/>
        </w:rPr>
        <w:t>.</w:t>
      </w:r>
      <w:r w:rsidR="00A61F95">
        <w:rPr>
          <w:lang w:val="en-GB"/>
        </w:rPr>
        <w:t xml:space="preserve"> Specifically:</w:t>
      </w:r>
      <w:r>
        <w:rPr>
          <w:lang w:val="en-GB"/>
        </w:rPr>
        <w:t xml:space="preserve"> </w:t>
      </w:r>
    </w:p>
    <w:p w14:paraId="14F82157" w14:textId="14B276D3" w:rsidR="000D6F8E" w:rsidRPr="00C714C4" w:rsidRDefault="005571A8" w:rsidP="00C714C4">
      <w:pPr>
        <w:pStyle w:val="ListParagraph"/>
      </w:pPr>
      <w:r w:rsidRPr="00C714C4">
        <w:t>The PBAC did not support the</w:t>
      </w:r>
      <w:r w:rsidR="00A61F95" w:rsidRPr="00C714C4">
        <w:t xml:space="preserve"> submission’s</w:t>
      </w:r>
      <w:r w:rsidRPr="00C714C4">
        <w:t xml:space="preserve"> request to allow 12 months between initiation of adjuvant ET and ribociclib because</w:t>
      </w:r>
      <w:r w:rsidR="00A61F95" w:rsidRPr="00C714C4">
        <w:t>: (1)</w:t>
      </w:r>
      <w:r w:rsidRPr="00C714C4">
        <w:t xml:space="preserve"> in the NATALEE trial, more patients commenced therapy</w:t>
      </w:r>
      <w:r w:rsidR="00A61F95" w:rsidRPr="00C714C4">
        <w:t xml:space="preserve"> ≤6 months (49.4%) after starting ET than &gt;</w:t>
      </w:r>
      <w:r w:rsidR="00C714C4">
        <w:t> </w:t>
      </w:r>
      <w:r w:rsidR="00A61F95" w:rsidRPr="00C714C4">
        <w:t>6</w:t>
      </w:r>
      <w:r w:rsidR="00C714C4">
        <w:t> </w:t>
      </w:r>
      <w:r w:rsidR="00A61F95" w:rsidRPr="00C714C4">
        <w:t xml:space="preserve">months (21.5%); (2) the mean time to initiate ribociclib treatment in the NATALEE trial was only 3.5 months; and (3) there is a clinical imperative to start </w:t>
      </w:r>
      <w:r w:rsidR="000D6F8E" w:rsidRPr="00C714C4">
        <w:t xml:space="preserve">timely </w:t>
      </w:r>
      <w:r w:rsidR="00A61F95" w:rsidRPr="00C714C4">
        <w:t xml:space="preserve">therapy with a CDK4/6 inhibitor given patients have a high risk of </w:t>
      </w:r>
      <w:r w:rsidR="000D6F8E" w:rsidRPr="00C714C4">
        <w:t xml:space="preserve">BC </w:t>
      </w:r>
      <w:r w:rsidR="00A61F95" w:rsidRPr="00C714C4">
        <w:t>recurrence.</w:t>
      </w:r>
      <w:r w:rsidR="000D6F8E" w:rsidRPr="00C714C4">
        <w:t xml:space="preserve"> The PBAC recommended that therapy with ribociclib should begin within 6 months of starting </w:t>
      </w:r>
      <w:r w:rsidR="00A03F16" w:rsidRPr="00C714C4">
        <w:t>ET,</w:t>
      </w:r>
      <w:r w:rsidR="000D6F8E" w:rsidRPr="00C714C4">
        <w:t xml:space="preserve"> i.e., the time limit should match the current requirement for abemaciclib in eBC. </w:t>
      </w:r>
    </w:p>
    <w:p w14:paraId="6F50F80D" w14:textId="51DBC297" w:rsidR="000D6F8E" w:rsidRPr="00C714C4" w:rsidRDefault="000D6F8E" w:rsidP="00C714C4">
      <w:pPr>
        <w:pStyle w:val="ListParagraph"/>
      </w:pPr>
      <w:r w:rsidRPr="00C714C4">
        <w:t xml:space="preserve">The PBAC did not support the submission’s request to omit the </w:t>
      </w:r>
      <w:r w:rsidR="00AA3253" w:rsidRPr="00C714C4">
        <w:t>requirement for</w:t>
      </w:r>
      <w:r w:rsidRPr="00C714C4">
        <w:t xml:space="preserve"> CDK4/6 inhibitors to be restricted to one line of therapy at any disease staging for breast cancer (i.e.</w:t>
      </w:r>
      <w:r w:rsidR="001556C1" w:rsidRPr="00C714C4">
        <w:t>,</w:t>
      </w:r>
      <w:r w:rsidRPr="00C714C4">
        <w:t xml:space="preserve"> if therapy has been prescribed for early disease, subsidy under locally advanced or metastatic disease is no longer available). The PBAC </w:t>
      </w:r>
      <w:r w:rsidR="000F6325" w:rsidRPr="00C714C4">
        <w:t>considered that the postMONARCH trial did not provide evidence to support removal of this condition, noting that only 1% of the metastatic BC patients had received prior adjuvant CDK4/6 inhibitor treatment and the trial did not have a suitable design to allow conclusions with respect to retreatment. The PBAC also noted that only 1.5% of patients in the NATALEE trial received a CDK4/6 inhibitor as a post-treatment anti-cancer therapy.</w:t>
      </w:r>
      <w:r w:rsidR="006A0244" w:rsidRPr="00C714C4">
        <w:t xml:space="preserve"> The PBAC recommended that the requirement </w:t>
      </w:r>
      <w:r w:rsidR="00A03F16" w:rsidRPr="00C714C4">
        <w:t xml:space="preserve">for restriction to one of line of therapy at any disease staging should </w:t>
      </w:r>
      <w:r w:rsidR="006A0244" w:rsidRPr="00C714C4">
        <w:t>be specified for ribociclib</w:t>
      </w:r>
      <w:r w:rsidR="00A03F16" w:rsidRPr="00C714C4">
        <w:t>, aligning</w:t>
      </w:r>
      <w:r w:rsidR="006A0244" w:rsidRPr="00C714C4">
        <w:t xml:space="preserve"> with the requirement for abemaciclib in eBC.</w:t>
      </w:r>
    </w:p>
    <w:p w14:paraId="029F005D" w14:textId="64B5641D" w:rsidR="00A95B27" w:rsidRPr="00B85AAE" w:rsidRDefault="005C6346" w:rsidP="007C073C">
      <w:pPr>
        <w:pStyle w:val="3-BodyText"/>
        <w:rPr>
          <w:snapToGrid w:val="0"/>
          <w:lang w:val="en-GB"/>
        </w:rPr>
      </w:pPr>
      <w:r>
        <w:lastRenderedPageBreak/>
        <w:t xml:space="preserve">The PBAC considered that if eBC patients experience intolerance to a CDK4/6 inhibitor </w:t>
      </w:r>
      <w:r w:rsidRPr="00B701A5">
        <w:t>of a severity necessitating permanent treatment withdrawal</w:t>
      </w:r>
      <w:r>
        <w:t>, t</w:t>
      </w:r>
      <w:r w:rsidR="001556C1">
        <w:t>hat t</w:t>
      </w:r>
      <w:r>
        <w:t xml:space="preserve">hey should be </w:t>
      </w:r>
      <w:r w:rsidRPr="002A358A">
        <w:t xml:space="preserve">able to switch </w:t>
      </w:r>
      <w:r w:rsidR="005319DC">
        <w:t>to another</w:t>
      </w:r>
      <w:r w:rsidRPr="002A358A">
        <w:t xml:space="preserve"> CDK4/6 inhibitor</w:t>
      </w:r>
      <w:r w:rsidR="005865DD">
        <w:t>. The PBAC</w:t>
      </w:r>
      <w:r>
        <w:t xml:space="preserve"> recommended that criteria be included in the ribociclib restriction to allow this. The PBAC considered that switching from ribociclib to abemaciclib should also be permitted under the same circumstances, and th</w:t>
      </w:r>
      <w:r w:rsidR="005865DD">
        <w:t>at th</w:t>
      </w:r>
      <w:r>
        <w:t>is would require flow-on changes to the abemaciclib restriction in eBC.</w:t>
      </w:r>
    </w:p>
    <w:p w14:paraId="58AAC013" w14:textId="095CC70D" w:rsidR="00A95B27" w:rsidRPr="00B241CE" w:rsidRDefault="00865F65" w:rsidP="00C935B3">
      <w:pPr>
        <w:widowControl w:val="0"/>
        <w:numPr>
          <w:ilvl w:val="1"/>
          <w:numId w:val="1"/>
        </w:numPr>
        <w:spacing w:after="120"/>
        <w:ind w:left="720"/>
        <w:rPr>
          <w:rFonts w:asciiTheme="minorHAnsi" w:hAnsiTheme="minorHAnsi"/>
          <w:snapToGrid w:val="0"/>
          <w:lang w:val="en-GB"/>
        </w:rPr>
      </w:pPr>
      <w:r>
        <w:rPr>
          <w:rFonts w:asciiTheme="minorHAnsi" w:hAnsiTheme="minorHAnsi"/>
          <w:snapToGrid w:val="0"/>
          <w:lang w:val="en-GB"/>
        </w:rPr>
        <w:t xml:space="preserve">The PBAC accepted the clinical place for </w:t>
      </w:r>
      <w:r w:rsidR="005865DD">
        <w:rPr>
          <w:rFonts w:asciiTheme="minorHAnsi" w:hAnsiTheme="minorHAnsi"/>
          <w:snapToGrid w:val="0"/>
          <w:lang w:val="en-GB"/>
        </w:rPr>
        <w:t>ribo</w:t>
      </w:r>
      <w:r>
        <w:rPr>
          <w:rFonts w:asciiTheme="minorHAnsi" w:hAnsiTheme="minorHAnsi"/>
          <w:snapToGrid w:val="0"/>
          <w:lang w:val="en-GB"/>
        </w:rPr>
        <w:t>ciclib as an alternative to abemaciclib in eBC patients at high risk of recurrence in the adjuvant setting.</w:t>
      </w:r>
      <w:r w:rsidR="00C935B3">
        <w:rPr>
          <w:rFonts w:asciiTheme="minorHAnsi" w:hAnsiTheme="minorHAnsi"/>
          <w:snapToGrid w:val="0"/>
          <w:lang w:val="en-GB"/>
        </w:rPr>
        <w:t xml:space="preserve"> The PBAC considered that abemaciclib plus adjuvant ET was the appropriate comparator given that it is</w:t>
      </w:r>
      <w:r w:rsidR="001E7950">
        <w:rPr>
          <w:rFonts w:asciiTheme="minorHAnsi" w:hAnsiTheme="minorHAnsi"/>
          <w:snapToGrid w:val="0"/>
          <w:lang w:val="en-GB"/>
        </w:rPr>
        <w:t xml:space="preserve"> a CDK4/6 inhibitor with a similar mechanism of action and mode of </w:t>
      </w:r>
      <w:r w:rsidR="001556C1">
        <w:rPr>
          <w:rFonts w:asciiTheme="minorHAnsi" w:hAnsiTheme="minorHAnsi"/>
          <w:snapToGrid w:val="0"/>
          <w:lang w:val="en-GB"/>
        </w:rPr>
        <w:t>administration and</w:t>
      </w:r>
      <w:r w:rsidR="001E7950">
        <w:rPr>
          <w:rFonts w:asciiTheme="minorHAnsi" w:hAnsiTheme="minorHAnsi"/>
          <w:snapToGrid w:val="0"/>
          <w:lang w:val="en-GB"/>
        </w:rPr>
        <w:t xml:space="preserve"> is</w:t>
      </w:r>
      <w:r w:rsidR="00C935B3">
        <w:rPr>
          <w:rFonts w:asciiTheme="minorHAnsi" w:hAnsiTheme="minorHAnsi"/>
          <w:snapToGrid w:val="0"/>
          <w:lang w:val="en-GB"/>
        </w:rPr>
        <w:t xml:space="preserve"> </w:t>
      </w:r>
      <w:r w:rsidR="00C935B3" w:rsidRPr="00C935B3">
        <w:rPr>
          <w:rFonts w:asciiTheme="minorHAnsi" w:hAnsiTheme="minorHAnsi"/>
          <w:snapToGrid w:val="0"/>
        </w:rPr>
        <w:t>currently</w:t>
      </w:r>
      <w:r w:rsidR="001E7950">
        <w:rPr>
          <w:rFonts w:asciiTheme="minorHAnsi" w:hAnsiTheme="minorHAnsi"/>
          <w:snapToGrid w:val="0"/>
        </w:rPr>
        <w:t xml:space="preserve"> listed</w:t>
      </w:r>
      <w:r w:rsidR="00C935B3" w:rsidRPr="00C935B3">
        <w:rPr>
          <w:rFonts w:asciiTheme="minorHAnsi" w:hAnsiTheme="minorHAnsi"/>
          <w:snapToGrid w:val="0"/>
        </w:rPr>
        <w:t xml:space="preserve"> on</w:t>
      </w:r>
      <w:r w:rsidR="00C935B3">
        <w:rPr>
          <w:rFonts w:asciiTheme="minorHAnsi" w:hAnsiTheme="minorHAnsi"/>
          <w:snapToGrid w:val="0"/>
        </w:rPr>
        <w:t xml:space="preserve"> the</w:t>
      </w:r>
      <w:r w:rsidR="00C935B3" w:rsidRPr="00C935B3">
        <w:rPr>
          <w:rFonts w:asciiTheme="minorHAnsi" w:hAnsiTheme="minorHAnsi"/>
          <w:snapToGrid w:val="0"/>
        </w:rPr>
        <w:t xml:space="preserve"> PBS for the proposed indication</w:t>
      </w:r>
      <w:r w:rsidR="00C935B3">
        <w:rPr>
          <w:rFonts w:asciiTheme="minorHAnsi" w:hAnsiTheme="minorHAnsi"/>
          <w:snapToGrid w:val="0"/>
        </w:rPr>
        <w:t>.</w:t>
      </w:r>
    </w:p>
    <w:p w14:paraId="1CD29191" w14:textId="60C43671" w:rsidR="00A95B27" w:rsidRPr="001F6B6B" w:rsidRDefault="00B241CE" w:rsidP="00B241CE">
      <w:pPr>
        <w:widowControl w:val="0"/>
        <w:numPr>
          <w:ilvl w:val="1"/>
          <w:numId w:val="1"/>
        </w:numPr>
        <w:spacing w:after="120"/>
        <w:ind w:left="720"/>
        <w:rPr>
          <w:rFonts w:asciiTheme="minorHAnsi" w:hAnsiTheme="minorHAnsi"/>
          <w:snapToGrid w:val="0"/>
          <w:lang w:val="en-GB"/>
        </w:rPr>
      </w:pPr>
      <w:r w:rsidRPr="001F6B6B">
        <w:rPr>
          <w:rFonts w:asciiTheme="minorHAnsi" w:hAnsiTheme="minorHAnsi"/>
          <w:snapToGrid w:val="0"/>
          <w:lang w:val="en-GB"/>
        </w:rPr>
        <w:t>The PBAC noted th</w:t>
      </w:r>
      <w:r w:rsidR="005865DD">
        <w:rPr>
          <w:rFonts w:asciiTheme="minorHAnsi" w:hAnsiTheme="minorHAnsi"/>
          <w:snapToGrid w:val="0"/>
          <w:lang w:val="en-GB"/>
        </w:rPr>
        <w:t>at th</w:t>
      </w:r>
      <w:r w:rsidRPr="001F6B6B">
        <w:rPr>
          <w:rFonts w:asciiTheme="minorHAnsi" w:hAnsiTheme="minorHAnsi"/>
          <w:snapToGrid w:val="0"/>
          <w:lang w:val="en-GB"/>
        </w:rPr>
        <w:t xml:space="preserve">e pivotal trial evidence presented in the submission, which informed the indirect comparison and CMA, was based on one </w:t>
      </w:r>
      <w:r w:rsidR="009F67D4">
        <w:rPr>
          <w:rFonts w:asciiTheme="minorHAnsi" w:hAnsiTheme="minorHAnsi"/>
          <w:snapToGrid w:val="0"/>
          <w:lang w:val="en-GB"/>
        </w:rPr>
        <w:t>randomised controlled trial (</w:t>
      </w:r>
      <w:r w:rsidRPr="001F6B6B">
        <w:rPr>
          <w:rFonts w:asciiTheme="minorHAnsi" w:hAnsiTheme="minorHAnsi"/>
          <w:snapToGrid w:val="0"/>
          <w:lang w:val="en-GB"/>
        </w:rPr>
        <w:t>RCT</w:t>
      </w:r>
      <w:r w:rsidR="009F67D4">
        <w:rPr>
          <w:rFonts w:asciiTheme="minorHAnsi" w:hAnsiTheme="minorHAnsi"/>
          <w:snapToGrid w:val="0"/>
          <w:lang w:val="en-GB"/>
        </w:rPr>
        <w:t>)</w:t>
      </w:r>
      <w:r w:rsidRPr="001F6B6B">
        <w:rPr>
          <w:rFonts w:asciiTheme="minorHAnsi" w:hAnsiTheme="minorHAnsi"/>
          <w:snapToGrid w:val="0"/>
          <w:lang w:val="en-GB"/>
        </w:rPr>
        <w:t xml:space="preserve"> of ribociclib (NATALEE) and one RCT of abemaciclib (monarchE).</w:t>
      </w:r>
      <w:r w:rsidR="00E6426E" w:rsidRPr="001F6B6B">
        <w:rPr>
          <w:rFonts w:asciiTheme="minorHAnsi" w:hAnsiTheme="minorHAnsi"/>
          <w:snapToGrid w:val="0"/>
          <w:lang w:val="en-GB"/>
        </w:rPr>
        <w:t xml:space="preserve"> The PBAC noted that the </w:t>
      </w:r>
      <w:r w:rsidR="009F67D4">
        <w:rPr>
          <w:rFonts w:asciiTheme="minorHAnsi" w:hAnsiTheme="minorHAnsi"/>
          <w:snapToGrid w:val="0"/>
          <w:lang w:val="en-GB"/>
        </w:rPr>
        <w:t>hazard ratios (</w:t>
      </w:r>
      <w:r w:rsidR="00E6426E" w:rsidRPr="001F6B6B">
        <w:rPr>
          <w:rFonts w:asciiTheme="minorHAnsi" w:hAnsiTheme="minorHAnsi"/>
          <w:snapToGrid w:val="0"/>
          <w:lang w:val="en-GB"/>
        </w:rPr>
        <w:t>HRs</w:t>
      </w:r>
      <w:r w:rsidR="009F67D4">
        <w:rPr>
          <w:rFonts w:asciiTheme="minorHAnsi" w:hAnsiTheme="minorHAnsi"/>
          <w:snapToGrid w:val="0"/>
          <w:lang w:val="en-GB"/>
        </w:rPr>
        <w:t>)</w:t>
      </w:r>
      <w:r w:rsidR="00E6426E" w:rsidRPr="001F6B6B">
        <w:rPr>
          <w:rFonts w:asciiTheme="minorHAnsi" w:hAnsiTheme="minorHAnsi"/>
          <w:snapToGrid w:val="0"/>
          <w:lang w:val="en-GB"/>
        </w:rPr>
        <w:t xml:space="preserve"> for the indirect comparisons, with respect to </w:t>
      </w:r>
      <w:r w:rsidR="00B332E3">
        <w:rPr>
          <w:rFonts w:asciiTheme="minorHAnsi" w:hAnsiTheme="minorHAnsi"/>
          <w:snapToGrid w:val="0"/>
          <w:lang w:val="en-GB"/>
        </w:rPr>
        <w:t>invasive disease-free survival (</w:t>
      </w:r>
      <w:r w:rsidR="00E6426E" w:rsidRPr="001F6B6B">
        <w:rPr>
          <w:rFonts w:asciiTheme="minorHAnsi" w:hAnsiTheme="minorHAnsi"/>
          <w:snapToGrid w:val="0"/>
          <w:lang w:val="en-GB"/>
        </w:rPr>
        <w:t>iDFS</w:t>
      </w:r>
      <w:r w:rsidR="00B332E3">
        <w:rPr>
          <w:rFonts w:asciiTheme="minorHAnsi" w:hAnsiTheme="minorHAnsi"/>
          <w:snapToGrid w:val="0"/>
          <w:lang w:val="en-GB"/>
        </w:rPr>
        <w:t>)</w:t>
      </w:r>
      <w:r w:rsidR="00E6426E" w:rsidRPr="001F6B6B">
        <w:rPr>
          <w:rFonts w:asciiTheme="minorHAnsi" w:hAnsiTheme="minorHAnsi"/>
          <w:snapToGrid w:val="0"/>
          <w:lang w:val="en-GB"/>
        </w:rPr>
        <w:t xml:space="preserve"> and </w:t>
      </w:r>
      <w:r w:rsidR="00B332E3">
        <w:rPr>
          <w:rFonts w:asciiTheme="minorHAnsi" w:hAnsiTheme="minorHAnsi"/>
          <w:snapToGrid w:val="0"/>
          <w:lang w:val="en-GB"/>
        </w:rPr>
        <w:t>distant recurrence-free survival (</w:t>
      </w:r>
      <w:r w:rsidR="00E6426E" w:rsidRPr="001F6B6B">
        <w:rPr>
          <w:rFonts w:asciiTheme="minorHAnsi" w:hAnsiTheme="minorHAnsi"/>
          <w:snapToGrid w:val="0"/>
          <w:lang w:val="en-GB"/>
        </w:rPr>
        <w:t>DRFS</w:t>
      </w:r>
      <w:r w:rsidR="00B332E3">
        <w:rPr>
          <w:rFonts w:asciiTheme="minorHAnsi" w:hAnsiTheme="minorHAnsi"/>
          <w:snapToGrid w:val="0"/>
          <w:lang w:val="en-GB"/>
        </w:rPr>
        <w:t>)</w:t>
      </w:r>
      <w:r w:rsidR="00E6426E" w:rsidRPr="001F6B6B">
        <w:rPr>
          <w:rFonts w:asciiTheme="minorHAnsi" w:hAnsiTheme="minorHAnsi"/>
          <w:snapToGrid w:val="0"/>
          <w:lang w:val="en-GB"/>
        </w:rPr>
        <w:t xml:space="preserve">, </w:t>
      </w:r>
      <w:r w:rsidR="00E6426E" w:rsidRPr="001F6B6B">
        <w:rPr>
          <w:iCs/>
        </w:rPr>
        <w:t>were close to</w:t>
      </w:r>
      <w:r w:rsidR="00E6426E" w:rsidRPr="001F6B6B">
        <w:t xml:space="preserve"> 1 and found to be not statistically different</w:t>
      </w:r>
      <w:r w:rsidR="00A36121">
        <w:rPr>
          <w:rStyle w:val="FootnoteReference"/>
        </w:rPr>
        <w:footnoteReference w:id="17"/>
      </w:r>
      <w:r w:rsidR="00E6426E" w:rsidRPr="001F6B6B">
        <w:t>. The PBAC noted the transitivity concerns identified by the evaluation</w:t>
      </w:r>
      <w:r w:rsidR="001F6B6B" w:rsidRPr="001F6B6B">
        <w:t xml:space="preserve">, which were </w:t>
      </w:r>
      <w:r w:rsidR="00F727B3" w:rsidRPr="001F6B6B">
        <w:t>mainly due to the exclusion of tamoxifen patients from the analysis because ribociclib is unable to be administered with tamoxifen a</w:t>
      </w:r>
      <w:r w:rsidR="001F6B6B" w:rsidRPr="001F6B6B">
        <w:t>s</w:t>
      </w:r>
      <w:r w:rsidR="00F727B3" w:rsidRPr="001F6B6B">
        <w:t xml:space="preserve"> ET</w:t>
      </w:r>
      <w:r w:rsidR="001F6B6B" w:rsidRPr="001F6B6B">
        <w:t>; however</w:t>
      </w:r>
      <w:r w:rsidR="00B332E3">
        <w:t xml:space="preserve">, </w:t>
      </w:r>
      <w:r w:rsidR="001F6B6B" w:rsidRPr="001F6B6B">
        <w:t>was satisfied</w:t>
      </w:r>
      <w:r w:rsidR="00E6426E" w:rsidRPr="001F6B6B">
        <w:t xml:space="preserve"> that overall</w:t>
      </w:r>
      <w:r w:rsidR="00F727B3" w:rsidRPr="001F6B6B">
        <w:t>, non-inferiority</w:t>
      </w:r>
      <w:r w:rsidR="001F6B6B" w:rsidRPr="001F6B6B">
        <w:t xml:space="preserve"> with respect to efficacy</w:t>
      </w:r>
      <w:r w:rsidR="00F727B3" w:rsidRPr="001F6B6B">
        <w:t xml:space="preserve"> </w:t>
      </w:r>
      <w:r w:rsidR="00C04C65">
        <w:t xml:space="preserve">was reasonable based on </w:t>
      </w:r>
      <w:r w:rsidR="00F727B3" w:rsidRPr="001F6B6B">
        <w:t>the evidence presented from the NATALEE and monarchE trials.</w:t>
      </w:r>
      <w:r w:rsidR="001F6B6B" w:rsidRPr="001F6B6B">
        <w:t xml:space="preserve"> The PBAC agreed with the submission and the ESC that ribociclib has a different but non-inferior safety profile compared to abemaciclib, which may </w:t>
      </w:r>
      <w:r w:rsidR="001F6B6B">
        <w:t>assist</w:t>
      </w:r>
      <w:r w:rsidR="001F6B6B" w:rsidRPr="001F6B6B">
        <w:t xml:space="preserve"> patients</w:t>
      </w:r>
      <w:r w:rsidR="00BE6A6F">
        <w:t xml:space="preserve"> by providing an alternative treatment option</w:t>
      </w:r>
      <w:r w:rsidR="001F6B6B" w:rsidRPr="001F6B6B">
        <w:t xml:space="preserve"> </w:t>
      </w:r>
      <w:r w:rsidR="00BE6A6F">
        <w:t xml:space="preserve">to those </w:t>
      </w:r>
      <w:r w:rsidR="001F6B6B" w:rsidRPr="001F6B6B">
        <w:t>who are unable to tolerate abemaciclib.</w:t>
      </w:r>
    </w:p>
    <w:p w14:paraId="5AD2A9AF" w14:textId="6BD5F418" w:rsidR="00AB1604" w:rsidRPr="00B814B6" w:rsidRDefault="00AB1604" w:rsidP="00AB1604">
      <w:pPr>
        <w:widowControl w:val="0"/>
        <w:numPr>
          <w:ilvl w:val="1"/>
          <w:numId w:val="1"/>
        </w:numPr>
        <w:spacing w:after="120"/>
        <w:ind w:left="720"/>
        <w:rPr>
          <w:rFonts w:asciiTheme="minorHAnsi" w:hAnsiTheme="minorHAnsi"/>
          <w:snapToGrid w:val="0"/>
          <w:lang w:val="en-GB"/>
        </w:rPr>
      </w:pPr>
      <w:r w:rsidRPr="00B814B6">
        <w:t xml:space="preserve">The PBAC supported the submission’s approach to present a CMA </w:t>
      </w:r>
      <w:r w:rsidRPr="00B814B6">
        <w:rPr>
          <w:rFonts w:cs="Calibri"/>
        </w:rPr>
        <w:t xml:space="preserve">on the basis that ribociclib and abemaciclib are non-inferior in terms of effectiveness and safety. The PBAC noted that the CMA in the submission </w:t>
      </w:r>
      <w:r w:rsidR="00906EB9">
        <w:rPr>
          <w:rFonts w:cs="Calibri"/>
        </w:rPr>
        <w:t>accounted for</w:t>
      </w:r>
      <w:r w:rsidRPr="00B814B6">
        <w:rPr>
          <w:rFonts w:cs="Calibri"/>
        </w:rPr>
        <w:t xml:space="preserve"> the cost of the medicines (incorporating dose reductions), the cost of monitoring (incorporating consultations, pathologies and imaging), and the durations of treatment (based on the PBS sub-group of patients in the ribociclib NATALEE trial and the abemaciclib patients in the abemaciclib monarchE trial).</w:t>
      </w:r>
    </w:p>
    <w:p w14:paraId="552716BB" w14:textId="1D854290" w:rsidR="00A95B27" w:rsidRPr="00AB1604" w:rsidRDefault="00AB1604" w:rsidP="00D67693">
      <w:pPr>
        <w:widowControl w:val="0"/>
        <w:numPr>
          <w:ilvl w:val="1"/>
          <w:numId w:val="1"/>
        </w:numPr>
        <w:spacing w:after="120"/>
        <w:ind w:left="720"/>
        <w:rPr>
          <w:rFonts w:asciiTheme="minorHAnsi" w:hAnsiTheme="minorHAnsi"/>
          <w:snapToGrid w:val="0"/>
          <w:lang w:val="en-GB"/>
        </w:rPr>
      </w:pPr>
      <w:bookmarkStart w:id="72" w:name="_Ref182923094"/>
      <w:r w:rsidRPr="00292E81">
        <w:rPr>
          <w:rFonts w:asciiTheme="minorHAnsi" w:hAnsiTheme="minorHAnsi"/>
          <w:snapToGrid w:val="0"/>
          <w:lang w:val="en-GB"/>
        </w:rPr>
        <w:t xml:space="preserve">The PBAC </w:t>
      </w:r>
      <w:r w:rsidR="00686780">
        <w:rPr>
          <w:rFonts w:asciiTheme="minorHAnsi" w:hAnsiTheme="minorHAnsi"/>
          <w:snapToGrid w:val="0"/>
          <w:lang w:val="en-GB"/>
        </w:rPr>
        <w:t>considered</w:t>
      </w:r>
      <w:r w:rsidRPr="00292E81">
        <w:rPr>
          <w:rFonts w:asciiTheme="minorHAnsi" w:hAnsiTheme="minorHAnsi"/>
          <w:snapToGrid w:val="0"/>
          <w:lang w:val="en-GB"/>
        </w:rPr>
        <w:t xml:space="preserve"> there was some uncertainty in determining the equi-effective doses </w:t>
      </w:r>
      <w:r>
        <w:rPr>
          <w:rFonts w:asciiTheme="minorHAnsi" w:hAnsiTheme="minorHAnsi"/>
          <w:snapToGrid w:val="0"/>
          <w:lang w:val="en-GB"/>
        </w:rPr>
        <w:t>using</w:t>
      </w:r>
      <w:r w:rsidRPr="00292E81">
        <w:rPr>
          <w:rFonts w:asciiTheme="minorHAnsi" w:hAnsiTheme="minorHAnsi"/>
          <w:snapToGrid w:val="0"/>
          <w:lang w:val="en-GB"/>
        </w:rPr>
        <w:t xml:space="preserve"> the trial-based </w:t>
      </w:r>
      <w:r w:rsidR="00686780">
        <w:rPr>
          <w:rFonts w:asciiTheme="minorHAnsi" w:hAnsiTheme="minorHAnsi"/>
          <w:snapToGrid w:val="0"/>
          <w:lang w:val="en-GB"/>
        </w:rPr>
        <w:t>duration of therapies</w:t>
      </w:r>
      <w:r>
        <w:rPr>
          <w:rFonts w:asciiTheme="minorHAnsi" w:hAnsiTheme="minorHAnsi"/>
          <w:snapToGrid w:val="0"/>
          <w:lang w:val="en-GB"/>
        </w:rPr>
        <w:t xml:space="preserve"> proposed by the submission, as</w:t>
      </w:r>
      <w:r w:rsidR="00406F4B">
        <w:rPr>
          <w:rFonts w:asciiTheme="minorHAnsi" w:hAnsiTheme="minorHAnsi"/>
          <w:snapToGrid w:val="0"/>
          <w:lang w:val="en-GB"/>
        </w:rPr>
        <w:t xml:space="preserve"> they were based on data from different trials.</w:t>
      </w:r>
      <w:r w:rsidR="00920AA7">
        <w:rPr>
          <w:rFonts w:asciiTheme="minorHAnsi" w:hAnsiTheme="minorHAnsi"/>
          <w:snapToGrid w:val="0"/>
          <w:lang w:val="en-GB"/>
        </w:rPr>
        <w:t xml:space="preserve"> In this context, t</w:t>
      </w:r>
      <w:r w:rsidR="00920AA7" w:rsidRPr="00AA31E4">
        <w:rPr>
          <w:rFonts w:asciiTheme="minorHAnsi" w:hAnsiTheme="minorHAnsi"/>
          <w:snapToGrid w:val="0"/>
          <w:lang w:val="en-GB"/>
        </w:rPr>
        <w:t>he PBAC considered th</w:t>
      </w:r>
      <w:r w:rsidR="00920AA7">
        <w:rPr>
          <w:rFonts w:asciiTheme="minorHAnsi" w:hAnsiTheme="minorHAnsi"/>
          <w:snapToGrid w:val="0"/>
          <w:lang w:val="en-GB"/>
        </w:rPr>
        <w:t>at for the estimation of equi-effective doses, that in line with the clinical claim of non-</w:t>
      </w:r>
      <w:r w:rsidR="00920AA7">
        <w:rPr>
          <w:rFonts w:asciiTheme="minorHAnsi" w:hAnsiTheme="minorHAnsi"/>
          <w:snapToGrid w:val="0"/>
          <w:lang w:val="en-GB"/>
        </w:rPr>
        <w:lastRenderedPageBreak/>
        <w:t xml:space="preserve">inferiority, </w:t>
      </w:r>
      <w:r w:rsidR="00920AA7" w:rsidRPr="00AA31E4">
        <w:rPr>
          <w:rFonts w:asciiTheme="minorHAnsi" w:hAnsiTheme="minorHAnsi"/>
          <w:snapToGrid w:val="0"/>
          <w:lang w:val="en-GB"/>
        </w:rPr>
        <w:t>the</w:t>
      </w:r>
      <w:r w:rsidR="00920AA7">
        <w:rPr>
          <w:rFonts w:asciiTheme="minorHAnsi" w:hAnsiTheme="minorHAnsi"/>
          <w:snapToGrid w:val="0"/>
          <w:lang w:val="en-GB"/>
        </w:rPr>
        <w:t xml:space="preserve"> proportion of the</w:t>
      </w:r>
      <w:r w:rsidR="00920AA7" w:rsidRPr="00AA31E4">
        <w:rPr>
          <w:rFonts w:asciiTheme="minorHAnsi" w:hAnsiTheme="minorHAnsi"/>
          <w:snapToGrid w:val="0"/>
          <w:lang w:val="en-GB"/>
        </w:rPr>
        <w:t xml:space="preserve"> maximum treatment duration</w:t>
      </w:r>
      <w:r w:rsidR="00920AA7">
        <w:rPr>
          <w:rFonts w:asciiTheme="minorHAnsi" w:hAnsiTheme="minorHAnsi"/>
          <w:snapToGrid w:val="0"/>
          <w:lang w:val="en-GB"/>
        </w:rPr>
        <w:t>s</w:t>
      </w:r>
      <w:r w:rsidR="00920AA7" w:rsidRPr="00AA31E4">
        <w:rPr>
          <w:rFonts w:asciiTheme="minorHAnsi" w:hAnsiTheme="minorHAnsi"/>
          <w:snapToGrid w:val="0"/>
          <w:lang w:val="en-GB"/>
        </w:rPr>
        <w:t xml:space="preserve"> </w:t>
      </w:r>
      <w:r w:rsidR="00920AA7">
        <w:rPr>
          <w:rFonts w:asciiTheme="minorHAnsi" w:hAnsiTheme="minorHAnsi"/>
          <w:snapToGrid w:val="0"/>
          <w:lang w:val="en-GB"/>
        </w:rPr>
        <w:t xml:space="preserve">for ribociclib and for abemaciclib </w:t>
      </w:r>
      <w:r w:rsidR="00920AA7" w:rsidRPr="00AA31E4">
        <w:rPr>
          <w:rFonts w:asciiTheme="minorHAnsi" w:hAnsiTheme="minorHAnsi"/>
          <w:snapToGrid w:val="0"/>
          <w:lang w:val="en-GB"/>
        </w:rPr>
        <w:t>should be equal.</w:t>
      </w:r>
      <w:r w:rsidR="00920AA7">
        <w:rPr>
          <w:rFonts w:asciiTheme="minorHAnsi" w:hAnsiTheme="minorHAnsi"/>
          <w:snapToGrid w:val="0"/>
          <w:lang w:val="en-GB"/>
        </w:rPr>
        <w:t xml:space="preserve"> The PBAC noted that the submission </w:t>
      </w:r>
      <w:r w:rsidR="00920AA7" w:rsidRPr="00DB3D39">
        <w:t>estimated</w:t>
      </w:r>
      <w:r w:rsidR="00920AA7">
        <w:t xml:space="preserve"> a</w:t>
      </w:r>
      <w:r w:rsidR="00920AA7" w:rsidRPr="00DB3D39">
        <w:t xml:space="preserve"> mean duration of treatment with ribociclib </w:t>
      </w:r>
      <w:r w:rsidR="00920AA7">
        <w:t>of 11</w:t>
      </w:r>
      <w:r w:rsidR="00D67693">
        <w:t>4.8</w:t>
      </w:r>
      <w:r w:rsidR="005D3C26">
        <w:t>4</w:t>
      </w:r>
      <w:r w:rsidR="00920AA7">
        <w:t xml:space="preserve"> weeks </w:t>
      </w:r>
      <w:r w:rsidR="00D67693">
        <w:t>which is 73.6% of the maximum treatment duration</w:t>
      </w:r>
      <w:r w:rsidR="00A36121">
        <w:rPr>
          <w:rStyle w:val="FootnoteReference"/>
        </w:rPr>
        <w:footnoteReference w:id="18"/>
      </w:r>
      <w:r w:rsidR="00920AA7" w:rsidRPr="00DB3D39">
        <w:t xml:space="preserve">. </w:t>
      </w:r>
      <w:r w:rsidRPr="003F2EB3">
        <w:rPr>
          <w:rFonts w:asciiTheme="minorHAnsi" w:hAnsiTheme="minorHAnsi"/>
          <w:snapToGrid w:val="0"/>
          <w:lang w:val="en-GB"/>
        </w:rPr>
        <w:t>The PBAC considered that</w:t>
      </w:r>
      <w:r w:rsidR="003F2EB3" w:rsidRPr="003F2EB3">
        <w:rPr>
          <w:rFonts w:asciiTheme="minorHAnsi" w:hAnsiTheme="minorHAnsi"/>
          <w:snapToGrid w:val="0"/>
          <w:lang w:val="en-GB"/>
        </w:rPr>
        <w:t xml:space="preserve"> it would be reasonable to assume </w:t>
      </w:r>
      <w:r>
        <w:rPr>
          <w:rFonts w:asciiTheme="minorHAnsi" w:hAnsiTheme="minorHAnsi"/>
          <w:snapToGrid w:val="0"/>
          <w:lang w:val="en-GB"/>
        </w:rPr>
        <w:t xml:space="preserve">that </w:t>
      </w:r>
      <w:r w:rsidRPr="00482700">
        <w:rPr>
          <w:rFonts w:asciiTheme="minorHAnsi" w:hAnsiTheme="minorHAnsi"/>
          <w:snapToGrid w:val="0"/>
        </w:rPr>
        <w:t>both</w:t>
      </w:r>
      <w:r w:rsidR="007E3EBB">
        <w:rPr>
          <w:rFonts w:asciiTheme="minorHAnsi" w:hAnsiTheme="minorHAnsi"/>
          <w:snapToGrid w:val="0"/>
        </w:rPr>
        <w:t xml:space="preserve"> </w:t>
      </w:r>
      <w:r w:rsidR="007E3EBB" w:rsidRPr="00482700">
        <w:rPr>
          <w:rFonts w:asciiTheme="minorHAnsi" w:hAnsiTheme="minorHAnsi"/>
          <w:snapToGrid w:val="0"/>
        </w:rPr>
        <w:t>ribociclib</w:t>
      </w:r>
      <w:r w:rsidR="007E3EBB">
        <w:rPr>
          <w:rFonts w:asciiTheme="minorHAnsi" w:hAnsiTheme="minorHAnsi"/>
          <w:snapToGrid w:val="0"/>
        </w:rPr>
        <w:t xml:space="preserve"> and</w:t>
      </w:r>
      <w:r w:rsidRPr="00482700">
        <w:rPr>
          <w:rFonts w:asciiTheme="minorHAnsi" w:hAnsiTheme="minorHAnsi"/>
          <w:snapToGrid w:val="0"/>
        </w:rPr>
        <w:t xml:space="preserve"> abemaciclib </w:t>
      </w:r>
      <w:r>
        <w:rPr>
          <w:rFonts w:asciiTheme="minorHAnsi" w:hAnsiTheme="minorHAnsi"/>
          <w:snapToGrid w:val="0"/>
        </w:rPr>
        <w:t>would be</w:t>
      </w:r>
      <w:r w:rsidRPr="00482700">
        <w:rPr>
          <w:rFonts w:asciiTheme="minorHAnsi" w:hAnsiTheme="minorHAnsi"/>
          <w:snapToGrid w:val="0"/>
        </w:rPr>
        <w:t xml:space="preserve"> used for 7</w:t>
      </w:r>
      <w:r w:rsidR="00D67693">
        <w:rPr>
          <w:rFonts w:asciiTheme="minorHAnsi" w:hAnsiTheme="minorHAnsi"/>
          <w:snapToGrid w:val="0"/>
        </w:rPr>
        <w:t>3.6</w:t>
      </w:r>
      <w:r w:rsidRPr="00482700">
        <w:rPr>
          <w:rFonts w:asciiTheme="minorHAnsi" w:hAnsiTheme="minorHAnsi"/>
          <w:snapToGrid w:val="0"/>
        </w:rPr>
        <w:t>% of the maximum treatment duration</w:t>
      </w:r>
      <w:r w:rsidR="007E3EBB">
        <w:rPr>
          <w:rFonts w:asciiTheme="minorHAnsi" w:hAnsiTheme="minorHAnsi"/>
          <w:snapToGrid w:val="0"/>
        </w:rPr>
        <w:t xml:space="preserve"> for each agent</w:t>
      </w:r>
      <w:r w:rsidRPr="00482700">
        <w:rPr>
          <w:rFonts w:asciiTheme="minorHAnsi" w:hAnsiTheme="minorHAnsi"/>
          <w:snapToGrid w:val="0"/>
        </w:rPr>
        <w:t xml:space="preserve"> (</w:t>
      </w:r>
      <w:r w:rsidR="007E3EBB">
        <w:rPr>
          <w:rFonts w:asciiTheme="minorHAnsi" w:hAnsiTheme="minorHAnsi"/>
          <w:snapToGrid w:val="0"/>
        </w:rPr>
        <w:t>11</w:t>
      </w:r>
      <w:r w:rsidR="00D67693">
        <w:rPr>
          <w:rFonts w:asciiTheme="minorHAnsi" w:hAnsiTheme="minorHAnsi"/>
          <w:snapToGrid w:val="0"/>
        </w:rPr>
        <w:t>4.8</w:t>
      </w:r>
      <w:r w:rsidR="005D3C26">
        <w:rPr>
          <w:rFonts w:asciiTheme="minorHAnsi" w:hAnsiTheme="minorHAnsi"/>
          <w:snapToGrid w:val="0"/>
        </w:rPr>
        <w:t>4</w:t>
      </w:r>
      <w:r w:rsidR="007E3EBB">
        <w:rPr>
          <w:rFonts w:asciiTheme="minorHAnsi" w:hAnsiTheme="minorHAnsi"/>
          <w:snapToGrid w:val="0"/>
        </w:rPr>
        <w:t xml:space="preserve"> weeks and 7</w:t>
      </w:r>
      <w:r w:rsidR="009B0E17">
        <w:rPr>
          <w:rFonts w:asciiTheme="minorHAnsi" w:hAnsiTheme="minorHAnsi"/>
          <w:snapToGrid w:val="0"/>
        </w:rPr>
        <w:t>6.5</w:t>
      </w:r>
      <w:r w:rsidR="005D3C26">
        <w:rPr>
          <w:rFonts w:asciiTheme="minorHAnsi" w:hAnsiTheme="minorHAnsi"/>
          <w:snapToGrid w:val="0"/>
        </w:rPr>
        <w:t>6</w:t>
      </w:r>
      <w:r w:rsidR="007E3EBB">
        <w:rPr>
          <w:rFonts w:asciiTheme="minorHAnsi" w:hAnsiTheme="minorHAnsi"/>
          <w:snapToGrid w:val="0"/>
        </w:rPr>
        <w:t xml:space="preserve"> weeks</w:t>
      </w:r>
      <w:r w:rsidR="003F2EB3">
        <w:rPr>
          <w:rFonts w:asciiTheme="minorHAnsi" w:hAnsiTheme="minorHAnsi"/>
          <w:snapToGrid w:val="0"/>
        </w:rPr>
        <w:t>,</w:t>
      </w:r>
      <w:r w:rsidRPr="00482700">
        <w:rPr>
          <w:rFonts w:asciiTheme="minorHAnsi" w:hAnsiTheme="minorHAnsi"/>
          <w:snapToGrid w:val="0"/>
        </w:rPr>
        <w:t xml:space="preserve"> respectively).</w:t>
      </w:r>
      <w:r>
        <w:rPr>
          <w:rFonts w:asciiTheme="minorHAnsi" w:hAnsiTheme="minorHAnsi"/>
          <w:snapToGrid w:val="0"/>
        </w:rPr>
        <w:t xml:space="preserve"> </w:t>
      </w:r>
      <w:bookmarkEnd w:id="72"/>
    </w:p>
    <w:p w14:paraId="35BED252" w14:textId="52B702DA" w:rsidR="00A95B27" w:rsidRPr="00B85AAE" w:rsidRDefault="00BF7E42" w:rsidP="00B85AAE">
      <w:pPr>
        <w:widowControl w:val="0"/>
        <w:numPr>
          <w:ilvl w:val="1"/>
          <w:numId w:val="1"/>
        </w:numPr>
        <w:spacing w:after="120"/>
        <w:ind w:left="720"/>
      </w:pPr>
      <w:r>
        <w:rPr>
          <w:rFonts w:asciiTheme="minorHAnsi" w:hAnsiTheme="minorHAnsi"/>
          <w:snapToGrid w:val="0"/>
          <w:lang w:val="en-GB"/>
        </w:rPr>
        <w:t xml:space="preserve">The PBAC noted that </w:t>
      </w:r>
      <w:r w:rsidR="00B742C6">
        <w:rPr>
          <w:rFonts w:asciiTheme="minorHAnsi" w:hAnsiTheme="minorHAnsi"/>
          <w:snapToGrid w:val="0"/>
          <w:lang w:val="en-GB"/>
        </w:rPr>
        <w:t xml:space="preserve">because of the short time that abemaciclib has been listed on the PBS for use in eBC that </w:t>
      </w:r>
      <w:r>
        <w:rPr>
          <w:rFonts w:asciiTheme="minorHAnsi" w:hAnsiTheme="minorHAnsi"/>
          <w:snapToGrid w:val="0"/>
          <w:lang w:val="en-GB"/>
        </w:rPr>
        <w:t xml:space="preserve">a market share approach </w:t>
      </w:r>
      <w:r w:rsidR="00B742C6">
        <w:rPr>
          <w:rFonts w:asciiTheme="minorHAnsi" w:hAnsiTheme="minorHAnsi"/>
          <w:snapToGrid w:val="0"/>
          <w:lang w:val="en-GB"/>
        </w:rPr>
        <w:t>was not able to be used to estimate</w:t>
      </w:r>
      <w:r>
        <w:rPr>
          <w:rFonts w:asciiTheme="minorHAnsi" w:hAnsiTheme="minorHAnsi"/>
          <w:snapToGrid w:val="0"/>
          <w:lang w:val="en-GB"/>
        </w:rPr>
        <w:t xml:space="preserve"> the utilisation of ribociclib. The PBAC </w:t>
      </w:r>
      <w:r w:rsidR="00F2637B">
        <w:rPr>
          <w:rFonts w:asciiTheme="minorHAnsi" w:hAnsiTheme="minorHAnsi"/>
          <w:snapToGrid w:val="0"/>
          <w:lang w:val="en-GB"/>
        </w:rPr>
        <w:t xml:space="preserve">considered that there were </w:t>
      </w:r>
      <w:r w:rsidR="00C300F0">
        <w:rPr>
          <w:rFonts w:asciiTheme="minorHAnsi" w:hAnsiTheme="minorHAnsi"/>
          <w:snapToGrid w:val="0"/>
          <w:lang w:val="en-GB"/>
        </w:rPr>
        <w:t>several</w:t>
      </w:r>
      <w:r>
        <w:rPr>
          <w:rFonts w:asciiTheme="minorHAnsi" w:hAnsiTheme="minorHAnsi"/>
          <w:snapToGrid w:val="0"/>
          <w:lang w:val="en-GB"/>
        </w:rPr>
        <w:t xml:space="preserve"> uncertainties associated with the</w:t>
      </w:r>
      <w:r w:rsidR="00C300F0">
        <w:rPr>
          <w:rFonts w:asciiTheme="minorHAnsi" w:hAnsiTheme="minorHAnsi"/>
          <w:snapToGrid w:val="0"/>
          <w:lang w:val="en-GB"/>
        </w:rPr>
        <w:t xml:space="preserve"> inputs employed in the</w:t>
      </w:r>
      <w:r>
        <w:rPr>
          <w:rFonts w:asciiTheme="minorHAnsi" w:hAnsiTheme="minorHAnsi"/>
          <w:snapToGrid w:val="0"/>
          <w:lang w:val="en-GB"/>
        </w:rPr>
        <w:t xml:space="preserve"> epidemiological approach</w:t>
      </w:r>
      <w:r w:rsidR="00C300F0">
        <w:rPr>
          <w:rFonts w:asciiTheme="minorHAnsi" w:hAnsiTheme="minorHAnsi"/>
          <w:snapToGrid w:val="0"/>
          <w:lang w:val="en-GB"/>
        </w:rPr>
        <w:t xml:space="preserve">, such as treatment duration, compliance (overestimated </w:t>
      </w:r>
      <w:r w:rsidR="00C776E4">
        <w:rPr>
          <w:rFonts w:asciiTheme="minorHAnsi" w:hAnsiTheme="minorHAnsi"/>
          <w:snapToGrid w:val="0"/>
          <w:lang w:val="en-GB"/>
        </w:rPr>
        <w:t xml:space="preserve">at 100% </w:t>
      </w:r>
      <w:r w:rsidR="00C300F0">
        <w:rPr>
          <w:rFonts w:asciiTheme="minorHAnsi" w:hAnsiTheme="minorHAnsi"/>
          <w:snapToGrid w:val="0"/>
          <w:lang w:val="en-GB"/>
        </w:rPr>
        <w:t>for ribociclib</w:t>
      </w:r>
      <w:r w:rsidR="00C776E4">
        <w:rPr>
          <w:rFonts w:asciiTheme="minorHAnsi" w:hAnsiTheme="minorHAnsi"/>
          <w:snapToGrid w:val="0"/>
          <w:lang w:val="en-GB"/>
        </w:rPr>
        <w:t>; the PBAC considered that 84% was more reasonable (see paragraph 6.65)</w:t>
      </w:r>
      <w:r w:rsidR="00C300F0">
        <w:rPr>
          <w:rFonts w:asciiTheme="minorHAnsi" w:hAnsiTheme="minorHAnsi"/>
          <w:snapToGrid w:val="0"/>
          <w:lang w:val="en-GB"/>
        </w:rPr>
        <w:t>), monitoring costs (underestimated for ribociclib), uptake rate of CDK4/6 inhibitors</w:t>
      </w:r>
      <w:r w:rsidR="00981738">
        <w:rPr>
          <w:rFonts w:asciiTheme="minorHAnsi" w:hAnsiTheme="minorHAnsi"/>
          <w:snapToGrid w:val="0"/>
          <w:lang w:val="en-GB"/>
        </w:rPr>
        <w:t xml:space="preserve"> in the eBC population (overestimated),</w:t>
      </w:r>
      <w:r w:rsidR="00C300F0">
        <w:rPr>
          <w:rFonts w:asciiTheme="minorHAnsi" w:hAnsiTheme="minorHAnsi"/>
          <w:snapToGrid w:val="0"/>
          <w:lang w:val="en-GB"/>
        </w:rPr>
        <w:t xml:space="preserve"> and the market share of ribociclib </w:t>
      </w:r>
      <w:r w:rsidR="00981738">
        <w:rPr>
          <w:rFonts w:asciiTheme="minorHAnsi" w:hAnsiTheme="minorHAnsi"/>
          <w:snapToGrid w:val="0"/>
          <w:lang w:val="en-GB"/>
        </w:rPr>
        <w:t>within</w:t>
      </w:r>
      <w:r w:rsidR="00C300F0">
        <w:rPr>
          <w:rFonts w:asciiTheme="minorHAnsi" w:hAnsiTheme="minorHAnsi"/>
          <w:snapToGrid w:val="0"/>
          <w:lang w:val="en-GB"/>
        </w:rPr>
        <w:t xml:space="preserve"> the eBC population treated with CDK4/6 inhibitors (underestimated).</w:t>
      </w:r>
      <w:r>
        <w:rPr>
          <w:rFonts w:asciiTheme="minorHAnsi" w:hAnsiTheme="minorHAnsi"/>
          <w:snapToGrid w:val="0"/>
          <w:lang w:val="en-GB"/>
        </w:rPr>
        <w:t xml:space="preserve"> </w:t>
      </w:r>
      <w:r w:rsidR="003B046D">
        <w:rPr>
          <w:rFonts w:asciiTheme="minorHAnsi" w:hAnsiTheme="minorHAnsi"/>
          <w:snapToGrid w:val="0"/>
          <w:lang w:val="en-GB"/>
        </w:rPr>
        <w:t xml:space="preserve">However, given listing is proposed based on a CMA, </w:t>
      </w:r>
      <w:r w:rsidR="003B046D">
        <w:t>t</w:t>
      </w:r>
      <w:r w:rsidR="00C31ACC" w:rsidRPr="001B3C28">
        <w:t xml:space="preserve">he </w:t>
      </w:r>
      <w:r w:rsidR="00C31ACC">
        <w:t>PBAC</w:t>
      </w:r>
      <w:r w:rsidR="00C31ACC" w:rsidRPr="001B3C28">
        <w:t xml:space="preserve"> considered it would be appropriate for ribociclib to join the existing RSA for abemaciclib.</w:t>
      </w:r>
    </w:p>
    <w:p w14:paraId="6D225004" w14:textId="5557CC0E" w:rsidR="00A95B27" w:rsidRPr="00B85AAE" w:rsidRDefault="009823FD" w:rsidP="007C073C">
      <w:pPr>
        <w:pStyle w:val="3-BodyText"/>
        <w:rPr>
          <w:b/>
          <w:bCs/>
          <w:lang w:val="en-GB"/>
        </w:rPr>
      </w:pPr>
      <w:r w:rsidRPr="00D121C5">
        <w:rPr>
          <w:lang w:val="en-GB"/>
        </w:rPr>
        <w:t xml:space="preserve">The PBAC noted that its recommendation was on a cost-minimisation basis and advised that, because </w:t>
      </w:r>
      <w:r>
        <w:rPr>
          <w:lang w:val="en-GB"/>
        </w:rPr>
        <w:t>ribociclib</w:t>
      </w:r>
      <w:r w:rsidRPr="00D121C5">
        <w:rPr>
          <w:lang w:val="en-GB"/>
        </w:rPr>
        <w:t xml:space="preserve"> is not expected to provide a substantial</w:t>
      </w:r>
      <w:r w:rsidRPr="00D121C5">
        <w:rPr>
          <w:bCs/>
          <w:lang w:val="en-GB"/>
        </w:rPr>
        <w:t xml:space="preserve"> and</w:t>
      </w:r>
      <w:r w:rsidRPr="00531A05">
        <w:rPr>
          <w:bCs/>
          <w:lang w:val="en-GB"/>
        </w:rPr>
        <w:t xml:space="preserve"> clinically relevant improvement in efficacy, or reduction of toxicity, over </w:t>
      </w:r>
      <w:r>
        <w:rPr>
          <w:bCs/>
          <w:lang w:val="en-GB"/>
        </w:rPr>
        <w:t>abemaciclib</w:t>
      </w:r>
      <w:r w:rsidRPr="00531A05">
        <w:rPr>
          <w:bCs/>
          <w:lang w:val="en-GB"/>
        </w:rPr>
        <w:t xml:space="preserve">, </w:t>
      </w:r>
      <w:r>
        <w:rPr>
          <w:bCs/>
          <w:lang w:val="en-GB"/>
        </w:rPr>
        <w:t>and</w:t>
      </w:r>
      <w:r w:rsidRPr="00531A05">
        <w:rPr>
          <w:bCs/>
          <w:lang w:val="en-GB"/>
        </w:rPr>
        <w:t xml:space="preserve"> not expected to address a high and urgent unmet clinical need given the presence of an alternative therapy, the criteria prescribed by the </w:t>
      </w:r>
      <w:r w:rsidRPr="007A5703">
        <w:rPr>
          <w:bCs/>
          <w:i/>
          <w:lang w:val="en-GB"/>
        </w:rPr>
        <w:t>National Health (Pharmaceuticals and Vaccines – Cost Recovery) Regulations 20</w:t>
      </w:r>
      <w:r>
        <w:rPr>
          <w:bCs/>
          <w:i/>
          <w:lang w:val="en-GB"/>
        </w:rPr>
        <w:t>22</w:t>
      </w:r>
      <w:r w:rsidRPr="00531A05">
        <w:rPr>
          <w:bCs/>
          <w:lang w:val="en-GB"/>
        </w:rPr>
        <w:t xml:space="preserve"> for Pricing Pathway A were not met.</w:t>
      </w:r>
    </w:p>
    <w:p w14:paraId="2E8294FF" w14:textId="77A9407F" w:rsidR="00A95B27" w:rsidRPr="00B85AAE" w:rsidRDefault="009823FD" w:rsidP="00E149CE">
      <w:pPr>
        <w:widowControl w:val="0"/>
        <w:numPr>
          <w:ilvl w:val="1"/>
          <w:numId w:val="1"/>
        </w:numPr>
        <w:spacing w:after="120"/>
        <w:ind w:left="720"/>
        <w:contextualSpacing/>
        <w:rPr>
          <w:rFonts w:asciiTheme="minorHAnsi" w:hAnsiTheme="minorHAnsi"/>
          <w:bCs/>
          <w:snapToGrid w:val="0"/>
          <w:lang w:val="en-GB"/>
        </w:rPr>
      </w:pPr>
      <w:r w:rsidRPr="00525B39">
        <w:rPr>
          <w:rFonts w:asciiTheme="minorHAnsi" w:hAnsiTheme="minorHAnsi"/>
          <w:bCs/>
          <w:snapToGrid w:val="0"/>
          <w:lang w:val="en-GB"/>
        </w:rPr>
        <w:t>The PBAC noted that this submission is not eligible for an Independent Review</w:t>
      </w:r>
      <w:r>
        <w:rPr>
          <w:rFonts w:asciiTheme="minorHAnsi" w:hAnsiTheme="minorHAnsi"/>
          <w:bCs/>
          <w:snapToGrid w:val="0"/>
          <w:lang w:val="en-GB"/>
        </w:rPr>
        <w:t xml:space="preserve"> as it received a positive recommendation</w:t>
      </w:r>
      <w:r w:rsidRPr="00525B39">
        <w:rPr>
          <w:rFonts w:asciiTheme="minorHAnsi" w:hAnsiTheme="minorHAnsi"/>
          <w:bCs/>
          <w:snapToGrid w:val="0"/>
          <w:lang w:val="en-GB"/>
        </w:rPr>
        <w:t>.</w:t>
      </w:r>
    </w:p>
    <w:p w14:paraId="2EA903E6" w14:textId="77777777" w:rsidR="00837AF7" w:rsidRPr="00525B39" w:rsidRDefault="00837AF7" w:rsidP="00837AF7">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4254E961" w14:textId="6D4B6FA4" w:rsidR="00A95B27" w:rsidRPr="007C073C" w:rsidRDefault="00837AF7" w:rsidP="007C073C">
      <w:pPr>
        <w:rPr>
          <w:rFonts w:asciiTheme="minorHAnsi" w:hAnsiTheme="minorHAnsi"/>
          <w:bCs/>
          <w:snapToGrid w:val="0"/>
          <w:lang w:val="en-GB"/>
        </w:rPr>
      </w:pPr>
      <w:r w:rsidRPr="00525B39">
        <w:rPr>
          <w:rFonts w:asciiTheme="minorHAnsi" w:hAnsiTheme="minorHAnsi"/>
          <w:bCs/>
          <w:snapToGrid w:val="0"/>
          <w:lang w:val="en-GB"/>
        </w:rPr>
        <w:t>Recommended</w:t>
      </w:r>
    </w:p>
    <w:bookmarkEnd w:id="69"/>
    <w:p w14:paraId="56D03A73" w14:textId="77777777" w:rsidR="00A95B27" w:rsidRPr="00907671" w:rsidRDefault="00A95B27" w:rsidP="00A95B27">
      <w:pPr>
        <w:pStyle w:val="2-SectionHeading"/>
        <w:numPr>
          <w:ilvl w:val="0"/>
          <w:numId w:val="1"/>
        </w:numPr>
      </w:pPr>
      <w:r w:rsidRPr="00907671">
        <w:t>Recommended listing</w:t>
      </w:r>
    </w:p>
    <w:p w14:paraId="78325801" w14:textId="4C1542DC" w:rsidR="00837AF7" w:rsidRPr="007C073C" w:rsidRDefault="00837AF7" w:rsidP="007C073C">
      <w:pPr>
        <w:pStyle w:val="3-BodyText"/>
        <w:rPr>
          <w:b/>
          <w:snapToGrid w:val="0"/>
        </w:rPr>
      </w:pPr>
      <w:r w:rsidRPr="00837AF7">
        <w:rPr>
          <w:snapToGrid w:val="0"/>
        </w:rPr>
        <w:t xml:space="preserve">Add new </w:t>
      </w:r>
      <w:r w:rsidR="0078669F">
        <w:rPr>
          <w:snapToGrid w:val="0"/>
        </w:rPr>
        <w:t>indications as follows</w:t>
      </w:r>
      <w:r w:rsidRPr="00837AF7">
        <w:rPr>
          <w:snapToGrid w:val="0"/>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
        <w:gridCol w:w="908"/>
        <w:gridCol w:w="2126"/>
        <w:gridCol w:w="1418"/>
        <w:gridCol w:w="992"/>
        <w:gridCol w:w="850"/>
        <w:gridCol w:w="851"/>
        <w:gridCol w:w="1417"/>
      </w:tblGrid>
      <w:tr w:rsidR="00837AF7" w:rsidRPr="00837AF7" w14:paraId="77975781" w14:textId="77777777" w:rsidTr="007E2F65">
        <w:trPr>
          <w:cantSplit/>
          <w:trHeight w:val="20"/>
        </w:trPr>
        <w:tc>
          <w:tcPr>
            <w:tcW w:w="3539" w:type="dxa"/>
            <w:gridSpan w:val="3"/>
          </w:tcPr>
          <w:p w14:paraId="02A9E2A5" w14:textId="77777777" w:rsidR="00837AF7" w:rsidRPr="00837AF7" w:rsidRDefault="00837AF7" w:rsidP="0054165A">
            <w:pPr>
              <w:keepNext/>
              <w:ind w:left="-57"/>
              <w:rPr>
                <w:rFonts w:ascii="Arial Narrow" w:hAnsi="Arial Narrow"/>
                <w:b/>
                <w:sz w:val="20"/>
                <w:szCs w:val="20"/>
              </w:rPr>
            </w:pPr>
            <w:bookmarkStart w:id="73" w:name="_Hlk183093078"/>
            <w:r w:rsidRPr="00837AF7">
              <w:rPr>
                <w:rFonts w:ascii="Arial Narrow" w:hAnsi="Arial Narrow"/>
                <w:b/>
                <w:sz w:val="20"/>
                <w:szCs w:val="20"/>
              </w:rPr>
              <w:lastRenderedPageBreak/>
              <w:t>MEDICINAL PRODUCT</w:t>
            </w:r>
          </w:p>
          <w:p w14:paraId="4A6885D8" w14:textId="77777777" w:rsidR="00837AF7" w:rsidRPr="00837AF7" w:rsidRDefault="00837AF7" w:rsidP="0054165A">
            <w:pPr>
              <w:keepNext/>
              <w:ind w:left="-57"/>
              <w:rPr>
                <w:rFonts w:ascii="Arial Narrow" w:hAnsi="Arial Narrow"/>
                <w:b/>
                <w:sz w:val="20"/>
                <w:szCs w:val="20"/>
              </w:rPr>
            </w:pPr>
            <w:r w:rsidRPr="00837AF7">
              <w:rPr>
                <w:rFonts w:ascii="Arial Narrow" w:hAnsi="Arial Narrow"/>
                <w:b/>
                <w:sz w:val="20"/>
                <w:szCs w:val="20"/>
              </w:rPr>
              <w:t>medicinal product pack</w:t>
            </w:r>
          </w:p>
        </w:tc>
        <w:tc>
          <w:tcPr>
            <w:tcW w:w="1418" w:type="dxa"/>
          </w:tcPr>
          <w:p w14:paraId="26E38843" w14:textId="77777777" w:rsidR="00837AF7" w:rsidRPr="00837AF7" w:rsidRDefault="00837AF7" w:rsidP="0054165A">
            <w:pPr>
              <w:keepNext/>
              <w:ind w:left="-57"/>
              <w:jc w:val="center"/>
              <w:rPr>
                <w:rFonts w:ascii="Arial Narrow" w:hAnsi="Arial Narrow"/>
                <w:b/>
                <w:sz w:val="20"/>
                <w:szCs w:val="20"/>
              </w:rPr>
            </w:pPr>
            <w:r w:rsidRPr="00837AF7">
              <w:rPr>
                <w:rFonts w:ascii="Arial Narrow" w:hAnsi="Arial Narrow"/>
                <w:b/>
                <w:sz w:val="20"/>
                <w:szCs w:val="20"/>
              </w:rPr>
              <w:t>PBS item code</w:t>
            </w:r>
          </w:p>
        </w:tc>
        <w:tc>
          <w:tcPr>
            <w:tcW w:w="992" w:type="dxa"/>
          </w:tcPr>
          <w:p w14:paraId="01EF4630" w14:textId="77777777" w:rsidR="00837AF7" w:rsidRPr="00837AF7" w:rsidRDefault="00837AF7" w:rsidP="0054165A">
            <w:pPr>
              <w:keepNext/>
              <w:ind w:left="-57"/>
              <w:jc w:val="center"/>
              <w:rPr>
                <w:rFonts w:ascii="Arial Narrow" w:hAnsi="Arial Narrow"/>
                <w:b/>
                <w:sz w:val="20"/>
                <w:szCs w:val="20"/>
              </w:rPr>
            </w:pPr>
            <w:r w:rsidRPr="00837AF7">
              <w:rPr>
                <w:rFonts w:ascii="Arial Narrow" w:hAnsi="Arial Narrow"/>
                <w:b/>
                <w:sz w:val="20"/>
                <w:szCs w:val="20"/>
              </w:rPr>
              <w:t>Max. qty packs</w:t>
            </w:r>
          </w:p>
        </w:tc>
        <w:tc>
          <w:tcPr>
            <w:tcW w:w="850" w:type="dxa"/>
          </w:tcPr>
          <w:p w14:paraId="53645CBA" w14:textId="77777777" w:rsidR="00837AF7" w:rsidRPr="00837AF7" w:rsidRDefault="00837AF7" w:rsidP="0054165A">
            <w:pPr>
              <w:keepNext/>
              <w:ind w:left="-57"/>
              <w:jc w:val="center"/>
              <w:rPr>
                <w:rFonts w:ascii="Arial Narrow" w:hAnsi="Arial Narrow"/>
                <w:b/>
                <w:sz w:val="20"/>
                <w:szCs w:val="20"/>
              </w:rPr>
            </w:pPr>
            <w:r w:rsidRPr="00837AF7">
              <w:rPr>
                <w:rFonts w:ascii="Arial Narrow" w:hAnsi="Arial Narrow"/>
                <w:b/>
                <w:sz w:val="20"/>
                <w:szCs w:val="20"/>
              </w:rPr>
              <w:t>Max. qty units</w:t>
            </w:r>
          </w:p>
        </w:tc>
        <w:tc>
          <w:tcPr>
            <w:tcW w:w="851" w:type="dxa"/>
          </w:tcPr>
          <w:p w14:paraId="4C463BBD" w14:textId="77777777" w:rsidR="00837AF7" w:rsidRPr="00837AF7" w:rsidRDefault="00837AF7" w:rsidP="0054165A">
            <w:pPr>
              <w:keepNext/>
              <w:ind w:left="-57"/>
              <w:jc w:val="center"/>
              <w:rPr>
                <w:rFonts w:ascii="Arial Narrow" w:hAnsi="Arial Narrow"/>
                <w:b/>
                <w:sz w:val="20"/>
                <w:szCs w:val="20"/>
              </w:rPr>
            </w:pPr>
            <w:r w:rsidRPr="00837AF7">
              <w:rPr>
                <w:rFonts w:ascii="Arial Narrow" w:hAnsi="Arial Narrow"/>
                <w:b/>
                <w:sz w:val="20"/>
                <w:szCs w:val="20"/>
              </w:rPr>
              <w:t>№.of</w:t>
            </w:r>
          </w:p>
          <w:p w14:paraId="3D6EAF48" w14:textId="77777777" w:rsidR="00837AF7" w:rsidRPr="00837AF7" w:rsidRDefault="00837AF7" w:rsidP="0054165A">
            <w:pPr>
              <w:keepNext/>
              <w:ind w:left="-57"/>
              <w:jc w:val="center"/>
              <w:rPr>
                <w:rFonts w:ascii="Arial Narrow" w:hAnsi="Arial Narrow"/>
                <w:b/>
                <w:sz w:val="20"/>
                <w:szCs w:val="20"/>
              </w:rPr>
            </w:pPr>
            <w:r w:rsidRPr="00837AF7">
              <w:rPr>
                <w:rFonts w:ascii="Arial Narrow" w:hAnsi="Arial Narrow"/>
                <w:b/>
                <w:sz w:val="20"/>
                <w:szCs w:val="20"/>
              </w:rPr>
              <w:t>Rpts</w:t>
            </w:r>
          </w:p>
        </w:tc>
        <w:tc>
          <w:tcPr>
            <w:tcW w:w="1417" w:type="dxa"/>
          </w:tcPr>
          <w:p w14:paraId="5A472D07" w14:textId="77777777" w:rsidR="00837AF7" w:rsidRPr="00837AF7" w:rsidRDefault="00837AF7" w:rsidP="0054165A">
            <w:pPr>
              <w:keepNext/>
              <w:ind w:left="-57"/>
              <w:rPr>
                <w:rFonts w:ascii="Arial Narrow" w:hAnsi="Arial Narrow"/>
                <w:b/>
                <w:sz w:val="20"/>
                <w:szCs w:val="20"/>
                <w:lang w:val="fr-FR"/>
              </w:rPr>
            </w:pPr>
            <w:r w:rsidRPr="00837AF7">
              <w:rPr>
                <w:rFonts w:ascii="Arial Narrow" w:hAnsi="Arial Narrow"/>
                <w:b/>
                <w:sz w:val="20"/>
                <w:szCs w:val="20"/>
              </w:rPr>
              <w:t>Available brands</w:t>
            </w:r>
          </w:p>
        </w:tc>
      </w:tr>
      <w:tr w:rsidR="00837AF7" w:rsidRPr="00837AF7" w14:paraId="4E0FDB9D" w14:textId="77777777" w:rsidTr="007E2F65">
        <w:trPr>
          <w:cantSplit/>
          <w:trHeight w:val="20"/>
        </w:trPr>
        <w:tc>
          <w:tcPr>
            <w:tcW w:w="9067" w:type="dxa"/>
            <w:gridSpan w:val="8"/>
          </w:tcPr>
          <w:p w14:paraId="0404FAA2" w14:textId="77777777" w:rsidR="00837AF7" w:rsidRPr="00837AF7" w:rsidRDefault="00837AF7" w:rsidP="0054165A">
            <w:pPr>
              <w:keepNext/>
              <w:ind w:left="-57"/>
              <w:rPr>
                <w:rFonts w:ascii="Arial Narrow" w:hAnsi="Arial Narrow"/>
                <w:bCs/>
                <w:sz w:val="20"/>
                <w:szCs w:val="20"/>
              </w:rPr>
            </w:pPr>
            <w:r w:rsidRPr="00837AF7">
              <w:rPr>
                <w:rFonts w:ascii="Arial Narrow" w:hAnsi="Arial Narrow"/>
                <w:bCs/>
                <w:sz w:val="20"/>
                <w:szCs w:val="20"/>
              </w:rPr>
              <w:t>RIBOCICLIB</w:t>
            </w:r>
          </w:p>
        </w:tc>
      </w:tr>
      <w:tr w:rsidR="00837AF7" w:rsidRPr="00837AF7" w14:paraId="799C4402" w14:textId="77777777" w:rsidTr="007E2F65">
        <w:trPr>
          <w:cantSplit/>
          <w:trHeight w:val="20"/>
        </w:trPr>
        <w:tc>
          <w:tcPr>
            <w:tcW w:w="3539" w:type="dxa"/>
            <w:gridSpan w:val="3"/>
          </w:tcPr>
          <w:p w14:paraId="5168E9CE" w14:textId="77777777" w:rsidR="00837AF7" w:rsidRPr="00837AF7" w:rsidRDefault="00837AF7" w:rsidP="0054165A">
            <w:pPr>
              <w:keepNext/>
              <w:rPr>
                <w:rFonts w:ascii="Arial Narrow" w:hAnsi="Arial Narrow"/>
                <w:sz w:val="20"/>
                <w:szCs w:val="20"/>
              </w:rPr>
            </w:pPr>
            <w:r w:rsidRPr="00837AF7">
              <w:rPr>
                <w:rFonts w:ascii="Arial Narrow" w:hAnsi="Arial Narrow"/>
                <w:sz w:val="20"/>
                <w:szCs w:val="20"/>
              </w:rPr>
              <w:t>ribociclib 200 mg tablet, 21</w:t>
            </w:r>
          </w:p>
        </w:tc>
        <w:tc>
          <w:tcPr>
            <w:tcW w:w="1418" w:type="dxa"/>
          </w:tcPr>
          <w:p w14:paraId="40DE6086" w14:textId="77777777" w:rsidR="00837AF7" w:rsidRPr="00837AF7" w:rsidRDefault="00837AF7" w:rsidP="0054165A">
            <w:pPr>
              <w:keepNext/>
              <w:jc w:val="center"/>
              <w:rPr>
                <w:rFonts w:ascii="Arial Narrow" w:hAnsi="Arial Narrow"/>
                <w:sz w:val="20"/>
                <w:szCs w:val="20"/>
              </w:rPr>
            </w:pPr>
            <w:r w:rsidRPr="00837AF7">
              <w:rPr>
                <w:rFonts w:ascii="Arial Narrow" w:hAnsi="Arial Narrow"/>
                <w:sz w:val="20"/>
                <w:szCs w:val="20"/>
              </w:rPr>
              <w:t>NEW</w:t>
            </w:r>
          </w:p>
          <w:p w14:paraId="2E29C29B" w14:textId="77777777" w:rsidR="00837AF7" w:rsidRPr="00837AF7" w:rsidRDefault="00837AF7" w:rsidP="0054165A">
            <w:pPr>
              <w:keepNext/>
              <w:jc w:val="center"/>
              <w:rPr>
                <w:rFonts w:ascii="Arial Narrow" w:hAnsi="Arial Narrow"/>
                <w:sz w:val="20"/>
                <w:szCs w:val="20"/>
              </w:rPr>
            </w:pPr>
            <w:r w:rsidRPr="00837AF7">
              <w:rPr>
                <w:rFonts w:ascii="Arial Narrow" w:hAnsi="Arial Narrow"/>
                <w:sz w:val="20"/>
                <w:szCs w:val="20"/>
                <w:vertAlign w:val="subscript"/>
              </w:rPr>
              <w:t>MP</w:t>
            </w:r>
          </w:p>
        </w:tc>
        <w:tc>
          <w:tcPr>
            <w:tcW w:w="992" w:type="dxa"/>
          </w:tcPr>
          <w:p w14:paraId="131B8A8E" w14:textId="77777777" w:rsidR="00837AF7" w:rsidRPr="00837AF7" w:rsidRDefault="00837AF7" w:rsidP="0054165A">
            <w:pPr>
              <w:keepNext/>
              <w:ind w:left="-57"/>
              <w:jc w:val="center"/>
              <w:rPr>
                <w:rFonts w:ascii="Arial Narrow" w:hAnsi="Arial Narrow"/>
                <w:sz w:val="20"/>
                <w:szCs w:val="20"/>
              </w:rPr>
            </w:pPr>
            <w:r w:rsidRPr="00837AF7">
              <w:rPr>
                <w:rFonts w:ascii="Arial Narrow" w:hAnsi="Arial Narrow"/>
                <w:sz w:val="20"/>
                <w:szCs w:val="20"/>
              </w:rPr>
              <w:t>1</w:t>
            </w:r>
          </w:p>
        </w:tc>
        <w:tc>
          <w:tcPr>
            <w:tcW w:w="850" w:type="dxa"/>
          </w:tcPr>
          <w:p w14:paraId="229F1FB0" w14:textId="77777777" w:rsidR="00837AF7" w:rsidRPr="00837AF7" w:rsidRDefault="00837AF7" w:rsidP="0054165A">
            <w:pPr>
              <w:keepNext/>
              <w:jc w:val="center"/>
              <w:rPr>
                <w:rFonts w:ascii="Arial Narrow" w:hAnsi="Arial Narrow"/>
                <w:sz w:val="20"/>
                <w:szCs w:val="20"/>
              </w:rPr>
            </w:pPr>
            <w:r w:rsidRPr="00837AF7">
              <w:rPr>
                <w:rFonts w:ascii="Arial Narrow" w:hAnsi="Arial Narrow"/>
                <w:sz w:val="20"/>
                <w:szCs w:val="20"/>
              </w:rPr>
              <w:t>21</w:t>
            </w:r>
          </w:p>
        </w:tc>
        <w:tc>
          <w:tcPr>
            <w:tcW w:w="851" w:type="dxa"/>
          </w:tcPr>
          <w:p w14:paraId="4D8F5BF5" w14:textId="77777777" w:rsidR="00837AF7" w:rsidRPr="00837AF7" w:rsidRDefault="00837AF7" w:rsidP="0054165A">
            <w:pPr>
              <w:keepNext/>
              <w:jc w:val="center"/>
              <w:rPr>
                <w:rFonts w:ascii="Arial Narrow" w:hAnsi="Arial Narrow"/>
                <w:sz w:val="20"/>
                <w:szCs w:val="20"/>
              </w:rPr>
            </w:pPr>
            <w:r w:rsidRPr="00837AF7">
              <w:rPr>
                <w:rFonts w:ascii="Arial Narrow" w:hAnsi="Arial Narrow"/>
                <w:sz w:val="20"/>
                <w:szCs w:val="20"/>
              </w:rPr>
              <w:t>5</w:t>
            </w:r>
          </w:p>
        </w:tc>
        <w:tc>
          <w:tcPr>
            <w:tcW w:w="1417" w:type="dxa"/>
          </w:tcPr>
          <w:p w14:paraId="0FC7A89D" w14:textId="77777777" w:rsidR="00837AF7" w:rsidRPr="00837AF7" w:rsidRDefault="00837AF7" w:rsidP="0054165A">
            <w:pPr>
              <w:rPr>
                <w:rFonts w:ascii="Arial Narrow" w:hAnsi="Arial Narrow"/>
                <w:sz w:val="20"/>
                <w:szCs w:val="20"/>
              </w:rPr>
            </w:pPr>
            <w:r w:rsidRPr="00837AF7">
              <w:rPr>
                <w:rFonts w:ascii="Arial Narrow" w:hAnsi="Arial Narrow"/>
                <w:sz w:val="20"/>
                <w:szCs w:val="20"/>
              </w:rPr>
              <w:t>Kisqali</w:t>
            </w:r>
          </w:p>
        </w:tc>
      </w:tr>
      <w:tr w:rsidR="00837AF7" w:rsidRPr="00837AF7" w14:paraId="21F8BB32" w14:textId="77777777" w:rsidTr="007E2F65">
        <w:trPr>
          <w:cantSplit/>
          <w:trHeight w:val="20"/>
        </w:trPr>
        <w:tc>
          <w:tcPr>
            <w:tcW w:w="3539" w:type="dxa"/>
            <w:gridSpan w:val="3"/>
          </w:tcPr>
          <w:p w14:paraId="7AE9EAAC" w14:textId="77777777" w:rsidR="00837AF7" w:rsidRPr="00837AF7" w:rsidRDefault="00837AF7" w:rsidP="0054165A">
            <w:pPr>
              <w:keepNext/>
              <w:rPr>
                <w:rFonts w:ascii="Arial Narrow" w:hAnsi="Arial Narrow"/>
                <w:sz w:val="20"/>
                <w:szCs w:val="20"/>
              </w:rPr>
            </w:pPr>
            <w:r w:rsidRPr="00837AF7">
              <w:rPr>
                <w:rFonts w:ascii="Arial Narrow" w:hAnsi="Arial Narrow"/>
                <w:sz w:val="20"/>
                <w:szCs w:val="20"/>
              </w:rPr>
              <w:t>ribociclib 200 mg tablet, 42</w:t>
            </w:r>
          </w:p>
        </w:tc>
        <w:tc>
          <w:tcPr>
            <w:tcW w:w="1418" w:type="dxa"/>
          </w:tcPr>
          <w:p w14:paraId="7ADCC2B0" w14:textId="77777777" w:rsidR="00837AF7" w:rsidRPr="00837AF7" w:rsidRDefault="00837AF7" w:rsidP="0054165A">
            <w:pPr>
              <w:keepNext/>
              <w:jc w:val="center"/>
              <w:rPr>
                <w:rFonts w:ascii="Arial Narrow" w:hAnsi="Arial Narrow"/>
                <w:sz w:val="20"/>
                <w:szCs w:val="20"/>
              </w:rPr>
            </w:pPr>
            <w:r w:rsidRPr="00837AF7">
              <w:rPr>
                <w:rFonts w:ascii="Arial Narrow" w:hAnsi="Arial Narrow"/>
                <w:sz w:val="20"/>
                <w:szCs w:val="20"/>
              </w:rPr>
              <w:t>NEW</w:t>
            </w:r>
          </w:p>
          <w:p w14:paraId="0225E409" w14:textId="77777777" w:rsidR="00837AF7" w:rsidRPr="00837AF7" w:rsidRDefault="00837AF7" w:rsidP="0054165A">
            <w:pPr>
              <w:keepNext/>
              <w:jc w:val="center"/>
              <w:rPr>
                <w:rFonts w:ascii="Arial Narrow" w:hAnsi="Arial Narrow"/>
                <w:sz w:val="20"/>
                <w:szCs w:val="20"/>
                <w:vertAlign w:val="subscript"/>
              </w:rPr>
            </w:pPr>
            <w:r w:rsidRPr="00837AF7">
              <w:rPr>
                <w:rFonts w:ascii="Arial Narrow" w:hAnsi="Arial Narrow"/>
                <w:sz w:val="20"/>
                <w:szCs w:val="20"/>
                <w:vertAlign w:val="subscript"/>
              </w:rPr>
              <w:t>MP</w:t>
            </w:r>
          </w:p>
        </w:tc>
        <w:tc>
          <w:tcPr>
            <w:tcW w:w="992" w:type="dxa"/>
          </w:tcPr>
          <w:p w14:paraId="02A9D7C2" w14:textId="77777777" w:rsidR="00837AF7" w:rsidRPr="00837AF7" w:rsidRDefault="00837AF7" w:rsidP="0054165A">
            <w:pPr>
              <w:keepNext/>
              <w:ind w:left="-57"/>
              <w:jc w:val="center"/>
              <w:rPr>
                <w:rFonts w:ascii="Arial Narrow" w:hAnsi="Arial Narrow"/>
                <w:sz w:val="20"/>
                <w:szCs w:val="20"/>
              </w:rPr>
            </w:pPr>
            <w:r w:rsidRPr="00837AF7">
              <w:rPr>
                <w:rFonts w:ascii="Arial Narrow" w:hAnsi="Arial Narrow"/>
                <w:sz w:val="20"/>
                <w:szCs w:val="20"/>
              </w:rPr>
              <w:t>1</w:t>
            </w:r>
          </w:p>
        </w:tc>
        <w:tc>
          <w:tcPr>
            <w:tcW w:w="850" w:type="dxa"/>
          </w:tcPr>
          <w:p w14:paraId="48C6E094" w14:textId="77777777" w:rsidR="00837AF7" w:rsidRPr="00837AF7" w:rsidRDefault="00837AF7" w:rsidP="0054165A">
            <w:pPr>
              <w:keepNext/>
              <w:jc w:val="center"/>
              <w:rPr>
                <w:rFonts w:ascii="Arial Narrow" w:hAnsi="Arial Narrow"/>
                <w:sz w:val="20"/>
                <w:szCs w:val="20"/>
              </w:rPr>
            </w:pPr>
            <w:r w:rsidRPr="00837AF7">
              <w:rPr>
                <w:rFonts w:ascii="Arial Narrow" w:hAnsi="Arial Narrow"/>
                <w:sz w:val="20"/>
                <w:szCs w:val="20"/>
              </w:rPr>
              <w:t>42</w:t>
            </w:r>
          </w:p>
        </w:tc>
        <w:tc>
          <w:tcPr>
            <w:tcW w:w="851" w:type="dxa"/>
          </w:tcPr>
          <w:p w14:paraId="10A279F6" w14:textId="77777777" w:rsidR="00837AF7" w:rsidRPr="00837AF7" w:rsidRDefault="00837AF7" w:rsidP="0054165A">
            <w:pPr>
              <w:keepNext/>
              <w:jc w:val="center"/>
              <w:rPr>
                <w:rFonts w:ascii="Arial Narrow" w:hAnsi="Arial Narrow"/>
                <w:sz w:val="20"/>
                <w:szCs w:val="20"/>
              </w:rPr>
            </w:pPr>
            <w:r w:rsidRPr="00837AF7">
              <w:rPr>
                <w:rFonts w:ascii="Arial Narrow" w:hAnsi="Arial Narrow"/>
                <w:sz w:val="20"/>
                <w:szCs w:val="20"/>
              </w:rPr>
              <w:t>5</w:t>
            </w:r>
          </w:p>
        </w:tc>
        <w:tc>
          <w:tcPr>
            <w:tcW w:w="1417" w:type="dxa"/>
          </w:tcPr>
          <w:p w14:paraId="442D894A" w14:textId="77777777" w:rsidR="00837AF7" w:rsidRPr="00837AF7" w:rsidRDefault="00837AF7" w:rsidP="0054165A">
            <w:pPr>
              <w:rPr>
                <w:rFonts w:ascii="Arial Narrow" w:hAnsi="Arial Narrow"/>
                <w:sz w:val="20"/>
                <w:szCs w:val="20"/>
              </w:rPr>
            </w:pPr>
            <w:r w:rsidRPr="00837AF7">
              <w:rPr>
                <w:rFonts w:ascii="Arial Narrow" w:hAnsi="Arial Narrow"/>
                <w:sz w:val="20"/>
                <w:szCs w:val="20"/>
              </w:rPr>
              <w:t>Kisqali</w:t>
            </w:r>
          </w:p>
        </w:tc>
      </w:tr>
      <w:tr w:rsidR="00837AF7" w:rsidRPr="00837AF7" w14:paraId="44600225" w14:textId="77777777" w:rsidTr="007E2F65">
        <w:trPr>
          <w:cantSplit/>
          <w:trHeight w:val="20"/>
        </w:trPr>
        <w:tc>
          <w:tcPr>
            <w:tcW w:w="9067" w:type="dxa"/>
            <w:gridSpan w:val="8"/>
          </w:tcPr>
          <w:p w14:paraId="5E322270" w14:textId="77777777" w:rsidR="00837AF7" w:rsidRPr="00837AF7" w:rsidRDefault="00837AF7" w:rsidP="0054165A">
            <w:pPr>
              <w:keepNext/>
              <w:rPr>
                <w:rFonts w:ascii="Arial Narrow" w:hAnsi="Arial Narrow"/>
                <w:sz w:val="20"/>
                <w:szCs w:val="20"/>
              </w:rPr>
            </w:pPr>
          </w:p>
        </w:tc>
      </w:tr>
      <w:tr w:rsidR="00837AF7" w:rsidRPr="00837AF7" w14:paraId="3CFB83AC" w14:textId="77777777" w:rsidTr="007E2F65">
        <w:tblPrEx>
          <w:tblCellMar>
            <w:top w:w="15" w:type="dxa"/>
            <w:left w:w="15" w:type="dxa"/>
            <w:bottom w:w="15" w:type="dxa"/>
            <w:right w:w="15" w:type="dxa"/>
          </w:tblCellMar>
          <w:tblLook w:val="04A0" w:firstRow="1" w:lastRow="0" w:firstColumn="1" w:lastColumn="0" w:noHBand="0" w:noVBand="1"/>
        </w:tblPrEx>
        <w:trPr>
          <w:trHeight w:val="20"/>
        </w:trPr>
        <w:tc>
          <w:tcPr>
            <w:tcW w:w="9067" w:type="dxa"/>
            <w:gridSpan w:val="8"/>
            <w:vAlign w:val="center"/>
          </w:tcPr>
          <w:p w14:paraId="323F2F04" w14:textId="77777777" w:rsidR="00837AF7" w:rsidRPr="00837AF7" w:rsidRDefault="00837AF7" w:rsidP="0054165A">
            <w:pPr>
              <w:rPr>
                <w:rFonts w:ascii="Arial Narrow" w:hAnsi="Arial Narrow"/>
                <w:b/>
                <w:bCs/>
                <w:sz w:val="20"/>
                <w:szCs w:val="20"/>
                <w:lang w:val="en-GB"/>
              </w:rPr>
            </w:pPr>
            <w:r w:rsidRPr="00837AF7">
              <w:rPr>
                <w:rFonts w:ascii="Arial Narrow" w:hAnsi="Arial Narrow"/>
                <w:b/>
                <w:sz w:val="20"/>
                <w:szCs w:val="20"/>
                <w:lang w:val="en-GB"/>
              </w:rPr>
              <w:t>Restriction Summary</w:t>
            </w:r>
            <w:r w:rsidRPr="00837AF7">
              <w:rPr>
                <w:rFonts w:ascii="Arial Narrow" w:hAnsi="Arial Narrow"/>
                <w:i/>
                <w:sz w:val="20"/>
                <w:szCs w:val="20"/>
                <w:lang w:val="en-GB"/>
              </w:rPr>
              <w:t xml:space="preserve"> </w:t>
            </w:r>
            <w:r w:rsidRPr="00837AF7">
              <w:rPr>
                <w:rFonts w:ascii="Arial Narrow" w:hAnsi="Arial Narrow"/>
                <w:b/>
                <w:sz w:val="20"/>
                <w:szCs w:val="20"/>
                <w:lang w:val="en-GB"/>
              </w:rPr>
              <w:t>/ Treatment of Concept</w:t>
            </w:r>
            <w:r w:rsidRPr="00837AF7">
              <w:rPr>
                <w:rFonts w:ascii="Arial Narrow" w:hAnsi="Arial Narrow"/>
                <w:b/>
                <w:color w:val="000000" w:themeColor="text1"/>
                <w:sz w:val="20"/>
                <w:szCs w:val="20"/>
                <w:lang w:val="en-GB"/>
              </w:rPr>
              <w:t xml:space="preserve">: </w:t>
            </w:r>
            <w:r w:rsidRPr="00837AF7">
              <w:rPr>
                <w:rFonts w:ascii="Arial Narrow" w:hAnsi="Arial Narrow"/>
                <w:b/>
                <w:iCs/>
                <w:color w:val="000000" w:themeColor="text1"/>
                <w:sz w:val="20"/>
                <w:szCs w:val="20"/>
                <w:lang w:val="en-GB"/>
              </w:rPr>
              <w:t>[New 1]</w:t>
            </w:r>
          </w:p>
        </w:tc>
      </w:tr>
      <w:tr w:rsidR="00837AF7" w:rsidRPr="00837AF7" w14:paraId="48637BF8" w14:textId="77777777" w:rsidTr="007E2F65">
        <w:tblPrEx>
          <w:tblCellMar>
            <w:top w:w="15" w:type="dxa"/>
            <w:left w:w="15" w:type="dxa"/>
            <w:bottom w:w="15" w:type="dxa"/>
            <w:right w:w="15" w:type="dxa"/>
          </w:tblCellMar>
          <w:tblLook w:val="04A0" w:firstRow="1" w:lastRow="0" w:firstColumn="1" w:lastColumn="0" w:noHBand="0" w:noVBand="1"/>
        </w:tblPrEx>
        <w:trPr>
          <w:trHeight w:val="20"/>
        </w:trPr>
        <w:tc>
          <w:tcPr>
            <w:tcW w:w="1413" w:type="dxa"/>
            <w:gridSpan w:val="2"/>
            <w:vMerge w:val="restart"/>
            <w:vAlign w:val="center"/>
          </w:tcPr>
          <w:p w14:paraId="17F72172" w14:textId="5EF1B109" w:rsidR="00837AF7" w:rsidRPr="00837AF7" w:rsidRDefault="00837AF7" w:rsidP="0054165A">
            <w:pPr>
              <w:jc w:val="center"/>
              <w:rPr>
                <w:rFonts w:ascii="Arial Narrow" w:hAnsi="Arial Narrow"/>
                <w:color w:val="333333"/>
                <w:sz w:val="20"/>
                <w:szCs w:val="20"/>
              </w:rPr>
            </w:pPr>
          </w:p>
        </w:tc>
        <w:tc>
          <w:tcPr>
            <w:tcW w:w="7654" w:type="dxa"/>
            <w:gridSpan w:val="6"/>
          </w:tcPr>
          <w:p w14:paraId="7ECAE295" w14:textId="77777777" w:rsidR="00837AF7" w:rsidRPr="00837AF7" w:rsidRDefault="00837AF7" w:rsidP="0054165A">
            <w:pPr>
              <w:rPr>
                <w:rFonts w:ascii="Arial Narrow" w:hAnsi="Arial Narrow"/>
                <w:b/>
                <w:bCs/>
                <w:color w:val="333333"/>
                <w:sz w:val="20"/>
                <w:szCs w:val="20"/>
              </w:rPr>
            </w:pPr>
            <w:r w:rsidRPr="00837AF7">
              <w:rPr>
                <w:rFonts w:ascii="Arial Narrow" w:hAnsi="Arial Narrow"/>
                <w:b/>
                <w:sz w:val="20"/>
                <w:szCs w:val="20"/>
              </w:rPr>
              <w:t xml:space="preserve">Category / Program: </w:t>
            </w:r>
            <w:r w:rsidRPr="00837AF7">
              <w:rPr>
                <w:rFonts w:ascii="Arial Narrow" w:hAnsi="Arial Narrow"/>
                <w:sz w:val="20"/>
                <w:szCs w:val="20"/>
              </w:rPr>
              <w:t xml:space="preserve">GENERAL – General Schedule (Code GE) </w:t>
            </w:r>
          </w:p>
        </w:tc>
      </w:tr>
      <w:tr w:rsidR="00837AF7" w:rsidRPr="00837AF7" w14:paraId="20E73A0F" w14:textId="77777777" w:rsidTr="007E2F65">
        <w:tblPrEx>
          <w:tblCellMar>
            <w:top w:w="15" w:type="dxa"/>
            <w:left w:w="15" w:type="dxa"/>
            <w:bottom w:w="15" w:type="dxa"/>
            <w:right w:w="15" w:type="dxa"/>
          </w:tblCellMar>
          <w:tblLook w:val="04A0" w:firstRow="1" w:lastRow="0" w:firstColumn="1" w:lastColumn="0" w:noHBand="0" w:noVBand="1"/>
        </w:tblPrEx>
        <w:trPr>
          <w:trHeight w:val="20"/>
        </w:trPr>
        <w:tc>
          <w:tcPr>
            <w:tcW w:w="1413" w:type="dxa"/>
            <w:gridSpan w:val="2"/>
            <w:vMerge/>
            <w:vAlign w:val="center"/>
          </w:tcPr>
          <w:p w14:paraId="2B97AD17" w14:textId="77777777" w:rsidR="00837AF7" w:rsidRPr="00837AF7" w:rsidRDefault="00837AF7" w:rsidP="0054165A">
            <w:pPr>
              <w:jc w:val="center"/>
              <w:rPr>
                <w:rFonts w:ascii="Arial Narrow" w:hAnsi="Arial Narrow"/>
                <w:color w:val="333333"/>
                <w:sz w:val="20"/>
                <w:szCs w:val="20"/>
              </w:rPr>
            </w:pPr>
          </w:p>
        </w:tc>
        <w:tc>
          <w:tcPr>
            <w:tcW w:w="7654" w:type="dxa"/>
            <w:gridSpan w:val="6"/>
          </w:tcPr>
          <w:p w14:paraId="74D81695" w14:textId="77777777" w:rsidR="00837AF7" w:rsidRPr="00837AF7" w:rsidRDefault="00837AF7" w:rsidP="0054165A">
            <w:pPr>
              <w:rPr>
                <w:rFonts w:ascii="Arial Narrow" w:hAnsi="Arial Narrow"/>
                <w:b/>
                <w:bCs/>
                <w:color w:val="333333"/>
                <w:sz w:val="20"/>
                <w:szCs w:val="20"/>
              </w:rPr>
            </w:pPr>
            <w:r w:rsidRPr="00837AF7">
              <w:rPr>
                <w:rFonts w:ascii="Arial Narrow" w:hAnsi="Arial Narrow"/>
                <w:b/>
                <w:sz w:val="20"/>
                <w:szCs w:val="20"/>
              </w:rPr>
              <w:t xml:space="preserve">Prescriber type: </w:t>
            </w:r>
            <w:r w:rsidRPr="00837AF7">
              <w:rPr>
                <w:rFonts w:ascii="Arial Narrow" w:hAnsi="Arial Narrow"/>
                <w:sz w:val="20"/>
                <w:szCs w:val="20"/>
              </w:rPr>
              <w:fldChar w:fldCharType="begin" w:fldLock="1">
                <w:ffData>
                  <w:name w:val=""/>
                  <w:enabled/>
                  <w:calcOnExit w:val="0"/>
                  <w:checkBox>
                    <w:sizeAuto/>
                    <w:default w:val="1"/>
                  </w:checkBox>
                </w:ffData>
              </w:fldChar>
            </w:r>
            <w:r w:rsidRPr="00837AF7">
              <w:rPr>
                <w:rFonts w:ascii="Arial Narrow" w:hAnsi="Arial Narrow"/>
                <w:sz w:val="20"/>
                <w:szCs w:val="20"/>
              </w:rPr>
              <w:instrText xml:space="preserve"> FORMCHECKBOX </w:instrText>
            </w:r>
            <w:r w:rsidRPr="00837AF7">
              <w:rPr>
                <w:rFonts w:ascii="Arial Narrow" w:hAnsi="Arial Narrow"/>
                <w:sz w:val="20"/>
                <w:szCs w:val="20"/>
              </w:rPr>
            </w:r>
            <w:r w:rsidRPr="00837AF7">
              <w:rPr>
                <w:rFonts w:ascii="Arial Narrow" w:hAnsi="Arial Narrow"/>
                <w:sz w:val="20"/>
                <w:szCs w:val="20"/>
              </w:rPr>
              <w:fldChar w:fldCharType="separate"/>
            </w:r>
            <w:r w:rsidRPr="00837AF7">
              <w:rPr>
                <w:rFonts w:ascii="Arial Narrow" w:hAnsi="Arial Narrow"/>
                <w:sz w:val="20"/>
                <w:szCs w:val="20"/>
              </w:rPr>
              <w:fldChar w:fldCharType="end"/>
            </w:r>
            <w:r w:rsidRPr="00837AF7">
              <w:rPr>
                <w:rFonts w:ascii="Arial Narrow" w:hAnsi="Arial Narrow"/>
                <w:sz w:val="20"/>
                <w:szCs w:val="20"/>
              </w:rPr>
              <w:t xml:space="preserve"> Medical Practitioners </w:t>
            </w:r>
          </w:p>
        </w:tc>
      </w:tr>
      <w:tr w:rsidR="00837AF7" w:rsidRPr="00837AF7" w14:paraId="4CC42774" w14:textId="77777777" w:rsidTr="007E2F65">
        <w:tblPrEx>
          <w:tblCellMar>
            <w:top w:w="15" w:type="dxa"/>
            <w:left w:w="15" w:type="dxa"/>
            <w:bottom w:w="15" w:type="dxa"/>
            <w:right w:w="15" w:type="dxa"/>
          </w:tblCellMar>
          <w:tblLook w:val="04A0" w:firstRow="1" w:lastRow="0" w:firstColumn="1" w:lastColumn="0" w:noHBand="0" w:noVBand="1"/>
        </w:tblPrEx>
        <w:trPr>
          <w:trHeight w:val="20"/>
        </w:trPr>
        <w:tc>
          <w:tcPr>
            <w:tcW w:w="1413" w:type="dxa"/>
            <w:gridSpan w:val="2"/>
            <w:vMerge/>
            <w:vAlign w:val="center"/>
          </w:tcPr>
          <w:p w14:paraId="61AB0287" w14:textId="77777777" w:rsidR="00837AF7" w:rsidRPr="00837AF7" w:rsidRDefault="00837AF7" w:rsidP="0054165A">
            <w:pPr>
              <w:jc w:val="center"/>
              <w:rPr>
                <w:rFonts w:ascii="Arial Narrow" w:hAnsi="Arial Narrow"/>
                <w:color w:val="333333"/>
                <w:sz w:val="20"/>
                <w:szCs w:val="20"/>
              </w:rPr>
            </w:pPr>
          </w:p>
        </w:tc>
        <w:tc>
          <w:tcPr>
            <w:tcW w:w="7654" w:type="dxa"/>
            <w:gridSpan w:val="6"/>
          </w:tcPr>
          <w:p w14:paraId="788CCDE8" w14:textId="77777777" w:rsidR="00837AF7" w:rsidRPr="00837AF7" w:rsidRDefault="00837AF7" w:rsidP="0054165A">
            <w:pPr>
              <w:rPr>
                <w:rFonts w:ascii="Arial Narrow" w:hAnsi="Arial Narrow"/>
                <w:b/>
                <w:bCs/>
                <w:color w:val="333333"/>
                <w:sz w:val="20"/>
                <w:szCs w:val="20"/>
              </w:rPr>
            </w:pPr>
            <w:r w:rsidRPr="00837AF7">
              <w:rPr>
                <w:rFonts w:ascii="Arial Narrow" w:hAnsi="Arial Narrow"/>
                <w:b/>
                <w:sz w:val="20"/>
                <w:szCs w:val="20"/>
              </w:rPr>
              <w:t xml:space="preserve">Restriction type: </w:t>
            </w:r>
            <w:r w:rsidRPr="00837AF7">
              <w:rPr>
                <w:rFonts w:ascii="Arial Narrow" w:eastAsia="Calibri" w:hAnsi="Arial Narrow"/>
                <w:sz w:val="20"/>
                <w:szCs w:val="20"/>
              </w:rPr>
              <w:fldChar w:fldCharType="begin" w:fldLock="1">
                <w:ffData>
                  <w:name w:val=""/>
                  <w:enabled/>
                  <w:calcOnExit w:val="0"/>
                  <w:checkBox>
                    <w:sizeAuto/>
                    <w:default w:val="1"/>
                  </w:checkBox>
                </w:ffData>
              </w:fldChar>
            </w:r>
            <w:r w:rsidRPr="00837AF7">
              <w:rPr>
                <w:rFonts w:ascii="Arial Narrow" w:eastAsia="Calibri" w:hAnsi="Arial Narrow"/>
                <w:sz w:val="20"/>
                <w:szCs w:val="20"/>
              </w:rPr>
              <w:instrText xml:space="preserve"> FORMCHECKBOX </w:instrText>
            </w:r>
            <w:r w:rsidRPr="00837AF7">
              <w:rPr>
                <w:rFonts w:ascii="Arial Narrow" w:eastAsia="Calibri" w:hAnsi="Arial Narrow"/>
                <w:sz w:val="20"/>
                <w:szCs w:val="20"/>
              </w:rPr>
            </w:r>
            <w:r w:rsidRPr="00837AF7">
              <w:rPr>
                <w:rFonts w:ascii="Arial Narrow" w:eastAsia="Calibri" w:hAnsi="Arial Narrow"/>
                <w:sz w:val="20"/>
                <w:szCs w:val="20"/>
              </w:rPr>
              <w:fldChar w:fldCharType="separate"/>
            </w:r>
            <w:r w:rsidRPr="00837AF7">
              <w:rPr>
                <w:rFonts w:ascii="Arial Narrow" w:eastAsia="Calibri" w:hAnsi="Arial Narrow"/>
                <w:sz w:val="20"/>
                <w:szCs w:val="20"/>
              </w:rPr>
              <w:fldChar w:fldCharType="end"/>
            </w:r>
            <w:r w:rsidRPr="00837AF7">
              <w:rPr>
                <w:rFonts w:ascii="Arial Narrow" w:eastAsia="Calibri" w:hAnsi="Arial Narrow"/>
                <w:sz w:val="20"/>
                <w:szCs w:val="20"/>
              </w:rPr>
              <w:t xml:space="preserve"> Authority Required (telephone/online PBS Authorities system) </w:t>
            </w:r>
          </w:p>
        </w:tc>
      </w:tr>
      <w:tr w:rsidR="00837AF7" w:rsidRPr="00837AF7" w14:paraId="33A7F1AE" w14:textId="77777777" w:rsidTr="007E2F65">
        <w:tblPrEx>
          <w:tblLook w:val="04A0" w:firstRow="1" w:lastRow="0" w:firstColumn="1" w:lastColumn="0" w:noHBand="0" w:noVBand="1"/>
        </w:tblPrEx>
        <w:trPr>
          <w:trHeight w:val="20"/>
        </w:trPr>
        <w:tc>
          <w:tcPr>
            <w:tcW w:w="505" w:type="dxa"/>
            <w:vMerge w:val="restar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extDirection w:val="btLr"/>
            <w:vAlign w:val="center"/>
          </w:tcPr>
          <w:p w14:paraId="1C2A75D1" w14:textId="15DEEC81" w:rsidR="00837AF7" w:rsidRPr="00837AF7" w:rsidRDefault="00837AF7" w:rsidP="0054165A">
            <w:pPr>
              <w:jc w:val="center"/>
              <w:rPr>
                <w:rFonts w:ascii="Arial Narrow" w:hAnsi="Arial Narrow"/>
                <w:kern w:val="2"/>
                <w:sz w:val="18"/>
                <w:szCs w:val="18"/>
                <w14:ligatures w14:val="standardContextual"/>
              </w:rPr>
            </w:pPr>
          </w:p>
        </w:tc>
        <w:tc>
          <w:tcPr>
            <w:tcW w:w="908" w:type="dxa"/>
            <w:tcBorders>
              <w:top w:val="single" w:sz="4" w:space="0" w:color="auto"/>
              <w:left w:val="nil"/>
              <w:bottom w:val="single" w:sz="4" w:space="0" w:color="auto"/>
              <w:right w:val="single" w:sz="4" w:space="0" w:color="auto"/>
            </w:tcBorders>
            <w:tcMar>
              <w:top w:w="15" w:type="dxa"/>
              <w:left w:w="108" w:type="dxa"/>
              <w:bottom w:w="15" w:type="dxa"/>
              <w:right w:w="108" w:type="dxa"/>
            </w:tcMar>
          </w:tcPr>
          <w:p w14:paraId="23F6A340" w14:textId="2423BDBF" w:rsidR="00837AF7" w:rsidRPr="00837AF7" w:rsidRDefault="00837AF7" w:rsidP="0054165A">
            <w:pPr>
              <w:jc w:val="center"/>
              <w:rPr>
                <w:rFonts w:ascii="Arial Narrow" w:hAnsi="Arial Narrow" w:cs="Open Sans"/>
                <w:color w:val="333333"/>
                <w:kern w:val="2"/>
                <w:sz w:val="18"/>
                <w:szCs w:val="18"/>
                <w14:ligatures w14:val="standardContextual"/>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47E19D4D" w14:textId="77777777" w:rsidR="00837AF7" w:rsidRPr="00837AF7" w:rsidRDefault="00837AF7" w:rsidP="0054165A">
            <w:pPr>
              <w:pStyle w:val="NormalWeb"/>
              <w:spacing w:before="0" w:after="0" w:line="256" w:lineRule="auto"/>
              <w:textAlignment w:val="baseline"/>
              <w:rPr>
                <w:rFonts w:ascii="Arial Narrow" w:hAnsi="Arial Narrow" w:cs="Open Sans"/>
                <w:color w:val="333333"/>
                <w:kern w:val="2"/>
                <w:sz w:val="20"/>
                <w:szCs w:val="20"/>
                <w:lang w:eastAsia="en-US"/>
                <w14:ligatures w14:val="standardContextual"/>
              </w:rPr>
            </w:pPr>
            <w:r w:rsidRPr="00837AF7">
              <w:rPr>
                <w:rStyle w:val="Strong"/>
                <w:rFonts w:ascii="Arial Narrow" w:hAnsi="Arial Narrow" w:cs="Open Sans"/>
                <w:color w:val="333333"/>
                <w:kern w:val="2"/>
                <w:sz w:val="20"/>
                <w:szCs w:val="20"/>
                <w:bdr w:val="none" w:sz="0" w:space="0" w:color="auto" w:frame="1"/>
                <w:lang w:eastAsia="en-US"/>
                <w14:ligatures w14:val="standardContextual"/>
              </w:rPr>
              <w:t>Administrative Advice:</w:t>
            </w:r>
          </w:p>
          <w:p w14:paraId="355C5EA7" w14:textId="77777777" w:rsidR="00837AF7" w:rsidRPr="00837AF7" w:rsidRDefault="00837AF7" w:rsidP="0054165A">
            <w:pPr>
              <w:pStyle w:val="NormalWeb"/>
              <w:spacing w:before="0" w:after="0" w:line="256" w:lineRule="auto"/>
              <w:textAlignment w:val="baseline"/>
              <w:rPr>
                <w:rStyle w:val="Strong"/>
                <w:bdr w:val="none" w:sz="0" w:space="0" w:color="auto" w:frame="1"/>
              </w:rPr>
            </w:pPr>
            <w:r w:rsidRPr="00837AF7">
              <w:rPr>
                <w:rFonts w:ascii="Arial Narrow" w:hAnsi="Arial Narrow" w:cs="Open Sans"/>
                <w:color w:val="333333"/>
                <w:kern w:val="2"/>
                <w:sz w:val="20"/>
                <w:szCs w:val="20"/>
                <w:lang w:eastAsia="en-US"/>
                <w14:ligatures w14:val="standardContextual"/>
              </w:rPr>
              <w:t>Non-steroidal aromatase inhibitors for the purposes of this restriction are anastrozole and letrozole.</w:t>
            </w:r>
          </w:p>
        </w:tc>
      </w:tr>
      <w:tr w:rsidR="00976353" w:rsidRPr="00837AF7" w14:paraId="00BDB34F" w14:textId="77777777" w:rsidTr="007E2F65">
        <w:tblPrEx>
          <w:tblLook w:val="04A0" w:firstRow="1" w:lastRow="0" w:firstColumn="1" w:lastColumn="0" w:noHBand="0" w:noVBand="1"/>
        </w:tblPrEx>
        <w:trPr>
          <w:trHeight w:val="20"/>
        </w:trPr>
        <w:tc>
          <w:tcPr>
            <w:tcW w:w="505" w:type="dxa"/>
            <w:vMerge/>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extDirection w:val="btLr"/>
            <w:vAlign w:val="center"/>
          </w:tcPr>
          <w:p w14:paraId="3B7B2527" w14:textId="77777777" w:rsidR="00976353" w:rsidRPr="00837AF7" w:rsidRDefault="00976353" w:rsidP="0054165A">
            <w:pPr>
              <w:jc w:val="center"/>
              <w:rPr>
                <w:rFonts w:ascii="Arial Narrow" w:hAnsi="Arial Narrow"/>
                <w:kern w:val="2"/>
                <w:sz w:val="18"/>
                <w:szCs w:val="18"/>
                <w14:ligatures w14:val="standardContextual"/>
              </w:rPr>
            </w:pPr>
          </w:p>
        </w:tc>
        <w:tc>
          <w:tcPr>
            <w:tcW w:w="908" w:type="dxa"/>
            <w:tcBorders>
              <w:top w:val="single" w:sz="4" w:space="0" w:color="auto"/>
              <w:left w:val="nil"/>
              <w:bottom w:val="single" w:sz="4" w:space="0" w:color="auto"/>
              <w:right w:val="single" w:sz="4" w:space="0" w:color="auto"/>
            </w:tcBorders>
            <w:tcMar>
              <w:top w:w="15" w:type="dxa"/>
              <w:left w:w="108" w:type="dxa"/>
              <w:bottom w:w="15" w:type="dxa"/>
              <w:right w:w="108" w:type="dxa"/>
            </w:tcMar>
          </w:tcPr>
          <w:p w14:paraId="7E4D0BDA" w14:textId="0A331AA9" w:rsidR="00976353" w:rsidRPr="00837AF7" w:rsidRDefault="00976353" w:rsidP="0054165A">
            <w:pPr>
              <w:jc w:val="center"/>
              <w:rPr>
                <w:rFonts w:ascii="Arial Narrow" w:hAnsi="Arial Narrow" w:cs="Open Sans"/>
                <w:color w:val="333333"/>
                <w:kern w:val="2"/>
                <w:sz w:val="18"/>
                <w:szCs w:val="18"/>
                <w14:ligatures w14:val="standardContextual"/>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54AB3B0D" w14:textId="77777777" w:rsidR="00976353" w:rsidRPr="00976353" w:rsidRDefault="00976353" w:rsidP="00976353">
            <w:pPr>
              <w:shd w:val="clear" w:color="auto" w:fill="FFFFFF"/>
              <w:jc w:val="left"/>
              <w:textAlignment w:val="baseline"/>
              <w:rPr>
                <w:rFonts w:ascii="Arial Narrow" w:hAnsi="Arial Narrow" w:cs="Open Sans"/>
                <w:color w:val="333333"/>
                <w:sz w:val="20"/>
                <w:szCs w:val="20"/>
              </w:rPr>
            </w:pPr>
            <w:r w:rsidRPr="00976353">
              <w:rPr>
                <w:rFonts w:ascii="Arial Narrow" w:hAnsi="Arial Narrow" w:cs="Open Sans"/>
                <w:b/>
                <w:bCs/>
                <w:color w:val="333333"/>
                <w:sz w:val="20"/>
                <w:szCs w:val="20"/>
                <w:bdr w:val="none" w:sz="0" w:space="0" w:color="auto" w:frame="1"/>
              </w:rPr>
              <w:t>Administrative Advice:</w:t>
            </w:r>
          </w:p>
          <w:p w14:paraId="6CCC9D5C" w14:textId="609C3ACD" w:rsidR="00976353" w:rsidRPr="00976353" w:rsidRDefault="00976353" w:rsidP="00976353">
            <w:pPr>
              <w:jc w:val="left"/>
              <w:textAlignment w:val="baseline"/>
              <w:rPr>
                <w:rStyle w:val="Strong"/>
                <w:rFonts w:ascii="Arial Narrow" w:hAnsi="Arial Narrow" w:cs="Times New Roman"/>
                <w:b w:val="0"/>
                <w:bCs w:val="0"/>
                <w:sz w:val="20"/>
                <w:szCs w:val="20"/>
              </w:rPr>
            </w:pPr>
            <w:r w:rsidRPr="00976353">
              <w:rPr>
                <w:rFonts w:ascii="Arial Narrow" w:hAnsi="Arial Narrow" w:cs="Times New Roman"/>
                <w:sz w:val="20"/>
                <w:szCs w:val="20"/>
              </w:rPr>
              <w:t>Cyclin-dependent kinase 4 and 6 (CDK4/6) inhibitors for the purposes of this restriction are abemaciclib, palbociclib and ribociclib.</w:t>
            </w:r>
          </w:p>
        </w:tc>
      </w:tr>
      <w:tr w:rsidR="00837AF7" w:rsidRPr="00837AF7" w14:paraId="0D897FF3" w14:textId="77777777" w:rsidTr="007E2F65">
        <w:tblPrEx>
          <w:tblLook w:val="04A0" w:firstRow="1" w:lastRow="0" w:firstColumn="1" w:lastColumn="0" w:noHBand="0" w:noVBand="1"/>
        </w:tblPrEx>
        <w:trPr>
          <w:trHeight w:val="20"/>
        </w:trPr>
        <w:tc>
          <w:tcPr>
            <w:tcW w:w="505" w:type="dxa"/>
            <w:vMerge/>
            <w:tcBorders>
              <w:top w:val="single" w:sz="4" w:space="0" w:color="auto"/>
              <w:left w:val="single" w:sz="4" w:space="0" w:color="auto"/>
              <w:bottom w:val="single" w:sz="4" w:space="0" w:color="auto"/>
              <w:right w:val="single" w:sz="4" w:space="0" w:color="auto"/>
            </w:tcBorders>
            <w:vAlign w:val="center"/>
          </w:tcPr>
          <w:p w14:paraId="4CEF5EDA" w14:textId="77777777" w:rsidR="00837AF7" w:rsidRPr="00837AF7" w:rsidRDefault="00837AF7" w:rsidP="0054165A">
            <w:pPr>
              <w:rPr>
                <w:rFonts w:ascii="Arial Narrow" w:hAnsi="Arial Narrow"/>
                <w:kern w:val="2"/>
                <w:sz w:val="18"/>
                <w:szCs w:val="18"/>
                <w14:ligatures w14:val="standardContextual"/>
              </w:rPr>
            </w:pPr>
          </w:p>
        </w:tc>
        <w:tc>
          <w:tcPr>
            <w:tcW w:w="908" w:type="dxa"/>
            <w:tcBorders>
              <w:top w:val="single" w:sz="4" w:space="0" w:color="auto"/>
              <w:left w:val="nil"/>
              <w:bottom w:val="single" w:sz="4" w:space="0" w:color="auto"/>
              <w:right w:val="single" w:sz="4" w:space="0" w:color="auto"/>
            </w:tcBorders>
            <w:tcMar>
              <w:top w:w="15" w:type="dxa"/>
              <w:left w:w="108" w:type="dxa"/>
              <w:bottom w:w="15" w:type="dxa"/>
              <w:right w:w="108" w:type="dxa"/>
            </w:tcMar>
          </w:tcPr>
          <w:p w14:paraId="1616A558" w14:textId="659289CD" w:rsidR="00837AF7" w:rsidRPr="00837AF7" w:rsidRDefault="00837AF7" w:rsidP="0054165A">
            <w:pPr>
              <w:jc w:val="cente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7DD1D3C4" w14:textId="77777777" w:rsidR="00837AF7" w:rsidRPr="00837AF7" w:rsidRDefault="00837AF7" w:rsidP="0054165A">
            <w:pPr>
              <w:pStyle w:val="NormalWeb"/>
              <w:spacing w:before="0" w:after="0" w:line="256" w:lineRule="auto"/>
              <w:textAlignment w:val="baseline"/>
              <w:rPr>
                <w:rFonts w:ascii="Arial Narrow" w:hAnsi="Arial Narrow" w:cs="Open Sans"/>
                <w:color w:val="333333"/>
                <w:kern w:val="2"/>
                <w:sz w:val="20"/>
                <w:szCs w:val="20"/>
                <w:lang w:eastAsia="en-US"/>
                <w14:ligatures w14:val="standardContextual"/>
              </w:rPr>
            </w:pPr>
            <w:r w:rsidRPr="00837AF7">
              <w:rPr>
                <w:rStyle w:val="Strong"/>
                <w:rFonts w:ascii="Arial Narrow" w:hAnsi="Arial Narrow" w:cs="Open Sans"/>
                <w:color w:val="333333"/>
                <w:kern w:val="2"/>
                <w:sz w:val="20"/>
                <w:szCs w:val="20"/>
                <w:bdr w:val="none" w:sz="0" w:space="0" w:color="auto" w:frame="1"/>
                <w:lang w:eastAsia="en-US"/>
                <w14:ligatures w14:val="standardContextual"/>
              </w:rPr>
              <w:t>Administrative Advice:</w:t>
            </w:r>
          </w:p>
          <w:p w14:paraId="75B60C3F" w14:textId="77777777" w:rsidR="00837AF7" w:rsidRPr="00837AF7" w:rsidRDefault="00837AF7" w:rsidP="0054165A">
            <w:pPr>
              <w:pStyle w:val="NormalWeb"/>
              <w:spacing w:before="0" w:after="0" w:line="256" w:lineRule="auto"/>
              <w:textAlignment w:val="baseline"/>
              <w:rPr>
                <w:rFonts w:ascii="Arial Narrow" w:hAnsi="Arial Narrow" w:cs="Open Sans"/>
                <w:color w:val="333333"/>
                <w:kern w:val="2"/>
                <w:sz w:val="20"/>
                <w:szCs w:val="20"/>
                <w:lang w:eastAsia="en-US"/>
                <w14:ligatures w14:val="standardContextual"/>
              </w:rPr>
            </w:pPr>
            <w:r w:rsidRPr="00837AF7">
              <w:rPr>
                <w:rFonts w:ascii="Arial Narrow" w:hAnsi="Arial Narrow" w:cs="Open Sans"/>
                <w:color w:val="333333"/>
                <w:kern w:val="2"/>
                <w:sz w:val="20"/>
                <w:szCs w:val="20"/>
                <w:lang w:eastAsia="en-US"/>
                <w14:ligatures w14:val="standardContextual"/>
              </w:rPr>
              <w:t>The Nottingham grading system is the histologic grading system developed by Elston and Ellis as a modification of the Scarff-Bloom-Richardson grading system. See the following literature publication for details:</w:t>
            </w:r>
          </w:p>
          <w:p w14:paraId="6400CB70" w14:textId="77777777" w:rsidR="00837AF7" w:rsidRPr="00837AF7" w:rsidRDefault="00837AF7" w:rsidP="0054165A">
            <w:pPr>
              <w:rPr>
                <w:rFonts w:ascii="Arial Narrow" w:hAnsi="Arial Narrow"/>
                <w:color w:val="333333"/>
                <w:kern w:val="2"/>
                <w:sz w:val="20"/>
                <w:szCs w:val="20"/>
                <w14:ligatures w14:val="standardContextual"/>
              </w:rPr>
            </w:pPr>
            <w:r w:rsidRPr="00837AF7">
              <w:rPr>
                <w:rFonts w:ascii="Arial Narrow" w:hAnsi="Arial Narrow" w:cs="Open Sans"/>
                <w:color w:val="333333"/>
                <w:kern w:val="2"/>
                <w:sz w:val="20"/>
                <w:szCs w:val="20"/>
                <w14:ligatures w14:val="standardContextual"/>
              </w:rPr>
              <w:t>Elston, CW, Ellis, IO. Pathological prognostic factors in breast cancer. The value of histological grade in breast cancer: experience from a large study with long-term follow-up. Histopathology. 1991 Nov;19(5):403-10.</w:t>
            </w:r>
          </w:p>
        </w:tc>
      </w:tr>
      <w:tr w:rsidR="00837AF7" w:rsidRPr="00837AF7" w14:paraId="1A60E8E5" w14:textId="77777777" w:rsidTr="007E2F65">
        <w:tblPrEx>
          <w:tblLook w:val="04A0" w:firstRow="1" w:lastRow="0" w:firstColumn="1" w:lastColumn="0" w:noHBand="0" w:noVBand="1"/>
        </w:tblPrEx>
        <w:trPr>
          <w:trHeight w:val="20"/>
        </w:trPr>
        <w:tc>
          <w:tcPr>
            <w:tcW w:w="505" w:type="dxa"/>
            <w:vMerge/>
            <w:tcBorders>
              <w:top w:val="single" w:sz="4" w:space="0" w:color="auto"/>
              <w:left w:val="single" w:sz="4" w:space="0" w:color="auto"/>
              <w:bottom w:val="single" w:sz="4" w:space="0" w:color="auto"/>
              <w:right w:val="single" w:sz="4" w:space="0" w:color="auto"/>
            </w:tcBorders>
            <w:vAlign w:val="center"/>
          </w:tcPr>
          <w:p w14:paraId="6EFE5535" w14:textId="77777777" w:rsidR="00837AF7" w:rsidRPr="00837AF7" w:rsidRDefault="00837AF7" w:rsidP="0054165A">
            <w:pPr>
              <w:rPr>
                <w:rFonts w:ascii="Arial Narrow" w:hAnsi="Arial Narrow"/>
                <w:kern w:val="2"/>
                <w:sz w:val="18"/>
                <w:szCs w:val="18"/>
                <w14:ligatures w14:val="standardContextual"/>
              </w:rPr>
            </w:pPr>
          </w:p>
        </w:tc>
        <w:tc>
          <w:tcPr>
            <w:tcW w:w="908" w:type="dxa"/>
            <w:tcBorders>
              <w:top w:val="single" w:sz="4" w:space="0" w:color="auto"/>
              <w:left w:val="nil"/>
              <w:bottom w:val="single" w:sz="4" w:space="0" w:color="auto"/>
              <w:right w:val="single" w:sz="4" w:space="0" w:color="auto"/>
            </w:tcBorders>
            <w:tcMar>
              <w:top w:w="15" w:type="dxa"/>
              <w:left w:w="108" w:type="dxa"/>
              <w:bottom w:w="15" w:type="dxa"/>
              <w:right w:w="108" w:type="dxa"/>
            </w:tcMar>
          </w:tcPr>
          <w:p w14:paraId="2E17BA7B" w14:textId="41BD7775" w:rsidR="00837AF7" w:rsidRPr="00837AF7" w:rsidRDefault="00837AF7" w:rsidP="0054165A">
            <w:pPr>
              <w:jc w:val="center"/>
              <w:rPr>
                <w:rFonts w:ascii="Arial Narrow" w:hAnsi="Arial Narrow"/>
                <w:color w:val="333333"/>
                <w:kern w:val="2"/>
                <w:sz w:val="18"/>
                <w:szCs w:val="18"/>
                <w14:ligatures w14:val="standardContextual"/>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5F59CDA2" w14:textId="77777777" w:rsidR="00837AF7" w:rsidRPr="00837AF7" w:rsidRDefault="00837AF7" w:rsidP="0054165A">
            <w:pPr>
              <w:pStyle w:val="NormalWeb"/>
              <w:spacing w:before="0" w:after="0" w:line="256" w:lineRule="auto"/>
              <w:textAlignment w:val="baseline"/>
              <w:rPr>
                <w:rFonts w:ascii="Arial Narrow" w:hAnsi="Arial Narrow" w:cs="Open Sans"/>
                <w:color w:val="333333"/>
                <w:kern w:val="2"/>
                <w:sz w:val="20"/>
                <w:szCs w:val="20"/>
                <w:lang w:eastAsia="en-US"/>
                <w14:ligatures w14:val="standardContextual"/>
              </w:rPr>
            </w:pPr>
            <w:r w:rsidRPr="00837AF7">
              <w:rPr>
                <w:rStyle w:val="Strong"/>
                <w:rFonts w:ascii="Arial Narrow" w:hAnsi="Arial Narrow" w:cs="Open Sans"/>
                <w:color w:val="333333"/>
                <w:kern w:val="2"/>
                <w:sz w:val="20"/>
                <w:szCs w:val="20"/>
                <w:bdr w:val="none" w:sz="0" w:space="0" w:color="auto" w:frame="1"/>
                <w:lang w:eastAsia="en-US"/>
                <w14:ligatures w14:val="standardContextual"/>
              </w:rPr>
              <w:t>Administrative Advice:</w:t>
            </w:r>
          </w:p>
          <w:p w14:paraId="1332AE99" w14:textId="77777777" w:rsidR="00837AF7" w:rsidRPr="00837AF7" w:rsidRDefault="00837AF7" w:rsidP="0054165A">
            <w:pPr>
              <w:rPr>
                <w:rFonts w:ascii="Arial Narrow" w:hAnsi="Arial Narrow"/>
                <w:b/>
                <w:bCs/>
                <w:color w:val="333333"/>
                <w:kern w:val="2"/>
                <w:sz w:val="20"/>
                <w:szCs w:val="20"/>
                <w14:ligatures w14:val="standardContextual"/>
              </w:rPr>
            </w:pPr>
            <w:r w:rsidRPr="00837AF7">
              <w:rPr>
                <w:rFonts w:ascii="Arial Narrow" w:hAnsi="Arial Narrow" w:cs="Open Sans"/>
                <w:color w:val="333333"/>
                <w:kern w:val="2"/>
                <w:sz w:val="20"/>
                <w:szCs w:val="20"/>
                <w14:ligatures w14:val="standardContextual"/>
              </w:rPr>
              <w:t>Applications for authorisation under this restriction may be made in real time using the Online PBS Authorities system (see www.servicesaustralia.gov.au/HPOS) or by telephone by contacting Services Australia on 1800 888 333.</w:t>
            </w:r>
          </w:p>
        </w:tc>
      </w:tr>
      <w:tr w:rsidR="00837AF7" w:rsidRPr="00837AF7" w14:paraId="313645A0" w14:textId="77777777" w:rsidTr="007E2F65">
        <w:tblPrEx>
          <w:tblLook w:val="04A0" w:firstRow="1" w:lastRow="0" w:firstColumn="1" w:lastColumn="0" w:noHBand="0" w:noVBand="1"/>
        </w:tblPrEx>
        <w:trPr>
          <w:trHeight w:val="20"/>
        </w:trPr>
        <w:tc>
          <w:tcPr>
            <w:tcW w:w="505" w:type="dxa"/>
            <w:vMerge/>
            <w:tcBorders>
              <w:top w:val="single" w:sz="4" w:space="0" w:color="auto"/>
              <w:left w:val="single" w:sz="4" w:space="0" w:color="auto"/>
              <w:bottom w:val="single" w:sz="4" w:space="0" w:color="auto"/>
              <w:right w:val="single" w:sz="4" w:space="0" w:color="auto"/>
            </w:tcBorders>
            <w:vAlign w:val="center"/>
          </w:tcPr>
          <w:p w14:paraId="12D34D58" w14:textId="77777777" w:rsidR="00837AF7" w:rsidRPr="00837AF7" w:rsidRDefault="00837AF7" w:rsidP="0054165A">
            <w:pPr>
              <w:rPr>
                <w:rFonts w:ascii="Arial Narrow" w:hAnsi="Arial Narrow"/>
                <w:kern w:val="2"/>
                <w:sz w:val="18"/>
                <w:szCs w:val="18"/>
                <w14:ligatures w14:val="standardContextual"/>
              </w:rPr>
            </w:pPr>
          </w:p>
        </w:tc>
        <w:tc>
          <w:tcPr>
            <w:tcW w:w="908" w:type="dxa"/>
            <w:tcBorders>
              <w:top w:val="single" w:sz="4" w:space="0" w:color="auto"/>
              <w:left w:val="nil"/>
              <w:bottom w:val="single" w:sz="4" w:space="0" w:color="auto"/>
              <w:right w:val="single" w:sz="4" w:space="0" w:color="auto"/>
            </w:tcBorders>
            <w:tcMar>
              <w:top w:w="15" w:type="dxa"/>
              <w:left w:w="108" w:type="dxa"/>
              <w:bottom w:w="15" w:type="dxa"/>
              <w:right w:w="108" w:type="dxa"/>
            </w:tcMar>
          </w:tcPr>
          <w:p w14:paraId="4F4AECA1" w14:textId="1C9C9242" w:rsidR="00837AF7" w:rsidRPr="00837AF7" w:rsidRDefault="00837AF7" w:rsidP="0054165A">
            <w:pPr>
              <w:jc w:val="center"/>
              <w:rPr>
                <w:rFonts w:ascii="Arial Narrow" w:hAnsi="Arial Narrow"/>
                <w:color w:val="333333"/>
                <w:kern w:val="2"/>
                <w:sz w:val="18"/>
                <w:szCs w:val="18"/>
                <w14:ligatures w14:val="standardContextual"/>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0864B728" w14:textId="77777777" w:rsidR="00837AF7" w:rsidRPr="00837AF7" w:rsidRDefault="00837AF7" w:rsidP="0054165A">
            <w:pPr>
              <w:pStyle w:val="NormalWeb"/>
              <w:spacing w:before="0" w:after="0" w:line="256" w:lineRule="auto"/>
              <w:textAlignment w:val="baseline"/>
              <w:rPr>
                <w:rFonts w:ascii="Arial Narrow" w:hAnsi="Arial Narrow" w:cs="Open Sans"/>
                <w:color w:val="333333"/>
                <w:kern w:val="2"/>
                <w:sz w:val="20"/>
                <w:szCs w:val="20"/>
                <w:lang w:eastAsia="en-US"/>
                <w14:ligatures w14:val="standardContextual"/>
              </w:rPr>
            </w:pPr>
            <w:r w:rsidRPr="00837AF7">
              <w:rPr>
                <w:rStyle w:val="Strong"/>
                <w:rFonts w:ascii="Arial Narrow" w:hAnsi="Arial Narrow" w:cs="Open Sans"/>
                <w:color w:val="333333"/>
                <w:kern w:val="2"/>
                <w:sz w:val="20"/>
                <w:szCs w:val="20"/>
                <w:bdr w:val="none" w:sz="0" w:space="0" w:color="auto" w:frame="1"/>
                <w:lang w:eastAsia="en-US"/>
                <w14:ligatures w14:val="standardContextual"/>
              </w:rPr>
              <w:t>Administrative Advice:</w:t>
            </w:r>
          </w:p>
          <w:p w14:paraId="1AD324C4" w14:textId="77777777" w:rsidR="00837AF7" w:rsidRPr="00837AF7" w:rsidRDefault="00837AF7" w:rsidP="0054165A">
            <w:pPr>
              <w:rPr>
                <w:rFonts w:ascii="Arial Narrow" w:hAnsi="Arial Narrow"/>
                <w:b/>
                <w:bCs/>
                <w:color w:val="333333"/>
                <w:kern w:val="2"/>
                <w:sz w:val="20"/>
                <w:szCs w:val="20"/>
                <w14:ligatures w14:val="standardContextual"/>
              </w:rPr>
            </w:pPr>
            <w:r w:rsidRPr="00837AF7">
              <w:rPr>
                <w:rFonts w:ascii="Arial Narrow" w:hAnsi="Arial Narrow" w:cs="Open Sans"/>
                <w:color w:val="333333"/>
                <w:kern w:val="2"/>
                <w:sz w:val="20"/>
                <w:szCs w:val="20"/>
                <w14:ligatures w14:val="standardContextual"/>
              </w:rPr>
              <w:t>No increase in the maximum quantity or number of units may be authorised.</w:t>
            </w:r>
          </w:p>
        </w:tc>
      </w:tr>
      <w:tr w:rsidR="00837AF7" w:rsidRPr="00837AF7" w14:paraId="76237C73" w14:textId="77777777" w:rsidTr="007E2F65">
        <w:tblPrEx>
          <w:tblLook w:val="04A0" w:firstRow="1" w:lastRow="0" w:firstColumn="1" w:lastColumn="0" w:noHBand="0" w:noVBand="1"/>
        </w:tblPrEx>
        <w:trPr>
          <w:trHeight w:val="20"/>
        </w:trPr>
        <w:tc>
          <w:tcPr>
            <w:tcW w:w="505" w:type="dxa"/>
            <w:vMerge/>
            <w:tcBorders>
              <w:top w:val="single" w:sz="4" w:space="0" w:color="auto"/>
              <w:left w:val="single" w:sz="4" w:space="0" w:color="auto"/>
              <w:bottom w:val="single" w:sz="4" w:space="0" w:color="auto"/>
              <w:right w:val="single" w:sz="4" w:space="0" w:color="auto"/>
            </w:tcBorders>
            <w:vAlign w:val="center"/>
          </w:tcPr>
          <w:p w14:paraId="0A19DD7A" w14:textId="77777777" w:rsidR="00837AF7" w:rsidRPr="00837AF7" w:rsidRDefault="00837AF7" w:rsidP="0054165A">
            <w:pPr>
              <w:rPr>
                <w:rFonts w:ascii="Arial Narrow" w:hAnsi="Arial Narrow"/>
                <w:kern w:val="2"/>
                <w:sz w:val="18"/>
                <w:szCs w:val="18"/>
                <w14:ligatures w14:val="standardContextual"/>
              </w:rPr>
            </w:pPr>
          </w:p>
        </w:tc>
        <w:tc>
          <w:tcPr>
            <w:tcW w:w="908" w:type="dxa"/>
            <w:tcBorders>
              <w:top w:val="single" w:sz="4" w:space="0" w:color="auto"/>
              <w:left w:val="nil"/>
              <w:bottom w:val="single" w:sz="4" w:space="0" w:color="auto"/>
              <w:right w:val="single" w:sz="4" w:space="0" w:color="auto"/>
            </w:tcBorders>
            <w:tcMar>
              <w:top w:w="15" w:type="dxa"/>
              <w:left w:w="108" w:type="dxa"/>
              <w:bottom w:w="15" w:type="dxa"/>
              <w:right w:w="108" w:type="dxa"/>
            </w:tcMar>
          </w:tcPr>
          <w:p w14:paraId="1D523656" w14:textId="3DA39DC8" w:rsidR="00837AF7" w:rsidRPr="00837AF7" w:rsidRDefault="00837AF7" w:rsidP="0054165A">
            <w:pPr>
              <w:jc w:val="center"/>
              <w:rPr>
                <w:rFonts w:ascii="Arial Narrow" w:hAnsi="Arial Narrow"/>
                <w:color w:val="333333"/>
                <w:kern w:val="2"/>
                <w:sz w:val="18"/>
                <w:szCs w:val="18"/>
                <w14:ligatures w14:val="standardContextual"/>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75FB50BD" w14:textId="77777777" w:rsidR="00837AF7" w:rsidRPr="00837AF7" w:rsidRDefault="00837AF7" w:rsidP="0054165A">
            <w:pPr>
              <w:pStyle w:val="NormalWeb"/>
              <w:spacing w:before="0" w:after="0" w:line="256" w:lineRule="auto"/>
              <w:textAlignment w:val="baseline"/>
              <w:rPr>
                <w:rFonts w:ascii="Arial Narrow" w:hAnsi="Arial Narrow" w:cs="Open Sans"/>
                <w:color w:val="333333"/>
                <w:kern w:val="2"/>
                <w:sz w:val="20"/>
                <w:szCs w:val="20"/>
                <w:lang w:eastAsia="en-US"/>
                <w14:ligatures w14:val="standardContextual"/>
              </w:rPr>
            </w:pPr>
            <w:r w:rsidRPr="00837AF7">
              <w:rPr>
                <w:rStyle w:val="Strong"/>
                <w:rFonts w:ascii="Arial Narrow" w:hAnsi="Arial Narrow" w:cs="Open Sans"/>
                <w:color w:val="333333"/>
                <w:kern w:val="2"/>
                <w:sz w:val="20"/>
                <w:szCs w:val="20"/>
                <w:bdr w:val="none" w:sz="0" w:space="0" w:color="auto" w:frame="1"/>
                <w:lang w:eastAsia="en-US"/>
                <w14:ligatures w14:val="standardContextual"/>
              </w:rPr>
              <w:t>Administrative Advice:</w:t>
            </w:r>
          </w:p>
          <w:p w14:paraId="45555826" w14:textId="77777777" w:rsidR="00837AF7" w:rsidRPr="00837AF7" w:rsidRDefault="00837AF7" w:rsidP="0054165A">
            <w:pPr>
              <w:rPr>
                <w:rFonts w:ascii="Arial Narrow" w:hAnsi="Arial Narrow"/>
                <w:b/>
                <w:bCs/>
                <w:color w:val="333333"/>
                <w:kern w:val="2"/>
                <w:sz w:val="20"/>
                <w:szCs w:val="20"/>
                <w14:ligatures w14:val="standardContextual"/>
              </w:rPr>
            </w:pPr>
            <w:r w:rsidRPr="00837AF7">
              <w:rPr>
                <w:rFonts w:ascii="Arial Narrow" w:hAnsi="Arial Narrow" w:cs="Open Sans"/>
                <w:color w:val="333333"/>
                <w:kern w:val="2"/>
                <w:sz w:val="20"/>
                <w:szCs w:val="20"/>
                <w14:ligatures w14:val="standardContextual"/>
              </w:rPr>
              <w:t>No increase in the maximum number of repeats may be authorised.</w:t>
            </w:r>
          </w:p>
        </w:tc>
      </w:tr>
      <w:tr w:rsidR="00837AF7" w:rsidRPr="00837AF7" w14:paraId="104F8A26" w14:textId="77777777" w:rsidTr="007E2F65">
        <w:tblPrEx>
          <w:tblLook w:val="04A0" w:firstRow="1" w:lastRow="0" w:firstColumn="1" w:lastColumn="0" w:noHBand="0" w:noVBand="1"/>
        </w:tblPrEx>
        <w:trPr>
          <w:trHeight w:val="20"/>
        </w:trPr>
        <w:tc>
          <w:tcPr>
            <w:tcW w:w="505" w:type="dxa"/>
            <w:vMerge/>
            <w:tcBorders>
              <w:top w:val="single" w:sz="4" w:space="0" w:color="auto"/>
              <w:left w:val="single" w:sz="4" w:space="0" w:color="auto"/>
              <w:bottom w:val="single" w:sz="4" w:space="0" w:color="auto"/>
              <w:right w:val="single" w:sz="4" w:space="0" w:color="auto"/>
            </w:tcBorders>
            <w:vAlign w:val="center"/>
          </w:tcPr>
          <w:p w14:paraId="4A6A2F07" w14:textId="77777777" w:rsidR="00837AF7" w:rsidRPr="00837AF7" w:rsidRDefault="00837AF7" w:rsidP="0054165A">
            <w:pPr>
              <w:rPr>
                <w:rFonts w:ascii="Arial Narrow" w:hAnsi="Arial Narrow"/>
                <w:kern w:val="2"/>
                <w:sz w:val="18"/>
                <w:szCs w:val="18"/>
                <w14:ligatures w14:val="standardContextual"/>
              </w:rPr>
            </w:pPr>
          </w:p>
        </w:tc>
        <w:tc>
          <w:tcPr>
            <w:tcW w:w="908" w:type="dxa"/>
            <w:tcBorders>
              <w:top w:val="single" w:sz="4" w:space="0" w:color="auto"/>
              <w:left w:val="nil"/>
              <w:bottom w:val="single" w:sz="4" w:space="0" w:color="auto"/>
              <w:right w:val="single" w:sz="4" w:space="0" w:color="auto"/>
            </w:tcBorders>
            <w:tcMar>
              <w:top w:w="15" w:type="dxa"/>
              <w:left w:w="108" w:type="dxa"/>
              <w:bottom w:w="15" w:type="dxa"/>
              <w:right w:w="108" w:type="dxa"/>
            </w:tcMar>
          </w:tcPr>
          <w:p w14:paraId="669B0512" w14:textId="48E8D726" w:rsidR="00837AF7" w:rsidRPr="00837AF7" w:rsidRDefault="00837AF7" w:rsidP="0054165A">
            <w:pPr>
              <w:jc w:val="center"/>
              <w:rPr>
                <w:rFonts w:ascii="Arial Narrow" w:hAnsi="Arial Narrow"/>
                <w:color w:val="333333"/>
                <w:kern w:val="2"/>
                <w:sz w:val="18"/>
                <w:szCs w:val="18"/>
                <w14:ligatures w14:val="standardContextual"/>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641E6219" w14:textId="77777777" w:rsidR="00837AF7" w:rsidRPr="00837AF7" w:rsidRDefault="00837AF7" w:rsidP="0054165A">
            <w:pPr>
              <w:pStyle w:val="NormalWeb"/>
              <w:spacing w:before="0" w:after="0" w:line="256" w:lineRule="auto"/>
              <w:textAlignment w:val="baseline"/>
              <w:rPr>
                <w:rFonts w:ascii="Arial Narrow" w:hAnsi="Arial Narrow" w:cs="Open Sans"/>
                <w:color w:val="333333"/>
                <w:kern w:val="2"/>
                <w:sz w:val="20"/>
                <w:szCs w:val="20"/>
                <w:lang w:eastAsia="en-US"/>
                <w14:ligatures w14:val="standardContextual"/>
              </w:rPr>
            </w:pPr>
            <w:r w:rsidRPr="00837AF7">
              <w:rPr>
                <w:rStyle w:val="Strong"/>
                <w:rFonts w:ascii="Arial Narrow" w:hAnsi="Arial Narrow" w:cs="Open Sans"/>
                <w:color w:val="333333"/>
                <w:kern w:val="2"/>
                <w:sz w:val="20"/>
                <w:szCs w:val="20"/>
                <w:bdr w:val="none" w:sz="0" w:space="0" w:color="auto" w:frame="1"/>
                <w:lang w:eastAsia="en-US"/>
                <w14:ligatures w14:val="standardContextual"/>
              </w:rPr>
              <w:t>Administrative Advice:</w:t>
            </w:r>
          </w:p>
          <w:p w14:paraId="7CA63BC2" w14:textId="77777777" w:rsidR="00837AF7" w:rsidRPr="00837AF7" w:rsidRDefault="00837AF7" w:rsidP="0054165A">
            <w:pPr>
              <w:rPr>
                <w:rFonts w:ascii="Arial Narrow" w:hAnsi="Arial Narrow"/>
                <w:b/>
                <w:bCs/>
                <w:color w:val="333333"/>
                <w:kern w:val="2"/>
                <w:sz w:val="20"/>
                <w:szCs w:val="20"/>
                <w14:ligatures w14:val="standardContextual"/>
              </w:rPr>
            </w:pPr>
            <w:r w:rsidRPr="00837AF7">
              <w:rPr>
                <w:rFonts w:ascii="Arial Narrow" w:hAnsi="Arial Narrow" w:cs="Open Sans"/>
                <w:color w:val="333333"/>
                <w:kern w:val="2"/>
                <w:sz w:val="20"/>
                <w:szCs w:val="20"/>
                <w14:ligatures w14:val="standardContextual"/>
              </w:rPr>
              <w:t>Special Pricing Arrangements apply.</w:t>
            </w:r>
          </w:p>
        </w:tc>
      </w:tr>
      <w:tr w:rsidR="00837AF7" w:rsidRPr="00837AF7" w14:paraId="44241AE9" w14:textId="77777777" w:rsidTr="007E2F65">
        <w:tblPrEx>
          <w:tblCellMar>
            <w:top w:w="15" w:type="dxa"/>
            <w:left w:w="15" w:type="dxa"/>
            <w:bottom w:w="15" w:type="dxa"/>
            <w:right w:w="15" w:type="dxa"/>
          </w:tblCellMar>
          <w:tblLook w:val="04A0" w:firstRow="1" w:lastRow="0" w:firstColumn="1" w:lastColumn="0" w:noHBand="0" w:noVBand="1"/>
        </w:tblPrEx>
        <w:trPr>
          <w:trHeight w:val="20"/>
        </w:trPr>
        <w:tc>
          <w:tcPr>
            <w:tcW w:w="1413" w:type="dxa"/>
            <w:gridSpan w:val="2"/>
            <w:vAlign w:val="center"/>
          </w:tcPr>
          <w:p w14:paraId="56739345" w14:textId="2792B050" w:rsidR="00837AF7" w:rsidRPr="00837AF7" w:rsidRDefault="00837AF7" w:rsidP="0054165A">
            <w:pPr>
              <w:jc w:val="center"/>
              <w:rPr>
                <w:rFonts w:ascii="Arial Narrow" w:hAnsi="Arial Narrow"/>
                <w:color w:val="333333"/>
                <w:sz w:val="20"/>
                <w:szCs w:val="20"/>
              </w:rPr>
            </w:pPr>
          </w:p>
        </w:tc>
        <w:tc>
          <w:tcPr>
            <w:tcW w:w="7654" w:type="dxa"/>
            <w:gridSpan w:val="6"/>
            <w:vAlign w:val="center"/>
          </w:tcPr>
          <w:p w14:paraId="2AE59223" w14:textId="77777777" w:rsidR="00837AF7" w:rsidRPr="00837AF7" w:rsidRDefault="00837AF7" w:rsidP="0054165A">
            <w:pPr>
              <w:rPr>
                <w:rFonts w:ascii="Arial Narrow" w:hAnsi="Arial Narrow"/>
                <w:b/>
                <w:bCs/>
                <w:sz w:val="20"/>
                <w:szCs w:val="20"/>
              </w:rPr>
            </w:pPr>
            <w:r w:rsidRPr="00837AF7">
              <w:rPr>
                <w:rFonts w:ascii="Arial Narrow" w:hAnsi="Arial Narrow"/>
                <w:b/>
                <w:bCs/>
                <w:sz w:val="20"/>
                <w:szCs w:val="20"/>
              </w:rPr>
              <w:t xml:space="preserve">Administrative advice: </w:t>
            </w:r>
            <w:r w:rsidRPr="00837AF7">
              <w:rPr>
                <w:rFonts w:ascii="Arial Narrow" w:hAnsi="Arial Narrow"/>
                <w:bCs/>
                <w:sz w:val="20"/>
                <w:szCs w:val="20"/>
              </w:rPr>
              <w:t>Applications for authorisation under this restriction may be made in real time using the Online PBS Authorities system (see www.servicesaustralia.gov.au/HPOS) or by telephone by contacting Services Australia on 1800 888 333.</w:t>
            </w:r>
          </w:p>
        </w:tc>
      </w:tr>
      <w:tr w:rsidR="00837AF7" w:rsidRPr="00837AF7" w14:paraId="3882E3B1" w14:textId="77777777" w:rsidTr="007E2F65">
        <w:tblPrEx>
          <w:tblCellMar>
            <w:top w:w="15" w:type="dxa"/>
            <w:left w:w="15" w:type="dxa"/>
            <w:bottom w:w="15" w:type="dxa"/>
            <w:right w:w="15" w:type="dxa"/>
          </w:tblCellMar>
          <w:tblLook w:val="04A0" w:firstRow="1" w:lastRow="0" w:firstColumn="1" w:lastColumn="0" w:noHBand="0" w:noVBand="1"/>
        </w:tblPrEx>
        <w:trPr>
          <w:trHeight w:val="20"/>
        </w:trPr>
        <w:tc>
          <w:tcPr>
            <w:tcW w:w="1413" w:type="dxa"/>
            <w:gridSpan w:val="2"/>
            <w:vAlign w:val="center"/>
          </w:tcPr>
          <w:p w14:paraId="38294073" w14:textId="4182A8EE" w:rsidR="00837AF7" w:rsidRPr="00837AF7" w:rsidRDefault="00837AF7" w:rsidP="0054165A">
            <w:pPr>
              <w:jc w:val="center"/>
              <w:rPr>
                <w:rFonts w:ascii="Arial Narrow" w:hAnsi="Arial Narrow"/>
                <w:color w:val="333333"/>
                <w:sz w:val="20"/>
                <w:szCs w:val="20"/>
              </w:rPr>
            </w:pPr>
          </w:p>
        </w:tc>
        <w:tc>
          <w:tcPr>
            <w:tcW w:w="7654" w:type="dxa"/>
            <w:gridSpan w:val="6"/>
            <w:vAlign w:val="center"/>
          </w:tcPr>
          <w:p w14:paraId="219A5385" w14:textId="77777777" w:rsidR="00837AF7" w:rsidRPr="00837AF7" w:rsidRDefault="00837AF7" w:rsidP="0054165A">
            <w:pPr>
              <w:rPr>
                <w:rFonts w:ascii="Arial Narrow" w:hAnsi="Arial Narrow"/>
                <w:b/>
                <w:bCs/>
                <w:color w:val="333333"/>
                <w:sz w:val="20"/>
                <w:szCs w:val="20"/>
              </w:rPr>
            </w:pPr>
            <w:r w:rsidRPr="00837AF7">
              <w:rPr>
                <w:rFonts w:ascii="Arial Narrow" w:hAnsi="Arial Narrow"/>
                <w:b/>
                <w:bCs/>
                <w:color w:val="333333"/>
                <w:sz w:val="20"/>
                <w:szCs w:val="20"/>
              </w:rPr>
              <w:t xml:space="preserve">Indication: </w:t>
            </w:r>
            <w:r w:rsidRPr="00837AF7">
              <w:rPr>
                <w:rFonts w:ascii="Arial Narrow" w:hAnsi="Arial Narrow"/>
                <w:color w:val="333333"/>
                <w:sz w:val="20"/>
                <w:szCs w:val="20"/>
              </w:rPr>
              <w:t>Early breast cancer</w:t>
            </w:r>
          </w:p>
        </w:tc>
      </w:tr>
      <w:tr w:rsidR="00837AF7" w:rsidRPr="00837AF7" w14:paraId="40EF385C" w14:textId="77777777" w:rsidTr="007E2F65">
        <w:tblPrEx>
          <w:tblCellMar>
            <w:top w:w="15" w:type="dxa"/>
            <w:left w:w="15" w:type="dxa"/>
            <w:bottom w:w="15" w:type="dxa"/>
            <w:right w:w="15" w:type="dxa"/>
          </w:tblCellMar>
          <w:tblLook w:val="04A0" w:firstRow="1" w:lastRow="0" w:firstColumn="1" w:lastColumn="0" w:noHBand="0" w:noVBand="1"/>
        </w:tblPrEx>
        <w:trPr>
          <w:trHeight w:val="20"/>
        </w:trPr>
        <w:tc>
          <w:tcPr>
            <w:tcW w:w="1413" w:type="dxa"/>
            <w:gridSpan w:val="2"/>
            <w:vAlign w:val="center"/>
          </w:tcPr>
          <w:p w14:paraId="1065D6FE" w14:textId="4C979152" w:rsidR="00837AF7" w:rsidRPr="00837AF7" w:rsidRDefault="00837AF7" w:rsidP="0054165A">
            <w:pPr>
              <w:jc w:val="center"/>
              <w:rPr>
                <w:rFonts w:ascii="Arial Narrow" w:hAnsi="Arial Narrow"/>
                <w:color w:val="333333"/>
                <w:sz w:val="20"/>
                <w:szCs w:val="20"/>
              </w:rPr>
            </w:pPr>
          </w:p>
        </w:tc>
        <w:tc>
          <w:tcPr>
            <w:tcW w:w="7654" w:type="dxa"/>
            <w:gridSpan w:val="6"/>
            <w:vAlign w:val="center"/>
            <w:hideMark/>
          </w:tcPr>
          <w:p w14:paraId="2DF59203" w14:textId="77777777" w:rsidR="00837AF7" w:rsidRPr="00837AF7" w:rsidRDefault="00837AF7" w:rsidP="0054165A">
            <w:pPr>
              <w:rPr>
                <w:rFonts w:ascii="Arial Narrow" w:hAnsi="Arial Narrow"/>
                <w:color w:val="333333"/>
                <w:sz w:val="20"/>
                <w:szCs w:val="20"/>
              </w:rPr>
            </w:pPr>
            <w:r w:rsidRPr="00837AF7">
              <w:rPr>
                <w:rFonts w:ascii="Arial Narrow" w:hAnsi="Arial Narrow"/>
                <w:b/>
                <w:bCs/>
                <w:color w:val="333333"/>
                <w:sz w:val="20"/>
                <w:szCs w:val="20"/>
              </w:rPr>
              <w:t>Clinical criteria:</w:t>
            </w:r>
            <w:r w:rsidRPr="00837AF7">
              <w:rPr>
                <w:rFonts w:ascii="Arial Narrow" w:hAnsi="Arial Narrow"/>
                <w:color w:val="333333"/>
                <w:sz w:val="20"/>
                <w:szCs w:val="20"/>
              </w:rPr>
              <w:t xml:space="preserve"> </w:t>
            </w:r>
          </w:p>
        </w:tc>
      </w:tr>
      <w:tr w:rsidR="00837AF7" w:rsidRPr="00837AF7" w14:paraId="234E0B86" w14:textId="77777777" w:rsidTr="007E2F65">
        <w:tblPrEx>
          <w:tblCellMar>
            <w:top w:w="15" w:type="dxa"/>
            <w:left w:w="15" w:type="dxa"/>
            <w:bottom w:w="15" w:type="dxa"/>
            <w:right w:w="15" w:type="dxa"/>
          </w:tblCellMar>
          <w:tblLook w:val="04A0" w:firstRow="1" w:lastRow="0" w:firstColumn="1" w:lastColumn="0" w:noHBand="0" w:noVBand="1"/>
        </w:tblPrEx>
        <w:trPr>
          <w:trHeight w:val="20"/>
        </w:trPr>
        <w:tc>
          <w:tcPr>
            <w:tcW w:w="1413" w:type="dxa"/>
            <w:gridSpan w:val="2"/>
            <w:vAlign w:val="center"/>
          </w:tcPr>
          <w:p w14:paraId="3451EEE6" w14:textId="6DAECEFA" w:rsidR="00837AF7" w:rsidRPr="00837AF7" w:rsidRDefault="00837AF7" w:rsidP="0054165A">
            <w:pPr>
              <w:jc w:val="center"/>
              <w:rPr>
                <w:rFonts w:ascii="Arial Narrow" w:hAnsi="Arial Narrow"/>
                <w:color w:val="333333"/>
                <w:sz w:val="20"/>
                <w:szCs w:val="20"/>
              </w:rPr>
            </w:pPr>
          </w:p>
        </w:tc>
        <w:tc>
          <w:tcPr>
            <w:tcW w:w="7654" w:type="dxa"/>
            <w:gridSpan w:val="6"/>
            <w:vAlign w:val="center"/>
          </w:tcPr>
          <w:p w14:paraId="4646C05A" w14:textId="77777777" w:rsidR="00837AF7" w:rsidRPr="00837AF7" w:rsidRDefault="00837AF7" w:rsidP="0054165A">
            <w:pPr>
              <w:rPr>
                <w:rFonts w:ascii="Arial Narrow" w:hAnsi="Arial Narrow"/>
                <w:color w:val="333333"/>
                <w:sz w:val="20"/>
                <w:szCs w:val="20"/>
              </w:rPr>
            </w:pPr>
            <w:r w:rsidRPr="00837AF7">
              <w:rPr>
                <w:rFonts w:ascii="Arial Narrow" w:hAnsi="Arial Narrow"/>
                <w:color w:val="333333"/>
                <w:sz w:val="20"/>
                <w:szCs w:val="20"/>
              </w:rPr>
              <w:t>The treatment must be adjuvant to surgical resection</w:t>
            </w:r>
          </w:p>
        </w:tc>
      </w:tr>
      <w:tr w:rsidR="005E6FDD" w:rsidRPr="00837AF7" w14:paraId="1639924D" w14:textId="77777777" w:rsidTr="007E2F65">
        <w:tblPrEx>
          <w:tblCellMar>
            <w:top w:w="15" w:type="dxa"/>
            <w:left w:w="15" w:type="dxa"/>
            <w:bottom w:w="15" w:type="dxa"/>
            <w:right w:w="15" w:type="dxa"/>
          </w:tblCellMar>
          <w:tblLook w:val="04A0" w:firstRow="1" w:lastRow="0" w:firstColumn="1" w:lastColumn="0" w:noHBand="0" w:noVBand="1"/>
        </w:tblPrEx>
        <w:trPr>
          <w:trHeight w:val="20"/>
        </w:trPr>
        <w:tc>
          <w:tcPr>
            <w:tcW w:w="1413" w:type="dxa"/>
            <w:gridSpan w:val="2"/>
            <w:vAlign w:val="center"/>
          </w:tcPr>
          <w:p w14:paraId="7DA88913" w14:textId="77777777" w:rsidR="005E6FDD" w:rsidRPr="00837AF7" w:rsidRDefault="005E6FDD" w:rsidP="005E6FDD">
            <w:pPr>
              <w:jc w:val="center"/>
              <w:rPr>
                <w:rFonts w:ascii="Arial Narrow" w:hAnsi="Arial Narrow"/>
                <w:color w:val="333333"/>
                <w:sz w:val="20"/>
                <w:szCs w:val="20"/>
              </w:rPr>
            </w:pPr>
          </w:p>
        </w:tc>
        <w:tc>
          <w:tcPr>
            <w:tcW w:w="7654" w:type="dxa"/>
            <w:gridSpan w:val="6"/>
            <w:vAlign w:val="center"/>
          </w:tcPr>
          <w:p w14:paraId="459F9590" w14:textId="15CC8054" w:rsidR="005E6FDD" w:rsidRPr="005E6FDD" w:rsidRDefault="005E6FDD" w:rsidP="005E6FDD">
            <w:pPr>
              <w:rPr>
                <w:rFonts w:ascii="Arial Narrow" w:hAnsi="Arial Narrow"/>
                <w:b/>
                <w:bCs/>
                <w:color w:val="333333"/>
                <w:sz w:val="20"/>
                <w:szCs w:val="20"/>
              </w:rPr>
            </w:pPr>
            <w:r w:rsidRPr="005E6FDD">
              <w:rPr>
                <w:rFonts w:ascii="Arial Narrow" w:hAnsi="Arial Narrow"/>
                <w:b/>
                <w:bCs/>
                <w:color w:val="333333"/>
                <w:sz w:val="20"/>
                <w:szCs w:val="20"/>
              </w:rPr>
              <w:t>AND</w:t>
            </w:r>
          </w:p>
        </w:tc>
      </w:tr>
      <w:tr w:rsidR="005E6FDD" w:rsidRPr="00837AF7" w14:paraId="143F3263" w14:textId="77777777" w:rsidTr="007E2F65">
        <w:tblPrEx>
          <w:tblCellMar>
            <w:top w:w="15" w:type="dxa"/>
            <w:left w:w="15" w:type="dxa"/>
            <w:bottom w:w="15" w:type="dxa"/>
            <w:right w:w="15" w:type="dxa"/>
          </w:tblCellMar>
          <w:tblLook w:val="04A0" w:firstRow="1" w:lastRow="0" w:firstColumn="1" w:lastColumn="0" w:noHBand="0" w:noVBand="1"/>
        </w:tblPrEx>
        <w:trPr>
          <w:trHeight w:val="20"/>
        </w:trPr>
        <w:tc>
          <w:tcPr>
            <w:tcW w:w="1413" w:type="dxa"/>
            <w:gridSpan w:val="2"/>
            <w:vAlign w:val="center"/>
          </w:tcPr>
          <w:p w14:paraId="41053350" w14:textId="66474501" w:rsidR="005E6FDD" w:rsidRPr="00C07B1F" w:rsidRDefault="005E6FDD" w:rsidP="005E6FDD">
            <w:pPr>
              <w:jc w:val="center"/>
              <w:rPr>
                <w:rFonts w:ascii="Arial Narrow" w:hAnsi="Arial Narrow"/>
                <w:color w:val="333333"/>
                <w:sz w:val="20"/>
                <w:szCs w:val="20"/>
              </w:rPr>
            </w:pPr>
          </w:p>
        </w:tc>
        <w:tc>
          <w:tcPr>
            <w:tcW w:w="7654" w:type="dxa"/>
            <w:gridSpan w:val="6"/>
            <w:vAlign w:val="center"/>
          </w:tcPr>
          <w:p w14:paraId="7F8E617F" w14:textId="6163CABD" w:rsidR="005E6FDD" w:rsidRDefault="005E6FDD" w:rsidP="005E6FDD">
            <w:pPr>
              <w:rPr>
                <w:rFonts w:ascii="Arial Narrow" w:hAnsi="Arial Narrow"/>
                <w:color w:val="333333"/>
                <w:sz w:val="20"/>
                <w:szCs w:val="20"/>
              </w:rPr>
            </w:pPr>
            <w:r w:rsidRPr="00837AF7">
              <w:rPr>
                <w:rFonts w:ascii="Arial Narrow" w:hAnsi="Arial Narrow"/>
                <w:b/>
                <w:bCs/>
                <w:color w:val="333333"/>
                <w:sz w:val="20"/>
                <w:szCs w:val="20"/>
              </w:rPr>
              <w:t>Clinical criteria:</w:t>
            </w:r>
          </w:p>
        </w:tc>
      </w:tr>
      <w:tr w:rsidR="005E6FDD" w:rsidRPr="00837AF7" w14:paraId="3BE549E3" w14:textId="77777777" w:rsidTr="007E2F65">
        <w:tblPrEx>
          <w:tblCellMar>
            <w:top w:w="15" w:type="dxa"/>
            <w:left w:w="15" w:type="dxa"/>
            <w:bottom w:w="15" w:type="dxa"/>
            <w:right w:w="15" w:type="dxa"/>
          </w:tblCellMar>
          <w:tblLook w:val="04A0" w:firstRow="1" w:lastRow="0" w:firstColumn="1" w:lastColumn="0" w:noHBand="0" w:noVBand="1"/>
        </w:tblPrEx>
        <w:trPr>
          <w:trHeight w:val="20"/>
        </w:trPr>
        <w:tc>
          <w:tcPr>
            <w:tcW w:w="1413" w:type="dxa"/>
            <w:gridSpan w:val="2"/>
            <w:vAlign w:val="center"/>
          </w:tcPr>
          <w:p w14:paraId="4067994B" w14:textId="572F1EB0" w:rsidR="005E6FDD" w:rsidRPr="00C07B1F" w:rsidRDefault="005E6FDD" w:rsidP="005E6FDD">
            <w:pPr>
              <w:jc w:val="center"/>
              <w:rPr>
                <w:rFonts w:ascii="Arial Narrow" w:hAnsi="Arial Narrow"/>
                <w:color w:val="333333"/>
                <w:sz w:val="20"/>
                <w:szCs w:val="20"/>
              </w:rPr>
            </w:pPr>
          </w:p>
        </w:tc>
        <w:tc>
          <w:tcPr>
            <w:tcW w:w="7654" w:type="dxa"/>
            <w:gridSpan w:val="6"/>
            <w:vAlign w:val="center"/>
          </w:tcPr>
          <w:p w14:paraId="6170B53A" w14:textId="4C65A5A7" w:rsidR="005E6FDD" w:rsidRPr="00837AF7" w:rsidRDefault="005E6FDD" w:rsidP="005E6FDD">
            <w:pPr>
              <w:rPr>
                <w:rFonts w:ascii="Arial Narrow" w:hAnsi="Arial Narrow"/>
                <w:color w:val="333333"/>
                <w:sz w:val="20"/>
                <w:szCs w:val="20"/>
              </w:rPr>
            </w:pPr>
            <w:r w:rsidRPr="005E6FDD">
              <w:rPr>
                <w:rFonts w:ascii="Arial Narrow" w:hAnsi="Arial Narrow"/>
                <w:color w:val="333333"/>
                <w:sz w:val="20"/>
                <w:szCs w:val="20"/>
              </w:rPr>
              <w:t>Patient must be untreated with cyclin-dependent kinase 4/6 (CDK4/6) inhibitor therapy; OR</w:t>
            </w:r>
          </w:p>
        </w:tc>
      </w:tr>
      <w:tr w:rsidR="005E6FDD" w:rsidRPr="00837AF7" w14:paraId="04D25428" w14:textId="77777777" w:rsidTr="007E2F65">
        <w:tblPrEx>
          <w:tblCellMar>
            <w:top w:w="15" w:type="dxa"/>
            <w:left w:w="15" w:type="dxa"/>
            <w:bottom w:w="15" w:type="dxa"/>
            <w:right w:w="15" w:type="dxa"/>
          </w:tblCellMar>
          <w:tblLook w:val="04A0" w:firstRow="1" w:lastRow="0" w:firstColumn="1" w:lastColumn="0" w:noHBand="0" w:noVBand="1"/>
        </w:tblPrEx>
        <w:trPr>
          <w:trHeight w:val="20"/>
        </w:trPr>
        <w:tc>
          <w:tcPr>
            <w:tcW w:w="1413" w:type="dxa"/>
            <w:gridSpan w:val="2"/>
            <w:vAlign w:val="center"/>
          </w:tcPr>
          <w:p w14:paraId="1EC1E6BF" w14:textId="45B93249" w:rsidR="005E6FDD" w:rsidRPr="00C07B1F" w:rsidRDefault="005E6FDD" w:rsidP="005E6FDD">
            <w:pPr>
              <w:jc w:val="center"/>
              <w:rPr>
                <w:rFonts w:ascii="Arial Narrow" w:hAnsi="Arial Narrow"/>
                <w:color w:val="333333"/>
                <w:sz w:val="20"/>
                <w:szCs w:val="20"/>
              </w:rPr>
            </w:pPr>
          </w:p>
        </w:tc>
        <w:tc>
          <w:tcPr>
            <w:tcW w:w="7654" w:type="dxa"/>
            <w:gridSpan w:val="6"/>
            <w:vAlign w:val="center"/>
          </w:tcPr>
          <w:p w14:paraId="0FBDF0FA" w14:textId="7290CE35" w:rsidR="005E6FDD" w:rsidRPr="00837AF7" w:rsidRDefault="005E6FDD" w:rsidP="005E6FDD">
            <w:pPr>
              <w:rPr>
                <w:rFonts w:ascii="Arial Narrow" w:hAnsi="Arial Narrow"/>
                <w:color w:val="333333"/>
                <w:sz w:val="20"/>
                <w:szCs w:val="20"/>
              </w:rPr>
            </w:pPr>
            <w:r w:rsidRPr="005E6FDD">
              <w:rPr>
                <w:rFonts w:ascii="Arial Narrow" w:hAnsi="Arial Narrow"/>
                <w:color w:val="333333"/>
                <w:sz w:val="20"/>
                <w:szCs w:val="20"/>
              </w:rPr>
              <w:t>Patient must have developed an intolerance to another CDK4/6 inhibitor therapy (other than this drug) of a severity necessitating permanent treatment withdrawal</w:t>
            </w:r>
          </w:p>
        </w:tc>
      </w:tr>
      <w:tr w:rsidR="005E6FDD" w:rsidRPr="00837AF7" w14:paraId="2267A679" w14:textId="77777777" w:rsidTr="007E2F65">
        <w:tblPrEx>
          <w:tblCellMar>
            <w:top w:w="15" w:type="dxa"/>
            <w:left w:w="15" w:type="dxa"/>
            <w:bottom w:w="15" w:type="dxa"/>
            <w:right w:w="15" w:type="dxa"/>
          </w:tblCellMar>
          <w:tblLook w:val="04A0" w:firstRow="1" w:lastRow="0" w:firstColumn="1" w:lastColumn="0" w:noHBand="0" w:noVBand="1"/>
        </w:tblPrEx>
        <w:trPr>
          <w:trHeight w:val="20"/>
        </w:trPr>
        <w:tc>
          <w:tcPr>
            <w:tcW w:w="1413" w:type="dxa"/>
            <w:gridSpan w:val="2"/>
            <w:vAlign w:val="center"/>
          </w:tcPr>
          <w:p w14:paraId="041CCA75" w14:textId="77777777" w:rsidR="005E6FDD" w:rsidRPr="00837AF7" w:rsidRDefault="005E6FDD" w:rsidP="005E6FDD">
            <w:pPr>
              <w:jc w:val="center"/>
              <w:rPr>
                <w:rFonts w:ascii="Arial Narrow" w:hAnsi="Arial Narrow"/>
                <w:color w:val="333333"/>
                <w:sz w:val="20"/>
                <w:szCs w:val="20"/>
              </w:rPr>
            </w:pPr>
          </w:p>
        </w:tc>
        <w:tc>
          <w:tcPr>
            <w:tcW w:w="7654" w:type="dxa"/>
            <w:gridSpan w:val="6"/>
            <w:vAlign w:val="center"/>
          </w:tcPr>
          <w:p w14:paraId="5F8F9583" w14:textId="77777777" w:rsidR="005E6FDD" w:rsidRPr="00837AF7" w:rsidRDefault="005E6FDD" w:rsidP="005E6FDD">
            <w:pPr>
              <w:rPr>
                <w:rFonts w:ascii="Arial Narrow" w:hAnsi="Arial Narrow"/>
                <w:b/>
                <w:bCs/>
                <w:color w:val="333333"/>
                <w:sz w:val="20"/>
                <w:szCs w:val="20"/>
              </w:rPr>
            </w:pPr>
            <w:r w:rsidRPr="00837AF7">
              <w:rPr>
                <w:rFonts w:ascii="Arial Narrow" w:hAnsi="Arial Narrow"/>
                <w:b/>
                <w:bCs/>
                <w:color w:val="333333"/>
                <w:sz w:val="20"/>
                <w:szCs w:val="20"/>
              </w:rPr>
              <w:t>AND</w:t>
            </w:r>
          </w:p>
        </w:tc>
      </w:tr>
      <w:tr w:rsidR="005E6FDD" w:rsidRPr="00837AF7" w14:paraId="450534FF" w14:textId="77777777" w:rsidTr="007E2F65">
        <w:tblPrEx>
          <w:tblCellMar>
            <w:top w:w="15" w:type="dxa"/>
            <w:left w:w="15" w:type="dxa"/>
            <w:bottom w:w="15" w:type="dxa"/>
            <w:right w:w="15" w:type="dxa"/>
          </w:tblCellMar>
          <w:tblLook w:val="04A0" w:firstRow="1" w:lastRow="0" w:firstColumn="1" w:lastColumn="0" w:noHBand="0" w:noVBand="1"/>
        </w:tblPrEx>
        <w:trPr>
          <w:trHeight w:val="20"/>
        </w:trPr>
        <w:tc>
          <w:tcPr>
            <w:tcW w:w="1413" w:type="dxa"/>
            <w:gridSpan w:val="2"/>
            <w:vAlign w:val="center"/>
          </w:tcPr>
          <w:p w14:paraId="7D6A284D" w14:textId="6CCAE705" w:rsidR="005E6FDD" w:rsidRPr="00837AF7" w:rsidRDefault="005E6FDD" w:rsidP="005E6FDD">
            <w:pPr>
              <w:jc w:val="center"/>
              <w:rPr>
                <w:rFonts w:ascii="Arial Narrow" w:hAnsi="Arial Narrow"/>
                <w:color w:val="333333"/>
                <w:sz w:val="20"/>
                <w:szCs w:val="20"/>
              </w:rPr>
            </w:pPr>
          </w:p>
        </w:tc>
        <w:tc>
          <w:tcPr>
            <w:tcW w:w="7654" w:type="dxa"/>
            <w:gridSpan w:val="6"/>
            <w:vAlign w:val="center"/>
            <w:hideMark/>
          </w:tcPr>
          <w:p w14:paraId="6C990296" w14:textId="77777777" w:rsidR="005E6FDD" w:rsidRPr="00837AF7" w:rsidRDefault="005E6FDD" w:rsidP="005E6FDD">
            <w:pPr>
              <w:rPr>
                <w:rFonts w:ascii="Arial Narrow" w:hAnsi="Arial Narrow"/>
                <w:color w:val="333333"/>
                <w:sz w:val="20"/>
                <w:szCs w:val="20"/>
              </w:rPr>
            </w:pPr>
            <w:r w:rsidRPr="00837AF7">
              <w:rPr>
                <w:rFonts w:ascii="Arial Narrow" w:hAnsi="Arial Narrow"/>
                <w:b/>
                <w:bCs/>
                <w:color w:val="333333"/>
                <w:sz w:val="20"/>
                <w:szCs w:val="20"/>
              </w:rPr>
              <w:t>Clinical criteria:</w:t>
            </w:r>
          </w:p>
        </w:tc>
      </w:tr>
      <w:tr w:rsidR="005E6FDD" w:rsidRPr="00837AF7" w14:paraId="029FFDEF" w14:textId="77777777" w:rsidTr="007E2F65">
        <w:tblPrEx>
          <w:tblCellMar>
            <w:top w:w="15" w:type="dxa"/>
            <w:left w:w="15" w:type="dxa"/>
            <w:bottom w:w="15" w:type="dxa"/>
            <w:right w:w="15" w:type="dxa"/>
          </w:tblCellMar>
          <w:tblLook w:val="04A0" w:firstRow="1" w:lastRow="0" w:firstColumn="1" w:lastColumn="0" w:noHBand="0" w:noVBand="1"/>
        </w:tblPrEx>
        <w:trPr>
          <w:trHeight w:val="20"/>
        </w:trPr>
        <w:tc>
          <w:tcPr>
            <w:tcW w:w="1413" w:type="dxa"/>
            <w:gridSpan w:val="2"/>
            <w:vAlign w:val="center"/>
          </w:tcPr>
          <w:p w14:paraId="73CEE1E4" w14:textId="3F0D961D" w:rsidR="005E6FDD" w:rsidRPr="00837AF7" w:rsidRDefault="005E6FDD" w:rsidP="005E6FDD">
            <w:pPr>
              <w:jc w:val="center"/>
              <w:rPr>
                <w:rFonts w:ascii="Arial Narrow" w:hAnsi="Arial Narrow"/>
                <w:color w:val="333333"/>
                <w:sz w:val="20"/>
                <w:szCs w:val="20"/>
              </w:rPr>
            </w:pPr>
          </w:p>
        </w:tc>
        <w:tc>
          <w:tcPr>
            <w:tcW w:w="7654" w:type="dxa"/>
            <w:gridSpan w:val="6"/>
            <w:vAlign w:val="center"/>
          </w:tcPr>
          <w:p w14:paraId="62BCDE10" w14:textId="44AFCBC4" w:rsidR="005E6FDD" w:rsidRPr="00837AF7" w:rsidRDefault="005E6FDD" w:rsidP="005E6FDD">
            <w:pPr>
              <w:rPr>
                <w:rFonts w:ascii="Arial Narrow" w:hAnsi="Arial Narrow"/>
                <w:color w:val="333333"/>
                <w:sz w:val="20"/>
                <w:szCs w:val="20"/>
              </w:rPr>
            </w:pPr>
            <w:r w:rsidRPr="00837AF7">
              <w:rPr>
                <w:rFonts w:ascii="Arial Narrow" w:hAnsi="Arial Narrow"/>
                <w:color w:val="333333"/>
                <w:sz w:val="20"/>
                <w:szCs w:val="20"/>
              </w:rPr>
              <w:t xml:space="preserve">The condition must not have been treated with adjuvant endocrine therapy for more than </w:t>
            </w:r>
            <w:r w:rsidR="00C07B1F">
              <w:rPr>
                <w:rFonts w:ascii="Arial Narrow" w:hAnsi="Arial Narrow"/>
                <w:color w:val="333333"/>
                <w:sz w:val="20"/>
                <w:szCs w:val="20"/>
              </w:rPr>
              <w:t>6</w:t>
            </w:r>
            <w:r w:rsidRPr="00837AF7">
              <w:rPr>
                <w:rFonts w:ascii="Arial Narrow" w:hAnsi="Arial Narrow"/>
                <w:color w:val="333333"/>
                <w:sz w:val="20"/>
                <w:szCs w:val="20"/>
              </w:rPr>
              <w:t xml:space="preserve"> months prior to commencing this drug</w:t>
            </w:r>
          </w:p>
        </w:tc>
      </w:tr>
      <w:tr w:rsidR="005E6FDD" w:rsidRPr="00837AF7" w14:paraId="17F1C890" w14:textId="77777777" w:rsidTr="007E2F65">
        <w:tblPrEx>
          <w:tblCellMar>
            <w:top w:w="15" w:type="dxa"/>
            <w:left w:w="15" w:type="dxa"/>
            <w:bottom w:w="15" w:type="dxa"/>
            <w:right w:w="15" w:type="dxa"/>
          </w:tblCellMar>
          <w:tblLook w:val="04A0" w:firstRow="1" w:lastRow="0" w:firstColumn="1" w:lastColumn="0" w:noHBand="0" w:noVBand="1"/>
        </w:tblPrEx>
        <w:trPr>
          <w:trHeight w:val="20"/>
        </w:trPr>
        <w:tc>
          <w:tcPr>
            <w:tcW w:w="1413" w:type="dxa"/>
            <w:gridSpan w:val="2"/>
            <w:vAlign w:val="center"/>
          </w:tcPr>
          <w:p w14:paraId="4EDD5F70" w14:textId="77777777" w:rsidR="005E6FDD" w:rsidRPr="00837AF7" w:rsidRDefault="005E6FDD" w:rsidP="005E6FDD">
            <w:pPr>
              <w:jc w:val="center"/>
              <w:rPr>
                <w:rFonts w:ascii="Arial Narrow" w:hAnsi="Arial Narrow"/>
                <w:color w:val="333333"/>
                <w:sz w:val="20"/>
                <w:szCs w:val="20"/>
              </w:rPr>
            </w:pPr>
          </w:p>
        </w:tc>
        <w:tc>
          <w:tcPr>
            <w:tcW w:w="7654" w:type="dxa"/>
            <w:gridSpan w:val="6"/>
            <w:vAlign w:val="center"/>
          </w:tcPr>
          <w:p w14:paraId="1DA32C93" w14:textId="77777777" w:rsidR="005E6FDD" w:rsidRPr="00837AF7" w:rsidRDefault="005E6FDD" w:rsidP="005E6FDD">
            <w:pPr>
              <w:rPr>
                <w:rFonts w:ascii="Arial Narrow" w:hAnsi="Arial Narrow"/>
                <w:b/>
                <w:bCs/>
                <w:color w:val="333333"/>
                <w:sz w:val="20"/>
                <w:szCs w:val="20"/>
              </w:rPr>
            </w:pPr>
            <w:r w:rsidRPr="00837AF7">
              <w:rPr>
                <w:rFonts w:ascii="Arial Narrow" w:hAnsi="Arial Narrow"/>
                <w:b/>
                <w:bCs/>
                <w:color w:val="333333"/>
                <w:sz w:val="20"/>
                <w:szCs w:val="20"/>
              </w:rPr>
              <w:t>AND</w:t>
            </w:r>
          </w:p>
        </w:tc>
      </w:tr>
      <w:tr w:rsidR="005E6FDD" w:rsidRPr="00837AF7" w14:paraId="769285D8" w14:textId="77777777" w:rsidTr="007E2F65">
        <w:tblPrEx>
          <w:tblCellMar>
            <w:top w:w="15" w:type="dxa"/>
            <w:left w:w="15" w:type="dxa"/>
            <w:bottom w:w="15" w:type="dxa"/>
            <w:right w:w="15" w:type="dxa"/>
          </w:tblCellMar>
          <w:tblLook w:val="04A0" w:firstRow="1" w:lastRow="0" w:firstColumn="1" w:lastColumn="0" w:noHBand="0" w:noVBand="1"/>
        </w:tblPrEx>
        <w:trPr>
          <w:trHeight w:val="20"/>
        </w:trPr>
        <w:tc>
          <w:tcPr>
            <w:tcW w:w="1413" w:type="dxa"/>
            <w:gridSpan w:val="2"/>
            <w:vAlign w:val="center"/>
          </w:tcPr>
          <w:p w14:paraId="31A808E4" w14:textId="0744B493" w:rsidR="005E6FDD" w:rsidRPr="00837AF7" w:rsidRDefault="005E6FDD" w:rsidP="005E6FDD">
            <w:pPr>
              <w:jc w:val="center"/>
              <w:rPr>
                <w:rFonts w:ascii="Arial Narrow" w:hAnsi="Arial Narrow"/>
                <w:color w:val="333333"/>
                <w:sz w:val="20"/>
                <w:szCs w:val="20"/>
              </w:rPr>
            </w:pPr>
          </w:p>
        </w:tc>
        <w:tc>
          <w:tcPr>
            <w:tcW w:w="7654" w:type="dxa"/>
            <w:gridSpan w:val="6"/>
            <w:vAlign w:val="center"/>
          </w:tcPr>
          <w:p w14:paraId="1669DEBC" w14:textId="77777777" w:rsidR="005E6FDD" w:rsidRPr="00837AF7" w:rsidRDefault="005E6FDD" w:rsidP="005E6FDD">
            <w:pPr>
              <w:rPr>
                <w:rFonts w:ascii="Arial Narrow" w:hAnsi="Arial Narrow"/>
                <w:b/>
                <w:bCs/>
                <w:color w:val="333333"/>
                <w:sz w:val="20"/>
                <w:szCs w:val="20"/>
              </w:rPr>
            </w:pPr>
            <w:r w:rsidRPr="00837AF7">
              <w:rPr>
                <w:rFonts w:ascii="Arial Narrow" w:hAnsi="Arial Narrow"/>
                <w:b/>
                <w:bCs/>
                <w:color w:val="333333"/>
                <w:sz w:val="20"/>
                <w:szCs w:val="20"/>
              </w:rPr>
              <w:t>Clinical criteria:</w:t>
            </w:r>
          </w:p>
        </w:tc>
      </w:tr>
      <w:tr w:rsidR="005E6FDD" w:rsidRPr="00837AF7" w14:paraId="2D0DB89E" w14:textId="77777777" w:rsidTr="007E2F65">
        <w:tblPrEx>
          <w:tblCellMar>
            <w:top w:w="15" w:type="dxa"/>
            <w:left w:w="15" w:type="dxa"/>
            <w:bottom w:w="15" w:type="dxa"/>
            <w:right w:w="15" w:type="dxa"/>
          </w:tblCellMar>
          <w:tblLook w:val="04A0" w:firstRow="1" w:lastRow="0" w:firstColumn="1" w:lastColumn="0" w:noHBand="0" w:noVBand="1"/>
        </w:tblPrEx>
        <w:trPr>
          <w:trHeight w:val="20"/>
        </w:trPr>
        <w:tc>
          <w:tcPr>
            <w:tcW w:w="1413" w:type="dxa"/>
            <w:gridSpan w:val="2"/>
            <w:vAlign w:val="center"/>
          </w:tcPr>
          <w:p w14:paraId="6E25AE78" w14:textId="71D01D4D" w:rsidR="005E6FDD" w:rsidRPr="00837AF7" w:rsidRDefault="005E6FDD" w:rsidP="005E6FDD">
            <w:pPr>
              <w:jc w:val="center"/>
              <w:rPr>
                <w:rFonts w:ascii="Arial Narrow" w:hAnsi="Arial Narrow"/>
                <w:color w:val="333333"/>
                <w:sz w:val="20"/>
                <w:szCs w:val="20"/>
              </w:rPr>
            </w:pPr>
          </w:p>
        </w:tc>
        <w:tc>
          <w:tcPr>
            <w:tcW w:w="7654" w:type="dxa"/>
            <w:gridSpan w:val="6"/>
            <w:vAlign w:val="center"/>
            <w:hideMark/>
          </w:tcPr>
          <w:p w14:paraId="36A32D4D" w14:textId="77777777" w:rsidR="005E6FDD" w:rsidRPr="00837AF7" w:rsidRDefault="005E6FDD" w:rsidP="005E6FDD">
            <w:pPr>
              <w:rPr>
                <w:rFonts w:ascii="Arial Narrow" w:hAnsi="Arial Narrow"/>
                <w:color w:val="333333"/>
                <w:sz w:val="20"/>
                <w:szCs w:val="20"/>
              </w:rPr>
            </w:pPr>
            <w:r w:rsidRPr="00837AF7">
              <w:rPr>
                <w:rFonts w:ascii="Arial Narrow" w:hAnsi="Arial Narrow"/>
                <w:color w:val="333333"/>
                <w:sz w:val="20"/>
                <w:szCs w:val="20"/>
              </w:rPr>
              <w:t>The condition must be human epidermal growth factor receptor 2 (HER2) negative</w:t>
            </w:r>
          </w:p>
        </w:tc>
      </w:tr>
      <w:tr w:rsidR="005E6FDD" w:rsidRPr="00837AF7" w14:paraId="19B2E050" w14:textId="77777777" w:rsidTr="007E2F65">
        <w:tblPrEx>
          <w:tblCellMar>
            <w:top w:w="15" w:type="dxa"/>
            <w:left w:w="15" w:type="dxa"/>
            <w:bottom w:w="15" w:type="dxa"/>
            <w:right w:w="15" w:type="dxa"/>
          </w:tblCellMar>
          <w:tblLook w:val="04A0" w:firstRow="1" w:lastRow="0" w:firstColumn="1" w:lastColumn="0" w:noHBand="0" w:noVBand="1"/>
        </w:tblPrEx>
        <w:trPr>
          <w:trHeight w:val="20"/>
        </w:trPr>
        <w:tc>
          <w:tcPr>
            <w:tcW w:w="1413" w:type="dxa"/>
            <w:gridSpan w:val="2"/>
            <w:vAlign w:val="center"/>
          </w:tcPr>
          <w:p w14:paraId="0270507B" w14:textId="77777777" w:rsidR="005E6FDD" w:rsidRPr="00837AF7" w:rsidRDefault="005E6FDD" w:rsidP="005E6FDD">
            <w:pPr>
              <w:jc w:val="center"/>
              <w:rPr>
                <w:rFonts w:ascii="Arial Narrow" w:hAnsi="Arial Narrow"/>
                <w:color w:val="333333"/>
                <w:sz w:val="20"/>
                <w:szCs w:val="20"/>
              </w:rPr>
            </w:pPr>
          </w:p>
        </w:tc>
        <w:tc>
          <w:tcPr>
            <w:tcW w:w="7654" w:type="dxa"/>
            <w:gridSpan w:val="6"/>
            <w:vAlign w:val="center"/>
            <w:hideMark/>
          </w:tcPr>
          <w:p w14:paraId="29CC3250" w14:textId="77777777" w:rsidR="005E6FDD" w:rsidRPr="00837AF7" w:rsidRDefault="005E6FDD" w:rsidP="005E6FDD">
            <w:pPr>
              <w:rPr>
                <w:rFonts w:ascii="Arial Narrow" w:hAnsi="Arial Narrow"/>
                <w:color w:val="333333"/>
                <w:sz w:val="20"/>
                <w:szCs w:val="20"/>
              </w:rPr>
            </w:pPr>
            <w:r w:rsidRPr="00837AF7">
              <w:rPr>
                <w:rFonts w:ascii="Arial Narrow" w:hAnsi="Arial Narrow"/>
                <w:b/>
                <w:bCs/>
                <w:color w:val="333333"/>
                <w:sz w:val="20"/>
                <w:szCs w:val="20"/>
              </w:rPr>
              <w:t>AND</w:t>
            </w:r>
          </w:p>
        </w:tc>
      </w:tr>
      <w:tr w:rsidR="005E6FDD" w:rsidRPr="00837AF7" w14:paraId="658A6C6A" w14:textId="77777777" w:rsidTr="007E2F65">
        <w:tblPrEx>
          <w:tblCellMar>
            <w:top w:w="15" w:type="dxa"/>
            <w:left w:w="15" w:type="dxa"/>
            <w:bottom w:w="15" w:type="dxa"/>
            <w:right w:w="15" w:type="dxa"/>
          </w:tblCellMar>
          <w:tblLook w:val="04A0" w:firstRow="1" w:lastRow="0" w:firstColumn="1" w:lastColumn="0" w:noHBand="0" w:noVBand="1"/>
        </w:tblPrEx>
        <w:trPr>
          <w:trHeight w:val="20"/>
        </w:trPr>
        <w:tc>
          <w:tcPr>
            <w:tcW w:w="1413" w:type="dxa"/>
            <w:gridSpan w:val="2"/>
            <w:vAlign w:val="center"/>
          </w:tcPr>
          <w:p w14:paraId="7E541ED9" w14:textId="58011220" w:rsidR="005E6FDD" w:rsidRPr="00837AF7" w:rsidRDefault="005E6FDD" w:rsidP="005E6FDD">
            <w:pPr>
              <w:jc w:val="center"/>
              <w:rPr>
                <w:rFonts w:ascii="Arial Narrow" w:hAnsi="Arial Narrow"/>
                <w:color w:val="333333"/>
                <w:sz w:val="20"/>
                <w:szCs w:val="20"/>
              </w:rPr>
            </w:pPr>
          </w:p>
        </w:tc>
        <w:tc>
          <w:tcPr>
            <w:tcW w:w="7654" w:type="dxa"/>
            <w:gridSpan w:val="6"/>
            <w:vAlign w:val="center"/>
            <w:hideMark/>
          </w:tcPr>
          <w:p w14:paraId="7C30571A" w14:textId="77777777" w:rsidR="005E6FDD" w:rsidRPr="00837AF7" w:rsidRDefault="005E6FDD" w:rsidP="005E6FDD">
            <w:pPr>
              <w:rPr>
                <w:rFonts w:ascii="Arial Narrow" w:hAnsi="Arial Narrow"/>
                <w:color w:val="333333"/>
                <w:sz w:val="20"/>
                <w:szCs w:val="20"/>
              </w:rPr>
            </w:pPr>
            <w:r w:rsidRPr="00837AF7">
              <w:rPr>
                <w:rFonts w:ascii="Arial Narrow" w:hAnsi="Arial Narrow"/>
                <w:b/>
                <w:bCs/>
                <w:color w:val="333333"/>
                <w:sz w:val="20"/>
                <w:szCs w:val="20"/>
              </w:rPr>
              <w:t>Clinical criteria:</w:t>
            </w:r>
          </w:p>
        </w:tc>
      </w:tr>
      <w:tr w:rsidR="005E6FDD" w:rsidRPr="00837AF7" w14:paraId="4AFF41FC" w14:textId="77777777" w:rsidTr="007E2F65">
        <w:tblPrEx>
          <w:tblCellMar>
            <w:top w:w="15" w:type="dxa"/>
            <w:left w:w="15" w:type="dxa"/>
            <w:bottom w:w="15" w:type="dxa"/>
            <w:right w:w="15" w:type="dxa"/>
          </w:tblCellMar>
          <w:tblLook w:val="04A0" w:firstRow="1" w:lastRow="0" w:firstColumn="1" w:lastColumn="0" w:noHBand="0" w:noVBand="1"/>
        </w:tblPrEx>
        <w:trPr>
          <w:trHeight w:val="20"/>
        </w:trPr>
        <w:tc>
          <w:tcPr>
            <w:tcW w:w="1413" w:type="dxa"/>
            <w:gridSpan w:val="2"/>
            <w:vAlign w:val="center"/>
          </w:tcPr>
          <w:p w14:paraId="0A6E14F9" w14:textId="3C2138E8" w:rsidR="005E6FDD" w:rsidRPr="00837AF7" w:rsidRDefault="005E6FDD" w:rsidP="005E6FDD">
            <w:pPr>
              <w:jc w:val="center"/>
              <w:rPr>
                <w:rFonts w:ascii="Arial Narrow" w:hAnsi="Arial Narrow"/>
                <w:color w:val="333333"/>
                <w:sz w:val="20"/>
                <w:szCs w:val="20"/>
              </w:rPr>
            </w:pPr>
          </w:p>
        </w:tc>
        <w:tc>
          <w:tcPr>
            <w:tcW w:w="7654" w:type="dxa"/>
            <w:gridSpan w:val="6"/>
            <w:vAlign w:val="center"/>
            <w:hideMark/>
          </w:tcPr>
          <w:p w14:paraId="3C274E9A" w14:textId="77777777" w:rsidR="005E6FDD" w:rsidRPr="00837AF7" w:rsidRDefault="005E6FDD" w:rsidP="005E6FDD">
            <w:pPr>
              <w:rPr>
                <w:rFonts w:ascii="Arial Narrow" w:hAnsi="Arial Narrow"/>
                <w:color w:val="333333"/>
                <w:sz w:val="20"/>
                <w:szCs w:val="20"/>
              </w:rPr>
            </w:pPr>
            <w:r w:rsidRPr="00837AF7">
              <w:rPr>
                <w:rFonts w:ascii="Arial Narrow" w:hAnsi="Arial Narrow"/>
                <w:color w:val="333333"/>
                <w:sz w:val="20"/>
                <w:szCs w:val="20"/>
              </w:rPr>
              <w:t>The condition must be hormone receptor positive</w:t>
            </w:r>
          </w:p>
        </w:tc>
      </w:tr>
      <w:tr w:rsidR="005E6FDD" w:rsidRPr="00837AF7" w14:paraId="35A211A9" w14:textId="77777777" w:rsidTr="007E2F65">
        <w:tblPrEx>
          <w:tblCellMar>
            <w:top w:w="15" w:type="dxa"/>
            <w:left w:w="15" w:type="dxa"/>
            <w:bottom w:w="15" w:type="dxa"/>
            <w:right w:w="15" w:type="dxa"/>
          </w:tblCellMar>
          <w:tblLook w:val="04A0" w:firstRow="1" w:lastRow="0" w:firstColumn="1" w:lastColumn="0" w:noHBand="0" w:noVBand="1"/>
        </w:tblPrEx>
        <w:trPr>
          <w:trHeight w:val="20"/>
        </w:trPr>
        <w:tc>
          <w:tcPr>
            <w:tcW w:w="1413" w:type="dxa"/>
            <w:gridSpan w:val="2"/>
            <w:vAlign w:val="center"/>
          </w:tcPr>
          <w:p w14:paraId="3D934ACC" w14:textId="77777777" w:rsidR="005E6FDD" w:rsidRPr="00837AF7" w:rsidRDefault="005E6FDD" w:rsidP="005E6FDD">
            <w:pPr>
              <w:jc w:val="center"/>
              <w:rPr>
                <w:rFonts w:ascii="Arial Narrow" w:hAnsi="Arial Narrow"/>
                <w:color w:val="333333"/>
                <w:sz w:val="20"/>
                <w:szCs w:val="20"/>
              </w:rPr>
            </w:pPr>
          </w:p>
        </w:tc>
        <w:tc>
          <w:tcPr>
            <w:tcW w:w="7654" w:type="dxa"/>
            <w:gridSpan w:val="6"/>
            <w:vAlign w:val="center"/>
            <w:hideMark/>
          </w:tcPr>
          <w:p w14:paraId="56A93D50" w14:textId="77777777" w:rsidR="005E6FDD" w:rsidRPr="00837AF7" w:rsidRDefault="005E6FDD" w:rsidP="005E6FDD">
            <w:pPr>
              <w:rPr>
                <w:rFonts w:ascii="Arial Narrow" w:hAnsi="Arial Narrow"/>
                <w:color w:val="333333"/>
                <w:sz w:val="20"/>
                <w:szCs w:val="20"/>
              </w:rPr>
            </w:pPr>
            <w:r w:rsidRPr="00837AF7">
              <w:rPr>
                <w:rFonts w:ascii="Arial Narrow" w:hAnsi="Arial Narrow"/>
                <w:b/>
                <w:bCs/>
                <w:color w:val="333333"/>
                <w:sz w:val="20"/>
                <w:szCs w:val="20"/>
              </w:rPr>
              <w:t>AND</w:t>
            </w:r>
          </w:p>
        </w:tc>
      </w:tr>
      <w:tr w:rsidR="005E6FDD" w:rsidRPr="00837AF7" w14:paraId="3F4EF32B" w14:textId="77777777" w:rsidTr="007E2F65">
        <w:tblPrEx>
          <w:tblCellMar>
            <w:top w:w="15" w:type="dxa"/>
            <w:left w:w="15" w:type="dxa"/>
            <w:bottom w:w="15" w:type="dxa"/>
            <w:right w:w="15" w:type="dxa"/>
          </w:tblCellMar>
          <w:tblLook w:val="04A0" w:firstRow="1" w:lastRow="0" w:firstColumn="1" w:lastColumn="0" w:noHBand="0" w:noVBand="1"/>
        </w:tblPrEx>
        <w:trPr>
          <w:trHeight w:val="20"/>
        </w:trPr>
        <w:tc>
          <w:tcPr>
            <w:tcW w:w="1413" w:type="dxa"/>
            <w:gridSpan w:val="2"/>
            <w:vAlign w:val="center"/>
          </w:tcPr>
          <w:p w14:paraId="258C53F1" w14:textId="6190E99B" w:rsidR="005E6FDD" w:rsidRPr="00837AF7" w:rsidRDefault="005E6FDD" w:rsidP="005E6FDD">
            <w:pPr>
              <w:jc w:val="center"/>
              <w:rPr>
                <w:rFonts w:ascii="Arial Narrow" w:hAnsi="Arial Narrow"/>
                <w:color w:val="333333"/>
                <w:sz w:val="20"/>
                <w:szCs w:val="20"/>
              </w:rPr>
            </w:pPr>
          </w:p>
        </w:tc>
        <w:tc>
          <w:tcPr>
            <w:tcW w:w="7654" w:type="dxa"/>
            <w:gridSpan w:val="6"/>
            <w:vAlign w:val="center"/>
            <w:hideMark/>
          </w:tcPr>
          <w:p w14:paraId="137D0C56" w14:textId="77777777" w:rsidR="005E6FDD" w:rsidRPr="00837AF7" w:rsidRDefault="005E6FDD" w:rsidP="005E6FDD">
            <w:pPr>
              <w:rPr>
                <w:rFonts w:ascii="Arial Narrow" w:hAnsi="Arial Narrow"/>
                <w:color w:val="333333"/>
                <w:sz w:val="20"/>
                <w:szCs w:val="20"/>
              </w:rPr>
            </w:pPr>
            <w:r w:rsidRPr="00837AF7">
              <w:rPr>
                <w:rFonts w:ascii="Arial Narrow" w:hAnsi="Arial Narrow"/>
                <w:b/>
                <w:bCs/>
                <w:color w:val="333333"/>
                <w:sz w:val="20"/>
                <w:szCs w:val="20"/>
              </w:rPr>
              <w:t>Clinical criteria:</w:t>
            </w:r>
          </w:p>
        </w:tc>
      </w:tr>
      <w:tr w:rsidR="005E6FDD" w:rsidRPr="00837AF7" w14:paraId="01C99A6A" w14:textId="77777777" w:rsidTr="007E2F65">
        <w:tblPrEx>
          <w:tblCellMar>
            <w:top w:w="15" w:type="dxa"/>
            <w:left w:w="15" w:type="dxa"/>
            <w:bottom w:w="15" w:type="dxa"/>
            <w:right w:w="15" w:type="dxa"/>
          </w:tblCellMar>
          <w:tblLook w:val="04A0" w:firstRow="1" w:lastRow="0" w:firstColumn="1" w:lastColumn="0" w:noHBand="0" w:noVBand="1"/>
        </w:tblPrEx>
        <w:trPr>
          <w:trHeight w:val="20"/>
        </w:trPr>
        <w:tc>
          <w:tcPr>
            <w:tcW w:w="1413" w:type="dxa"/>
            <w:gridSpan w:val="2"/>
            <w:vAlign w:val="center"/>
          </w:tcPr>
          <w:p w14:paraId="52D38DBD" w14:textId="0F5ECA89" w:rsidR="005E6FDD" w:rsidRPr="00837AF7" w:rsidRDefault="005E6FDD" w:rsidP="005E6FDD">
            <w:pPr>
              <w:jc w:val="center"/>
              <w:rPr>
                <w:rFonts w:ascii="Arial Narrow" w:hAnsi="Arial Narrow"/>
                <w:color w:val="333333"/>
                <w:sz w:val="20"/>
                <w:szCs w:val="20"/>
              </w:rPr>
            </w:pPr>
          </w:p>
        </w:tc>
        <w:tc>
          <w:tcPr>
            <w:tcW w:w="7654" w:type="dxa"/>
            <w:gridSpan w:val="6"/>
            <w:vAlign w:val="center"/>
            <w:hideMark/>
          </w:tcPr>
          <w:p w14:paraId="18F172B0" w14:textId="77777777" w:rsidR="005E6FDD" w:rsidRPr="00837AF7" w:rsidRDefault="005E6FDD" w:rsidP="005E6FDD">
            <w:pPr>
              <w:rPr>
                <w:rFonts w:ascii="Arial Narrow" w:hAnsi="Arial Narrow"/>
                <w:color w:val="333333"/>
                <w:sz w:val="20"/>
                <w:szCs w:val="20"/>
              </w:rPr>
            </w:pPr>
            <w:r w:rsidRPr="00837AF7">
              <w:rPr>
                <w:rFonts w:ascii="Arial Narrow" w:hAnsi="Arial Narrow"/>
                <w:color w:val="333333"/>
                <w:sz w:val="20"/>
                <w:szCs w:val="20"/>
              </w:rPr>
              <w:t>The condition must be at high risk of recurrence at treatment initiation with this drug, with high risk being any of: (a) cancer cells in at least 4 positive axillary lymph nodes, (b) cancer cells in 1 to 3 positive axillary lymph nodes plus at least one of: (i) tumour size of at least 5 cm in size, (ii) grade 3 tumour histology (on the Nottingham grading system)</w:t>
            </w:r>
          </w:p>
        </w:tc>
      </w:tr>
      <w:tr w:rsidR="005E6FDD" w:rsidRPr="00837AF7" w14:paraId="1BD2D426" w14:textId="77777777" w:rsidTr="007E2F65">
        <w:tblPrEx>
          <w:tblCellMar>
            <w:top w:w="15" w:type="dxa"/>
            <w:left w:w="15" w:type="dxa"/>
            <w:bottom w:w="15" w:type="dxa"/>
            <w:right w:w="15" w:type="dxa"/>
          </w:tblCellMar>
          <w:tblLook w:val="04A0" w:firstRow="1" w:lastRow="0" w:firstColumn="1" w:lastColumn="0" w:noHBand="0" w:noVBand="1"/>
        </w:tblPrEx>
        <w:trPr>
          <w:trHeight w:val="20"/>
        </w:trPr>
        <w:tc>
          <w:tcPr>
            <w:tcW w:w="1413" w:type="dxa"/>
            <w:gridSpan w:val="2"/>
            <w:vAlign w:val="center"/>
          </w:tcPr>
          <w:p w14:paraId="2E358B22" w14:textId="77777777" w:rsidR="005E6FDD" w:rsidRPr="00837AF7" w:rsidRDefault="005E6FDD" w:rsidP="005E6FDD">
            <w:pPr>
              <w:jc w:val="center"/>
              <w:rPr>
                <w:rFonts w:ascii="Arial Narrow" w:hAnsi="Arial Narrow"/>
                <w:color w:val="333333"/>
                <w:sz w:val="20"/>
                <w:szCs w:val="20"/>
              </w:rPr>
            </w:pPr>
          </w:p>
        </w:tc>
        <w:tc>
          <w:tcPr>
            <w:tcW w:w="7654" w:type="dxa"/>
            <w:gridSpan w:val="6"/>
            <w:vAlign w:val="center"/>
          </w:tcPr>
          <w:p w14:paraId="57275ACA" w14:textId="77777777" w:rsidR="005E6FDD" w:rsidRPr="00837AF7" w:rsidRDefault="005E6FDD" w:rsidP="005E6FDD">
            <w:pPr>
              <w:rPr>
                <w:rFonts w:ascii="Arial Narrow" w:hAnsi="Arial Narrow"/>
                <w:color w:val="333333"/>
                <w:sz w:val="20"/>
                <w:szCs w:val="20"/>
              </w:rPr>
            </w:pPr>
            <w:r w:rsidRPr="00837AF7">
              <w:rPr>
                <w:rFonts w:ascii="Arial Narrow" w:hAnsi="Arial Narrow"/>
                <w:b/>
                <w:bCs/>
                <w:color w:val="333333"/>
                <w:sz w:val="20"/>
                <w:szCs w:val="20"/>
              </w:rPr>
              <w:t>AND</w:t>
            </w:r>
          </w:p>
        </w:tc>
      </w:tr>
      <w:tr w:rsidR="005E6FDD" w:rsidRPr="00837AF7" w14:paraId="335B11A0" w14:textId="77777777" w:rsidTr="007E2F65">
        <w:tblPrEx>
          <w:tblCellMar>
            <w:top w:w="15" w:type="dxa"/>
            <w:left w:w="15" w:type="dxa"/>
            <w:bottom w:w="15" w:type="dxa"/>
            <w:right w:w="15" w:type="dxa"/>
          </w:tblCellMar>
          <w:tblLook w:val="04A0" w:firstRow="1" w:lastRow="0" w:firstColumn="1" w:lastColumn="0" w:noHBand="0" w:noVBand="1"/>
        </w:tblPrEx>
        <w:trPr>
          <w:trHeight w:val="20"/>
        </w:trPr>
        <w:tc>
          <w:tcPr>
            <w:tcW w:w="1413" w:type="dxa"/>
            <w:gridSpan w:val="2"/>
            <w:vAlign w:val="center"/>
          </w:tcPr>
          <w:p w14:paraId="02216457" w14:textId="428C9A79" w:rsidR="005E6FDD" w:rsidRPr="00837AF7" w:rsidRDefault="005E6FDD" w:rsidP="005E6FDD">
            <w:pPr>
              <w:jc w:val="center"/>
              <w:rPr>
                <w:rFonts w:ascii="Arial Narrow" w:hAnsi="Arial Narrow"/>
                <w:color w:val="333333"/>
                <w:sz w:val="20"/>
                <w:szCs w:val="20"/>
              </w:rPr>
            </w:pPr>
          </w:p>
        </w:tc>
        <w:tc>
          <w:tcPr>
            <w:tcW w:w="7654" w:type="dxa"/>
            <w:gridSpan w:val="6"/>
            <w:vAlign w:val="center"/>
          </w:tcPr>
          <w:p w14:paraId="5613095D" w14:textId="77777777" w:rsidR="005E6FDD" w:rsidRPr="00837AF7" w:rsidRDefault="005E6FDD" w:rsidP="005E6FDD">
            <w:pPr>
              <w:rPr>
                <w:rFonts w:ascii="Arial Narrow" w:hAnsi="Arial Narrow"/>
                <w:color w:val="333333"/>
                <w:sz w:val="20"/>
                <w:szCs w:val="20"/>
              </w:rPr>
            </w:pPr>
            <w:r w:rsidRPr="00837AF7">
              <w:rPr>
                <w:rFonts w:ascii="Arial Narrow" w:hAnsi="Arial Narrow"/>
                <w:b/>
                <w:bCs/>
                <w:color w:val="333333"/>
                <w:sz w:val="20"/>
                <w:szCs w:val="20"/>
              </w:rPr>
              <w:t>Clinical criteria:</w:t>
            </w:r>
          </w:p>
        </w:tc>
      </w:tr>
      <w:tr w:rsidR="005E6FDD" w:rsidRPr="00837AF7" w14:paraId="4A9F0945" w14:textId="77777777" w:rsidTr="007E2F65">
        <w:tblPrEx>
          <w:tblCellMar>
            <w:top w:w="15" w:type="dxa"/>
            <w:left w:w="15" w:type="dxa"/>
            <w:bottom w:w="15" w:type="dxa"/>
            <w:right w:w="15" w:type="dxa"/>
          </w:tblCellMar>
          <w:tblLook w:val="04A0" w:firstRow="1" w:lastRow="0" w:firstColumn="1" w:lastColumn="0" w:noHBand="0" w:noVBand="1"/>
        </w:tblPrEx>
        <w:trPr>
          <w:trHeight w:val="20"/>
        </w:trPr>
        <w:tc>
          <w:tcPr>
            <w:tcW w:w="1413" w:type="dxa"/>
            <w:gridSpan w:val="2"/>
            <w:vAlign w:val="center"/>
          </w:tcPr>
          <w:p w14:paraId="47BFF3A0" w14:textId="270EF058" w:rsidR="005E6FDD" w:rsidRPr="00837AF7" w:rsidRDefault="005E6FDD" w:rsidP="005E6FDD">
            <w:pPr>
              <w:jc w:val="center"/>
              <w:rPr>
                <w:rFonts w:ascii="Arial Narrow" w:hAnsi="Arial Narrow"/>
                <w:color w:val="333333"/>
                <w:sz w:val="20"/>
                <w:szCs w:val="20"/>
              </w:rPr>
            </w:pPr>
          </w:p>
        </w:tc>
        <w:tc>
          <w:tcPr>
            <w:tcW w:w="7654" w:type="dxa"/>
            <w:gridSpan w:val="6"/>
            <w:vAlign w:val="center"/>
          </w:tcPr>
          <w:p w14:paraId="29F22C6D" w14:textId="35BEE279" w:rsidR="005E6FDD" w:rsidRPr="00837AF7" w:rsidRDefault="005E6FDD" w:rsidP="005E6FDD">
            <w:pPr>
              <w:rPr>
                <w:rFonts w:ascii="Arial Narrow" w:hAnsi="Arial Narrow"/>
                <w:color w:val="333333"/>
                <w:sz w:val="20"/>
                <w:szCs w:val="20"/>
              </w:rPr>
            </w:pPr>
            <w:r w:rsidRPr="00837AF7">
              <w:rPr>
                <w:rFonts w:ascii="Arial Narrow" w:hAnsi="Arial Narrow"/>
                <w:color w:val="333333"/>
                <w:sz w:val="20"/>
                <w:szCs w:val="20"/>
              </w:rPr>
              <w:t>The treatment must not be a PBS-subsidised benefit beyond whichever comes first: (i) a total of 3 years of active treatment (this includes any non-PBS subsidised supply if applicable), (ii) disease recurrence/progression</w:t>
            </w:r>
          </w:p>
        </w:tc>
      </w:tr>
      <w:tr w:rsidR="005E6FDD" w:rsidRPr="00837AF7" w14:paraId="5299B853" w14:textId="77777777" w:rsidTr="007E2F65">
        <w:tblPrEx>
          <w:tblCellMar>
            <w:top w:w="15" w:type="dxa"/>
            <w:left w:w="15" w:type="dxa"/>
            <w:bottom w:w="15" w:type="dxa"/>
            <w:right w:w="15" w:type="dxa"/>
          </w:tblCellMar>
          <w:tblLook w:val="04A0" w:firstRow="1" w:lastRow="0" w:firstColumn="1" w:lastColumn="0" w:noHBand="0" w:noVBand="1"/>
        </w:tblPrEx>
        <w:trPr>
          <w:trHeight w:val="20"/>
        </w:trPr>
        <w:tc>
          <w:tcPr>
            <w:tcW w:w="1413" w:type="dxa"/>
            <w:gridSpan w:val="2"/>
            <w:vAlign w:val="center"/>
          </w:tcPr>
          <w:p w14:paraId="52337455" w14:textId="77777777" w:rsidR="005E6FDD" w:rsidRPr="00837AF7" w:rsidRDefault="005E6FDD" w:rsidP="005E6FDD">
            <w:pPr>
              <w:jc w:val="center"/>
              <w:rPr>
                <w:rFonts w:ascii="Arial Narrow" w:hAnsi="Arial Narrow"/>
                <w:color w:val="333333"/>
                <w:sz w:val="20"/>
                <w:szCs w:val="20"/>
              </w:rPr>
            </w:pPr>
          </w:p>
        </w:tc>
        <w:tc>
          <w:tcPr>
            <w:tcW w:w="7654" w:type="dxa"/>
            <w:gridSpan w:val="6"/>
            <w:vAlign w:val="center"/>
          </w:tcPr>
          <w:p w14:paraId="1B02B9AC" w14:textId="77777777" w:rsidR="005E6FDD" w:rsidRPr="00837AF7" w:rsidRDefault="005E6FDD" w:rsidP="005E6FDD">
            <w:pPr>
              <w:rPr>
                <w:rFonts w:ascii="Arial Narrow" w:hAnsi="Arial Narrow"/>
                <w:color w:val="333333"/>
                <w:sz w:val="20"/>
                <w:szCs w:val="20"/>
              </w:rPr>
            </w:pPr>
            <w:r w:rsidRPr="00837AF7">
              <w:rPr>
                <w:rFonts w:ascii="Arial Narrow" w:hAnsi="Arial Narrow"/>
                <w:b/>
                <w:bCs/>
                <w:color w:val="333333"/>
                <w:sz w:val="20"/>
                <w:szCs w:val="20"/>
              </w:rPr>
              <w:t>AND</w:t>
            </w:r>
          </w:p>
        </w:tc>
      </w:tr>
      <w:tr w:rsidR="005E6FDD" w:rsidRPr="00837AF7" w14:paraId="5CE2FFE6" w14:textId="77777777" w:rsidTr="007E2F65">
        <w:tblPrEx>
          <w:tblCellMar>
            <w:top w:w="15" w:type="dxa"/>
            <w:left w:w="15" w:type="dxa"/>
            <w:bottom w:w="15" w:type="dxa"/>
            <w:right w:w="15" w:type="dxa"/>
          </w:tblCellMar>
          <w:tblLook w:val="04A0" w:firstRow="1" w:lastRow="0" w:firstColumn="1" w:lastColumn="0" w:noHBand="0" w:noVBand="1"/>
        </w:tblPrEx>
        <w:trPr>
          <w:trHeight w:val="20"/>
        </w:trPr>
        <w:tc>
          <w:tcPr>
            <w:tcW w:w="1413" w:type="dxa"/>
            <w:gridSpan w:val="2"/>
            <w:vAlign w:val="center"/>
          </w:tcPr>
          <w:p w14:paraId="6E4134DF" w14:textId="03273863" w:rsidR="005E6FDD" w:rsidRPr="00837AF7" w:rsidRDefault="005E6FDD" w:rsidP="005E6FDD">
            <w:pPr>
              <w:jc w:val="center"/>
              <w:rPr>
                <w:rFonts w:ascii="Arial Narrow" w:hAnsi="Arial Narrow"/>
                <w:color w:val="333333"/>
                <w:sz w:val="20"/>
                <w:szCs w:val="20"/>
              </w:rPr>
            </w:pPr>
          </w:p>
        </w:tc>
        <w:tc>
          <w:tcPr>
            <w:tcW w:w="7654" w:type="dxa"/>
            <w:gridSpan w:val="6"/>
            <w:vAlign w:val="center"/>
          </w:tcPr>
          <w:p w14:paraId="56963E5B" w14:textId="77777777" w:rsidR="005E6FDD" w:rsidRPr="00837AF7" w:rsidRDefault="005E6FDD" w:rsidP="005E6FDD">
            <w:pPr>
              <w:rPr>
                <w:rFonts w:ascii="Arial Narrow" w:hAnsi="Arial Narrow"/>
                <w:color w:val="333333"/>
                <w:sz w:val="20"/>
                <w:szCs w:val="20"/>
              </w:rPr>
            </w:pPr>
            <w:r w:rsidRPr="00837AF7">
              <w:rPr>
                <w:rFonts w:ascii="Arial Narrow" w:hAnsi="Arial Narrow"/>
                <w:b/>
                <w:bCs/>
                <w:color w:val="333333"/>
                <w:sz w:val="20"/>
                <w:szCs w:val="20"/>
              </w:rPr>
              <w:t>Clinical criteria:</w:t>
            </w:r>
          </w:p>
        </w:tc>
      </w:tr>
      <w:tr w:rsidR="005E6FDD" w:rsidRPr="00837AF7" w14:paraId="288571FC" w14:textId="77777777" w:rsidTr="007E2F65">
        <w:tblPrEx>
          <w:tblCellMar>
            <w:top w:w="15" w:type="dxa"/>
            <w:left w:w="15" w:type="dxa"/>
            <w:bottom w:w="15" w:type="dxa"/>
            <w:right w:w="15" w:type="dxa"/>
          </w:tblCellMar>
          <w:tblLook w:val="04A0" w:firstRow="1" w:lastRow="0" w:firstColumn="1" w:lastColumn="0" w:noHBand="0" w:noVBand="1"/>
        </w:tblPrEx>
        <w:trPr>
          <w:trHeight w:val="20"/>
        </w:trPr>
        <w:tc>
          <w:tcPr>
            <w:tcW w:w="1413" w:type="dxa"/>
            <w:gridSpan w:val="2"/>
            <w:vAlign w:val="center"/>
          </w:tcPr>
          <w:p w14:paraId="0B800867" w14:textId="12AAEE55" w:rsidR="005E6FDD" w:rsidRPr="00837AF7" w:rsidRDefault="005E6FDD" w:rsidP="005E6FDD">
            <w:pPr>
              <w:jc w:val="center"/>
              <w:rPr>
                <w:rFonts w:ascii="Arial Narrow" w:hAnsi="Arial Narrow"/>
                <w:color w:val="333333"/>
                <w:sz w:val="20"/>
                <w:szCs w:val="20"/>
              </w:rPr>
            </w:pPr>
          </w:p>
        </w:tc>
        <w:tc>
          <w:tcPr>
            <w:tcW w:w="7654" w:type="dxa"/>
            <w:gridSpan w:val="6"/>
            <w:vAlign w:val="center"/>
          </w:tcPr>
          <w:p w14:paraId="49CF15D5" w14:textId="77777777" w:rsidR="005E6FDD" w:rsidRPr="00837AF7" w:rsidRDefault="005E6FDD" w:rsidP="005E6FDD">
            <w:pPr>
              <w:rPr>
                <w:rFonts w:ascii="Arial Narrow" w:hAnsi="Arial Narrow"/>
                <w:color w:val="333333"/>
                <w:sz w:val="20"/>
                <w:szCs w:val="20"/>
              </w:rPr>
            </w:pPr>
            <w:r w:rsidRPr="00837AF7">
              <w:rPr>
                <w:rFonts w:ascii="Arial Narrow" w:hAnsi="Arial Narrow"/>
                <w:color w:val="333333"/>
                <w:sz w:val="20"/>
                <w:szCs w:val="20"/>
              </w:rPr>
              <w:t xml:space="preserve">The treatment must not be in combination with </w:t>
            </w:r>
            <w:r w:rsidRPr="00C07B1F">
              <w:rPr>
                <w:rFonts w:ascii="Arial Narrow" w:hAnsi="Arial Narrow"/>
                <w:color w:val="333333"/>
                <w:sz w:val="20"/>
                <w:szCs w:val="20"/>
              </w:rPr>
              <w:t>any of the following:</w:t>
            </w:r>
            <w:r w:rsidRPr="00837AF7">
              <w:rPr>
                <w:rFonts w:ascii="Arial Narrow" w:hAnsi="Arial Narrow"/>
                <w:color w:val="333333"/>
                <w:sz w:val="20"/>
                <w:szCs w:val="20"/>
              </w:rPr>
              <w:t xml:space="preserve"> (i) abemaciclib, (ii) olaparib, (iii) pembrolizumab</w:t>
            </w:r>
          </w:p>
        </w:tc>
      </w:tr>
      <w:tr w:rsidR="005E6FDD" w:rsidRPr="00837AF7" w14:paraId="3E992A87" w14:textId="77777777" w:rsidTr="007E2F65">
        <w:tblPrEx>
          <w:tblCellMar>
            <w:top w:w="15" w:type="dxa"/>
            <w:left w:w="15" w:type="dxa"/>
            <w:bottom w:w="15" w:type="dxa"/>
            <w:right w:w="15" w:type="dxa"/>
          </w:tblCellMar>
          <w:tblLook w:val="04A0" w:firstRow="1" w:lastRow="0" w:firstColumn="1" w:lastColumn="0" w:noHBand="0" w:noVBand="1"/>
        </w:tblPrEx>
        <w:trPr>
          <w:trHeight w:val="20"/>
        </w:trPr>
        <w:tc>
          <w:tcPr>
            <w:tcW w:w="1413" w:type="dxa"/>
            <w:gridSpan w:val="2"/>
            <w:vAlign w:val="center"/>
          </w:tcPr>
          <w:p w14:paraId="22728FB7" w14:textId="77777777" w:rsidR="005E6FDD" w:rsidRPr="00837AF7" w:rsidRDefault="005E6FDD" w:rsidP="005E6FDD">
            <w:pPr>
              <w:jc w:val="center"/>
              <w:rPr>
                <w:rFonts w:ascii="Arial Narrow" w:hAnsi="Arial Narrow"/>
                <w:b/>
                <w:color w:val="333333"/>
                <w:sz w:val="20"/>
                <w:szCs w:val="20"/>
              </w:rPr>
            </w:pPr>
          </w:p>
        </w:tc>
        <w:tc>
          <w:tcPr>
            <w:tcW w:w="7654" w:type="dxa"/>
            <w:gridSpan w:val="6"/>
            <w:vAlign w:val="center"/>
          </w:tcPr>
          <w:p w14:paraId="200017AE" w14:textId="77777777" w:rsidR="005E6FDD" w:rsidRPr="00837AF7" w:rsidRDefault="005E6FDD" w:rsidP="005E6FDD">
            <w:pPr>
              <w:rPr>
                <w:rFonts w:ascii="Arial Narrow" w:hAnsi="Arial Narrow"/>
                <w:b/>
                <w:color w:val="333333"/>
                <w:sz w:val="20"/>
                <w:szCs w:val="20"/>
              </w:rPr>
            </w:pPr>
            <w:r w:rsidRPr="00837AF7">
              <w:rPr>
                <w:rFonts w:ascii="Arial Narrow" w:hAnsi="Arial Narrow"/>
                <w:b/>
                <w:color w:val="333333"/>
                <w:sz w:val="20"/>
                <w:szCs w:val="20"/>
              </w:rPr>
              <w:t>AND</w:t>
            </w:r>
          </w:p>
        </w:tc>
      </w:tr>
      <w:tr w:rsidR="005E6FDD" w:rsidRPr="00837AF7" w14:paraId="3AB95BF7" w14:textId="77777777" w:rsidTr="007E2F65">
        <w:tblPrEx>
          <w:tblCellMar>
            <w:top w:w="15" w:type="dxa"/>
            <w:left w:w="15" w:type="dxa"/>
            <w:bottom w:w="15" w:type="dxa"/>
            <w:right w:w="15" w:type="dxa"/>
          </w:tblCellMar>
          <w:tblLook w:val="04A0" w:firstRow="1" w:lastRow="0" w:firstColumn="1" w:lastColumn="0" w:noHBand="0" w:noVBand="1"/>
        </w:tblPrEx>
        <w:trPr>
          <w:trHeight w:val="20"/>
        </w:trPr>
        <w:tc>
          <w:tcPr>
            <w:tcW w:w="1413" w:type="dxa"/>
            <w:gridSpan w:val="2"/>
            <w:vAlign w:val="center"/>
          </w:tcPr>
          <w:p w14:paraId="15015F5A" w14:textId="4285E77B" w:rsidR="005E6FDD" w:rsidRPr="00837AF7" w:rsidRDefault="005E6FDD" w:rsidP="005E6FDD">
            <w:pPr>
              <w:jc w:val="center"/>
              <w:rPr>
                <w:rFonts w:ascii="Arial Narrow" w:hAnsi="Arial Narrow"/>
                <w:color w:val="333333"/>
                <w:sz w:val="20"/>
                <w:szCs w:val="20"/>
              </w:rPr>
            </w:pPr>
          </w:p>
        </w:tc>
        <w:tc>
          <w:tcPr>
            <w:tcW w:w="7654" w:type="dxa"/>
            <w:gridSpan w:val="6"/>
            <w:vAlign w:val="center"/>
            <w:hideMark/>
          </w:tcPr>
          <w:p w14:paraId="70B3BF28" w14:textId="77777777" w:rsidR="005E6FDD" w:rsidRPr="00837AF7" w:rsidRDefault="005E6FDD" w:rsidP="005E6FDD">
            <w:pPr>
              <w:rPr>
                <w:rFonts w:ascii="Arial Narrow" w:hAnsi="Arial Narrow"/>
                <w:color w:val="333333"/>
                <w:sz w:val="20"/>
                <w:szCs w:val="20"/>
              </w:rPr>
            </w:pPr>
            <w:r w:rsidRPr="00837AF7">
              <w:rPr>
                <w:rFonts w:ascii="Arial Narrow" w:hAnsi="Arial Narrow"/>
                <w:b/>
                <w:bCs/>
                <w:color w:val="333333"/>
                <w:sz w:val="20"/>
                <w:szCs w:val="20"/>
              </w:rPr>
              <w:t>Treatment criteria:</w:t>
            </w:r>
          </w:p>
        </w:tc>
      </w:tr>
      <w:tr w:rsidR="005E6FDD" w:rsidRPr="00837AF7" w14:paraId="0CB3B898" w14:textId="77777777" w:rsidTr="007E2F65">
        <w:tblPrEx>
          <w:tblCellMar>
            <w:top w:w="15" w:type="dxa"/>
            <w:left w:w="15" w:type="dxa"/>
            <w:bottom w:w="15" w:type="dxa"/>
            <w:right w:w="15" w:type="dxa"/>
          </w:tblCellMar>
          <w:tblLook w:val="04A0" w:firstRow="1" w:lastRow="0" w:firstColumn="1" w:lastColumn="0" w:noHBand="0" w:noVBand="1"/>
        </w:tblPrEx>
        <w:trPr>
          <w:trHeight w:val="20"/>
        </w:trPr>
        <w:tc>
          <w:tcPr>
            <w:tcW w:w="1413" w:type="dxa"/>
            <w:gridSpan w:val="2"/>
            <w:tcBorders>
              <w:bottom w:val="single" w:sz="4" w:space="0" w:color="auto"/>
            </w:tcBorders>
            <w:vAlign w:val="center"/>
          </w:tcPr>
          <w:p w14:paraId="7409E513" w14:textId="260E37CC" w:rsidR="005E6FDD" w:rsidRPr="00837AF7" w:rsidRDefault="005E6FDD" w:rsidP="005E6FDD">
            <w:pPr>
              <w:jc w:val="center"/>
              <w:rPr>
                <w:rFonts w:ascii="Arial Narrow" w:hAnsi="Arial Narrow"/>
                <w:color w:val="333333"/>
                <w:sz w:val="20"/>
                <w:szCs w:val="20"/>
              </w:rPr>
            </w:pPr>
          </w:p>
        </w:tc>
        <w:tc>
          <w:tcPr>
            <w:tcW w:w="7654" w:type="dxa"/>
            <w:gridSpan w:val="6"/>
            <w:tcBorders>
              <w:bottom w:val="single" w:sz="4" w:space="0" w:color="auto"/>
            </w:tcBorders>
            <w:vAlign w:val="center"/>
            <w:hideMark/>
          </w:tcPr>
          <w:p w14:paraId="3AA5FBA5" w14:textId="464AA798" w:rsidR="005E6FDD" w:rsidRPr="00837AF7" w:rsidRDefault="005E6FDD" w:rsidP="005E6FDD">
            <w:pPr>
              <w:autoSpaceDE w:val="0"/>
              <w:autoSpaceDN w:val="0"/>
              <w:adjustRightInd w:val="0"/>
              <w:rPr>
                <w:rFonts w:ascii="Arial Narrow" w:hAnsi="Arial Narrow" w:cs="Arial Narrow"/>
                <w:sz w:val="20"/>
                <w:szCs w:val="20"/>
              </w:rPr>
            </w:pPr>
            <w:r w:rsidRPr="00837AF7">
              <w:rPr>
                <w:rFonts w:ascii="Arial Narrow" w:hAnsi="Arial Narrow" w:cs="Arial Narrow"/>
                <w:sz w:val="20"/>
                <w:szCs w:val="20"/>
              </w:rPr>
              <w:t>Patient must be undergoing concurrent treatment with a non-steroidal aromatase inhibitor where this drug is being prescribed as a PBS-benefit</w:t>
            </w:r>
            <w:r w:rsidR="00976353">
              <w:rPr>
                <w:rFonts w:ascii="Arial Narrow" w:hAnsi="Arial Narrow" w:cs="Arial Narrow"/>
                <w:sz w:val="20"/>
                <w:szCs w:val="20"/>
              </w:rPr>
              <w:t xml:space="preserve"> </w:t>
            </w:r>
          </w:p>
        </w:tc>
      </w:tr>
      <w:tr w:rsidR="005E6FDD" w:rsidRPr="00837AF7" w14:paraId="3029ADEE" w14:textId="77777777" w:rsidTr="007E2F65">
        <w:tblPrEx>
          <w:tblCellMar>
            <w:top w:w="15" w:type="dxa"/>
            <w:left w:w="15" w:type="dxa"/>
            <w:bottom w:w="15" w:type="dxa"/>
            <w:right w:w="15" w:type="dxa"/>
          </w:tblCellMar>
          <w:tblLook w:val="04A0" w:firstRow="1" w:lastRow="0" w:firstColumn="1" w:lastColumn="0" w:noHBand="0" w:noVBand="1"/>
        </w:tblPrEx>
        <w:trPr>
          <w:trHeight w:val="20"/>
        </w:trPr>
        <w:tc>
          <w:tcPr>
            <w:tcW w:w="1413" w:type="dxa"/>
            <w:gridSpan w:val="2"/>
            <w:tcBorders>
              <w:top w:val="single" w:sz="4" w:space="0" w:color="auto"/>
            </w:tcBorders>
            <w:vAlign w:val="center"/>
          </w:tcPr>
          <w:p w14:paraId="65BD55EA" w14:textId="0A7F45FC" w:rsidR="005E6FDD" w:rsidRPr="00837AF7" w:rsidRDefault="005E6FDD" w:rsidP="005E6FDD">
            <w:pPr>
              <w:jc w:val="center"/>
              <w:rPr>
                <w:rFonts w:ascii="Arial Narrow" w:hAnsi="Arial Narrow"/>
                <w:color w:val="333333"/>
                <w:sz w:val="20"/>
                <w:szCs w:val="20"/>
              </w:rPr>
            </w:pPr>
          </w:p>
        </w:tc>
        <w:tc>
          <w:tcPr>
            <w:tcW w:w="7654" w:type="dxa"/>
            <w:gridSpan w:val="6"/>
            <w:tcBorders>
              <w:top w:val="single" w:sz="4" w:space="0" w:color="auto"/>
            </w:tcBorders>
            <w:vAlign w:val="center"/>
            <w:hideMark/>
          </w:tcPr>
          <w:p w14:paraId="2B95E2C7" w14:textId="77777777" w:rsidR="005E6FDD" w:rsidRPr="00837AF7" w:rsidRDefault="005E6FDD" w:rsidP="005E6FDD">
            <w:pPr>
              <w:rPr>
                <w:rFonts w:ascii="Arial Narrow" w:hAnsi="Arial Narrow"/>
                <w:color w:val="333333"/>
                <w:sz w:val="20"/>
                <w:szCs w:val="20"/>
              </w:rPr>
            </w:pPr>
            <w:r w:rsidRPr="00837AF7">
              <w:rPr>
                <w:rFonts w:ascii="Arial Narrow" w:hAnsi="Arial Narrow"/>
                <w:b/>
                <w:bCs/>
                <w:color w:val="333333"/>
                <w:sz w:val="20"/>
                <w:szCs w:val="20"/>
              </w:rPr>
              <w:t>Prescribing Instructions:</w:t>
            </w:r>
            <w:r w:rsidRPr="00837AF7">
              <w:rPr>
                <w:rFonts w:ascii="Arial Narrow" w:hAnsi="Arial Narrow"/>
                <w:color w:val="333333"/>
                <w:sz w:val="20"/>
                <w:szCs w:val="20"/>
              </w:rPr>
              <w:t xml:space="preserve"> Retain all pathology imaging and investigative test results in the patient’s medical records.</w:t>
            </w:r>
          </w:p>
        </w:tc>
      </w:tr>
      <w:tr w:rsidR="00514D66" w:rsidRPr="00837AF7" w14:paraId="41E51FE8" w14:textId="77777777" w:rsidTr="007E2F65">
        <w:tblPrEx>
          <w:tblCellMar>
            <w:top w:w="15" w:type="dxa"/>
            <w:left w:w="15" w:type="dxa"/>
            <w:bottom w:w="15" w:type="dxa"/>
            <w:right w:w="15" w:type="dxa"/>
          </w:tblCellMar>
          <w:tblLook w:val="04A0" w:firstRow="1" w:lastRow="0" w:firstColumn="1" w:lastColumn="0" w:noHBand="0" w:noVBand="1"/>
        </w:tblPrEx>
        <w:trPr>
          <w:trHeight w:val="20"/>
        </w:trPr>
        <w:tc>
          <w:tcPr>
            <w:tcW w:w="1413" w:type="dxa"/>
            <w:gridSpan w:val="2"/>
            <w:vAlign w:val="center"/>
          </w:tcPr>
          <w:p w14:paraId="3C0516FB" w14:textId="4FAC82DA" w:rsidR="00514D66" w:rsidRPr="00837AF7" w:rsidRDefault="00514D66" w:rsidP="005E6FDD">
            <w:pPr>
              <w:jc w:val="center"/>
              <w:rPr>
                <w:rFonts w:ascii="Arial Narrow" w:hAnsi="Arial Narrow"/>
                <w:color w:val="333333"/>
                <w:sz w:val="20"/>
                <w:szCs w:val="20"/>
              </w:rPr>
            </w:pPr>
          </w:p>
        </w:tc>
        <w:tc>
          <w:tcPr>
            <w:tcW w:w="7654" w:type="dxa"/>
            <w:gridSpan w:val="6"/>
            <w:vAlign w:val="center"/>
          </w:tcPr>
          <w:p w14:paraId="2A4F5E65" w14:textId="0DAA9D65" w:rsidR="00514D66" w:rsidRPr="00837AF7" w:rsidRDefault="00514D66" w:rsidP="005E6FDD">
            <w:pPr>
              <w:rPr>
                <w:rFonts w:ascii="Arial Narrow" w:hAnsi="Arial Narrow"/>
                <w:b/>
                <w:bCs/>
                <w:color w:val="333333"/>
                <w:sz w:val="20"/>
                <w:szCs w:val="20"/>
              </w:rPr>
            </w:pPr>
            <w:r w:rsidRPr="00837AF7">
              <w:rPr>
                <w:rFonts w:ascii="Arial Narrow" w:hAnsi="Arial Narrow"/>
                <w:b/>
                <w:bCs/>
                <w:color w:val="333333"/>
                <w:sz w:val="20"/>
                <w:szCs w:val="20"/>
              </w:rPr>
              <w:t>Prescribing Instructions:</w:t>
            </w:r>
            <w:r>
              <w:rPr>
                <w:rFonts w:ascii="Arial Narrow" w:hAnsi="Arial Narrow"/>
                <w:b/>
                <w:bCs/>
                <w:color w:val="333333"/>
                <w:sz w:val="20"/>
                <w:szCs w:val="20"/>
              </w:rPr>
              <w:t xml:space="preserve"> </w:t>
            </w:r>
            <w:r w:rsidRPr="00514D66">
              <w:rPr>
                <w:rFonts w:ascii="Arial Narrow" w:hAnsi="Arial Narrow"/>
                <w:color w:val="333333"/>
                <w:sz w:val="20"/>
                <w:szCs w:val="20"/>
              </w:rPr>
              <w:t>PBS-subsidised treatment with CDK 4/6 inhibitors is restricted to one line of therapy at any disease staging for breast cancer (i.e. if therapy has been prescribed for early disease, subsidy under locally advanced or metastatic disease is no longer available).</w:t>
            </w:r>
          </w:p>
        </w:tc>
      </w:tr>
      <w:tr w:rsidR="005E6FDD" w:rsidRPr="00865925" w14:paraId="268578C6" w14:textId="77777777" w:rsidTr="007E2F65">
        <w:tblPrEx>
          <w:tblCellMar>
            <w:top w:w="15" w:type="dxa"/>
            <w:left w:w="15" w:type="dxa"/>
            <w:bottom w:w="15" w:type="dxa"/>
            <w:right w:w="15" w:type="dxa"/>
          </w:tblCellMar>
          <w:tblLook w:val="04A0" w:firstRow="1" w:lastRow="0" w:firstColumn="1" w:lastColumn="0" w:noHBand="0" w:noVBand="1"/>
        </w:tblPrEx>
        <w:trPr>
          <w:trHeight w:val="20"/>
        </w:trPr>
        <w:tc>
          <w:tcPr>
            <w:tcW w:w="1413" w:type="dxa"/>
            <w:gridSpan w:val="2"/>
            <w:vAlign w:val="center"/>
          </w:tcPr>
          <w:p w14:paraId="4A0261CC" w14:textId="2824C8C7" w:rsidR="005E6FDD" w:rsidRPr="00837AF7" w:rsidRDefault="005E6FDD" w:rsidP="005E6FDD">
            <w:pPr>
              <w:jc w:val="center"/>
              <w:rPr>
                <w:rFonts w:ascii="Arial Narrow" w:hAnsi="Arial Narrow"/>
                <w:color w:val="333333"/>
                <w:sz w:val="20"/>
                <w:szCs w:val="20"/>
              </w:rPr>
            </w:pPr>
          </w:p>
        </w:tc>
        <w:tc>
          <w:tcPr>
            <w:tcW w:w="7654" w:type="dxa"/>
            <w:gridSpan w:val="6"/>
            <w:vAlign w:val="center"/>
          </w:tcPr>
          <w:p w14:paraId="586E9CE2" w14:textId="77777777" w:rsidR="005E6FDD" w:rsidRPr="00837AF7" w:rsidRDefault="005E6FDD" w:rsidP="005E6FDD">
            <w:pPr>
              <w:rPr>
                <w:rFonts w:ascii="Arial Narrow" w:hAnsi="Arial Narrow"/>
                <w:b/>
                <w:bCs/>
                <w:color w:val="333333"/>
                <w:sz w:val="20"/>
                <w:szCs w:val="20"/>
              </w:rPr>
            </w:pPr>
            <w:r w:rsidRPr="00837AF7">
              <w:rPr>
                <w:rFonts w:ascii="Arial Narrow" w:hAnsi="Arial Narrow"/>
                <w:b/>
                <w:bCs/>
                <w:color w:val="333333"/>
                <w:sz w:val="20"/>
                <w:szCs w:val="20"/>
              </w:rPr>
              <w:t xml:space="preserve">Caution: </w:t>
            </w:r>
            <w:r w:rsidRPr="00837AF7">
              <w:rPr>
                <w:rFonts w:ascii="Arial Narrow" w:hAnsi="Arial Narrow"/>
                <w:color w:val="333333"/>
                <w:sz w:val="20"/>
                <w:szCs w:val="20"/>
              </w:rPr>
              <w:t>QT interval monitoring is required for patients treated with this drug.</w:t>
            </w:r>
          </w:p>
        </w:tc>
      </w:tr>
      <w:bookmarkEnd w:id="73"/>
    </w:tbl>
    <w:p w14:paraId="79A56F60" w14:textId="77777777" w:rsidR="00837AF7" w:rsidRDefault="00837AF7" w:rsidP="00837AF7">
      <w:pPr>
        <w:widowControl w:val="0"/>
        <w:contextualSpacing/>
        <w:rPr>
          <w:rFonts w:asciiTheme="minorHAnsi" w:hAnsiTheme="minorHAnsi"/>
          <w:bCs/>
          <w:snapToGrid w:val="0"/>
        </w:rPr>
      </w:pPr>
    </w:p>
    <w:p w14:paraId="67703121" w14:textId="0AAA66C7" w:rsidR="00A160B0" w:rsidRPr="00E5155B" w:rsidRDefault="00A160B0" w:rsidP="00E5155B">
      <w:pPr>
        <w:pStyle w:val="3-BodyText"/>
        <w:rPr>
          <w:snapToGrid w:val="0"/>
        </w:rPr>
      </w:pPr>
      <w:bookmarkStart w:id="74" w:name="_Hlk183163775"/>
      <w:r w:rsidRPr="00A160B0">
        <w:rPr>
          <w:snapToGrid w:val="0"/>
        </w:rPr>
        <w:t>The PBAC recommended flow on changes to</w:t>
      </w:r>
      <w:r>
        <w:rPr>
          <w:snapToGrid w:val="0"/>
        </w:rPr>
        <w:t xml:space="preserve"> the</w:t>
      </w:r>
      <w:r w:rsidRPr="00A160B0">
        <w:rPr>
          <w:snapToGrid w:val="0"/>
        </w:rPr>
        <w:t xml:space="preserve"> existing restriction for </w:t>
      </w:r>
      <w:bookmarkEnd w:id="74"/>
      <w:r>
        <w:rPr>
          <w:snapToGrid w:val="0"/>
        </w:rPr>
        <w:t>abemaciclib</w:t>
      </w:r>
      <w:r w:rsidRPr="00A160B0">
        <w:rPr>
          <w:snapToGrid w:val="0"/>
        </w:rPr>
        <w:t xml:space="preserve"> in </w:t>
      </w:r>
      <w:r>
        <w:rPr>
          <w:snapToGrid w:val="0"/>
        </w:rPr>
        <w:t>eBC</w:t>
      </w:r>
      <w:r w:rsidRPr="00A160B0">
        <w:rPr>
          <w:snapToGrid w:val="0"/>
        </w:rPr>
        <w:t xml:space="preserve"> (PBS item codes: 1</w:t>
      </w:r>
      <w:r>
        <w:rPr>
          <w:snapToGrid w:val="0"/>
        </w:rPr>
        <w:t xml:space="preserve">4105J, </w:t>
      </w:r>
      <w:r w:rsidRPr="00A160B0">
        <w:rPr>
          <w:snapToGrid w:val="0"/>
        </w:rPr>
        <w:t>1</w:t>
      </w:r>
      <w:r>
        <w:rPr>
          <w:snapToGrid w:val="0"/>
        </w:rPr>
        <w:t>4116Y and 14134X</w:t>
      </w:r>
      <w:r w:rsidRPr="00A160B0">
        <w:rPr>
          <w:snapToGrid w:val="0"/>
        </w:rPr>
        <w:t>). </w:t>
      </w:r>
    </w:p>
    <w:p w14:paraId="11387EA0" w14:textId="372DCB92" w:rsidR="00A160B0" w:rsidRPr="00A160B0" w:rsidRDefault="00A160B0" w:rsidP="00E5155B">
      <w:pPr>
        <w:pStyle w:val="3-BodyText"/>
        <w:numPr>
          <w:ilvl w:val="0"/>
          <w:numId w:val="0"/>
        </w:numPr>
        <w:ind w:left="720"/>
        <w:rPr>
          <w:snapToGrid w:val="0"/>
        </w:rPr>
      </w:pPr>
      <w:r w:rsidRPr="00A160B0">
        <w:rPr>
          <w:snapToGrid w:val="0"/>
        </w:rPr>
        <w:t>The PBAC noted the following flow-on changes:</w:t>
      </w:r>
    </w:p>
    <w:p w14:paraId="3F5E69EF" w14:textId="76863B80" w:rsidR="00A160B0" w:rsidRPr="00A160B0" w:rsidRDefault="00A160B0" w:rsidP="00E5155B">
      <w:pPr>
        <w:pStyle w:val="3-BodyText"/>
        <w:numPr>
          <w:ilvl w:val="0"/>
          <w:numId w:val="0"/>
        </w:numPr>
        <w:ind w:left="720"/>
        <w:rPr>
          <w:snapToGrid w:val="0"/>
        </w:rPr>
      </w:pPr>
      <w:r w:rsidRPr="00A160B0">
        <w:rPr>
          <w:snapToGrid w:val="0"/>
        </w:rPr>
        <w:t xml:space="preserve">Update to the clinical criteria to facilitate </w:t>
      </w:r>
      <w:r>
        <w:rPr>
          <w:snapToGrid w:val="0"/>
        </w:rPr>
        <w:t>treatment switching from ribociclib to abemaciclib if patients experience intolerance to ribociclib</w:t>
      </w:r>
      <w:r w:rsidRPr="00A160B0">
        <w:rPr>
          <w:snapToGrid w:val="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A160B0" w:rsidRPr="00A160B0" w14:paraId="02C0A6E5" w14:textId="77777777" w:rsidTr="003439C4">
        <w:trPr>
          <w:trHeight w:val="227"/>
        </w:trPr>
        <w:tc>
          <w:tcPr>
            <w:tcW w:w="90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12DD4D" w14:textId="77777777" w:rsidR="00A160B0" w:rsidRPr="00A338E8" w:rsidRDefault="00A160B0" w:rsidP="00A160B0">
            <w:pPr>
              <w:widowControl w:val="0"/>
              <w:contextualSpacing/>
              <w:divId w:val="1266378268"/>
              <w:rPr>
                <w:rFonts w:ascii="Arial Narrow" w:hAnsi="Arial Narrow"/>
                <w:bCs/>
                <w:snapToGrid w:val="0"/>
                <w:sz w:val="20"/>
                <w:szCs w:val="20"/>
              </w:rPr>
            </w:pPr>
            <w:r w:rsidRPr="00A338E8">
              <w:rPr>
                <w:rFonts w:ascii="Arial Narrow" w:hAnsi="Arial Narrow"/>
                <w:b/>
                <w:bCs/>
                <w:i/>
                <w:iCs/>
                <w:snapToGrid w:val="0"/>
                <w:sz w:val="20"/>
                <w:szCs w:val="20"/>
              </w:rPr>
              <w:t>Clinical criteria:</w:t>
            </w:r>
            <w:r w:rsidRPr="00A338E8">
              <w:rPr>
                <w:rFonts w:ascii="Arial Narrow" w:hAnsi="Arial Narrow"/>
                <w:bCs/>
                <w:snapToGrid w:val="0"/>
                <w:sz w:val="20"/>
                <w:szCs w:val="20"/>
              </w:rPr>
              <w:t> </w:t>
            </w:r>
          </w:p>
        </w:tc>
      </w:tr>
      <w:tr w:rsidR="00A160B0" w:rsidRPr="00A160B0" w14:paraId="14E70865" w14:textId="77777777" w:rsidTr="003439C4">
        <w:trPr>
          <w:trHeight w:val="227"/>
        </w:trPr>
        <w:tc>
          <w:tcPr>
            <w:tcW w:w="90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CF6374" w14:textId="185E94BD" w:rsidR="00A160B0" w:rsidRPr="00A338E8" w:rsidRDefault="00A160B0" w:rsidP="005B68B9">
            <w:pPr>
              <w:widowControl w:val="0"/>
              <w:numPr>
                <w:ilvl w:val="0"/>
                <w:numId w:val="30"/>
              </w:numPr>
              <w:contextualSpacing/>
              <w:rPr>
                <w:rFonts w:ascii="Arial Narrow" w:hAnsi="Arial Narrow"/>
                <w:bCs/>
                <w:snapToGrid w:val="0"/>
                <w:sz w:val="20"/>
                <w:szCs w:val="20"/>
              </w:rPr>
            </w:pPr>
            <w:r w:rsidRPr="00A338E8">
              <w:rPr>
                <w:rFonts w:ascii="Arial Narrow" w:hAnsi="Arial Narrow"/>
                <w:bCs/>
                <w:snapToGrid w:val="0"/>
                <w:sz w:val="20"/>
                <w:szCs w:val="20"/>
              </w:rPr>
              <w:t>Patient must be untreated with cyclin-dependent kinase 4/6 (CDK4/6) inhibitor therapy; OR </w:t>
            </w:r>
          </w:p>
          <w:p w14:paraId="5EF916A8" w14:textId="4A2D41E1" w:rsidR="00A160B0" w:rsidRPr="00A338E8" w:rsidRDefault="00A160B0" w:rsidP="005B68B9">
            <w:pPr>
              <w:widowControl w:val="0"/>
              <w:numPr>
                <w:ilvl w:val="0"/>
                <w:numId w:val="31"/>
              </w:numPr>
              <w:contextualSpacing/>
              <w:rPr>
                <w:rFonts w:ascii="Arial Narrow" w:hAnsi="Arial Narrow"/>
                <w:bCs/>
                <w:snapToGrid w:val="0"/>
                <w:sz w:val="20"/>
                <w:szCs w:val="20"/>
              </w:rPr>
            </w:pPr>
            <w:r w:rsidRPr="00A338E8">
              <w:rPr>
                <w:rFonts w:ascii="Arial Narrow" w:hAnsi="Arial Narrow"/>
                <w:bCs/>
                <w:snapToGrid w:val="0"/>
                <w:sz w:val="20"/>
                <w:szCs w:val="20"/>
              </w:rPr>
              <w:t>Patient must have developed an intolerance to another CDK4/6 inhibitor therapy (other than this drug) of a severity necessitating permanent treatment withdrawal. </w:t>
            </w:r>
          </w:p>
        </w:tc>
      </w:tr>
    </w:tbl>
    <w:p w14:paraId="7308CF6C" w14:textId="20F83D28" w:rsidR="00B701A5" w:rsidRDefault="00B701A5" w:rsidP="00837AF7">
      <w:pPr>
        <w:widowControl w:val="0"/>
        <w:contextualSpacing/>
        <w:rPr>
          <w:rFonts w:asciiTheme="minorHAnsi" w:hAnsiTheme="minorHAnsi"/>
          <w:bCs/>
          <w:snapToGrid w:val="0"/>
        </w:rPr>
      </w:pPr>
    </w:p>
    <w:p w14:paraId="1D3D2104" w14:textId="4AFB0677" w:rsidR="0048092B" w:rsidRPr="00E5155B" w:rsidRDefault="0048092B" w:rsidP="00E5155B">
      <w:pPr>
        <w:pStyle w:val="3-BodyText"/>
        <w:rPr>
          <w:snapToGrid w:val="0"/>
        </w:rPr>
      </w:pPr>
      <w:r w:rsidRPr="00A160B0">
        <w:rPr>
          <w:snapToGrid w:val="0"/>
        </w:rPr>
        <w:t>The PBAC recommended</w:t>
      </w:r>
      <w:r w:rsidR="0042094A">
        <w:rPr>
          <w:snapToGrid w:val="0"/>
        </w:rPr>
        <w:t xml:space="preserve"> the following</w:t>
      </w:r>
      <w:r w:rsidRPr="00A160B0">
        <w:rPr>
          <w:snapToGrid w:val="0"/>
        </w:rPr>
        <w:t xml:space="preserve"> flow on changes to</w:t>
      </w:r>
      <w:r>
        <w:rPr>
          <w:snapToGrid w:val="0"/>
        </w:rPr>
        <w:t xml:space="preserve"> the</w:t>
      </w:r>
      <w:r w:rsidRPr="00A160B0">
        <w:rPr>
          <w:snapToGrid w:val="0"/>
        </w:rPr>
        <w:t xml:space="preserve"> existing restriction</w:t>
      </w:r>
      <w:r w:rsidR="0042094A">
        <w:rPr>
          <w:snapToGrid w:val="0"/>
        </w:rPr>
        <w:t>s</w:t>
      </w:r>
      <w:r w:rsidRPr="00A160B0">
        <w:rPr>
          <w:snapToGrid w:val="0"/>
        </w:rPr>
        <w:t xml:space="preserve"> for</w:t>
      </w:r>
      <w:r>
        <w:rPr>
          <w:snapToGrid w:val="0"/>
        </w:rPr>
        <w:t xml:space="preserve"> olaparib in </w:t>
      </w:r>
      <w:r w:rsidR="0042094A">
        <w:rPr>
          <w:snapToGrid w:val="0"/>
        </w:rPr>
        <w:t>eBC</w:t>
      </w:r>
      <w:r w:rsidR="00AC5000">
        <w:rPr>
          <w:snapToGrid w:val="0"/>
        </w:rPr>
        <w:t xml:space="preserve"> </w:t>
      </w:r>
      <w:r>
        <w:rPr>
          <w:snapToGrid w:val="0"/>
        </w:rPr>
        <w:t xml:space="preserve">(PBS item codes: </w:t>
      </w:r>
      <w:r w:rsidR="00AC5000">
        <w:rPr>
          <w:snapToGrid w:val="0"/>
        </w:rPr>
        <w:t>14181J, 14261F</w:t>
      </w:r>
      <w:r>
        <w:rPr>
          <w:snapToGrid w:val="0"/>
        </w:rPr>
        <w:t>)</w:t>
      </w:r>
      <w:r w:rsidR="0042094A">
        <w:rPr>
          <w:snapToGrid w:val="0"/>
        </w:rPr>
        <w:t xml:space="preserve"> and abemaciclib in eBC (PBS item codes: </w:t>
      </w:r>
      <w:r w:rsidR="0042094A" w:rsidRPr="00A160B0">
        <w:rPr>
          <w:snapToGrid w:val="0"/>
        </w:rPr>
        <w:t>1</w:t>
      </w:r>
      <w:r w:rsidR="0042094A">
        <w:rPr>
          <w:snapToGrid w:val="0"/>
        </w:rPr>
        <w:t xml:space="preserve">4105J, </w:t>
      </w:r>
      <w:r w:rsidR="0042094A" w:rsidRPr="00A160B0">
        <w:rPr>
          <w:snapToGrid w:val="0"/>
        </w:rPr>
        <w:t>1</w:t>
      </w:r>
      <w:r w:rsidR="0042094A">
        <w:rPr>
          <w:snapToGrid w:val="0"/>
        </w:rPr>
        <w:t>4116Y and 14134X) to add ribociclib to the list of treatments that can’t be given in combination</w:t>
      </w:r>
      <w:r>
        <w:rPr>
          <w:snapToGrid w:val="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1837"/>
        <w:gridCol w:w="1131"/>
        <w:gridCol w:w="1064"/>
        <w:gridCol w:w="893"/>
        <w:gridCol w:w="1823"/>
      </w:tblGrid>
      <w:tr w:rsidR="00976353" w:rsidRPr="00976353" w14:paraId="6658F4BC" w14:textId="77777777" w:rsidTr="003439C4">
        <w:trPr>
          <w:cantSplit/>
          <w:trHeight w:val="20"/>
          <w:jc w:val="center"/>
        </w:trPr>
        <w:tc>
          <w:tcPr>
            <w:tcW w:w="1258" w:type="pct"/>
            <w:vAlign w:val="center"/>
          </w:tcPr>
          <w:p w14:paraId="79B52471" w14:textId="77777777" w:rsidR="00976353" w:rsidRPr="00976353" w:rsidRDefault="00976353" w:rsidP="00976353">
            <w:pPr>
              <w:keepLines/>
              <w:jc w:val="left"/>
              <w:rPr>
                <w:rFonts w:ascii="Arial Narrow" w:eastAsia="Aptos" w:hAnsi="Arial Narrow"/>
                <w:b/>
                <w:bCs/>
                <w:sz w:val="18"/>
                <w:szCs w:val="18"/>
                <w:lang w:eastAsia="en-US"/>
              </w:rPr>
            </w:pPr>
            <w:r w:rsidRPr="00976353">
              <w:rPr>
                <w:rFonts w:ascii="Arial Narrow" w:eastAsia="Aptos" w:hAnsi="Arial Narrow"/>
                <w:b/>
                <w:bCs/>
                <w:sz w:val="18"/>
                <w:szCs w:val="18"/>
                <w:lang w:eastAsia="en-US"/>
              </w:rPr>
              <w:lastRenderedPageBreak/>
              <w:t>MEDICINAL PRODUCT</w:t>
            </w:r>
          </w:p>
          <w:p w14:paraId="3544038E" w14:textId="77777777" w:rsidR="00976353" w:rsidRPr="00976353" w:rsidRDefault="00976353" w:rsidP="00976353">
            <w:pPr>
              <w:keepLines/>
              <w:jc w:val="left"/>
              <w:rPr>
                <w:rFonts w:ascii="Arial Narrow" w:eastAsia="Aptos" w:hAnsi="Arial Narrow"/>
                <w:b/>
                <w:sz w:val="18"/>
                <w:szCs w:val="18"/>
                <w:lang w:eastAsia="en-US"/>
              </w:rPr>
            </w:pPr>
            <w:r w:rsidRPr="00976353">
              <w:rPr>
                <w:rFonts w:ascii="Arial Narrow" w:eastAsia="Aptos" w:hAnsi="Arial Narrow"/>
                <w:b/>
                <w:bCs/>
                <w:sz w:val="18"/>
                <w:szCs w:val="18"/>
                <w:lang w:eastAsia="en-US"/>
              </w:rPr>
              <w:t>medicinal product pack</w:t>
            </w:r>
          </w:p>
        </w:tc>
        <w:tc>
          <w:tcPr>
            <w:tcW w:w="1019" w:type="pct"/>
            <w:vAlign w:val="center"/>
          </w:tcPr>
          <w:p w14:paraId="0D4925D9" w14:textId="77777777" w:rsidR="00976353" w:rsidRPr="00976353" w:rsidRDefault="00976353" w:rsidP="00976353">
            <w:pPr>
              <w:keepLines/>
              <w:jc w:val="center"/>
              <w:rPr>
                <w:rFonts w:ascii="Arial Narrow" w:eastAsia="Aptos" w:hAnsi="Arial Narrow"/>
                <w:b/>
                <w:sz w:val="18"/>
                <w:szCs w:val="18"/>
                <w:lang w:eastAsia="en-US"/>
              </w:rPr>
            </w:pPr>
            <w:r w:rsidRPr="00976353">
              <w:rPr>
                <w:rFonts w:ascii="Arial Narrow" w:eastAsia="Aptos" w:hAnsi="Arial Narrow"/>
                <w:b/>
                <w:sz w:val="18"/>
                <w:szCs w:val="18"/>
                <w:lang w:eastAsia="en-US"/>
              </w:rPr>
              <w:t>PBS item code</w:t>
            </w:r>
          </w:p>
        </w:tc>
        <w:tc>
          <w:tcPr>
            <w:tcW w:w="627" w:type="pct"/>
            <w:vAlign w:val="center"/>
          </w:tcPr>
          <w:p w14:paraId="4A3D9F58" w14:textId="77777777" w:rsidR="00976353" w:rsidRPr="00976353" w:rsidRDefault="00976353" w:rsidP="00976353">
            <w:pPr>
              <w:keepLines/>
              <w:jc w:val="center"/>
              <w:rPr>
                <w:rFonts w:ascii="Arial Narrow" w:eastAsia="Aptos" w:hAnsi="Arial Narrow"/>
                <w:b/>
                <w:sz w:val="18"/>
                <w:szCs w:val="18"/>
                <w:lang w:eastAsia="en-US"/>
              </w:rPr>
            </w:pPr>
            <w:r w:rsidRPr="00976353">
              <w:rPr>
                <w:rFonts w:ascii="Arial Narrow" w:eastAsia="Aptos" w:hAnsi="Arial Narrow"/>
                <w:b/>
                <w:sz w:val="18"/>
                <w:szCs w:val="18"/>
                <w:lang w:eastAsia="en-US"/>
              </w:rPr>
              <w:t>Max. qty packs</w:t>
            </w:r>
          </w:p>
        </w:tc>
        <w:tc>
          <w:tcPr>
            <w:tcW w:w="590" w:type="pct"/>
            <w:vAlign w:val="center"/>
          </w:tcPr>
          <w:p w14:paraId="3916BE92" w14:textId="77777777" w:rsidR="00976353" w:rsidRPr="00976353" w:rsidRDefault="00976353" w:rsidP="00976353">
            <w:pPr>
              <w:keepLines/>
              <w:jc w:val="center"/>
              <w:rPr>
                <w:rFonts w:ascii="Arial Narrow" w:eastAsia="Aptos" w:hAnsi="Arial Narrow"/>
                <w:b/>
                <w:sz w:val="18"/>
                <w:szCs w:val="18"/>
                <w:lang w:eastAsia="en-US"/>
              </w:rPr>
            </w:pPr>
            <w:r w:rsidRPr="00976353">
              <w:rPr>
                <w:rFonts w:ascii="Arial Narrow" w:eastAsia="Aptos" w:hAnsi="Arial Narrow"/>
                <w:b/>
                <w:sz w:val="18"/>
                <w:szCs w:val="18"/>
                <w:lang w:eastAsia="en-US"/>
              </w:rPr>
              <w:t>Max. qty units</w:t>
            </w:r>
          </w:p>
        </w:tc>
        <w:tc>
          <w:tcPr>
            <w:tcW w:w="495" w:type="pct"/>
            <w:vAlign w:val="center"/>
          </w:tcPr>
          <w:p w14:paraId="3899CB72" w14:textId="77777777" w:rsidR="00976353" w:rsidRPr="00976353" w:rsidRDefault="00976353" w:rsidP="00976353">
            <w:pPr>
              <w:keepLines/>
              <w:jc w:val="center"/>
              <w:rPr>
                <w:rFonts w:ascii="Arial Narrow" w:eastAsia="Aptos" w:hAnsi="Arial Narrow"/>
                <w:b/>
                <w:sz w:val="18"/>
                <w:szCs w:val="18"/>
                <w:lang w:eastAsia="en-US"/>
              </w:rPr>
            </w:pPr>
            <w:r w:rsidRPr="00976353">
              <w:rPr>
                <w:rFonts w:ascii="Arial Narrow" w:eastAsia="Aptos" w:hAnsi="Arial Narrow"/>
                <w:b/>
                <w:sz w:val="18"/>
                <w:szCs w:val="18"/>
                <w:lang w:eastAsia="en-US"/>
              </w:rPr>
              <w:t>№.of</w:t>
            </w:r>
          </w:p>
          <w:p w14:paraId="7F1E972C" w14:textId="77777777" w:rsidR="00976353" w:rsidRPr="00976353" w:rsidRDefault="00976353" w:rsidP="00976353">
            <w:pPr>
              <w:keepLines/>
              <w:jc w:val="center"/>
              <w:rPr>
                <w:rFonts w:ascii="Arial Narrow" w:eastAsia="Aptos" w:hAnsi="Arial Narrow"/>
                <w:b/>
                <w:sz w:val="18"/>
                <w:szCs w:val="18"/>
                <w:lang w:eastAsia="en-US"/>
              </w:rPr>
            </w:pPr>
            <w:r w:rsidRPr="00976353">
              <w:rPr>
                <w:rFonts w:ascii="Arial Narrow" w:eastAsia="Aptos" w:hAnsi="Arial Narrow"/>
                <w:b/>
                <w:sz w:val="18"/>
                <w:szCs w:val="18"/>
                <w:lang w:eastAsia="en-US"/>
              </w:rPr>
              <w:t>Rpts</w:t>
            </w:r>
          </w:p>
        </w:tc>
        <w:tc>
          <w:tcPr>
            <w:tcW w:w="1010" w:type="pct"/>
            <w:vAlign w:val="center"/>
          </w:tcPr>
          <w:p w14:paraId="539A6D1E" w14:textId="77777777" w:rsidR="00976353" w:rsidRPr="00976353" w:rsidRDefault="00976353" w:rsidP="00976353">
            <w:pPr>
              <w:keepLines/>
              <w:jc w:val="left"/>
              <w:rPr>
                <w:rFonts w:ascii="Arial Narrow" w:eastAsia="Aptos" w:hAnsi="Arial Narrow"/>
                <w:b/>
                <w:sz w:val="18"/>
                <w:szCs w:val="18"/>
                <w:lang w:val="fr-FR" w:eastAsia="en-US"/>
              </w:rPr>
            </w:pPr>
            <w:r w:rsidRPr="00976353">
              <w:rPr>
                <w:rFonts w:ascii="Arial Narrow" w:eastAsia="Aptos" w:hAnsi="Arial Narrow"/>
                <w:b/>
                <w:sz w:val="18"/>
                <w:szCs w:val="18"/>
                <w:lang w:eastAsia="en-US"/>
              </w:rPr>
              <w:t>Available brands</w:t>
            </w:r>
          </w:p>
        </w:tc>
      </w:tr>
      <w:tr w:rsidR="00976353" w:rsidRPr="00976353" w14:paraId="5C972ED9" w14:textId="77777777" w:rsidTr="003439C4">
        <w:trPr>
          <w:cantSplit/>
          <w:trHeight w:val="283"/>
          <w:jc w:val="center"/>
        </w:trPr>
        <w:tc>
          <w:tcPr>
            <w:tcW w:w="1258" w:type="pct"/>
            <w:vAlign w:val="center"/>
          </w:tcPr>
          <w:p w14:paraId="24266EE6" w14:textId="45F16D0C" w:rsidR="00976353" w:rsidRPr="00976353" w:rsidRDefault="00976353" w:rsidP="00976353">
            <w:pPr>
              <w:keepLines/>
              <w:jc w:val="left"/>
              <w:rPr>
                <w:rFonts w:ascii="Arial Narrow" w:eastAsia="Aptos" w:hAnsi="Arial Narrow"/>
                <w:sz w:val="18"/>
                <w:szCs w:val="18"/>
                <w:lang w:eastAsia="en-US"/>
              </w:rPr>
            </w:pPr>
            <w:r w:rsidRPr="00976353">
              <w:rPr>
                <w:rFonts w:ascii="Arial Narrow" w:eastAsia="Aptos" w:hAnsi="Arial Narrow"/>
                <w:sz w:val="18"/>
                <w:szCs w:val="18"/>
                <w:lang w:eastAsia="en-US"/>
              </w:rPr>
              <w:t>olaparib 100 mg tablet, 56</w:t>
            </w:r>
          </w:p>
        </w:tc>
        <w:tc>
          <w:tcPr>
            <w:tcW w:w="1019" w:type="pct"/>
            <w:vAlign w:val="center"/>
          </w:tcPr>
          <w:p w14:paraId="71792479" w14:textId="77777777" w:rsidR="00976353" w:rsidRPr="00976353" w:rsidRDefault="00976353" w:rsidP="00976353">
            <w:pPr>
              <w:keepLines/>
              <w:jc w:val="center"/>
              <w:rPr>
                <w:rFonts w:ascii="Arial Narrow" w:eastAsia="Aptos" w:hAnsi="Arial Narrow"/>
                <w:sz w:val="18"/>
                <w:szCs w:val="18"/>
                <w:lang w:eastAsia="en-US"/>
              </w:rPr>
            </w:pPr>
            <w:r w:rsidRPr="00976353">
              <w:rPr>
                <w:rFonts w:ascii="Arial Narrow" w:eastAsia="Aptos" w:hAnsi="Arial Narrow"/>
                <w:sz w:val="18"/>
                <w:szCs w:val="18"/>
                <w:lang w:eastAsia="en-US"/>
              </w:rPr>
              <w:t>14181J </w:t>
            </w:r>
          </w:p>
        </w:tc>
        <w:tc>
          <w:tcPr>
            <w:tcW w:w="627" w:type="pct"/>
            <w:vAlign w:val="center"/>
          </w:tcPr>
          <w:p w14:paraId="4F793BA1" w14:textId="77777777" w:rsidR="00976353" w:rsidRPr="00976353" w:rsidRDefault="00976353" w:rsidP="00976353">
            <w:pPr>
              <w:keepLines/>
              <w:jc w:val="center"/>
              <w:rPr>
                <w:rFonts w:ascii="Arial Narrow" w:eastAsia="Aptos" w:hAnsi="Arial Narrow"/>
                <w:sz w:val="18"/>
                <w:szCs w:val="18"/>
                <w:lang w:eastAsia="en-US"/>
              </w:rPr>
            </w:pPr>
            <w:r w:rsidRPr="00976353">
              <w:rPr>
                <w:rFonts w:ascii="Arial Narrow" w:eastAsia="Aptos" w:hAnsi="Arial Narrow"/>
                <w:sz w:val="18"/>
                <w:szCs w:val="18"/>
                <w:lang w:eastAsia="en-US"/>
              </w:rPr>
              <w:t>2</w:t>
            </w:r>
          </w:p>
        </w:tc>
        <w:tc>
          <w:tcPr>
            <w:tcW w:w="590" w:type="pct"/>
            <w:vAlign w:val="center"/>
          </w:tcPr>
          <w:p w14:paraId="78F16B1F" w14:textId="77777777" w:rsidR="00976353" w:rsidRPr="00976353" w:rsidRDefault="00976353" w:rsidP="00976353">
            <w:pPr>
              <w:keepLines/>
              <w:jc w:val="center"/>
              <w:rPr>
                <w:rFonts w:ascii="Arial Narrow" w:eastAsia="Aptos" w:hAnsi="Arial Narrow"/>
                <w:sz w:val="18"/>
                <w:szCs w:val="18"/>
                <w:lang w:eastAsia="en-US"/>
              </w:rPr>
            </w:pPr>
            <w:r w:rsidRPr="00976353">
              <w:rPr>
                <w:rFonts w:ascii="Arial Narrow" w:eastAsia="Aptos" w:hAnsi="Arial Narrow"/>
                <w:sz w:val="18"/>
                <w:szCs w:val="18"/>
                <w:lang w:eastAsia="en-US"/>
              </w:rPr>
              <w:t>112</w:t>
            </w:r>
          </w:p>
        </w:tc>
        <w:tc>
          <w:tcPr>
            <w:tcW w:w="495" w:type="pct"/>
            <w:vAlign w:val="center"/>
          </w:tcPr>
          <w:p w14:paraId="60A78A15" w14:textId="77777777" w:rsidR="00976353" w:rsidRPr="00976353" w:rsidRDefault="00976353" w:rsidP="00976353">
            <w:pPr>
              <w:keepLines/>
              <w:jc w:val="center"/>
              <w:rPr>
                <w:rFonts w:ascii="Arial Narrow" w:eastAsia="Aptos" w:hAnsi="Arial Narrow"/>
                <w:sz w:val="18"/>
                <w:szCs w:val="18"/>
                <w:lang w:eastAsia="en-US"/>
              </w:rPr>
            </w:pPr>
            <w:r w:rsidRPr="00976353">
              <w:rPr>
                <w:rFonts w:ascii="Arial Narrow" w:eastAsia="Aptos" w:hAnsi="Arial Narrow"/>
                <w:sz w:val="18"/>
                <w:szCs w:val="18"/>
                <w:lang w:eastAsia="en-US"/>
              </w:rPr>
              <w:t>5</w:t>
            </w:r>
          </w:p>
        </w:tc>
        <w:tc>
          <w:tcPr>
            <w:tcW w:w="1010" w:type="pct"/>
            <w:vAlign w:val="center"/>
          </w:tcPr>
          <w:p w14:paraId="1669315B" w14:textId="77777777" w:rsidR="00976353" w:rsidRPr="00976353" w:rsidRDefault="00976353" w:rsidP="000463A1">
            <w:pPr>
              <w:keepLines/>
              <w:jc w:val="left"/>
              <w:rPr>
                <w:rFonts w:ascii="Arial Narrow" w:eastAsia="Aptos" w:hAnsi="Arial Narrow"/>
                <w:sz w:val="18"/>
                <w:szCs w:val="18"/>
                <w:lang w:eastAsia="en-US"/>
              </w:rPr>
            </w:pPr>
            <w:r w:rsidRPr="00976353">
              <w:rPr>
                <w:rFonts w:ascii="Arial Narrow" w:eastAsia="Aptos" w:hAnsi="Arial Narrow"/>
                <w:sz w:val="18"/>
                <w:szCs w:val="18"/>
                <w:lang w:eastAsia="en-US"/>
              </w:rPr>
              <w:t>Lynparza</w:t>
            </w:r>
          </w:p>
        </w:tc>
      </w:tr>
      <w:tr w:rsidR="00976353" w:rsidRPr="00976353" w14:paraId="6DC6AAF2" w14:textId="77777777" w:rsidTr="003439C4">
        <w:trPr>
          <w:cantSplit/>
          <w:trHeight w:val="283"/>
          <w:jc w:val="center"/>
        </w:trPr>
        <w:tc>
          <w:tcPr>
            <w:tcW w:w="1258" w:type="pct"/>
            <w:vAlign w:val="center"/>
          </w:tcPr>
          <w:p w14:paraId="597B0DEE" w14:textId="051C1BC8" w:rsidR="00976353" w:rsidRPr="00976353" w:rsidRDefault="00976353" w:rsidP="00976353">
            <w:pPr>
              <w:keepLines/>
              <w:jc w:val="left"/>
              <w:rPr>
                <w:rFonts w:ascii="Arial Narrow" w:eastAsia="Aptos" w:hAnsi="Arial Narrow"/>
                <w:sz w:val="18"/>
                <w:szCs w:val="18"/>
                <w:lang w:eastAsia="en-US"/>
              </w:rPr>
            </w:pPr>
            <w:r w:rsidRPr="00976353">
              <w:rPr>
                <w:rFonts w:ascii="Arial Narrow" w:eastAsia="Aptos" w:hAnsi="Arial Narrow"/>
                <w:sz w:val="18"/>
                <w:szCs w:val="18"/>
                <w:lang w:eastAsia="en-US"/>
              </w:rPr>
              <w:t>olaparib 100 mg tablet, 56</w:t>
            </w:r>
          </w:p>
        </w:tc>
        <w:tc>
          <w:tcPr>
            <w:tcW w:w="1019" w:type="pct"/>
            <w:vAlign w:val="center"/>
          </w:tcPr>
          <w:p w14:paraId="60D243E4" w14:textId="77777777" w:rsidR="00976353" w:rsidRPr="00976353" w:rsidRDefault="00976353" w:rsidP="00976353">
            <w:pPr>
              <w:keepLines/>
              <w:jc w:val="center"/>
              <w:rPr>
                <w:rFonts w:ascii="Arial Narrow" w:eastAsia="Aptos" w:hAnsi="Arial Narrow"/>
                <w:sz w:val="18"/>
                <w:szCs w:val="18"/>
                <w:lang w:eastAsia="en-US"/>
              </w:rPr>
            </w:pPr>
            <w:r w:rsidRPr="00976353">
              <w:rPr>
                <w:rFonts w:ascii="Arial Narrow" w:eastAsia="Aptos" w:hAnsi="Arial Narrow"/>
                <w:sz w:val="18"/>
                <w:szCs w:val="18"/>
                <w:lang w:eastAsia="en-US"/>
              </w:rPr>
              <w:t>14216F</w:t>
            </w:r>
          </w:p>
        </w:tc>
        <w:tc>
          <w:tcPr>
            <w:tcW w:w="627" w:type="pct"/>
            <w:vAlign w:val="center"/>
          </w:tcPr>
          <w:p w14:paraId="7D837943" w14:textId="77777777" w:rsidR="00976353" w:rsidRPr="00976353" w:rsidRDefault="00976353" w:rsidP="00976353">
            <w:pPr>
              <w:keepLines/>
              <w:jc w:val="center"/>
              <w:rPr>
                <w:rFonts w:ascii="Arial Narrow" w:eastAsia="Aptos" w:hAnsi="Arial Narrow"/>
                <w:sz w:val="18"/>
                <w:szCs w:val="18"/>
                <w:lang w:eastAsia="en-US"/>
              </w:rPr>
            </w:pPr>
            <w:r w:rsidRPr="00976353">
              <w:rPr>
                <w:rFonts w:ascii="Arial Narrow" w:eastAsia="Aptos" w:hAnsi="Arial Narrow"/>
                <w:sz w:val="18"/>
                <w:szCs w:val="18"/>
                <w:lang w:eastAsia="en-US"/>
              </w:rPr>
              <w:t>2</w:t>
            </w:r>
          </w:p>
        </w:tc>
        <w:tc>
          <w:tcPr>
            <w:tcW w:w="590" w:type="pct"/>
            <w:vAlign w:val="center"/>
          </w:tcPr>
          <w:p w14:paraId="37CFEDB6" w14:textId="77777777" w:rsidR="00976353" w:rsidRPr="00976353" w:rsidRDefault="00976353" w:rsidP="00976353">
            <w:pPr>
              <w:keepLines/>
              <w:jc w:val="center"/>
              <w:rPr>
                <w:rFonts w:ascii="Arial Narrow" w:eastAsia="Aptos" w:hAnsi="Arial Narrow"/>
                <w:sz w:val="18"/>
                <w:szCs w:val="18"/>
                <w:lang w:eastAsia="en-US"/>
              </w:rPr>
            </w:pPr>
            <w:r w:rsidRPr="00976353">
              <w:rPr>
                <w:rFonts w:ascii="Arial Narrow" w:eastAsia="Aptos" w:hAnsi="Arial Narrow"/>
                <w:sz w:val="18"/>
                <w:szCs w:val="18"/>
                <w:lang w:eastAsia="en-US"/>
              </w:rPr>
              <w:t>112</w:t>
            </w:r>
          </w:p>
        </w:tc>
        <w:tc>
          <w:tcPr>
            <w:tcW w:w="495" w:type="pct"/>
            <w:vAlign w:val="center"/>
          </w:tcPr>
          <w:p w14:paraId="3EDF2806" w14:textId="77777777" w:rsidR="00976353" w:rsidRPr="00976353" w:rsidRDefault="00976353" w:rsidP="00976353">
            <w:pPr>
              <w:keepLines/>
              <w:jc w:val="center"/>
              <w:rPr>
                <w:rFonts w:ascii="Arial Narrow" w:eastAsia="Aptos" w:hAnsi="Arial Narrow"/>
                <w:sz w:val="18"/>
                <w:szCs w:val="18"/>
                <w:lang w:eastAsia="en-US"/>
              </w:rPr>
            </w:pPr>
            <w:r w:rsidRPr="00976353">
              <w:rPr>
                <w:rFonts w:ascii="Arial Narrow" w:eastAsia="Aptos" w:hAnsi="Arial Narrow"/>
                <w:sz w:val="18"/>
                <w:szCs w:val="18"/>
                <w:lang w:eastAsia="en-US"/>
              </w:rPr>
              <w:t>6</w:t>
            </w:r>
          </w:p>
        </w:tc>
        <w:tc>
          <w:tcPr>
            <w:tcW w:w="1010" w:type="pct"/>
            <w:vAlign w:val="center"/>
          </w:tcPr>
          <w:p w14:paraId="120F3DE8" w14:textId="77777777" w:rsidR="00976353" w:rsidRPr="00976353" w:rsidRDefault="00976353" w:rsidP="000463A1">
            <w:pPr>
              <w:keepLines/>
              <w:jc w:val="left"/>
              <w:rPr>
                <w:rFonts w:ascii="Arial Narrow" w:eastAsia="Aptos" w:hAnsi="Arial Narrow"/>
                <w:sz w:val="18"/>
                <w:szCs w:val="18"/>
                <w:lang w:eastAsia="en-US"/>
              </w:rPr>
            </w:pPr>
            <w:r w:rsidRPr="00976353">
              <w:rPr>
                <w:rFonts w:ascii="Arial Narrow" w:eastAsia="Aptos" w:hAnsi="Arial Narrow"/>
                <w:sz w:val="18"/>
                <w:szCs w:val="18"/>
                <w:lang w:eastAsia="en-US"/>
              </w:rPr>
              <w:t>Lynparza</w:t>
            </w:r>
          </w:p>
        </w:tc>
      </w:tr>
      <w:tr w:rsidR="00976353" w:rsidRPr="00976353" w14:paraId="169C9276" w14:textId="77777777" w:rsidTr="003439C4">
        <w:trPr>
          <w:cantSplit/>
          <w:trHeight w:val="283"/>
          <w:jc w:val="center"/>
        </w:trPr>
        <w:tc>
          <w:tcPr>
            <w:tcW w:w="1258" w:type="pct"/>
            <w:vAlign w:val="center"/>
          </w:tcPr>
          <w:p w14:paraId="7998F28F" w14:textId="59F140FF" w:rsidR="00976353" w:rsidRPr="00976353" w:rsidRDefault="00976353" w:rsidP="00976353">
            <w:pPr>
              <w:keepLines/>
              <w:jc w:val="left"/>
              <w:rPr>
                <w:rFonts w:ascii="Arial Narrow" w:eastAsia="Aptos" w:hAnsi="Arial Narrow"/>
                <w:sz w:val="18"/>
                <w:szCs w:val="18"/>
                <w:lang w:eastAsia="en-US"/>
              </w:rPr>
            </w:pPr>
            <w:r w:rsidRPr="00976353">
              <w:rPr>
                <w:rFonts w:ascii="Arial Narrow" w:eastAsia="Aptos" w:hAnsi="Arial Narrow"/>
                <w:sz w:val="18"/>
                <w:szCs w:val="18"/>
                <w:lang w:eastAsia="en-US"/>
              </w:rPr>
              <w:t>olaparib 150 mg tablet, 56</w:t>
            </w:r>
          </w:p>
        </w:tc>
        <w:tc>
          <w:tcPr>
            <w:tcW w:w="1019" w:type="pct"/>
            <w:vAlign w:val="center"/>
          </w:tcPr>
          <w:p w14:paraId="7B9E4079" w14:textId="77777777" w:rsidR="00976353" w:rsidRPr="00976353" w:rsidRDefault="00976353" w:rsidP="00976353">
            <w:pPr>
              <w:keepLines/>
              <w:jc w:val="center"/>
              <w:rPr>
                <w:rFonts w:ascii="Arial Narrow" w:eastAsia="Aptos" w:hAnsi="Arial Narrow"/>
                <w:sz w:val="18"/>
                <w:szCs w:val="18"/>
                <w:lang w:eastAsia="en-US"/>
              </w:rPr>
            </w:pPr>
            <w:r w:rsidRPr="00976353">
              <w:rPr>
                <w:rFonts w:ascii="Arial Narrow" w:eastAsia="Aptos" w:hAnsi="Arial Narrow"/>
                <w:sz w:val="18"/>
                <w:szCs w:val="18"/>
                <w:lang w:eastAsia="en-US"/>
              </w:rPr>
              <w:t>14208T </w:t>
            </w:r>
          </w:p>
        </w:tc>
        <w:tc>
          <w:tcPr>
            <w:tcW w:w="627" w:type="pct"/>
            <w:vAlign w:val="center"/>
          </w:tcPr>
          <w:p w14:paraId="011C4AC9" w14:textId="77777777" w:rsidR="00976353" w:rsidRPr="00976353" w:rsidRDefault="00976353" w:rsidP="00976353">
            <w:pPr>
              <w:keepLines/>
              <w:jc w:val="center"/>
              <w:rPr>
                <w:rFonts w:ascii="Arial Narrow" w:eastAsia="Aptos" w:hAnsi="Arial Narrow"/>
                <w:sz w:val="18"/>
                <w:szCs w:val="18"/>
                <w:lang w:eastAsia="en-US"/>
              </w:rPr>
            </w:pPr>
            <w:r w:rsidRPr="00976353">
              <w:rPr>
                <w:rFonts w:ascii="Arial Narrow" w:eastAsia="Aptos" w:hAnsi="Arial Narrow"/>
                <w:sz w:val="18"/>
                <w:szCs w:val="18"/>
                <w:lang w:eastAsia="en-US"/>
              </w:rPr>
              <w:t>2</w:t>
            </w:r>
          </w:p>
        </w:tc>
        <w:tc>
          <w:tcPr>
            <w:tcW w:w="590" w:type="pct"/>
            <w:vAlign w:val="center"/>
          </w:tcPr>
          <w:p w14:paraId="356DB8FE" w14:textId="77777777" w:rsidR="00976353" w:rsidRPr="00976353" w:rsidRDefault="00976353" w:rsidP="00976353">
            <w:pPr>
              <w:keepLines/>
              <w:jc w:val="center"/>
              <w:rPr>
                <w:rFonts w:ascii="Arial Narrow" w:eastAsia="Aptos" w:hAnsi="Arial Narrow"/>
                <w:sz w:val="18"/>
                <w:szCs w:val="18"/>
                <w:lang w:eastAsia="en-US"/>
              </w:rPr>
            </w:pPr>
            <w:r w:rsidRPr="00976353">
              <w:rPr>
                <w:rFonts w:ascii="Arial Narrow" w:eastAsia="Aptos" w:hAnsi="Arial Narrow"/>
                <w:sz w:val="18"/>
                <w:szCs w:val="18"/>
                <w:lang w:eastAsia="en-US"/>
              </w:rPr>
              <w:t>112</w:t>
            </w:r>
          </w:p>
        </w:tc>
        <w:tc>
          <w:tcPr>
            <w:tcW w:w="495" w:type="pct"/>
            <w:vAlign w:val="center"/>
          </w:tcPr>
          <w:p w14:paraId="4D5EB60D" w14:textId="77777777" w:rsidR="00976353" w:rsidRPr="00976353" w:rsidRDefault="00976353" w:rsidP="00976353">
            <w:pPr>
              <w:keepLines/>
              <w:jc w:val="center"/>
              <w:rPr>
                <w:rFonts w:ascii="Arial Narrow" w:eastAsia="Aptos" w:hAnsi="Arial Narrow"/>
                <w:sz w:val="18"/>
                <w:szCs w:val="18"/>
                <w:lang w:eastAsia="en-US"/>
              </w:rPr>
            </w:pPr>
            <w:r w:rsidRPr="00976353">
              <w:rPr>
                <w:rFonts w:ascii="Arial Narrow" w:eastAsia="Aptos" w:hAnsi="Arial Narrow"/>
                <w:sz w:val="18"/>
                <w:szCs w:val="18"/>
                <w:lang w:eastAsia="en-US"/>
              </w:rPr>
              <w:t>5</w:t>
            </w:r>
          </w:p>
        </w:tc>
        <w:tc>
          <w:tcPr>
            <w:tcW w:w="1010" w:type="pct"/>
            <w:vAlign w:val="center"/>
          </w:tcPr>
          <w:p w14:paraId="457AE47E" w14:textId="77777777" w:rsidR="00976353" w:rsidRPr="00976353" w:rsidRDefault="00976353" w:rsidP="000463A1">
            <w:pPr>
              <w:keepLines/>
              <w:jc w:val="left"/>
              <w:rPr>
                <w:rFonts w:ascii="Arial Narrow" w:eastAsia="Aptos" w:hAnsi="Arial Narrow"/>
                <w:sz w:val="18"/>
                <w:szCs w:val="18"/>
                <w:lang w:eastAsia="en-US"/>
              </w:rPr>
            </w:pPr>
            <w:r w:rsidRPr="00976353">
              <w:rPr>
                <w:rFonts w:ascii="Arial Narrow" w:eastAsia="Aptos" w:hAnsi="Arial Narrow"/>
                <w:sz w:val="18"/>
                <w:szCs w:val="18"/>
                <w:lang w:eastAsia="en-US"/>
              </w:rPr>
              <w:t>Lynparza</w:t>
            </w:r>
          </w:p>
        </w:tc>
      </w:tr>
      <w:tr w:rsidR="00976353" w:rsidRPr="00976353" w14:paraId="4E0F8A5A" w14:textId="77777777" w:rsidTr="003439C4">
        <w:trPr>
          <w:cantSplit/>
          <w:trHeight w:val="283"/>
          <w:jc w:val="center"/>
        </w:trPr>
        <w:tc>
          <w:tcPr>
            <w:tcW w:w="1258" w:type="pct"/>
            <w:vAlign w:val="center"/>
          </w:tcPr>
          <w:p w14:paraId="425EEFFD" w14:textId="50A1DB60" w:rsidR="00976353" w:rsidRPr="00976353" w:rsidRDefault="00976353" w:rsidP="00976353">
            <w:pPr>
              <w:keepLines/>
              <w:jc w:val="left"/>
              <w:rPr>
                <w:rFonts w:ascii="Arial Narrow" w:eastAsia="Aptos" w:hAnsi="Arial Narrow"/>
                <w:sz w:val="18"/>
                <w:szCs w:val="18"/>
                <w:lang w:eastAsia="en-US"/>
              </w:rPr>
            </w:pPr>
            <w:r w:rsidRPr="00976353">
              <w:rPr>
                <w:rFonts w:ascii="Arial Narrow" w:eastAsia="Aptos" w:hAnsi="Arial Narrow"/>
                <w:sz w:val="18"/>
                <w:szCs w:val="18"/>
                <w:lang w:eastAsia="en-US"/>
              </w:rPr>
              <w:t>olaparib 150 mg tablet, 56</w:t>
            </w:r>
          </w:p>
        </w:tc>
        <w:tc>
          <w:tcPr>
            <w:tcW w:w="1019" w:type="pct"/>
            <w:vAlign w:val="center"/>
          </w:tcPr>
          <w:p w14:paraId="4F29995F" w14:textId="77777777" w:rsidR="00976353" w:rsidRPr="00976353" w:rsidRDefault="00976353" w:rsidP="00976353">
            <w:pPr>
              <w:keepLines/>
              <w:jc w:val="center"/>
              <w:rPr>
                <w:rFonts w:ascii="Arial Narrow" w:eastAsia="Aptos" w:hAnsi="Arial Narrow"/>
                <w:sz w:val="18"/>
                <w:szCs w:val="18"/>
                <w:lang w:eastAsia="en-US"/>
              </w:rPr>
            </w:pPr>
            <w:r w:rsidRPr="00976353">
              <w:rPr>
                <w:rFonts w:ascii="Arial Narrow" w:eastAsia="Aptos" w:hAnsi="Arial Narrow"/>
                <w:sz w:val="18"/>
                <w:szCs w:val="18"/>
                <w:lang w:eastAsia="en-US"/>
              </w:rPr>
              <w:t>14215E </w:t>
            </w:r>
          </w:p>
        </w:tc>
        <w:tc>
          <w:tcPr>
            <w:tcW w:w="627" w:type="pct"/>
            <w:vAlign w:val="center"/>
          </w:tcPr>
          <w:p w14:paraId="09EDB0E6" w14:textId="77777777" w:rsidR="00976353" w:rsidRPr="00976353" w:rsidRDefault="00976353" w:rsidP="00976353">
            <w:pPr>
              <w:keepLines/>
              <w:jc w:val="center"/>
              <w:rPr>
                <w:rFonts w:ascii="Arial Narrow" w:eastAsia="Aptos" w:hAnsi="Arial Narrow"/>
                <w:sz w:val="18"/>
                <w:szCs w:val="18"/>
                <w:lang w:eastAsia="en-US"/>
              </w:rPr>
            </w:pPr>
            <w:r w:rsidRPr="00976353">
              <w:rPr>
                <w:rFonts w:ascii="Arial Narrow" w:eastAsia="Aptos" w:hAnsi="Arial Narrow"/>
                <w:sz w:val="18"/>
                <w:szCs w:val="18"/>
                <w:lang w:eastAsia="en-US"/>
              </w:rPr>
              <w:t>2</w:t>
            </w:r>
          </w:p>
        </w:tc>
        <w:tc>
          <w:tcPr>
            <w:tcW w:w="590" w:type="pct"/>
            <w:vAlign w:val="center"/>
          </w:tcPr>
          <w:p w14:paraId="7EA823CB" w14:textId="77777777" w:rsidR="00976353" w:rsidRPr="00976353" w:rsidRDefault="00976353" w:rsidP="00976353">
            <w:pPr>
              <w:keepLines/>
              <w:jc w:val="center"/>
              <w:rPr>
                <w:rFonts w:ascii="Arial Narrow" w:eastAsia="Aptos" w:hAnsi="Arial Narrow"/>
                <w:sz w:val="18"/>
                <w:szCs w:val="18"/>
                <w:lang w:eastAsia="en-US"/>
              </w:rPr>
            </w:pPr>
            <w:r w:rsidRPr="00976353">
              <w:rPr>
                <w:rFonts w:ascii="Arial Narrow" w:eastAsia="Aptos" w:hAnsi="Arial Narrow"/>
                <w:sz w:val="18"/>
                <w:szCs w:val="18"/>
                <w:lang w:eastAsia="en-US"/>
              </w:rPr>
              <w:t>112</w:t>
            </w:r>
          </w:p>
        </w:tc>
        <w:tc>
          <w:tcPr>
            <w:tcW w:w="495" w:type="pct"/>
            <w:vAlign w:val="center"/>
          </w:tcPr>
          <w:p w14:paraId="13722473" w14:textId="77777777" w:rsidR="00976353" w:rsidRPr="00976353" w:rsidRDefault="00976353" w:rsidP="00976353">
            <w:pPr>
              <w:keepLines/>
              <w:jc w:val="center"/>
              <w:rPr>
                <w:rFonts w:ascii="Arial Narrow" w:eastAsia="Aptos" w:hAnsi="Arial Narrow"/>
                <w:sz w:val="18"/>
                <w:szCs w:val="18"/>
                <w:lang w:eastAsia="en-US"/>
              </w:rPr>
            </w:pPr>
            <w:r w:rsidRPr="00976353">
              <w:rPr>
                <w:rFonts w:ascii="Arial Narrow" w:eastAsia="Aptos" w:hAnsi="Arial Narrow"/>
                <w:sz w:val="18"/>
                <w:szCs w:val="18"/>
                <w:lang w:eastAsia="en-US"/>
              </w:rPr>
              <w:t>6</w:t>
            </w:r>
          </w:p>
        </w:tc>
        <w:tc>
          <w:tcPr>
            <w:tcW w:w="1010" w:type="pct"/>
            <w:vAlign w:val="center"/>
          </w:tcPr>
          <w:p w14:paraId="1CED1371" w14:textId="77777777" w:rsidR="00976353" w:rsidRPr="00976353" w:rsidRDefault="00976353" w:rsidP="000463A1">
            <w:pPr>
              <w:keepLines/>
              <w:jc w:val="left"/>
              <w:rPr>
                <w:rFonts w:ascii="Arial Narrow" w:eastAsia="Aptos" w:hAnsi="Arial Narrow"/>
                <w:sz w:val="18"/>
                <w:szCs w:val="18"/>
                <w:lang w:eastAsia="en-US"/>
              </w:rPr>
            </w:pPr>
            <w:r w:rsidRPr="00976353">
              <w:rPr>
                <w:rFonts w:ascii="Arial Narrow" w:eastAsia="Aptos" w:hAnsi="Arial Narrow"/>
                <w:sz w:val="18"/>
                <w:szCs w:val="18"/>
                <w:lang w:eastAsia="en-US"/>
              </w:rPr>
              <w:t>Lynparza</w:t>
            </w:r>
          </w:p>
        </w:tc>
      </w:tr>
      <w:tr w:rsidR="00976353" w:rsidRPr="00976353" w14:paraId="5278D577" w14:textId="77777777" w:rsidTr="003439C4">
        <w:tblPrEx>
          <w:tblCellMar>
            <w:top w:w="15" w:type="dxa"/>
            <w:bottom w:w="15" w:type="dxa"/>
          </w:tblCellMar>
          <w:tblLook w:val="04A0" w:firstRow="1" w:lastRow="0" w:firstColumn="1" w:lastColumn="0" w:noHBand="0" w:noVBand="1"/>
        </w:tblPrEx>
        <w:trPr>
          <w:cantSplit/>
          <w:trHeight w:val="20"/>
          <w:jc w:val="center"/>
        </w:trPr>
        <w:tc>
          <w:tcPr>
            <w:tcW w:w="1258" w:type="pct"/>
            <w:tcBorders>
              <w:top w:val="single" w:sz="4" w:space="0" w:color="auto"/>
              <w:bottom w:val="single" w:sz="4" w:space="0" w:color="auto"/>
            </w:tcBorders>
            <w:vAlign w:val="center"/>
          </w:tcPr>
          <w:p w14:paraId="453B704B" w14:textId="26373D22" w:rsidR="00976353" w:rsidRPr="00976353" w:rsidRDefault="00976353" w:rsidP="00976353">
            <w:pPr>
              <w:jc w:val="center"/>
              <w:rPr>
                <w:rFonts w:ascii="Arial Narrow" w:hAnsi="Arial Narrow" w:cs="Times New Roman"/>
                <w:strike/>
                <w:color w:val="333333"/>
                <w:sz w:val="18"/>
                <w:szCs w:val="18"/>
              </w:rPr>
            </w:pPr>
          </w:p>
        </w:tc>
        <w:tc>
          <w:tcPr>
            <w:tcW w:w="3742" w:type="pct"/>
            <w:gridSpan w:val="5"/>
            <w:tcBorders>
              <w:top w:val="single" w:sz="4" w:space="0" w:color="auto"/>
              <w:bottom w:val="single" w:sz="4" w:space="0" w:color="auto"/>
            </w:tcBorders>
            <w:vAlign w:val="center"/>
          </w:tcPr>
          <w:p w14:paraId="144FBFAC" w14:textId="77777777" w:rsidR="00976353" w:rsidRPr="00976353" w:rsidRDefault="00976353" w:rsidP="00976353">
            <w:pPr>
              <w:jc w:val="left"/>
              <w:rPr>
                <w:rFonts w:ascii="Arial Narrow" w:hAnsi="Arial Narrow" w:cs="Times New Roman"/>
                <w:b/>
                <w:bCs/>
                <w:strike/>
                <w:color w:val="333333"/>
                <w:sz w:val="18"/>
                <w:szCs w:val="18"/>
              </w:rPr>
            </w:pPr>
            <w:r w:rsidRPr="00976353">
              <w:rPr>
                <w:rFonts w:ascii="Arial Narrow" w:hAnsi="Arial Narrow" w:cs="Times New Roman"/>
                <w:b/>
                <w:bCs/>
                <w:strike/>
                <w:color w:val="333333"/>
                <w:sz w:val="18"/>
                <w:szCs w:val="18"/>
              </w:rPr>
              <w:t>Clinical criteria:</w:t>
            </w:r>
          </w:p>
        </w:tc>
      </w:tr>
      <w:tr w:rsidR="00976353" w:rsidRPr="00976353" w14:paraId="3C1C6821" w14:textId="77777777" w:rsidTr="003439C4">
        <w:tblPrEx>
          <w:tblCellMar>
            <w:top w:w="15" w:type="dxa"/>
            <w:bottom w:w="15" w:type="dxa"/>
          </w:tblCellMar>
          <w:tblLook w:val="04A0" w:firstRow="1" w:lastRow="0" w:firstColumn="1" w:lastColumn="0" w:noHBand="0" w:noVBand="1"/>
        </w:tblPrEx>
        <w:trPr>
          <w:cantSplit/>
          <w:trHeight w:val="20"/>
          <w:jc w:val="center"/>
        </w:trPr>
        <w:tc>
          <w:tcPr>
            <w:tcW w:w="1258" w:type="pct"/>
            <w:tcBorders>
              <w:top w:val="single" w:sz="4" w:space="0" w:color="auto"/>
              <w:left w:val="single" w:sz="4" w:space="0" w:color="auto"/>
              <w:bottom w:val="single" w:sz="4" w:space="0" w:color="auto"/>
              <w:right w:val="single" w:sz="4" w:space="0" w:color="auto"/>
            </w:tcBorders>
            <w:shd w:val="clear" w:color="auto" w:fill="auto"/>
          </w:tcPr>
          <w:p w14:paraId="00A227FA" w14:textId="3030F5BA" w:rsidR="00976353" w:rsidRPr="00976353" w:rsidRDefault="00976353" w:rsidP="00976353">
            <w:pPr>
              <w:jc w:val="center"/>
              <w:rPr>
                <w:rFonts w:ascii="Arial Narrow" w:hAnsi="Arial Narrow" w:cs="Times New Roman"/>
                <w:strike/>
                <w:color w:val="333333"/>
                <w:sz w:val="18"/>
                <w:szCs w:val="18"/>
              </w:rPr>
            </w:pPr>
          </w:p>
        </w:tc>
        <w:tc>
          <w:tcPr>
            <w:tcW w:w="3742" w:type="pct"/>
            <w:gridSpan w:val="5"/>
            <w:tcBorders>
              <w:top w:val="single" w:sz="4" w:space="0" w:color="auto"/>
              <w:left w:val="single" w:sz="4" w:space="0" w:color="auto"/>
              <w:bottom w:val="single" w:sz="4" w:space="0" w:color="auto"/>
              <w:right w:val="single" w:sz="4" w:space="0" w:color="auto"/>
            </w:tcBorders>
            <w:shd w:val="clear" w:color="auto" w:fill="auto"/>
          </w:tcPr>
          <w:p w14:paraId="67E44AF4" w14:textId="77777777" w:rsidR="00976353" w:rsidRPr="00976353" w:rsidRDefault="00976353" w:rsidP="00976353">
            <w:pPr>
              <w:jc w:val="left"/>
              <w:rPr>
                <w:rFonts w:ascii="Arial Narrow" w:eastAsia="Aptos" w:hAnsi="Arial Narrow" w:cs="Open Sans"/>
                <w:strike/>
                <w:color w:val="333333"/>
                <w:sz w:val="18"/>
                <w:szCs w:val="18"/>
                <w:lang w:eastAsia="en-US"/>
              </w:rPr>
            </w:pPr>
            <w:r w:rsidRPr="00976353">
              <w:rPr>
                <w:rFonts w:ascii="Arial Narrow" w:eastAsia="Aptos" w:hAnsi="Arial Narrow" w:cs="Open Sans"/>
                <w:strike/>
                <w:color w:val="333333"/>
                <w:sz w:val="18"/>
                <w:szCs w:val="18"/>
                <w:lang w:eastAsia="en-US"/>
              </w:rPr>
              <w:t>The treatment must not be in combination with any of the following: (i) abemaciclib, (ii) pembrolizumab.</w:t>
            </w:r>
          </w:p>
        </w:tc>
      </w:tr>
      <w:tr w:rsidR="00976353" w:rsidRPr="00976353" w14:paraId="14F0B619" w14:textId="77777777" w:rsidTr="003439C4">
        <w:tblPrEx>
          <w:tblCellMar>
            <w:top w:w="15" w:type="dxa"/>
            <w:bottom w:w="15" w:type="dxa"/>
          </w:tblCellMar>
          <w:tblLook w:val="04A0" w:firstRow="1" w:lastRow="0" w:firstColumn="1" w:lastColumn="0" w:noHBand="0" w:noVBand="1"/>
        </w:tblPrEx>
        <w:trPr>
          <w:cantSplit/>
          <w:trHeight w:val="20"/>
          <w:jc w:val="center"/>
        </w:trPr>
        <w:tc>
          <w:tcPr>
            <w:tcW w:w="1258" w:type="pct"/>
            <w:tcBorders>
              <w:top w:val="single" w:sz="4" w:space="0" w:color="auto"/>
              <w:left w:val="single" w:sz="4" w:space="0" w:color="auto"/>
              <w:bottom w:val="single" w:sz="4" w:space="0" w:color="auto"/>
              <w:right w:val="single" w:sz="4" w:space="0" w:color="auto"/>
            </w:tcBorders>
            <w:shd w:val="clear" w:color="auto" w:fill="auto"/>
            <w:vAlign w:val="center"/>
          </w:tcPr>
          <w:p w14:paraId="28D3981A" w14:textId="614FB922" w:rsidR="00976353" w:rsidRPr="00976353" w:rsidRDefault="00976353" w:rsidP="00976353">
            <w:pPr>
              <w:jc w:val="center"/>
              <w:rPr>
                <w:rFonts w:ascii="Arial Narrow" w:eastAsia="Aptos" w:hAnsi="Arial Narrow" w:cs="Open Sans"/>
                <w:i/>
                <w:iCs/>
                <w:color w:val="333333"/>
                <w:sz w:val="18"/>
                <w:szCs w:val="18"/>
                <w:lang w:eastAsia="en-US"/>
              </w:rPr>
            </w:pPr>
          </w:p>
        </w:tc>
        <w:tc>
          <w:tcPr>
            <w:tcW w:w="3742"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587ED651" w14:textId="77777777" w:rsidR="00976353" w:rsidRPr="00976353" w:rsidRDefault="00976353" w:rsidP="00976353">
            <w:pPr>
              <w:jc w:val="left"/>
              <w:rPr>
                <w:rFonts w:ascii="Arial Narrow" w:eastAsia="Aptos" w:hAnsi="Arial Narrow" w:cs="Open Sans"/>
                <w:i/>
                <w:iCs/>
                <w:color w:val="333333"/>
                <w:sz w:val="18"/>
                <w:szCs w:val="18"/>
                <w:lang w:eastAsia="en-US"/>
              </w:rPr>
            </w:pPr>
            <w:r w:rsidRPr="00976353">
              <w:rPr>
                <w:rFonts w:ascii="Arial Narrow" w:hAnsi="Arial Narrow" w:cs="Times New Roman"/>
                <w:b/>
                <w:bCs/>
                <w:i/>
                <w:iCs/>
                <w:color w:val="333333"/>
                <w:sz w:val="18"/>
                <w:szCs w:val="18"/>
              </w:rPr>
              <w:t>Clinical criteria:</w:t>
            </w:r>
          </w:p>
        </w:tc>
      </w:tr>
      <w:tr w:rsidR="00976353" w:rsidRPr="00976353" w14:paraId="76A865EF" w14:textId="77777777" w:rsidTr="003439C4">
        <w:tblPrEx>
          <w:tblCellMar>
            <w:top w:w="15" w:type="dxa"/>
            <w:bottom w:w="15" w:type="dxa"/>
          </w:tblCellMar>
          <w:tblLook w:val="04A0" w:firstRow="1" w:lastRow="0" w:firstColumn="1" w:lastColumn="0" w:noHBand="0" w:noVBand="1"/>
        </w:tblPrEx>
        <w:trPr>
          <w:cantSplit/>
          <w:trHeight w:val="20"/>
          <w:jc w:val="center"/>
        </w:trPr>
        <w:tc>
          <w:tcPr>
            <w:tcW w:w="1258" w:type="pct"/>
            <w:tcBorders>
              <w:top w:val="single" w:sz="4" w:space="0" w:color="auto"/>
              <w:left w:val="single" w:sz="4" w:space="0" w:color="auto"/>
              <w:bottom w:val="single" w:sz="4" w:space="0" w:color="auto"/>
              <w:right w:val="single" w:sz="4" w:space="0" w:color="auto"/>
            </w:tcBorders>
            <w:shd w:val="clear" w:color="auto" w:fill="auto"/>
          </w:tcPr>
          <w:p w14:paraId="71869A4C" w14:textId="4A7E4204" w:rsidR="00976353" w:rsidRPr="00976353" w:rsidRDefault="00976353" w:rsidP="00976353">
            <w:pPr>
              <w:jc w:val="center"/>
              <w:rPr>
                <w:rFonts w:ascii="Arial Narrow" w:eastAsia="Aptos" w:hAnsi="Arial Narrow" w:cs="Open Sans"/>
                <w:i/>
                <w:iCs/>
                <w:color w:val="333333"/>
                <w:sz w:val="18"/>
                <w:szCs w:val="18"/>
                <w:lang w:eastAsia="en-US"/>
              </w:rPr>
            </w:pPr>
          </w:p>
        </w:tc>
        <w:tc>
          <w:tcPr>
            <w:tcW w:w="3742" w:type="pct"/>
            <w:gridSpan w:val="5"/>
            <w:tcBorders>
              <w:top w:val="single" w:sz="4" w:space="0" w:color="auto"/>
              <w:left w:val="single" w:sz="4" w:space="0" w:color="auto"/>
              <w:bottom w:val="single" w:sz="4" w:space="0" w:color="auto"/>
              <w:right w:val="single" w:sz="4" w:space="0" w:color="auto"/>
            </w:tcBorders>
            <w:shd w:val="clear" w:color="auto" w:fill="auto"/>
          </w:tcPr>
          <w:p w14:paraId="53DA3ECF" w14:textId="77777777" w:rsidR="00976353" w:rsidRPr="00976353" w:rsidRDefault="00976353" w:rsidP="00976353">
            <w:pPr>
              <w:jc w:val="left"/>
              <w:rPr>
                <w:rFonts w:ascii="Arial Narrow" w:eastAsia="Aptos" w:hAnsi="Arial Narrow" w:cs="Open Sans"/>
                <w:i/>
                <w:iCs/>
                <w:color w:val="333333"/>
                <w:sz w:val="18"/>
                <w:szCs w:val="18"/>
                <w:lang w:eastAsia="en-US"/>
              </w:rPr>
            </w:pPr>
            <w:r w:rsidRPr="00976353">
              <w:rPr>
                <w:rFonts w:ascii="Arial Narrow" w:eastAsia="Aptos" w:hAnsi="Arial Narrow" w:cs="Open Sans"/>
                <w:i/>
                <w:iCs/>
                <w:color w:val="333333"/>
                <w:sz w:val="18"/>
                <w:szCs w:val="18"/>
                <w:lang w:eastAsia="en-US"/>
              </w:rPr>
              <w:t>The treatment must not be in combination with any of the following: (i) abemaciclib, (ii) pembrolizumab, (iii) ribociclib</w:t>
            </w:r>
          </w:p>
        </w:tc>
      </w:tr>
    </w:tbl>
    <w:p w14:paraId="3B3EC401" w14:textId="6B624A25" w:rsidR="00976353" w:rsidRPr="00E76635" w:rsidRDefault="007D5BF2" w:rsidP="00E76635">
      <w:pPr>
        <w:spacing w:before="120" w:after="120"/>
        <w:rPr>
          <w:rFonts w:asciiTheme="minorHAnsi" w:hAnsiTheme="minorHAnsi"/>
          <w:b/>
          <w:i/>
          <w:iCs/>
          <w:snapToGrid w:val="0"/>
          <w:lang w:val="en-GB"/>
        </w:rPr>
      </w:pPr>
      <w:r w:rsidRPr="007D5BF2">
        <w:rPr>
          <w:rFonts w:asciiTheme="minorHAnsi" w:hAnsiTheme="minorHAnsi"/>
          <w:b/>
          <w:i/>
          <w:iCs/>
          <w:snapToGrid w:val="0"/>
          <w:lang w:val="en-GB"/>
        </w:rPr>
        <w:t>These restrictions may be subject to further review. Should there be any changes made to the restriction the sponsor will be informed.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5"/>
        <w:gridCol w:w="1241"/>
        <w:gridCol w:w="1262"/>
        <w:gridCol w:w="1185"/>
        <w:gridCol w:w="994"/>
        <w:gridCol w:w="2029"/>
      </w:tblGrid>
      <w:tr w:rsidR="00976353" w:rsidRPr="00976353" w14:paraId="1EE081D7" w14:textId="77777777" w:rsidTr="003439C4">
        <w:trPr>
          <w:cantSplit/>
          <w:trHeight w:val="20"/>
          <w:jc w:val="center"/>
        </w:trPr>
        <w:tc>
          <w:tcPr>
            <w:tcW w:w="1279" w:type="pct"/>
            <w:vAlign w:val="center"/>
          </w:tcPr>
          <w:p w14:paraId="1D3E86F9" w14:textId="77777777" w:rsidR="00976353" w:rsidRPr="00976353" w:rsidRDefault="00976353" w:rsidP="00976353">
            <w:pPr>
              <w:keepLines/>
              <w:jc w:val="left"/>
              <w:rPr>
                <w:rFonts w:ascii="Arial Narrow" w:eastAsia="Aptos" w:hAnsi="Arial Narrow"/>
                <w:b/>
                <w:bCs/>
                <w:sz w:val="18"/>
                <w:szCs w:val="18"/>
                <w:lang w:eastAsia="en-US"/>
              </w:rPr>
            </w:pPr>
            <w:r w:rsidRPr="00976353">
              <w:rPr>
                <w:rFonts w:ascii="Arial Narrow" w:eastAsia="Aptos" w:hAnsi="Arial Narrow"/>
                <w:b/>
                <w:bCs/>
                <w:sz w:val="18"/>
                <w:szCs w:val="18"/>
                <w:lang w:eastAsia="en-US"/>
              </w:rPr>
              <w:t>MEDICINAL PRODUCT</w:t>
            </w:r>
          </w:p>
          <w:p w14:paraId="02CCBE13" w14:textId="77777777" w:rsidR="00976353" w:rsidRPr="00976353" w:rsidRDefault="00976353" w:rsidP="00976353">
            <w:pPr>
              <w:keepLines/>
              <w:jc w:val="left"/>
              <w:rPr>
                <w:rFonts w:ascii="Arial Narrow" w:eastAsia="Aptos" w:hAnsi="Arial Narrow"/>
                <w:b/>
                <w:sz w:val="18"/>
                <w:szCs w:val="18"/>
                <w:lang w:eastAsia="en-US"/>
              </w:rPr>
            </w:pPr>
            <w:r w:rsidRPr="00976353">
              <w:rPr>
                <w:rFonts w:ascii="Arial Narrow" w:eastAsia="Aptos" w:hAnsi="Arial Narrow"/>
                <w:b/>
                <w:bCs/>
                <w:sz w:val="18"/>
                <w:szCs w:val="18"/>
                <w:lang w:eastAsia="en-US"/>
              </w:rPr>
              <w:t>medicinal product pack</w:t>
            </w:r>
          </w:p>
        </w:tc>
        <w:tc>
          <w:tcPr>
            <w:tcW w:w="688" w:type="pct"/>
            <w:vAlign w:val="center"/>
          </w:tcPr>
          <w:p w14:paraId="03A49A8D" w14:textId="77777777" w:rsidR="00976353" w:rsidRPr="00976353" w:rsidRDefault="00976353" w:rsidP="00976353">
            <w:pPr>
              <w:keepLines/>
              <w:jc w:val="center"/>
              <w:rPr>
                <w:rFonts w:ascii="Arial Narrow" w:eastAsia="Aptos" w:hAnsi="Arial Narrow"/>
                <w:b/>
                <w:sz w:val="18"/>
                <w:szCs w:val="18"/>
                <w:lang w:eastAsia="en-US"/>
              </w:rPr>
            </w:pPr>
            <w:r w:rsidRPr="00976353">
              <w:rPr>
                <w:rFonts w:ascii="Arial Narrow" w:eastAsia="Aptos" w:hAnsi="Arial Narrow"/>
                <w:b/>
                <w:sz w:val="18"/>
                <w:szCs w:val="18"/>
                <w:lang w:eastAsia="en-US"/>
              </w:rPr>
              <w:t>PBS item code</w:t>
            </w:r>
          </w:p>
        </w:tc>
        <w:tc>
          <w:tcPr>
            <w:tcW w:w="700" w:type="pct"/>
            <w:vAlign w:val="center"/>
          </w:tcPr>
          <w:p w14:paraId="5CC9B6D1" w14:textId="77777777" w:rsidR="00976353" w:rsidRPr="00976353" w:rsidRDefault="00976353" w:rsidP="00976353">
            <w:pPr>
              <w:keepLines/>
              <w:jc w:val="center"/>
              <w:rPr>
                <w:rFonts w:ascii="Arial Narrow" w:eastAsia="Aptos" w:hAnsi="Arial Narrow"/>
                <w:b/>
                <w:sz w:val="18"/>
                <w:szCs w:val="18"/>
                <w:lang w:eastAsia="en-US"/>
              </w:rPr>
            </w:pPr>
            <w:r w:rsidRPr="00976353">
              <w:rPr>
                <w:rFonts w:ascii="Arial Narrow" w:eastAsia="Aptos" w:hAnsi="Arial Narrow"/>
                <w:b/>
                <w:sz w:val="18"/>
                <w:szCs w:val="18"/>
                <w:lang w:eastAsia="en-US"/>
              </w:rPr>
              <w:t>Max. qty packs</w:t>
            </w:r>
          </w:p>
        </w:tc>
        <w:tc>
          <w:tcPr>
            <w:tcW w:w="657" w:type="pct"/>
            <w:vAlign w:val="center"/>
          </w:tcPr>
          <w:p w14:paraId="4177451C" w14:textId="77777777" w:rsidR="00976353" w:rsidRPr="00976353" w:rsidRDefault="00976353" w:rsidP="00976353">
            <w:pPr>
              <w:keepLines/>
              <w:jc w:val="center"/>
              <w:rPr>
                <w:rFonts w:ascii="Arial Narrow" w:eastAsia="Aptos" w:hAnsi="Arial Narrow"/>
                <w:b/>
                <w:sz w:val="18"/>
                <w:szCs w:val="18"/>
                <w:lang w:eastAsia="en-US"/>
              </w:rPr>
            </w:pPr>
            <w:r w:rsidRPr="00976353">
              <w:rPr>
                <w:rFonts w:ascii="Arial Narrow" w:eastAsia="Aptos" w:hAnsi="Arial Narrow"/>
                <w:b/>
                <w:sz w:val="18"/>
                <w:szCs w:val="18"/>
                <w:lang w:eastAsia="en-US"/>
              </w:rPr>
              <w:t>Max. qty units</w:t>
            </w:r>
          </w:p>
        </w:tc>
        <w:tc>
          <w:tcPr>
            <w:tcW w:w="551" w:type="pct"/>
            <w:vAlign w:val="center"/>
          </w:tcPr>
          <w:p w14:paraId="17A321E2" w14:textId="77777777" w:rsidR="00976353" w:rsidRPr="00976353" w:rsidRDefault="00976353" w:rsidP="00976353">
            <w:pPr>
              <w:keepLines/>
              <w:jc w:val="center"/>
              <w:rPr>
                <w:rFonts w:ascii="Arial Narrow" w:eastAsia="Aptos" w:hAnsi="Arial Narrow"/>
                <w:b/>
                <w:sz w:val="18"/>
                <w:szCs w:val="18"/>
                <w:lang w:eastAsia="en-US"/>
              </w:rPr>
            </w:pPr>
            <w:r w:rsidRPr="00976353">
              <w:rPr>
                <w:rFonts w:ascii="Arial Narrow" w:eastAsia="Aptos" w:hAnsi="Arial Narrow"/>
                <w:b/>
                <w:sz w:val="18"/>
                <w:szCs w:val="18"/>
                <w:lang w:eastAsia="en-US"/>
              </w:rPr>
              <w:t>№.of</w:t>
            </w:r>
          </w:p>
          <w:p w14:paraId="6857A55A" w14:textId="77777777" w:rsidR="00976353" w:rsidRPr="00976353" w:rsidRDefault="00976353" w:rsidP="00976353">
            <w:pPr>
              <w:keepLines/>
              <w:jc w:val="center"/>
              <w:rPr>
                <w:rFonts w:ascii="Arial Narrow" w:eastAsia="Aptos" w:hAnsi="Arial Narrow"/>
                <w:b/>
                <w:sz w:val="18"/>
                <w:szCs w:val="18"/>
                <w:lang w:eastAsia="en-US"/>
              </w:rPr>
            </w:pPr>
            <w:r w:rsidRPr="00976353">
              <w:rPr>
                <w:rFonts w:ascii="Arial Narrow" w:eastAsia="Aptos" w:hAnsi="Arial Narrow"/>
                <w:b/>
                <w:sz w:val="18"/>
                <w:szCs w:val="18"/>
                <w:lang w:eastAsia="en-US"/>
              </w:rPr>
              <w:t>Rpts</w:t>
            </w:r>
          </w:p>
        </w:tc>
        <w:tc>
          <w:tcPr>
            <w:tcW w:w="1124" w:type="pct"/>
            <w:vAlign w:val="center"/>
          </w:tcPr>
          <w:p w14:paraId="056F6E20" w14:textId="77777777" w:rsidR="00976353" w:rsidRPr="00976353" w:rsidRDefault="00976353" w:rsidP="00976353">
            <w:pPr>
              <w:keepLines/>
              <w:jc w:val="left"/>
              <w:rPr>
                <w:rFonts w:ascii="Arial Narrow" w:eastAsia="Aptos" w:hAnsi="Arial Narrow"/>
                <w:b/>
                <w:sz w:val="18"/>
                <w:szCs w:val="18"/>
                <w:lang w:val="fr-FR" w:eastAsia="en-US"/>
              </w:rPr>
            </w:pPr>
            <w:r w:rsidRPr="00976353">
              <w:rPr>
                <w:rFonts w:ascii="Arial Narrow" w:eastAsia="Aptos" w:hAnsi="Arial Narrow"/>
                <w:b/>
                <w:sz w:val="18"/>
                <w:szCs w:val="18"/>
                <w:lang w:eastAsia="en-US"/>
              </w:rPr>
              <w:t>Available brands</w:t>
            </w:r>
          </w:p>
        </w:tc>
      </w:tr>
      <w:tr w:rsidR="00976353" w:rsidRPr="00976353" w14:paraId="35E5A378" w14:textId="77777777" w:rsidTr="003439C4">
        <w:trPr>
          <w:cantSplit/>
          <w:trHeight w:val="283"/>
          <w:jc w:val="center"/>
        </w:trPr>
        <w:tc>
          <w:tcPr>
            <w:tcW w:w="1279" w:type="pct"/>
            <w:vAlign w:val="center"/>
          </w:tcPr>
          <w:p w14:paraId="25E1E222" w14:textId="77777777" w:rsidR="00976353" w:rsidRPr="00976353" w:rsidRDefault="00976353" w:rsidP="00976353">
            <w:pPr>
              <w:keepLines/>
              <w:jc w:val="left"/>
              <w:rPr>
                <w:rFonts w:ascii="Arial Narrow" w:eastAsia="Aptos" w:hAnsi="Arial Narrow"/>
                <w:sz w:val="18"/>
                <w:szCs w:val="18"/>
                <w:lang w:eastAsia="en-US"/>
              </w:rPr>
            </w:pPr>
            <w:r w:rsidRPr="00976353">
              <w:rPr>
                <w:rFonts w:ascii="Arial Narrow" w:eastAsia="Aptos" w:hAnsi="Arial Narrow"/>
                <w:sz w:val="18"/>
                <w:szCs w:val="18"/>
                <w:lang w:eastAsia="en-US"/>
              </w:rPr>
              <w:t>abemaciclib 100 mg tablet, 56</w:t>
            </w:r>
          </w:p>
        </w:tc>
        <w:tc>
          <w:tcPr>
            <w:tcW w:w="688" w:type="pct"/>
            <w:vAlign w:val="center"/>
          </w:tcPr>
          <w:p w14:paraId="65AD01B3" w14:textId="77777777" w:rsidR="00976353" w:rsidRPr="00976353" w:rsidRDefault="00976353" w:rsidP="00976353">
            <w:pPr>
              <w:keepLines/>
              <w:jc w:val="center"/>
              <w:rPr>
                <w:rFonts w:ascii="Arial Narrow" w:eastAsia="Aptos" w:hAnsi="Arial Narrow"/>
                <w:sz w:val="18"/>
                <w:szCs w:val="18"/>
                <w:lang w:eastAsia="en-US"/>
              </w:rPr>
            </w:pPr>
            <w:r w:rsidRPr="00976353">
              <w:rPr>
                <w:rFonts w:ascii="Arial Narrow" w:eastAsia="Aptos" w:hAnsi="Arial Narrow"/>
                <w:sz w:val="18"/>
                <w:szCs w:val="18"/>
                <w:lang w:eastAsia="en-US"/>
              </w:rPr>
              <w:t>14105J</w:t>
            </w:r>
          </w:p>
        </w:tc>
        <w:tc>
          <w:tcPr>
            <w:tcW w:w="700" w:type="pct"/>
            <w:vAlign w:val="center"/>
          </w:tcPr>
          <w:p w14:paraId="39271794" w14:textId="77777777" w:rsidR="00976353" w:rsidRPr="00976353" w:rsidRDefault="00976353" w:rsidP="00976353">
            <w:pPr>
              <w:keepLines/>
              <w:jc w:val="center"/>
              <w:rPr>
                <w:rFonts w:ascii="Arial Narrow" w:eastAsia="Aptos" w:hAnsi="Arial Narrow"/>
                <w:sz w:val="18"/>
                <w:szCs w:val="18"/>
                <w:lang w:eastAsia="en-US"/>
              </w:rPr>
            </w:pPr>
            <w:r w:rsidRPr="00976353">
              <w:rPr>
                <w:rFonts w:ascii="Arial Narrow" w:eastAsia="Aptos" w:hAnsi="Arial Narrow"/>
                <w:sz w:val="18"/>
                <w:szCs w:val="18"/>
                <w:lang w:eastAsia="en-US"/>
              </w:rPr>
              <w:t>1</w:t>
            </w:r>
          </w:p>
        </w:tc>
        <w:tc>
          <w:tcPr>
            <w:tcW w:w="657" w:type="pct"/>
            <w:vAlign w:val="center"/>
          </w:tcPr>
          <w:p w14:paraId="2BC063A8" w14:textId="77777777" w:rsidR="00976353" w:rsidRPr="00976353" w:rsidRDefault="00976353" w:rsidP="00976353">
            <w:pPr>
              <w:keepLines/>
              <w:jc w:val="center"/>
              <w:rPr>
                <w:rFonts w:ascii="Arial Narrow" w:eastAsia="Aptos" w:hAnsi="Arial Narrow"/>
                <w:sz w:val="18"/>
                <w:szCs w:val="18"/>
                <w:lang w:eastAsia="en-US"/>
              </w:rPr>
            </w:pPr>
            <w:r w:rsidRPr="00976353">
              <w:rPr>
                <w:rFonts w:ascii="Arial Narrow" w:eastAsia="Aptos" w:hAnsi="Arial Narrow"/>
                <w:sz w:val="18"/>
                <w:szCs w:val="18"/>
                <w:lang w:eastAsia="en-US"/>
              </w:rPr>
              <w:t>56</w:t>
            </w:r>
          </w:p>
        </w:tc>
        <w:tc>
          <w:tcPr>
            <w:tcW w:w="551" w:type="pct"/>
            <w:vAlign w:val="center"/>
          </w:tcPr>
          <w:p w14:paraId="0EBBE42C" w14:textId="77777777" w:rsidR="00976353" w:rsidRPr="00976353" w:rsidRDefault="00976353" w:rsidP="00976353">
            <w:pPr>
              <w:keepLines/>
              <w:jc w:val="center"/>
              <w:rPr>
                <w:rFonts w:ascii="Arial Narrow" w:eastAsia="Aptos" w:hAnsi="Arial Narrow"/>
                <w:sz w:val="18"/>
                <w:szCs w:val="18"/>
                <w:lang w:eastAsia="en-US"/>
              </w:rPr>
            </w:pPr>
            <w:r w:rsidRPr="00976353">
              <w:rPr>
                <w:rFonts w:ascii="Arial Narrow" w:eastAsia="Aptos" w:hAnsi="Arial Narrow"/>
                <w:sz w:val="18"/>
                <w:szCs w:val="18"/>
                <w:lang w:eastAsia="en-US"/>
              </w:rPr>
              <w:t>5</w:t>
            </w:r>
          </w:p>
        </w:tc>
        <w:tc>
          <w:tcPr>
            <w:tcW w:w="1124" w:type="pct"/>
            <w:vAlign w:val="center"/>
          </w:tcPr>
          <w:p w14:paraId="592D320B" w14:textId="77777777" w:rsidR="00976353" w:rsidRPr="00976353" w:rsidRDefault="00976353" w:rsidP="000463A1">
            <w:pPr>
              <w:keepLines/>
              <w:jc w:val="left"/>
              <w:rPr>
                <w:rFonts w:ascii="Arial Narrow" w:eastAsia="Aptos" w:hAnsi="Arial Narrow"/>
                <w:sz w:val="18"/>
                <w:szCs w:val="18"/>
                <w:lang w:eastAsia="en-US"/>
              </w:rPr>
            </w:pPr>
            <w:r w:rsidRPr="00976353">
              <w:rPr>
                <w:rFonts w:ascii="Arial Narrow" w:eastAsia="Aptos" w:hAnsi="Arial Narrow"/>
                <w:sz w:val="18"/>
                <w:szCs w:val="18"/>
                <w:lang w:eastAsia="en-US"/>
              </w:rPr>
              <w:t>Verzenio</w:t>
            </w:r>
          </w:p>
        </w:tc>
      </w:tr>
      <w:tr w:rsidR="00976353" w:rsidRPr="00976353" w14:paraId="7FF5AE8F" w14:textId="77777777" w:rsidTr="003439C4">
        <w:trPr>
          <w:cantSplit/>
          <w:trHeight w:val="283"/>
          <w:jc w:val="center"/>
        </w:trPr>
        <w:tc>
          <w:tcPr>
            <w:tcW w:w="1279" w:type="pct"/>
            <w:vAlign w:val="center"/>
          </w:tcPr>
          <w:p w14:paraId="7CD2BB30" w14:textId="5B73D476" w:rsidR="00976353" w:rsidRPr="00976353" w:rsidRDefault="00976353" w:rsidP="00976353">
            <w:pPr>
              <w:keepLines/>
              <w:jc w:val="left"/>
              <w:rPr>
                <w:rFonts w:ascii="Arial Narrow" w:eastAsia="Aptos" w:hAnsi="Arial Narrow"/>
                <w:sz w:val="18"/>
                <w:szCs w:val="18"/>
                <w:lang w:eastAsia="en-US"/>
              </w:rPr>
            </w:pPr>
            <w:r w:rsidRPr="00976353">
              <w:rPr>
                <w:rFonts w:ascii="Arial Narrow" w:eastAsia="Aptos" w:hAnsi="Arial Narrow"/>
                <w:sz w:val="18"/>
                <w:szCs w:val="18"/>
                <w:lang w:eastAsia="en-US"/>
              </w:rPr>
              <w:t>abemaciclib 150 mg tablet, 56</w:t>
            </w:r>
          </w:p>
        </w:tc>
        <w:tc>
          <w:tcPr>
            <w:tcW w:w="688" w:type="pct"/>
            <w:vAlign w:val="center"/>
          </w:tcPr>
          <w:p w14:paraId="3B641B8C" w14:textId="77777777" w:rsidR="00976353" w:rsidRPr="00976353" w:rsidRDefault="00976353" w:rsidP="00976353">
            <w:pPr>
              <w:keepLines/>
              <w:jc w:val="center"/>
              <w:rPr>
                <w:rFonts w:ascii="Arial Narrow" w:eastAsia="Aptos" w:hAnsi="Arial Narrow"/>
                <w:sz w:val="18"/>
                <w:szCs w:val="18"/>
                <w:lang w:eastAsia="en-US"/>
              </w:rPr>
            </w:pPr>
            <w:r w:rsidRPr="00976353">
              <w:rPr>
                <w:rFonts w:ascii="Arial Narrow" w:eastAsia="Aptos" w:hAnsi="Arial Narrow"/>
                <w:sz w:val="18"/>
                <w:szCs w:val="18"/>
                <w:lang w:eastAsia="en-US"/>
              </w:rPr>
              <w:t>14134X</w:t>
            </w:r>
          </w:p>
        </w:tc>
        <w:tc>
          <w:tcPr>
            <w:tcW w:w="700" w:type="pct"/>
            <w:vAlign w:val="center"/>
          </w:tcPr>
          <w:p w14:paraId="0A818E1F" w14:textId="77777777" w:rsidR="00976353" w:rsidRPr="00976353" w:rsidRDefault="00976353" w:rsidP="00976353">
            <w:pPr>
              <w:keepLines/>
              <w:jc w:val="center"/>
              <w:rPr>
                <w:rFonts w:ascii="Arial Narrow" w:eastAsia="Aptos" w:hAnsi="Arial Narrow"/>
                <w:sz w:val="18"/>
                <w:szCs w:val="18"/>
                <w:lang w:eastAsia="en-US"/>
              </w:rPr>
            </w:pPr>
            <w:r w:rsidRPr="00976353">
              <w:rPr>
                <w:rFonts w:ascii="Arial Narrow" w:eastAsia="Aptos" w:hAnsi="Arial Narrow"/>
                <w:sz w:val="18"/>
                <w:szCs w:val="18"/>
                <w:lang w:eastAsia="en-US"/>
              </w:rPr>
              <w:t>1</w:t>
            </w:r>
          </w:p>
        </w:tc>
        <w:tc>
          <w:tcPr>
            <w:tcW w:w="657" w:type="pct"/>
            <w:vAlign w:val="center"/>
          </w:tcPr>
          <w:p w14:paraId="273600F2" w14:textId="77777777" w:rsidR="00976353" w:rsidRPr="00976353" w:rsidRDefault="00976353" w:rsidP="00976353">
            <w:pPr>
              <w:keepLines/>
              <w:jc w:val="center"/>
              <w:rPr>
                <w:rFonts w:ascii="Arial Narrow" w:eastAsia="Aptos" w:hAnsi="Arial Narrow"/>
                <w:sz w:val="18"/>
                <w:szCs w:val="18"/>
                <w:lang w:eastAsia="en-US"/>
              </w:rPr>
            </w:pPr>
            <w:r w:rsidRPr="00976353">
              <w:rPr>
                <w:rFonts w:ascii="Arial Narrow" w:eastAsia="Aptos" w:hAnsi="Arial Narrow"/>
                <w:sz w:val="18"/>
                <w:szCs w:val="18"/>
                <w:lang w:eastAsia="en-US"/>
              </w:rPr>
              <w:t>56</w:t>
            </w:r>
          </w:p>
        </w:tc>
        <w:tc>
          <w:tcPr>
            <w:tcW w:w="551" w:type="pct"/>
            <w:vAlign w:val="center"/>
          </w:tcPr>
          <w:p w14:paraId="5DCF1AE8" w14:textId="77777777" w:rsidR="00976353" w:rsidRPr="00976353" w:rsidRDefault="00976353" w:rsidP="00976353">
            <w:pPr>
              <w:keepLines/>
              <w:jc w:val="center"/>
              <w:rPr>
                <w:rFonts w:ascii="Arial Narrow" w:eastAsia="Aptos" w:hAnsi="Arial Narrow"/>
                <w:sz w:val="18"/>
                <w:szCs w:val="18"/>
                <w:lang w:eastAsia="en-US"/>
              </w:rPr>
            </w:pPr>
            <w:r w:rsidRPr="00976353">
              <w:rPr>
                <w:rFonts w:ascii="Arial Narrow" w:eastAsia="Aptos" w:hAnsi="Arial Narrow"/>
                <w:sz w:val="18"/>
                <w:szCs w:val="18"/>
                <w:lang w:eastAsia="en-US"/>
              </w:rPr>
              <w:t>5</w:t>
            </w:r>
          </w:p>
        </w:tc>
        <w:tc>
          <w:tcPr>
            <w:tcW w:w="1124" w:type="pct"/>
            <w:vAlign w:val="center"/>
          </w:tcPr>
          <w:p w14:paraId="6D480BB2" w14:textId="77777777" w:rsidR="00976353" w:rsidRPr="00976353" w:rsidRDefault="00976353" w:rsidP="000463A1">
            <w:pPr>
              <w:keepLines/>
              <w:jc w:val="left"/>
              <w:rPr>
                <w:rFonts w:ascii="Arial Narrow" w:eastAsia="Aptos" w:hAnsi="Arial Narrow"/>
                <w:sz w:val="18"/>
                <w:szCs w:val="18"/>
                <w:lang w:eastAsia="en-US"/>
              </w:rPr>
            </w:pPr>
            <w:r w:rsidRPr="00976353">
              <w:rPr>
                <w:rFonts w:ascii="Arial Narrow" w:eastAsia="Aptos" w:hAnsi="Arial Narrow"/>
                <w:sz w:val="18"/>
                <w:szCs w:val="18"/>
                <w:lang w:eastAsia="en-US"/>
              </w:rPr>
              <w:t>Verzenio</w:t>
            </w:r>
          </w:p>
        </w:tc>
      </w:tr>
      <w:tr w:rsidR="00976353" w:rsidRPr="00976353" w14:paraId="05F1E8D8" w14:textId="77777777" w:rsidTr="003439C4">
        <w:trPr>
          <w:cantSplit/>
          <w:trHeight w:val="283"/>
          <w:jc w:val="center"/>
        </w:trPr>
        <w:tc>
          <w:tcPr>
            <w:tcW w:w="1279" w:type="pct"/>
            <w:vAlign w:val="center"/>
          </w:tcPr>
          <w:p w14:paraId="40272830" w14:textId="7B2CA7EE" w:rsidR="00976353" w:rsidRPr="00976353" w:rsidRDefault="00976353" w:rsidP="00976353">
            <w:pPr>
              <w:keepLines/>
              <w:jc w:val="left"/>
              <w:rPr>
                <w:rFonts w:ascii="Arial Narrow" w:eastAsia="Aptos" w:hAnsi="Arial Narrow"/>
                <w:sz w:val="18"/>
                <w:szCs w:val="18"/>
                <w:lang w:eastAsia="en-US"/>
              </w:rPr>
            </w:pPr>
            <w:r w:rsidRPr="00976353">
              <w:rPr>
                <w:rFonts w:ascii="Arial Narrow" w:eastAsia="Aptos" w:hAnsi="Arial Narrow"/>
                <w:sz w:val="18"/>
                <w:szCs w:val="18"/>
                <w:lang w:eastAsia="en-US"/>
              </w:rPr>
              <w:t>abemaciclib 50 mg tablet, 56</w:t>
            </w:r>
          </w:p>
        </w:tc>
        <w:tc>
          <w:tcPr>
            <w:tcW w:w="688" w:type="pct"/>
            <w:vAlign w:val="center"/>
          </w:tcPr>
          <w:p w14:paraId="393D97FF" w14:textId="77777777" w:rsidR="00976353" w:rsidRPr="00976353" w:rsidRDefault="00976353" w:rsidP="00976353">
            <w:pPr>
              <w:keepLines/>
              <w:jc w:val="center"/>
              <w:rPr>
                <w:rFonts w:ascii="Arial Narrow" w:eastAsia="Aptos" w:hAnsi="Arial Narrow"/>
                <w:sz w:val="18"/>
                <w:szCs w:val="18"/>
                <w:lang w:eastAsia="en-US"/>
              </w:rPr>
            </w:pPr>
            <w:r w:rsidRPr="00976353">
              <w:rPr>
                <w:rFonts w:ascii="Arial Narrow" w:eastAsia="Aptos" w:hAnsi="Arial Narrow"/>
                <w:sz w:val="18"/>
                <w:szCs w:val="18"/>
                <w:lang w:eastAsia="en-US"/>
              </w:rPr>
              <w:t>14116Y </w:t>
            </w:r>
          </w:p>
        </w:tc>
        <w:tc>
          <w:tcPr>
            <w:tcW w:w="700" w:type="pct"/>
            <w:vAlign w:val="center"/>
          </w:tcPr>
          <w:p w14:paraId="0AFCF452" w14:textId="77777777" w:rsidR="00976353" w:rsidRPr="00976353" w:rsidRDefault="00976353" w:rsidP="00976353">
            <w:pPr>
              <w:keepLines/>
              <w:jc w:val="center"/>
              <w:rPr>
                <w:rFonts w:ascii="Arial Narrow" w:eastAsia="Aptos" w:hAnsi="Arial Narrow"/>
                <w:sz w:val="18"/>
                <w:szCs w:val="18"/>
                <w:lang w:eastAsia="en-US"/>
              </w:rPr>
            </w:pPr>
            <w:r w:rsidRPr="00976353">
              <w:rPr>
                <w:rFonts w:ascii="Arial Narrow" w:eastAsia="Aptos" w:hAnsi="Arial Narrow"/>
                <w:sz w:val="18"/>
                <w:szCs w:val="18"/>
                <w:lang w:eastAsia="en-US"/>
              </w:rPr>
              <w:t>1</w:t>
            </w:r>
          </w:p>
        </w:tc>
        <w:tc>
          <w:tcPr>
            <w:tcW w:w="657" w:type="pct"/>
            <w:vAlign w:val="center"/>
          </w:tcPr>
          <w:p w14:paraId="2535A9BC" w14:textId="77777777" w:rsidR="00976353" w:rsidRPr="00976353" w:rsidRDefault="00976353" w:rsidP="00976353">
            <w:pPr>
              <w:keepLines/>
              <w:jc w:val="center"/>
              <w:rPr>
                <w:rFonts w:ascii="Arial Narrow" w:eastAsia="Aptos" w:hAnsi="Arial Narrow"/>
                <w:sz w:val="18"/>
                <w:szCs w:val="18"/>
                <w:lang w:eastAsia="en-US"/>
              </w:rPr>
            </w:pPr>
            <w:r w:rsidRPr="00976353">
              <w:rPr>
                <w:rFonts w:ascii="Arial Narrow" w:eastAsia="Aptos" w:hAnsi="Arial Narrow"/>
                <w:sz w:val="18"/>
                <w:szCs w:val="18"/>
                <w:lang w:eastAsia="en-US"/>
              </w:rPr>
              <w:t>56</w:t>
            </w:r>
          </w:p>
        </w:tc>
        <w:tc>
          <w:tcPr>
            <w:tcW w:w="551" w:type="pct"/>
            <w:vAlign w:val="center"/>
          </w:tcPr>
          <w:p w14:paraId="16BD50C4" w14:textId="77777777" w:rsidR="00976353" w:rsidRPr="00976353" w:rsidRDefault="00976353" w:rsidP="00976353">
            <w:pPr>
              <w:keepLines/>
              <w:jc w:val="center"/>
              <w:rPr>
                <w:rFonts w:ascii="Arial Narrow" w:eastAsia="Aptos" w:hAnsi="Arial Narrow"/>
                <w:sz w:val="18"/>
                <w:szCs w:val="18"/>
                <w:lang w:eastAsia="en-US"/>
              </w:rPr>
            </w:pPr>
            <w:r w:rsidRPr="00976353">
              <w:rPr>
                <w:rFonts w:ascii="Arial Narrow" w:eastAsia="Aptos" w:hAnsi="Arial Narrow"/>
                <w:sz w:val="18"/>
                <w:szCs w:val="18"/>
                <w:lang w:eastAsia="en-US"/>
              </w:rPr>
              <w:t>5</w:t>
            </w:r>
          </w:p>
        </w:tc>
        <w:tc>
          <w:tcPr>
            <w:tcW w:w="1124" w:type="pct"/>
            <w:vAlign w:val="center"/>
          </w:tcPr>
          <w:p w14:paraId="77D01CE8" w14:textId="77777777" w:rsidR="00976353" w:rsidRPr="00976353" w:rsidRDefault="00976353" w:rsidP="000463A1">
            <w:pPr>
              <w:keepLines/>
              <w:jc w:val="left"/>
              <w:rPr>
                <w:rFonts w:ascii="Arial Narrow" w:eastAsia="Aptos" w:hAnsi="Arial Narrow"/>
                <w:sz w:val="18"/>
                <w:szCs w:val="18"/>
                <w:lang w:eastAsia="en-US"/>
              </w:rPr>
            </w:pPr>
            <w:r w:rsidRPr="00976353">
              <w:rPr>
                <w:rFonts w:ascii="Arial Narrow" w:eastAsia="Aptos" w:hAnsi="Arial Narrow"/>
                <w:sz w:val="18"/>
                <w:szCs w:val="18"/>
                <w:lang w:eastAsia="en-US"/>
              </w:rPr>
              <w:t>Verzenio</w:t>
            </w:r>
          </w:p>
        </w:tc>
      </w:tr>
      <w:tr w:rsidR="00976353" w:rsidRPr="00976353" w14:paraId="1BDA433C" w14:textId="77777777" w:rsidTr="003439C4">
        <w:tblPrEx>
          <w:tblCellMar>
            <w:top w:w="15" w:type="dxa"/>
            <w:bottom w:w="15" w:type="dxa"/>
          </w:tblCellMar>
          <w:tblLook w:val="04A0" w:firstRow="1" w:lastRow="0" w:firstColumn="1" w:lastColumn="0" w:noHBand="0" w:noVBand="1"/>
        </w:tblPrEx>
        <w:trPr>
          <w:cantSplit/>
          <w:trHeight w:val="20"/>
          <w:jc w:val="center"/>
        </w:trPr>
        <w:tc>
          <w:tcPr>
            <w:tcW w:w="1279" w:type="pct"/>
            <w:tcBorders>
              <w:top w:val="single" w:sz="4" w:space="0" w:color="auto"/>
              <w:bottom w:val="single" w:sz="4" w:space="0" w:color="auto"/>
            </w:tcBorders>
            <w:vAlign w:val="center"/>
          </w:tcPr>
          <w:p w14:paraId="2C7E63FD" w14:textId="68B7662C" w:rsidR="00976353" w:rsidRPr="00976353" w:rsidRDefault="00976353" w:rsidP="00976353">
            <w:pPr>
              <w:jc w:val="center"/>
              <w:rPr>
                <w:rFonts w:ascii="Arial Narrow" w:hAnsi="Arial Narrow" w:cs="Times New Roman"/>
                <w:strike/>
                <w:color w:val="333333"/>
                <w:sz w:val="18"/>
                <w:szCs w:val="18"/>
              </w:rPr>
            </w:pPr>
          </w:p>
        </w:tc>
        <w:tc>
          <w:tcPr>
            <w:tcW w:w="3721" w:type="pct"/>
            <w:gridSpan w:val="5"/>
            <w:tcBorders>
              <w:top w:val="single" w:sz="4" w:space="0" w:color="auto"/>
              <w:bottom w:val="single" w:sz="4" w:space="0" w:color="auto"/>
            </w:tcBorders>
            <w:vAlign w:val="center"/>
          </w:tcPr>
          <w:p w14:paraId="07CE9943" w14:textId="77777777" w:rsidR="00976353" w:rsidRPr="00976353" w:rsidRDefault="00976353" w:rsidP="00976353">
            <w:pPr>
              <w:jc w:val="left"/>
              <w:rPr>
                <w:rFonts w:ascii="Arial Narrow" w:hAnsi="Arial Narrow" w:cs="Times New Roman"/>
                <w:b/>
                <w:bCs/>
                <w:strike/>
                <w:color w:val="333333"/>
                <w:sz w:val="18"/>
                <w:szCs w:val="18"/>
              </w:rPr>
            </w:pPr>
            <w:r w:rsidRPr="00976353">
              <w:rPr>
                <w:rFonts w:ascii="Arial Narrow" w:hAnsi="Arial Narrow" w:cs="Times New Roman"/>
                <w:b/>
                <w:bCs/>
                <w:strike/>
                <w:color w:val="333333"/>
                <w:sz w:val="18"/>
                <w:szCs w:val="18"/>
              </w:rPr>
              <w:t>Clinical criteria:</w:t>
            </w:r>
          </w:p>
        </w:tc>
      </w:tr>
      <w:tr w:rsidR="00976353" w:rsidRPr="00976353" w14:paraId="5265F782" w14:textId="77777777" w:rsidTr="003439C4">
        <w:tblPrEx>
          <w:tblCellMar>
            <w:top w:w="15" w:type="dxa"/>
            <w:bottom w:w="15" w:type="dxa"/>
          </w:tblCellMar>
          <w:tblLook w:val="04A0" w:firstRow="1" w:lastRow="0" w:firstColumn="1" w:lastColumn="0" w:noHBand="0" w:noVBand="1"/>
        </w:tblPrEx>
        <w:trPr>
          <w:cantSplit/>
          <w:trHeight w:val="20"/>
          <w:jc w:val="center"/>
        </w:trPr>
        <w:tc>
          <w:tcPr>
            <w:tcW w:w="1279" w:type="pct"/>
            <w:tcBorders>
              <w:top w:val="single" w:sz="4" w:space="0" w:color="auto"/>
              <w:left w:val="single" w:sz="4" w:space="0" w:color="auto"/>
              <w:bottom w:val="single" w:sz="4" w:space="0" w:color="auto"/>
              <w:right w:val="single" w:sz="4" w:space="0" w:color="auto"/>
            </w:tcBorders>
            <w:shd w:val="clear" w:color="auto" w:fill="auto"/>
          </w:tcPr>
          <w:p w14:paraId="1F520880" w14:textId="5ED79434" w:rsidR="00976353" w:rsidRPr="00976353" w:rsidRDefault="00976353" w:rsidP="00976353">
            <w:pPr>
              <w:jc w:val="center"/>
              <w:rPr>
                <w:rFonts w:ascii="Arial Narrow" w:hAnsi="Arial Narrow" w:cs="Times New Roman"/>
                <w:strike/>
                <w:color w:val="333333"/>
                <w:sz w:val="18"/>
                <w:szCs w:val="18"/>
              </w:rPr>
            </w:pPr>
          </w:p>
        </w:tc>
        <w:tc>
          <w:tcPr>
            <w:tcW w:w="3721" w:type="pct"/>
            <w:gridSpan w:val="5"/>
            <w:tcBorders>
              <w:top w:val="single" w:sz="4" w:space="0" w:color="auto"/>
              <w:left w:val="single" w:sz="4" w:space="0" w:color="auto"/>
              <w:bottom w:val="single" w:sz="4" w:space="0" w:color="auto"/>
              <w:right w:val="single" w:sz="4" w:space="0" w:color="auto"/>
            </w:tcBorders>
            <w:shd w:val="clear" w:color="auto" w:fill="auto"/>
          </w:tcPr>
          <w:p w14:paraId="291CD6B7" w14:textId="77777777" w:rsidR="00976353" w:rsidRPr="00976353" w:rsidRDefault="00976353" w:rsidP="00976353">
            <w:pPr>
              <w:jc w:val="left"/>
              <w:rPr>
                <w:rFonts w:ascii="Arial Narrow" w:eastAsia="Aptos" w:hAnsi="Arial Narrow" w:cs="Open Sans"/>
                <w:strike/>
                <w:color w:val="333333"/>
                <w:sz w:val="18"/>
                <w:szCs w:val="18"/>
                <w:lang w:eastAsia="en-US"/>
              </w:rPr>
            </w:pPr>
            <w:r w:rsidRPr="00976353">
              <w:rPr>
                <w:rFonts w:ascii="Arial Narrow" w:eastAsia="Aptos" w:hAnsi="Arial Narrow" w:cs="Open Sans"/>
                <w:strike/>
                <w:color w:val="333333"/>
                <w:sz w:val="18"/>
                <w:szCs w:val="18"/>
                <w:lang w:eastAsia="en-US"/>
              </w:rPr>
              <w:t> The treatment must not be in combination with any of the following: (i) olaparib, (ii) pembrolizumab</w:t>
            </w:r>
          </w:p>
        </w:tc>
      </w:tr>
      <w:tr w:rsidR="00976353" w:rsidRPr="00976353" w14:paraId="5927CE87" w14:textId="77777777" w:rsidTr="003439C4">
        <w:tblPrEx>
          <w:tblCellMar>
            <w:top w:w="15" w:type="dxa"/>
            <w:bottom w:w="15" w:type="dxa"/>
          </w:tblCellMar>
          <w:tblLook w:val="04A0" w:firstRow="1" w:lastRow="0" w:firstColumn="1" w:lastColumn="0" w:noHBand="0" w:noVBand="1"/>
        </w:tblPrEx>
        <w:trPr>
          <w:cantSplit/>
          <w:trHeight w:val="20"/>
          <w:jc w:val="center"/>
        </w:trPr>
        <w:tc>
          <w:tcPr>
            <w:tcW w:w="1279" w:type="pct"/>
            <w:tcBorders>
              <w:top w:val="single" w:sz="4" w:space="0" w:color="auto"/>
              <w:left w:val="single" w:sz="4" w:space="0" w:color="auto"/>
              <w:bottom w:val="single" w:sz="4" w:space="0" w:color="auto"/>
              <w:right w:val="single" w:sz="4" w:space="0" w:color="auto"/>
            </w:tcBorders>
            <w:shd w:val="clear" w:color="auto" w:fill="auto"/>
            <w:vAlign w:val="center"/>
          </w:tcPr>
          <w:p w14:paraId="2CD50594" w14:textId="0F5D7027" w:rsidR="00976353" w:rsidRPr="00976353" w:rsidRDefault="00976353" w:rsidP="00976353">
            <w:pPr>
              <w:jc w:val="center"/>
              <w:rPr>
                <w:rFonts w:ascii="Arial Narrow" w:eastAsia="Aptos" w:hAnsi="Arial Narrow" w:cs="Open Sans"/>
                <w:i/>
                <w:iCs/>
                <w:color w:val="333333"/>
                <w:sz w:val="18"/>
                <w:szCs w:val="18"/>
                <w:lang w:eastAsia="en-US"/>
              </w:rPr>
            </w:pPr>
          </w:p>
        </w:tc>
        <w:tc>
          <w:tcPr>
            <w:tcW w:w="37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0343BFF5" w14:textId="77777777" w:rsidR="00976353" w:rsidRPr="00976353" w:rsidRDefault="00976353" w:rsidP="00976353">
            <w:pPr>
              <w:jc w:val="left"/>
              <w:rPr>
                <w:rFonts w:ascii="Arial Narrow" w:eastAsia="Aptos" w:hAnsi="Arial Narrow" w:cs="Open Sans"/>
                <w:i/>
                <w:iCs/>
                <w:color w:val="333333"/>
                <w:sz w:val="18"/>
                <w:szCs w:val="18"/>
                <w:lang w:eastAsia="en-US"/>
              </w:rPr>
            </w:pPr>
            <w:r w:rsidRPr="00976353">
              <w:rPr>
                <w:rFonts w:ascii="Arial Narrow" w:hAnsi="Arial Narrow" w:cs="Times New Roman"/>
                <w:b/>
                <w:bCs/>
                <w:i/>
                <w:iCs/>
                <w:color w:val="333333"/>
                <w:sz w:val="18"/>
                <w:szCs w:val="18"/>
              </w:rPr>
              <w:t>Clinical criteria:</w:t>
            </w:r>
          </w:p>
        </w:tc>
      </w:tr>
      <w:tr w:rsidR="00976353" w:rsidRPr="00976353" w14:paraId="7D9C50C9" w14:textId="77777777" w:rsidTr="003439C4">
        <w:tblPrEx>
          <w:tblCellMar>
            <w:top w:w="15" w:type="dxa"/>
            <w:bottom w:w="15" w:type="dxa"/>
          </w:tblCellMar>
          <w:tblLook w:val="04A0" w:firstRow="1" w:lastRow="0" w:firstColumn="1" w:lastColumn="0" w:noHBand="0" w:noVBand="1"/>
        </w:tblPrEx>
        <w:trPr>
          <w:cantSplit/>
          <w:trHeight w:val="20"/>
          <w:jc w:val="center"/>
        </w:trPr>
        <w:tc>
          <w:tcPr>
            <w:tcW w:w="1279" w:type="pct"/>
            <w:tcBorders>
              <w:top w:val="single" w:sz="4" w:space="0" w:color="auto"/>
              <w:left w:val="single" w:sz="4" w:space="0" w:color="auto"/>
              <w:bottom w:val="single" w:sz="4" w:space="0" w:color="auto"/>
              <w:right w:val="single" w:sz="4" w:space="0" w:color="auto"/>
            </w:tcBorders>
            <w:shd w:val="clear" w:color="auto" w:fill="auto"/>
          </w:tcPr>
          <w:p w14:paraId="672AF78C" w14:textId="0EA432CE" w:rsidR="00976353" w:rsidRPr="00976353" w:rsidRDefault="00976353" w:rsidP="00976353">
            <w:pPr>
              <w:jc w:val="center"/>
              <w:rPr>
                <w:rFonts w:ascii="Arial Narrow" w:eastAsia="Aptos" w:hAnsi="Arial Narrow" w:cs="Open Sans"/>
                <w:i/>
                <w:iCs/>
                <w:color w:val="333333"/>
                <w:sz w:val="18"/>
                <w:szCs w:val="18"/>
                <w:lang w:eastAsia="en-US"/>
              </w:rPr>
            </w:pPr>
          </w:p>
        </w:tc>
        <w:tc>
          <w:tcPr>
            <w:tcW w:w="3721" w:type="pct"/>
            <w:gridSpan w:val="5"/>
            <w:tcBorders>
              <w:top w:val="single" w:sz="4" w:space="0" w:color="auto"/>
              <w:left w:val="single" w:sz="4" w:space="0" w:color="auto"/>
              <w:bottom w:val="single" w:sz="4" w:space="0" w:color="auto"/>
              <w:right w:val="single" w:sz="4" w:space="0" w:color="auto"/>
            </w:tcBorders>
            <w:shd w:val="clear" w:color="auto" w:fill="auto"/>
          </w:tcPr>
          <w:p w14:paraId="7E7C3222" w14:textId="19C5EDD4" w:rsidR="00976353" w:rsidRPr="00976353" w:rsidRDefault="00976353" w:rsidP="00976353">
            <w:pPr>
              <w:jc w:val="left"/>
              <w:rPr>
                <w:rFonts w:ascii="Arial Narrow" w:eastAsia="Aptos" w:hAnsi="Arial Narrow" w:cs="Open Sans"/>
                <w:i/>
                <w:iCs/>
                <w:color w:val="333333"/>
                <w:sz w:val="18"/>
                <w:szCs w:val="18"/>
                <w:lang w:eastAsia="en-US"/>
              </w:rPr>
            </w:pPr>
            <w:r w:rsidRPr="00976353">
              <w:rPr>
                <w:rFonts w:ascii="Arial Narrow" w:eastAsia="Aptos" w:hAnsi="Arial Narrow" w:cs="Open Sans"/>
                <w:i/>
                <w:iCs/>
                <w:color w:val="333333"/>
                <w:sz w:val="18"/>
                <w:szCs w:val="18"/>
                <w:lang w:eastAsia="en-US"/>
              </w:rPr>
              <w:t> The treatment must not be in combination with any of the following: (i) olaparib, (ii) pembrolizumab, (iii) ribociclib</w:t>
            </w:r>
          </w:p>
        </w:tc>
      </w:tr>
    </w:tbl>
    <w:p w14:paraId="616FF03E" w14:textId="5BA8C225" w:rsidR="00C13C7C" w:rsidRPr="005A6B2C" w:rsidRDefault="00A95B27" w:rsidP="00A338E8">
      <w:pPr>
        <w:spacing w:before="120" w:after="120"/>
        <w:jc w:val="left"/>
        <w:rPr>
          <w:rFonts w:asciiTheme="minorHAnsi" w:eastAsiaTheme="majorEastAsia" w:hAnsiTheme="minorHAnsi" w:cstheme="majorBidi"/>
          <w:b/>
          <w:color w:val="000000" w:themeColor="text1"/>
        </w:rPr>
      </w:pPr>
      <w:r w:rsidRPr="00907671">
        <w:rPr>
          <w:rFonts w:asciiTheme="minorHAnsi" w:hAnsiTheme="minorHAnsi"/>
          <w:b/>
          <w:i/>
          <w:iCs/>
          <w:snapToGrid w:val="0"/>
          <w:lang w:val="en-GB"/>
        </w:rPr>
        <w:t>Th</w:t>
      </w:r>
      <w:r w:rsidR="00B07FE7">
        <w:rPr>
          <w:rFonts w:asciiTheme="minorHAnsi" w:hAnsiTheme="minorHAnsi"/>
          <w:b/>
          <w:i/>
          <w:iCs/>
          <w:snapToGrid w:val="0"/>
          <w:lang w:val="en-GB"/>
        </w:rPr>
        <w:t>ese</w:t>
      </w:r>
      <w:r w:rsidRPr="00907671">
        <w:rPr>
          <w:rFonts w:asciiTheme="minorHAnsi" w:hAnsiTheme="minorHAnsi"/>
          <w:b/>
          <w:i/>
          <w:iCs/>
          <w:snapToGrid w:val="0"/>
          <w:lang w:val="en-GB"/>
        </w:rPr>
        <w:t xml:space="preserve"> restriction</w:t>
      </w:r>
      <w:r w:rsidR="00B07FE7">
        <w:rPr>
          <w:rFonts w:asciiTheme="minorHAnsi" w:hAnsiTheme="minorHAnsi"/>
          <w:b/>
          <w:i/>
          <w:iCs/>
          <w:snapToGrid w:val="0"/>
          <w:lang w:val="en-GB"/>
        </w:rPr>
        <w:t>s</w:t>
      </w:r>
      <w:r w:rsidRPr="00907671">
        <w:rPr>
          <w:rFonts w:asciiTheme="minorHAnsi" w:hAnsiTheme="minorHAnsi"/>
          <w:b/>
          <w:i/>
          <w:iCs/>
          <w:snapToGrid w:val="0"/>
          <w:lang w:val="en-GB"/>
        </w:rPr>
        <w:t xml:space="preserve"> may be subject to further review. Should there be any changes made to the restriction</w:t>
      </w:r>
      <w:r w:rsidR="00B07FE7">
        <w:rPr>
          <w:rFonts w:asciiTheme="minorHAnsi" w:hAnsiTheme="minorHAnsi"/>
          <w:b/>
          <w:i/>
          <w:iCs/>
          <w:snapToGrid w:val="0"/>
          <w:lang w:val="en-GB"/>
        </w:rPr>
        <w:t>s</w:t>
      </w:r>
      <w:r w:rsidRPr="00907671">
        <w:rPr>
          <w:rFonts w:asciiTheme="minorHAnsi" w:hAnsiTheme="minorHAnsi"/>
          <w:b/>
          <w:i/>
          <w:iCs/>
          <w:snapToGrid w:val="0"/>
          <w:lang w:val="en-GB"/>
        </w:rPr>
        <w:t xml:space="preserve"> the sponsor will be informed.</w:t>
      </w:r>
      <w:bookmarkEnd w:id="70"/>
    </w:p>
    <w:p w14:paraId="00A05405" w14:textId="77777777" w:rsidR="005A6B2C" w:rsidRPr="005A6B2C" w:rsidRDefault="005A6B2C" w:rsidP="005A6B2C">
      <w:pPr>
        <w:pStyle w:val="2-SectionHeading"/>
      </w:pPr>
      <w:r w:rsidRPr="005A6B2C">
        <w:t>Context for Decision</w:t>
      </w:r>
    </w:p>
    <w:p w14:paraId="21C3FEDD" w14:textId="77777777" w:rsidR="005A6B2C" w:rsidRPr="00061CBE" w:rsidRDefault="005A6B2C" w:rsidP="005A6B2C">
      <w:pPr>
        <w:spacing w:after="120"/>
        <w:ind w:left="720"/>
        <w:rPr>
          <w:bCs/>
          <w:lang w:val="en-GB"/>
        </w:rPr>
      </w:pPr>
      <w:r w:rsidRPr="00061CBE">
        <w:rPr>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77151CDB" w14:textId="35109DD8" w:rsidR="005A6B2C" w:rsidRPr="00061CBE" w:rsidRDefault="005A6B2C" w:rsidP="005A6B2C">
      <w:pPr>
        <w:pStyle w:val="2-SectionHeading"/>
      </w:pPr>
      <w:r w:rsidRPr="00061CBE">
        <w:t>Sponsor’s Comment</w:t>
      </w:r>
    </w:p>
    <w:p w14:paraId="015D044A" w14:textId="1B058B8E" w:rsidR="00A95B27" w:rsidRPr="005A6B2C" w:rsidRDefault="005A6B2C" w:rsidP="005A6B2C">
      <w:pPr>
        <w:spacing w:after="120"/>
        <w:ind w:firstLine="720"/>
        <w:rPr>
          <w:bCs/>
        </w:rPr>
      </w:pPr>
      <w:r w:rsidRPr="00061CBE">
        <w:rPr>
          <w:bCs/>
        </w:rPr>
        <w:t>The sponsor had no comment.</w:t>
      </w:r>
    </w:p>
    <w:sectPr w:rsidR="00A95B27" w:rsidRPr="005A6B2C" w:rsidSect="00266CDC">
      <w:headerReference w:type="even" r:id="rId10"/>
      <w:headerReference w:type="default" r:id="rId11"/>
      <w:footerReference w:type="default" r:id="rId12"/>
      <w:headerReference w:type="first" r:id="rId13"/>
      <w:footerReference w:type="first" r:id="rId14"/>
      <w:pgSz w:w="11906" w:h="16838"/>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5CA55" w14:textId="77777777" w:rsidR="00F42238" w:rsidRPr="00DB3D39" w:rsidRDefault="00F42238" w:rsidP="00124A51">
      <w:r w:rsidRPr="00DB3D39">
        <w:separator/>
      </w:r>
    </w:p>
    <w:p w14:paraId="11800A67" w14:textId="77777777" w:rsidR="00F42238" w:rsidRPr="00DB3D39" w:rsidRDefault="00F42238"/>
  </w:endnote>
  <w:endnote w:type="continuationSeparator" w:id="0">
    <w:p w14:paraId="60204B8A" w14:textId="77777777" w:rsidR="00F42238" w:rsidRPr="00DB3D39" w:rsidRDefault="00F42238" w:rsidP="00124A51">
      <w:r w:rsidRPr="00DB3D39">
        <w:continuationSeparator/>
      </w:r>
    </w:p>
    <w:p w14:paraId="51FEC71F" w14:textId="77777777" w:rsidR="00F42238" w:rsidRPr="00DB3D39" w:rsidRDefault="00F42238"/>
  </w:endnote>
  <w:endnote w:type="continuationNotice" w:id="1">
    <w:p w14:paraId="7D186F28" w14:textId="77777777" w:rsidR="00F42238" w:rsidRPr="00DB3D39" w:rsidRDefault="00F422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68C1A" w14:textId="77777777" w:rsidR="005E6319" w:rsidRDefault="005E6319" w:rsidP="005E6319">
    <w:pPr>
      <w:pStyle w:val="Footer"/>
      <w:jc w:val="center"/>
    </w:pPr>
  </w:p>
  <w:p w14:paraId="40B6A44A" w14:textId="5E2CE71F" w:rsidR="005E6319" w:rsidRPr="00F57487" w:rsidRDefault="00000000" w:rsidP="00F57487">
    <w:pPr>
      <w:pStyle w:val="Footer"/>
      <w:jc w:val="center"/>
      <w:rPr>
        <w:b/>
        <w:bCs/>
      </w:rPr>
    </w:pPr>
    <w:sdt>
      <w:sdtPr>
        <w:id w:val="260122111"/>
        <w:docPartObj>
          <w:docPartGallery w:val="Page Numbers (Bottom of Page)"/>
          <w:docPartUnique/>
        </w:docPartObj>
      </w:sdtPr>
      <w:sdtEndPr>
        <w:rPr>
          <w:b/>
          <w:bCs/>
          <w:noProof/>
        </w:rPr>
      </w:sdtEndPr>
      <w:sdtContent>
        <w:r w:rsidR="005E6319" w:rsidRPr="001B3C28">
          <w:rPr>
            <w:b/>
            <w:bCs/>
          </w:rPr>
          <w:fldChar w:fldCharType="begin"/>
        </w:r>
        <w:r w:rsidR="005E6319" w:rsidRPr="001B3C28">
          <w:rPr>
            <w:b/>
            <w:bCs/>
          </w:rPr>
          <w:instrText xml:space="preserve"> PAGE   \* MERGEFORMAT </w:instrText>
        </w:r>
        <w:r w:rsidR="005E6319" w:rsidRPr="001B3C28">
          <w:rPr>
            <w:b/>
            <w:bCs/>
          </w:rPr>
          <w:fldChar w:fldCharType="separate"/>
        </w:r>
        <w:r w:rsidR="005E6319" w:rsidRPr="001B3C28">
          <w:rPr>
            <w:b/>
            <w:bCs/>
            <w:noProof/>
          </w:rPr>
          <w:t>2</w:t>
        </w:r>
        <w:r w:rsidR="005E6319" w:rsidRPr="001B3C28">
          <w:rPr>
            <w:b/>
            <w:bCs/>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0EDDC" w14:textId="77777777" w:rsidR="006F21D5" w:rsidRPr="00DB3D39" w:rsidRDefault="006F21D5">
    <w:pPr>
      <w:pStyle w:val="Footer"/>
      <w:pBdr>
        <w:top w:val="single" w:sz="4" w:space="1" w:color="auto"/>
      </w:pBdr>
      <w:jc w:val="left"/>
      <w:rPr>
        <w:sz w:val="20"/>
      </w:rPr>
    </w:pPr>
    <w:r w:rsidRPr="00DB3D39">
      <w:rPr>
        <w:sz w:val="20"/>
      </w:rPr>
      <w:t>Company name</w:t>
    </w:r>
    <w:r w:rsidRPr="00DB3D39">
      <w:rPr>
        <w:sz w:val="20"/>
      </w:rPr>
      <w:ptab w:relativeTo="margin" w:alignment="center" w:leader="none"/>
    </w:r>
    <w:r w:rsidRPr="00DB3D39">
      <w:rPr>
        <w:sz w:val="20"/>
      </w:rPr>
      <w:t>Commercial-in-Confidence</w:t>
    </w:r>
    <w:r w:rsidRPr="00DB3D39">
      <w:rPr>
        <w:sz w:val="20"/>
      </w:rPr>
      <w:ptab w:relativeTo="margin" w:alignment="right" w:leader="none"/>
    </w:r>
    <w:r w:rsidRPr="00DB3D39">
      <w:rPr>
        <w:sz w:val="20"/>
      </w:rPr>
      <w:fldChar w:fldCharType="begin"/>
    </w:r>
    <w:r w:rsidRPr="00DB3D39">
      <w:rPr>
        <w:sz w:val="20"/>
      </w:rPr>
      <w:instrText xml:space="preserve"> PAGE   \* MERGEFORMAT </w:instrText>
    </w:r>
    <w:r w:rsidRPr="00DB3D39">
      <w:rPr>
        <w:sz w:val="20"/>
      </w:rPr>
      <w:fldChar w:fldCharType="separate"/>
    </w:r>
    <w:r w:rsidRPr="00DB3D39">
      <w:rPr>
        <w:sz w:val="20"/>
      </w:rPr>
      <w:t>1</w:t>
    </w:r>
    <w:r w:rsidRPr="00DB3D39">
      <w:rPr>
        <w:sz w:val="20"/>
      </w:rPr>
      <w:fldChar w:fldCharType="end"/>
    </w:r>
  </w:p>
  <w:p w14:paraId="0711C6B9" w14:textId="77777777" w:rsidR="006F21D5" w:rsidRPr="00DB3D39" w:rsidRDefault="006F21D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8CE70" w14:textId="77777777" w:rsidR="00F42238" w:rsidRPr="00DB3D39" w:rsidRDefault="00F42238" w:rsidP="00124A51">
      <w:r w:rsidRPr="00DB3D39">
        <w:separator/>
      </w:r>
    </w:p>
    <w:p w14:paraId="1224899D" w14:textId="77777777" w:rsidR="00F42238" w:rsidRPr="00DB3D39" w:rsidRDefault="00F42238"/>
  </w:footnote>
  <w:footnote w:type="continuationSeparator" w:id="0">
    <w:p w14:paraId="47E228F1" w14:textId="77777777" w:rsidR="00F42238" w:rsidRPr="00DB3D39" w:rsidRDefault="00F42238" w:rsidP="00124A51">
      <w:r w:rsidRPr="00DB3D39">
        <w:continuationSeparator/>
      </w:r>
    </w:p>
    <w:p w14:paraId="4A497C78" w14:textId="77777777" w:rsidR="00F42238" w:rsidRPr="00DB3D39" w:rsidRDefault="00F42238"/>
  </w:footnote>
  <w:footnote w:type="continuationNotice" w:id="1">
    <w:p w14:paraId="1F7844A8" w14:textId="77777777" w:rsidR="00F42238" w:rsidRPr="00DB3D39" w:rsidRDefault="00F42238"/>
  </w:footnote>
  <w:footnote w:id="2">
    <w:p w14:paraId="246A6B0E" w14:textId="4D6986ED" w:rsidR="000F2049" w:rsidRPr="00512B87" w:rsidRDefault="000F2049" w:rsidP="00FC52D1">
      <w:pPr>
        <w:pStyle w:val="FootnoteText"/>
        <w:spacing w:after="0"/>
        <w:jc w:val="both"/>
        <w:rPr>
          <w:sz w:val="16"/>
          <w:szCs w:val="16"/>
        </w:rPr>
      </w:pPr>
      <w:r w:rsidRPr="00512B87">
        <w:rPr>
          <w:rStyle w:val="FootnoteReference"/>
          <w:sz w:val="16"/>
          <w:szCs w:val="16"/>
        </w:rPr>
        <w:footnoteRef/>
      </w:r>
      <w:r w:rsidRPr="00512B87">
        <w:rPr>
          <w:sz w:val="16"/>
          <w:szCs w:val="16"/>
        </w:rPr>
        <w:t xml:space="preserve"> </w:t>
      </w:r>
      <w:bookmarkStart w:id="16" w:name="_ENREF_29"/>
      <w:r w:rsidRPr="00512B87">
        <w:rPr>
          <w:sz w:val="16"/>
          <w:szCs w:val="16"/>
        </w:rPr>
        <w:t>K</w:t>
      </w:r>
      <w:r w:rsidR="00D06605" w:rsidRPr="00512B87">
        <w:rPr>
          <w:sz w:val="16"/>
          <w:szCs w:val="16"/>
        </w:rPr>
        <w:t>alinsky</w:t>
      </w:r>
      <w:r w:rsidRPr="00512B87">
        <w:rPr>
          <w:sz w:val="16"/>
          <w:szCs w:val="16"/>
        </w:rPr>
        <w:t xml:space="preserve"> K et al, 2024. Abemaciclib plus fulvestrant vs fulvestrant alone for HR+, HER2- advanced breast cancer following progression on a prior CDK4/6 inhibitor plus endocrine therapy: Primary outcome of the phase 3 postMONARCH trial. </w:t>
      </w:r>
      <w:r w:rsidRPr="00512B87">
        <w:rPr>
          <w:i/>
          <w:sz w:val="16"/>
          <w:szCs w:val="16"/>
        </w:rPr>
        <w:t>Journal of Clinical Oncology,</w:t>
      </w:r>
      <w:r w:rsidRPr="00512B87">
        <w:rPr>
          <w:sz w:val="16"/>
          <w:szCs w:val="16"/>
        </w:rPr>
        <w:t xml:space="preserve"> 42</w:t>
      </w:r>
      <w:r w:rsidRPr="00512B87">
        <w:rPr>
          <w:b/>
          <w:sz w:val="16"/>
          <w:szCs w:val="16"/>
        </w:rPr>
        <w:t>,</w:t>
      </w:r>
      <w:r w:rsidRPr="00512B87">
        <w:rPr>
          <w:sz w:val="16"/>
          <w:szCs w:val="16"/>
        </w:rPr>
        <w:t xml:space="preserve"> LBA1001-LBA1001.</w:t>
      </w:r>
      <w:bookmarkEnd w:id="16"/>
    </w:p>
  </w:footnote>
  <w:footnote w:id="3">
    <w:p w14:paraId="7219FD1A" w14:textId="12B76B1E" w:rsidR="00E8719D" w:rsidRPr="00512B87" w:rsidRDefault="00E8719D" w:rsidP="00FC52D1">
      <w:pPr>
        <w:pStyle w:val="FootnoteText"/>
        <w:spacing w:after="0"/>
        <w:jc w:val="both"/>
        <w:rPr>
          <w:sz w:val="16"/>
          <w:szCs w:val="16"/>
        </w:rPr>
      </w:pPr>
      <w:r w:rsidRPr="00512B87">
        <w:rPr>
          <w:rStyle w:val="FootnoteReference"/>
          <w:sz w:val="16"/>
          <w:szCs w:val="16"/>
        </w:rPr>
        <w:footnoteRef/>
      </w:r>
      <w:r w:rsidRPr="00512B87">
        <w:rPr>
          <w:sz w:val="16"/>
          <w:szCs w:val="16"/>
        </w:rPr>
        <w:t xml:space="preserve"> Kalinsky K et al, 2024. Abemaciclib plus fulvestrant vs fulvestrant alone for HR+, HER2- advanced breast cancer following progression on a prior CDK4/6 inhibitor plus endocrine therapy: Primary outcome of the phase 3 postMONARCH trial. </w:t>
      </w:r>
      <w:r w:rsidRPr="00512B87">
        <w:rPr>
          <w:i/>
          <w:sz w:val="16"/>
          <w:szCs w:val="16"/>
        </w:rPr>
        <w:t>Journal of Clinical Oncology,</w:t>
      </w:r>
      <w:r w:rsidRPr="00512B87">
        <w:rPr>
          <w:sz w:val="16"/>
          <w:szCs w:val="16"/>
        </w:rPr>
        <w:t xml:space="preserve"> 42</w:t>
      </w:r>
      <w:r w:rsidRPr="00512B87">
        <w:rPr>
          <w:b/>
          <w:sz w:val="16"/>
          <w:szCs w:val="16"/>
        </w:rPr>
        <w:t>,</w:t>
      </w:r>
      <w:r w:rsidRPr="00512B87">
        <w:rPr>
          <w:sz w:val="16"/>
          <w:szCs w:val="16"/>
        </w:rPr>
        <w:t xml:space="preserve"> LBA1001-LBA1001.</w:t>
      </w:r>
    </w:p>
  </w:footnote>
  <w:footnote w:id="4">
    <w:p w14:paraId="4E052530" w14:textId="63065FA3" w:rsidR="00281852" w:rsidRPr="00512B87" w:rsidRDefault="00281852" w:rsidP="00FC52D1">
      <w:pPr>
        <w:pStyle w:val="FootnoteText"/>
        <w:spacing w:after="0"/>
        <w:jc w:val="both"/>
        <w:rPr>
          <w:sz w:val="16"/>
          <w:szCs w:val="16"/>
        </w:rPr>
      </w:pPr>
      <w:r w:rsidRPr="00512B87">
        <w:rPr>
          <w:rStyle w:val="FootnoteReference"/>
          <w:sz w:val="16"/>
          <w:szCs w:val="16"/>
        </w:rPr>
        <w:footnoteRef/>
      </w:r>
      <w:r w:rsidRPr="00512B87">
        <w:rPr>
          <w:sz w:val="16"/>
          <w:szCs w:val="16"/>
        </w:rPr>
        <w:t xml:space="preserve"> </w:t>
      </w:r>
      <w:r w:rsidR="008C7690" w:rsidRPr="00512B87">
        <w:rPr>
          <w:sz w:val="16"/>
          <w:szCs w:val="16"/>
        </w:rPr>
        <w:t>Colleoni M, Sun Z, Price KN, Karlsson P, Forbes JF, Thürlimann B, Gianni L, Castiglione M, Gelber RD, Coates AS, Goldhirsch A. Annual Hazard Rates of Recurrence for Breast Cancer During 24 Years of Follow-Up: Results From the International Breast Cancer Study Group Trials I to V. J Clin Oncol. 2016 Mar 20;34(9):927-35.</w:t>
      </w:r>
    </w:p>
  </w:footnote>
  <w:footnote w:id="5">
    <w:p w14:paraId="5C57CFFE" w14:textId="3C29B5AD" w:rsidR="004E52B6" w:rsidRPr="00512B87" w:rsidRDefault="004E52B6" w:rsidP="00644836">
      <w:pPr>
        <w:pStyle w:val="FootnoteText"/>
        <w:spacing w:after="0"/>
        <w:jc w:val="both"/>
        <w:rPr>
          <w:sz w:val="16"/>
          <w:szCs w:val="16"/>
        </w:rPr>
      </w:pPr>
      <w:r w:rsidRPr="00512B87">
        <w:rPr>
          <w:rStyle w:val="FootnoteReference"/>
          <w:sz w:val="16"/>
          <w:szCs w:val="16"/>
        </w:rPr>
        <w:footnoteRef/>
      </w:r>
      <w:r w:rsidRPr="00512B87">
        <w:rPr>
          <w:sz w:val="16"/>
          <w:szCs w:val="16"/>
        </w:rPr>
        <w:t xml:space="preserve"> </w:t>
      </w:r>
      <w:r w:rsidRPr="00512B87">
        <w:rPr>
          <w:iCs/>
          <w:sz w:val="16"/>
          <w:szCs w:val="16"/>
        </w:rPr>
        <w:t>Cherny NI, Dafni U, Bogaerts J, et al: ESMO-Magnitude of Clinical Benefit Scale version 1.1. Annals of Oncology 28:2340-2366, 2017.</w:t>
      </w:r>
    </w:p>
  </w:footnote>
  <w:footnote w:id="6">
    <w:p w14:paraId="123D945F" w14:textId="2AED268C" w:rsidR="00E61074" w:rsidRPr="007C0707" w:rsidRDefault="00E61074" w:rsidP="00D27244">
      <w:pPr>
        <w:pStyle w:val="TableFigureFooter"/>
        <w:spacing w:after="0"/>
        <w:jc w:val="both"/>
        <w:rPr>
          <w:i/>
          <w:iCs/>
          <w:szCs w:val="18"/>
        </w:rPr>
      </w:pPr>
      <w:r w:rsidRPr="007C0707">
        <w:rPr>
          <w:rStyle w:val="FootnoteReference"/>
          <w:rFonts w:ascii="Arial Narrow" w:hAnsi="Arial Narrow"/>
          <w:sz w:val="18"/>
          <w:szCs w:val="18"/>
        </w:rPr>
        <w:footnoteRef/>
      </w:r>
      <w:r w:rsidRPr="007C0707">
        <w:rPr>
          <w:szCs w:val="18"/>
        </w:rPr>
        <w:t xml:space="preserve"> </w:t>
      </w:r>
      <w:r w:rsidRPr="007C0707">
        <w:rPr>
          <w:i/>
          <w:iCs/>
          <w:szCs w:val="18"/>
        </w:rPr>
        <w:t>Note that the results presented in paragraph 6.14 are derived from post-hoc analyses conducted by the applicant</w:t>
      </w:r>
      <w:r w:rsidR="00EE530C" w:rsidRPr="007C0707">
        <w:rPr>
          <w:i/>
          <w:iCs/>
          <w:szCs w:val="18"/>
        </w:rPr>
        <w:t xml:space="preserve"> during the evaluation</w:t>
      </w:r>
      <w:r w:rsidRPr="007C0707">
        <w:rPr>
          <w:i/>
          <w:iCs/>
          <w:szCs w:val="18"/>
        </w:rPr>
        <w:t xml:space="preserve"> specifically for the purposes of informing the PBAC consideration. These analyses were not part of the pre-specified statistical plan for the NATALEE trial. Interpretation of the results and their application should therefore be limited to seeking to understand the basis for the PBAC outcome and should not be used for any other purpose.</w:t>
      </w:r>
    </w:p>
  </w:footnote>
  <w:footnote w:id="7">
    <w:p w14:paraId="5DBA7AFE" w14:textId="0A9ADC3A" w:rsidR="00224EF4" w:rsidRPr="007C0707" w:rsidRDefault="00224EF4" w:rsidP="00C0158B">
      <w:pPr>
        <w:pStyle w:val="FootnoteText"/>
        <w:spacing w:after="0"/>
        <w:jc w:val="both"/>
        <w:rPr>
          <w:rFonts w:ascii="Arial Narrow" w:hAnsi="Arial Narrow"/>
          <w:szCs w:val="18"/>
        </w:rPr>
      </w:pPr>
      <w:r w:rsidRPr="007C0707">
        <w:rPr>
          <w:rStyle w:val="FootnoteReference"/>
          <w:rFonts w:ascii="Arial Narrow" w:hAnsi="Arial Narrow"/>
          <w:sz w:val="18"/>
          <w:szCs w:val="18"/>
        </w:rPr>
        <w:footnoteRef/>
      </w:r>
      <w:r w:rsidRPr="007C0707">
        <w:rPr>
          <w:rFonts w:ascii="Arial Narrow" w:hAnsi="Arial Narrow"/>
          <w:szCs w:val="18"/>
        </w:rPr>
        <w:t xml:space="preserve"> </w:t>
      </w:r>
      <w:r w:rsidRPr="007C0707">
        <w:rPr>
          <w:rFonts w:ascii="Arial Narrow" w:hAnsi="Arial Narrow"/>
          <w:i/>
          <w:iCs/>
          <w:szCs w:val="18"/>
        </w:rPr>
        <w:t>Note that the results presented in paragraph</w:t>
      </w:r>
      <w:r w:rsidR="00B95A94" w:rsidRPr="007C0707">
        <w:rPr>
          <w:rFonts w:ascii="Arial Narrow" w:hAnsi="Arial Narrow"/>
          <w:i/>
          <w:iCs/>
          <w:szCs w:val="18"/>
        </w:rPr>
        <w:t>s</w:t>
      </w:r>
      <w:r w:rsidRPr="007C0707">
        <w:rPr>
          <w:rFonts w:ascii="Arial Narrow" w:hAnsi="Arial Narrow"/>
          <w:i/>
          <w:iCs/>
          <w:szCs w:val="18"/>
        </w:rPr>
        <w:t xml:space="preserve"> 6.24</w:t>
      </w:r>
      <w:r w:rsidR="00B95A94" w:rsidRPr="007C0707">
        <w:rPr>
          <w:rFonts w:ascii="Arial Narrow" w:hAnsi="Arial Narrow"/>
          <w:i/>
          <w:iCs/>
          <w:szCs w:val="18"/>
        </w:rPr>
        <w:t xml:space="preserve"> and 6.25</w:t>
      </w:r>
      <w:r w:rsidRPr="007C0707">
        <w:rPr>
          <w:rFonts w:ascii="Arial Narrow" w:hAnsi="Arial Narrow"/>
          <w:i/>
          <w:iCs/>
          <w:szCs w:val="18"/>
        </w:rPr>
        <w:t xml:space="preserve"> are derived from post-hoc analyses conducted by the applicant</w:t>
      </w:r>
      <w:r w:rsidR="00746265" w:rsidRPr="007C0707">
        <w:rPr>
          <w:rFonts w:ascii="Arial Narrow" w:hAnsi="Arial Narrow"/>
          <w:i/>
          <w:iCs/>
          <w:szCs w:val="18"/>
        </w:rPr>
        <w:t xml:space="preserve"> during the evaluation</w:t>
      </w:r>
      <w:r w:rsidRPr="007C0707">
        <w:rPr>
          <w:rFonts w:ascii="Arial Narrow" w:hAnsi="Arial Narrow"/>
          <w:i/>
          <w:iCs/>
          <w:szCs w:val="18"/>
        </w:rPr>
        <w:t xml:space="preserve"> specifically for the purposes of informing the PBAC consideration. These analyses were not part of the pre-specified statistical plan for the NATALEE trial. Interpretation of the results and their application should therefore be limited to seeking to understand the basis for the PBAC outcome and should not be used for any other purpose.</w:t>
      </w:r>
    </w:p>
  </w:footnote>
  <w:footnote w:id="8">
    <w:p w14:paraId="1A68CA2B" w14:textId="11FF9832" w:rsidR="00775F05" w:rsidRPr="007C0707" w:rsidRDefault="00775F05" w:rsidP="00775F05">
      <w:pPr>
        <w:pStyle w:val="FootnoteText"/>
        <w:spacing w:after="0"/>
        <w:jc w:val="both"/>
        <w:rPr>
          <w:rFonts w:ascii="Arial Narrow" w:hAnsi="Arial Narrow"/>
          <w:szCs w:val="18"/>
        </w:rPr>
      </w:pPr>
      <w:r w:rsidRPr="007C0707">
        <w:rPr>
          <w:rStyle w:val="FootnoteReference"/>
          <w:rFonts w:ascii="Arial Narrow" w:hAnsi="Arial Narrow"/>
          <w:sz w:val="18"/>
          <w:szCs w:val="18"/>
        </w:rPr>
        <w:footnoteRef/>
      </w:r>
      <w:r w:rsidRPr="007C0707">
        <w:rPr>
          <w:rFonts w:ascii="Arial Narrow" w:hAnsi="Arial Narrow"/>
          <w:szCs w:val="18"/>
        </w:rPr>
        <w:t xml:space="preserve"> </w:t>
      </w:r>
      <w:r w:rsidRPr="007C0707">
        <w:rPr>
          <w:rFonts w:ascii="Arial Narrow" w:hAnsi="Arial Narrow"/>
          <w:i/>
          <w:iCs/>
          <w:szCs w:val="18"/>
        </w:rPr>
        <w:t>Note that the results presented in paragraph 6.27 are derived from post-hoc analyses conducted by the applicant</w:t>
      </w:r>
      <w:r w:rsidR="00877723" w:rsidRPr="007C0707">
        <w:rPr>
          <w:rFonts w:ascii="Arial Narrow" w:hAnsi="Arial Narrow"/>
          <w:i/>
          <w:iCs/>
          <w:szCs w:val="18"/>
        </w:rPr>
        <w:t xml:space="preserve"> during the evaluation</w:t>
      </w:r>
      <w:r w:rsidRPr="007C0707">
        <w:rPr>
          <w:rFonts w:ascii="Arial Narrow" w:hAnsi="Arial Narrow"/>
          <w:i/>
          <w:iCs/>
          <w:szCs w:val="18"/>
        </w:rPr>
        <w:t xml:space="preserve"> specifically for the purposes of informing the PBAC consideration. These analyses were not part of the pre-specified statistical plan for the NATALEE trial. Interpretation of the results and their application should therefore be limited to seeking to understand the basis for the PBAC outcome and should not be used for any other purpose.</w:t>
      </w:r>
    </w:p>
  </w:footnote>
  <w:footnote w:id="9">
    <w:p w14:paraId="610E4683" w14:textId="77777777" w:rsidR="004F0E49" w:rsidRPr="00512B87" w:rsidRDefault="004F0E49" w:rsidP="00022ECF">
      <w:pPr>
        <w:pStyle w:val="FootnoteText"/>
        <w:spacing w:after="0"/>
        <w:jc w:val="both"/>
        <w:rPr>
          <w:sz w:val="16"/>
          <w:szCs w:val="16"/>
        </w:rPr>
      </w:pPr>
      <w:r w:rsidRPr="007C0707">
        <w:rPr>
          <w:rStyle w:val="FootnoteReference"/>
          <w:rFonts w:ascii="Arial Narrow" w:hAnsi="Arial Narrow"/>
          <w:sz w:val="18"/>
          <w:szCs w:val="18"/>
        </w:rPr>
        <w:footnoteRef/>
      </w:r>
      <w:r w:rsidRPr="007C0707">
        <w:rPr>
          <w:rFonts w:ascii="Arial Narrow" w:hAnsi="Arial Narrow"/>
          <w:szCs w:val="18"/>
        </w:rPr>
        <w:t xml:space="preserve"> Early Breast Cancer Trialists' Collaborative Group (EBCTCG). Aromatase inhibitors versus tamoxifen in early breast cancer: patient-level meta-analysis of the randomised trials. Lancet. 2015 Oct 3;386(10001):1341-1352.</w:t>
      </w:r>
    </w:p>
  </w:footnote>
  <w:footnote w:id="10">
    <w:p w14:paraId="670C804B" w14:textId="74E641D3" w:rsidR="008669D3" w:rsidRPr="007C0707" w:rsidRDefault="008669D3" w:rsidP="008669D3">
      <w:pPr>
        <w:pStyle w:val="FootnoteText"/>
        <w:spacing w:after="0"/>
        <w:jc w:val="both"/>
        <w:rPr>
          <w:rFonts w:ascii="Arial Narrow" w:hAnsi="Arial Narrow"/>
          <w:szCs w:val="18"/>
        </w:rPr>
      </w:pPr>
      <w:r w:rsidRPr="007C0707">
        <w:rPr>
          <w:rStyle w:val="FootnoteReference"/>
          <w:rFonts w:ascii="Arial Narrow" w:hAnsi="Arial Narrow"/>
          <w:sz w:val="18"/>
          <w:szCs w:val="18"/>
        </w:rPr>
        <w:footnoteRef/>
      </w:r>
      <w:r w:rsidRPr="007C0707">
        <w:rPr>
          <w:rFonts w:ascii="Arial Narrow" w:hAnsi="Arial Narrow"/>
          <w:szCs w:val="18"/>
        </w:rPr>
        <w:t xml:space="preserve"> </w:t>
      </w:r>
      <w:r w:rsidRPr="007C0707">
        <w:rPr>
          <w:rFonts w:ascii="Arial Narrow" w:hAnsi="Arial Narrow"/>
          <w:i/>
          <w:iCs/>
          <w:szCs w:val="18"/>
        </w:rPr>
        <w:t xml:space="preserve">Note that the results presented in paragraph 6.27 are derived from post-hoc analyses conducted by the applicant </w:t>
      </w:r>
      <w:r w:rsidR="006432AB" w:rsidRPr="007C0707">
        <w:rPr>
          <w:rFonts w:ascii="Arial Narrow" w:hAnsi="Arial Narrow"/>
          <w:i/>
          <w:iCs/>
          <w:szCs w:val="18"/>
        </w:rPr>
        <w:t xml:space="preserve">during the evaluation </w:t>
      </w:r>
      <w:r w:rsidRPr="007C0707">
        <w:rPr>
          <w:rFonts w:ascii="Arial Narrow" w:hAnsi="Arial Narrow"/>
          <w:i/>
          <w:iCs/>
          <w:szCs w:val="18"/>
        </w:rPr>
        <w:t>specifically for the purposes of informing the PBAC consideration. These analyses were not part of the pre-specified statistical plan for the NATALEE trial. Interpretation of the results and their application should therefore be limited to seeking to understand the basis for the PBAC outcome and should not be used for any other purpose.</w:t>
      </w:r>
    </w:p>
  </w:footnote>
  <w:footnote w:id="11">
    <w:p w14:paraId="6353AD72" w14:textId="0CB531E3" w:rsidR="00EF341A" w:rsidRDefault="00EF341A" w:rsidP="00786329">
      <w:pPr>
        <w:pStyle w:val="FootnoteText"/>
        <w:spacing w:after="0"/>
        <w:jc w:val="both"/>
      </w:pPr>
      <w:r w:rsidRPr="007C0707">
        <w:rPr>
          <w:rStyle w:val="FootnoteReference"/>
          <w:rFonts w:ascii="Arial Narrow" w:hAnsi="Arial Narrow"/>
          <w:sz w:val="18"/>
          <w:szCs w:val="18"/>
        </w:rPr>
        <w:footnoteRef/>
      </w:r>
      <w:r w:rsidRPr="007C0707">
        <w:rPr>
          <w:rFonts w:ascii="Arial Narrow" w:hAnsi="Arial Narrow"/>
          <w:szCs w:val="18"/>
        </w:rPr>
        <w:t xml:space="preserve"> </w:t>
      </w:r>
      <w:r w:rsidRPr="007C0707">
        <w:rPr>
          <w:rFonts w:ascii="Arial Narrow" w:hAnsi="Arial Narrow"/>
          <w:i/>
          <w:iCs/>
          <w:szCs w:val="18"/>
        </w:rPr>
        <w:t>Note that the results presented in paragraph</w:t>
      </w:r>
      <w:r w:rsidR="00A54B79" w:rsidRPr="007C0707">
        <w:rPr>
          <w:rFonts w:ascii="Arial Narrow" w:hAnsi="Arial Narrow"/>
          <w:i/>
          <w:iCs/>
          <w:szCs w:val="18"/>
        </w:rPr>
        <w:t>s</w:t>
      </w:r>
      <w:r w:rsidRPr="007C0707">
        <w:rPr>
          <w:rFonts w:ascii="Arial Narrow" w:hAnsi="Arial Narrow"/>
          <w:i/>
          <w:iCs/>
          <w:szCs w:val="18"/>
        </w:rPr>
        <w:t xml:space="preserve"> 6.</w:t>
      </w:r>
      <w:r w:rsidR="00A54B79" w:rsidRPr="007C0707">
        <w:rPr>
          <w:rFonts w:ascii="Arial Narrow" w:hAnsi="Arial Narrow"/>
          <w:i/>
          <w:iCs/>
          <w:szCs w:val="18"/>
        </w:rPr>
        <w:t>30 and 6.31</w:t>
      </w:r>
      <w:r w:rsidRPr="007C0707">
        <w:rPr>
          <w:rFonts w:ascii="Arial Narrow" w:hAnsi="Arial Narrow"/>
          <w:i/>
          <w:iCs/>
          <w:szCs w:val="18"/>
        </w:rPr>
        <w:t xml:space="preserve"> are derived from post-hoc analyses conducted by the applicant</w:t>
      </w:r>
      <w:r w:rsidR="006432AB" w:rsidRPr="007C0707">
        <w:rPr>
          <w:rFonts w:ascii="Arial Narrow" w:hAnsi="Arial Narrow"/>
          <w:i/>
          <w:iCs/>
          <w:szCs w:val="18"/>
        </w:rPr>
        <w:t xml:space="preserve"> during the evaluation</w:t>
      </w:r>
      <w:r w:rsidRPr="007C0707">
        <w:rPr>
          <w:rFonts w:ascii="Arial Narrow" w:hAnsi="Arial Narrow"/>
          <w:i/>
          <w:iCs/>
          <w:szCs w:val="18"/>
        </w:rPr>
        <w:t xml:space="preserve"> specifically for the purposes of informing the PBAC consideration. These analyses were not part of the pre-specified statistical plan for the NATALEE trial. Interpretation of the results and their application should therefore be limited to seeking to understand the basis for the PBAC outcome and should not be used for any other purpose</w:t>
      </w:r>
    </w:p>
  </w:footnote>
  <w:footnote w:id="12">
    <w:p w14:paraId="3877A92B" w14:textId="221A74BF" w:rsidR="00786329" w:rsidRPr="00933E7B" w:rsidRDefault="00786329" w:rsidP="00786329">
      <w:pPr>
        <w:pStyle w:val="FootnoteText"/>
        <w:spacing w:after="0"/>
        <w:jc w:val="both"/>
        <w:rPr>
          <w:rFonts w:ascii="Arial Narrow" w:hAnsi="Arial Narrow"/>
          <w:szCs w:val="18"/>
        </w:rPr>
      </w:pPr>
      <w:r w:rsidRPr="00933E7B">
        <w:rPr>
          <w:rStyle w:val="FootnoteReference"/>
          <w:rFonts w:ascii="Arial Narrow" w:hAnsi="Arial Narrow"/>
          <w:sz w:val="18"/>
          <w:szCs w:val="18"/>
        </w:rPr>
        <w:footnoteRef/>
      </w:r>
      <w:r w:rsidRPr="00933E7B">
        <w:rPr>
          <w:rFonts w:ascii="Arial Narrow" w:hAnsi="Arial Narrow"/>
          <w:szCs w:val="18"/>
        </w:rPr>
        <w:t xml:space="preserve"> </w:t>
      </w:r>
      <w:r w:rsidRPr="00933E7B">
        <w:rPr>
          <w:rFonts w:ascii="Arial Narrow" w:hAnsi="Arial Narrow"/>
          <w:i/>
          <w:iCs/>
          <w:szCs w:val="18"/>
        </w:rPr>
        <w:t>Note that the results presented in paragraphs 6.32, 6.33 and 6.34 are derived from post-hoc analyses conducted by the applicant</w:t>
      </w:r>
      <w:r w:rsidR="00DD5C5E" w:rsidRPr="00933E7B">
        <w:rPr>
          <w:rFonts w:ascii="Arial Narrow" w:hAnsi="Arial Narrow"/>
          <w:i/>
          <w:iCs/>
          <w:szCs w:val="18"/>
        </w:rPr>
        <w:t xml:space="preserve"> during the evaluation</w:t>
      </w:r>
      <w:r w:rsidRPr="00933E7B">
        <w:rPr>
          <w:rFonts w:ascii="Arial Narrow" w:hAnsi="Arial Narrow"/>
          <w:i/>
          <w:iCs/>
          <w:szCs w:val="18"/>
        </w:rPr>
        <w:t xml:space="preserve"> specifically for the purposes of informing the PBAC consideration. These analyses were not part of the pre-specified statistical plan for the NATALEE trial. Interpretation of the results and their application should therefore be limited to seeking to understand the basis for the PBAC outcome and should not be used for any other purpose.</w:t>
      </w:r>
    </w:p>
  </w:footnote>
  <w:footnote w:id="13">
    <w:p w14:paraId="77BB11BB" w14:textId="6F8739F6" w:rsidR="00F247D5" w:rsidRPr="00933E7B" w:rsidRDefault="00F247D5" w:rsidP="00F247D5">
      <w:pPr>
        <w:pStyle w:val="FootnoteText"/>
        <w:spacing w:after="0"/>
        <w:jc w:val="both"/>
        <w:rPr>
          <w:rFonts w:ascii="Arial Narrow" w:hAnsi="Arial Narrow"/>
          <w:szCs w:val="18"/>
        </w:rPr>
      </w:pPr>
      <w:r w:rsidRPr="00933E7B">
        <w:rPr>
          <w:rStyle w:val="FootnoteReference"/>
          <w:rFonts w:ascii="Arial Narrow" w:hAnsi="Arial Narrow"/>
          <w:sz w:val="18"/>
          <w:szCs w:val="18"/>
        </w:rPr>
        <w:footnoteRef/>
      </w:r>
      <w:r w:rsidRPr="00933E7B">
        <w:rPr>
          <w:rFonts w:ascii="Arial Narrow" w:hAnsi="Arial Narrow"/>
          <w:szCs w:val="18"/>
        </w:rPr>
        <w:t xml:space="preserve"> </w:t>
      </w:r>
      <w:r w:rsidRPr="00933E7B">
        <w:rPr>
          <w:rFonts w:ascii="Arial Narrow" w:hAnsi="Arial Narrow"/>
          <w:i/>
          <w:iCs/>
          <w:szCs w:val="18"/>
        </w:rPr>
        <w:t>Note that the results presented in paragraph 6.35 are derived from post-hoc analyses conducted by the applicant</w:t>
      </w:r>
      <w:r w:rsidR="00DD5C5E" w:rsidRPr="00933E7B">
        <w:rPr>
          <w:rFonts w:ascii="Arial Narrow" w:hAnsi="Arial Narrow"/>
          <w:i/>
          <w:iCs/>
          <w:szCs w:val="18"/>
        </w:rPr>
        <w:t xml:space="preserve"> during the evaluation</w:t>
      </w:r>
      <w:r w:rsidRPr="00933E7B">
        <w:rPr>
          <w:rFonts w:ascii="Arial Narrow" w:hAnsi="Arial Narrow"/>
          <w:i/>
          <w:iCs/>
          <w:szCs w:val="18"/>
        </w:rPr>
        <w:t xml:space="preserve"> specifically for the purposes of informing the PBAC consideration. These analyses were not part of the pre-specified statistical plan for the NATALEE trial. Interpretation of the results and their application should therefore be limited to seeking to understand the basis for the PBAC outcome and should not be used for any other purpose.</w:t>
      </w:r>
    </w:p>
  </w:footnote>
  <w:footnote w:id="14">
    <w:p w14:paraId="375A0DF9" w14:textId="0384DA57" w:rsidR="004224A6" w:rsidRPr="00DC3933" w:rsidRDefault="004224A6" w:rsidP="009D4BB9">
      <w:pPr>
        <w:pStyle w:val="FootnoteText"/>
        <w:spacing w:after="0"/>
        <w:jc w:val="both"/>
        <w:rPr>
          <w:rFonts w:ascii="Arial Narrow" w:hAnsi="Arial Narrow"/>
          <w:szCs w:val="18"/>
        </w:rPr>
      </w:pPr>
      <w:r w:rsidRPr="00DC3933">
        <w:rPr>
          <w:rStyle w:val="FootnoteReference"/>
          <w:rFonts w:ascii="Arial Narrow" w:hAnsi="Arial Narrow"/>
          <w:sz w:val="18"/>
          <w:szCs w:val="18"/>
        </w:rPr>
        <w:footnoteRef/>
      </w:r>
      <w:r w:rsidRPr="00DC3933">
        <w:rPr>
          <w:rFonts w:ascii="Arial Narrow" w:hAnsi="Arial Narrow"/>
          <w:szCs w:val="18"/>
        </w:rPr>
        <w:t xml:space="preserve"> </w:t>
      </w:r>
      <w:r w:rsidRPr="00DC3933">
        <w:rPr>
          <w:rFonts w:ascii="Arial Narrow" w:hAnsi="Arial Narrow"/>
          <w:i/>
          <w:iCs/>
          <w:szCs w:val="18"/>
        </w:rPr>
        <w:t>Note that the results presented in paragraphs 6.36 and 6.38 are derived from post-hoc analyses conducted by the applican</w:t>
      </w:r>
      <w:r w:rsidR="007102E3" w:rsidRPr="00DC3933">
        <w:rPr>
          <w:rFonts w:ascii="Arial Narrow" w:hAnsi="Arial Narrow"/>
          <w:i/>
          <w:iCs/>
          <w:szCs w:val="18"/>
        </w:rPr>
        <w:t>t during the evaluation</w:t>
      </w:r>
      <w:r w:rsidRPr="00DC3933">
        <w:rPr>
          <w:rFonts w:ascii="Arial Narrow" w:hAnsi="Arial Narrow"/>
          <w:i/>
          <w:iCs/>
          <w:szCs w:val="18"/>
        </w:rPr>
        <w:t xml:space="preserve"> specifically for the purposes of informing the PBAC consideration. These analyses were not part of the pre-specified statistical plan for the NATALEE trial. Interpretation of the results and their application should therefore be limited to seeking to understand the basis for the PBAC outcome and should not be used for any other purpose.</w:t>
      </w:r>
    </w:p>
  </w:footnote>
  <w:footnote w:id="15">
    <w:p w14:paraId="415D6309" w14:textId="1070C449" w:rsidR="00A45C8A" w:rsidRPr="007F6B73" w:rsidRDefault="00A45C8A" w:rsidP="00A45C8A">
      <w:pPr>
        <w:pStyle w:val="FootnoteText"/>
        <w:spacing w:after="0"/>
        <w:jc w:val="both"/>
        <w:rPr>
          <w:rFonts w:ascii="Arial Narrow" w:hAnsi="Arial Narrow"/>
          <w:szCs w:val="18"/>
        </w:rPr>
      </w:pPr>
      <w:r w:rsidRPr="007F6B73">
        <w:rPr>
          <w:rStyle w:val="FootnoteReference"/>
          <w:rFonts w:ascii="Arial Narrow" w:hAnsi="Arial Narrow"/>
          <w:sz w:val="18"/>
          <w:szCs w:val="18"/>
        </w:rPr>
        <w:footnoteRef/>
      </w:r>
      <w:r w:rsidRPr="007F6B73">
        <w:rPr>
          <w:rFonts w:ascii="Arial Narrow" w:hAnsi="Arial Narrow"/>
          <w:szCs w:val="18"/>
        </w:rPr>
        <w:t xml:space="preserve"> </w:t>
      </w:r>
      <w:r w:rsidRPr="007F6B73">
        <w:rPr>
          <w:rFonts w:ascii="Arial Narrow" w:hAnsi="Arial Narrow"/>
          <w:i/>
          <w:iCs/>
          <w:szCs w:val="18"/>
        </w:rPr>
        <w:t>Note that the results presented in paragraph 6.41 are derived from post-hoc analyses conducted by the applicant</w:t>
      </w:r>
      <w:r w:rsidR="00350FA8" w:rsidRPr="007F6B73">
        <w:rPr>
          <w:rFonts w:ascii="Arial Narrow" w:hAnsi="Arial Narrow"/>
          <w:i/>
          <w:iCs/>
          <w:szCs w:val="18"/>
        </w:rPr>
        <w:t xml:space="preserve"> during the evaluation</w:t>
      </w:r>
      <w:r w:rsidRPr="007F6B73">
        <w:rPr>
          <w:rFonts w:ascii="Arial Narrow" w:hAnsi="Arial Narrow"/>
          <w:i/>
          <w:iCs/>
          <w:szCs w:val="18"/>
        </w:rPr>
        <w:t xml:space="preserve"> specifically for the purposes of informing the PBAC consideration. These analyses were not part of the pre-specified statistical plan for the NATALEE trial. Interpretation of the results and their application should therefore be limited to seeking to understand the basis for the PBAC outcome and should not be used for any other purpose.</w:t>
      </w:r>
    </w:p>
  </w:footnote>
  <w:footnote w:id="16">
    <w:p w14:paraId="17C77D22" w14:textId="2942BB63" w:rsidR="0038576B" w:rsidRPr="007F6B73" w:rsidRDefault="0038576B" w:rsidP="0038576B">
      <w:pPr>
        <w:pStyle w:val="FootnoteText"/>
        <w:spacing w:after="0"/>
        <w:rPr>
          <w:rFonts w:ascii="Arial Narrow" w:hAnsi="Arial Narrow"/>
          <w:szCs w:val="18"/>
        </w:rPr>
      </w:pPr>
      <w:r w:rsidRPr="007F6B73">
        <w:rPr>
          <w:rStyle w:val="FootnoteReference"/>
          <w:rFonts w:ascii="Arial Narrow" w:hAnsi="Arial Narrow"/>
          <w:sz w:val="18"/>
          <w:szCs w:val="18"/>
        </w:rPr>
        <w:footnoteRef/>
      </w:r>
      <w:r w:rsidRPr="007F6B73">
        <w:rPr>
          <w:rFonts w:ascii="Arial Narrow" w:hAnsi="Arial Narrow"/>
          <w:szCs w:val="18"/>
        </w:rPr>
        <w:t xml:space="preserve"> </w:t>
      </w:r>
      <w:r w:rsidRPr="007F6B73">
        <w:rPr>
          <w:rFonts w:ascii="Arial Narrow" w:hAnsi="Arial Narrow"/>
          <w:i/>
          <w:iCs/>
          <w:szCs w:val="18"/>
        </w:rPr>
        <w:t xml:space="preserve">Note that the results presented in paragraph 6.51 are derived from post-hoc analyses conducted by the applicant </w:t>
      </w:r>
      <w:r w:rsidR="003A42E9" w:rsidRPr="007F6B73">
        <w:rPr>
          <w:rFonts w:ascii="Arial Narrow" w:hAnsi="Arial Narrow"/>
          <w:i/>
          <w:iCs/>
          <w:szCs w:val="18"/>
        </w:rPr>
        <w:t xml:space="preserve">during the evaluation </w:t>
      </w:r>
      <w:r w:rsidRPr="007F6B73">
        <w:rPr>
          <w:rFonts w:ascii="Arial Narrow" w:hAnsi="Arial Narrow"/>
          <w:i/>
          <w:iCs/>
          <w:szCs w:val="18"/>
        </w:rPr>
        <w:t>specifically for the purposes of informing the PBAC consideration. These analyses were not part of the pre-specified statistical plan for the NATALEE trial. Interpretation of the results and their application should therefore be limited to seeking to understand the basis for the PBAC outcome and should not be used for any other purpose.</w:t>
      </w:r>
    </w:p>
  </w:footnote>
  <w:footnote w:id="17">
    <w:p w14:paraId="62696F21" w14:textId="3E3DF407" w:rsidR="00A36121" w:rsidRPr="007C0707" w:rsidRDefault="00A36121" w:rsidP="00A36121">
      <w:pPr>
        <w:pStyle w:val="FootnoteText"/>
        <w:spacing w:after="0"/>
        <w:jc w:val="both"/>
        <w:rPr>
          <w:rFonts w:ascii="Arial Narrow" w:hAnsi="Arial Narrow"/>
          <w:szCs w:val="18"/>
        </w:rPr>
      </w:pPr>
      <w:r w:rsidRPr="007C0707">
        <w:rPr>
          <w:rStyle w:val="FootnoteReference"/>
          <w:rFonts w:ascii="Arial Narrow" w:hAnsi="Arial Narrow"/>
          <w:sz w:val="18"/>
          <w:szCs w:val="18"/>
        </w:rPr>
        <w:footnoteRef/>
      </w:r>
      <w:r w:rsidRPr="007C0707">
        <w:rPr>
          <w:rFonts w:ascii="Arial Narrow" w:hAnsi="Arial Narrow"/>
          <w:szCs w:val="18"/>
        </w:rPr>
        <w:t xml:space="preserve"> </w:t>
      </w:r>
      <w:r w:rsidRPr="007C0707">
        <w:rPr>
          <w:rFonts w:ascii="Arial Narrow" w:hAnsi="Arial Narrow"/>
          <w:i/>
          <w:iCs/>
          <w:szCs w:val="18"/>
        </w:rPr>
        <w:t>Note that the results presented in paragraph 7.7 are derived from post-hoc analyses conducted by the applicant</w:t>
      </w:r>
      <w:r w:rsidR="00DF2190" w:rsidRPr="007C0707">
        <w:rPr>
          <w:rFonts w:ascii="Arial Narrow" w:hAnsi="Arial Narrow"/>
          <w:i/>
          <w:iCs/>
          <w:szCs w:val="18"/>
        </w:rPr>
        <w:t xml:space="preserve"> during the evaluation</w:t>
      </w:r>
      <w:r w:rsidRPr="007C0707">
        <w:rPr>
          <w:rFonts w:ascii="Arial Narrow" w:hAnsi="Arial Narrow"/>
          <w:i/>
          <w:iCs/>
          <w:szCs w:val="18"/>
        </w:rPr>
        <w:t xml:space="preserve"> specifically for the purposes of informing the PBAC consideration. These analyses were not part of the pre-specified statistical plan for the NATALEE trial. Interpretation of the results and their application should therefore be limited to seeking to understand the basis for the PBAC outcome and should not be used for any other purpose.</w:t>
      </w:r>
    </w:p>
  </w:footnote>
  <w:footnote w:id="18">
    <w:p w14:paraId="54C75F15" w14:textId="7CEECE7E" w:rsidR="00A36121" w:rsidRPr="007C0707" w:rsidRDefault="00A36121" w:rsidP="00A36121">
      <w:pPr>
        <w:pStyle w:val="FootnoteText"/>
        <w:spacing w:after="0"/>
        <w:jc w:val="both"/>
        <w:rPr>
          <w:rFonts w:ascii="Arial Narrow" w:hAnsi="Arial Narrow"/>
          <w:szCs w:val="18"/>
        </w:rPr>
      </w:pPr>
      <w:r w:rsidRPr="007C0707">
        <w:rPr>
          <w:rStyle w:val="FootnoteReference"/>
          <w:rFonts w:ascii="Arial Narrow" w:hAnsi="Arial Narrow"/>
          <w:sz w:val="18"/>
          <w:szCs w:val="18"/>
        </w:rPr>
        <w:footnoteRef/>
      </w:r>
      <w:r w:rsidRPr="007C0707">
        <w:rPr>
          <w:rFonts w:ascii="Arial Narrow" w:hAnsi="Arial Narrow"/>
          <w:szCs w:val="18"/>
        </w:rPr>
        <w:t xml:space="preserve"> </w:t>
      </w:r>
      <w:r w:rsidRPr="007C0707">
        <w:rPr>
          <w:rFonts w:ascii="Arial Narrow" w:hAnsi="Arial Narrow"/>
          <w:i/>
          <w:iCs/>
          <w:szCs w:val="18"/>
        </w:rPr>
        <w:t>Note that the results presented in paragraph 7.9 are derived from post-hoc analyses conducted by the applicant</w:t>
      </w:r>
      <w:r w:rsidR="008D0498" w:rsidRPr="007C0707">
        <w:rPr>
          <w:rFonts w:ascii="Arial Narrow" w:hAnsi="Arial Narrow"/>
          <w:i/>
          <w:iCs/>
          <w:szCs w:val="18"/>
        </w:rPr>
        <w:t xml:space="preserve"> during the evaluation</w:t>
      </w:r>
      <w:r w:rsidRPr="007C0707">
        <w:rPr>
          <w:rFonts w:ascii="Arial Narrow" w:hAnsi="Arial Narrow"/>
          <w:i/>
          <w:iCs/>
          <w:szCs w:val="18"/>
        </w:rPr>
        <w:t xml:space="preserve"> specifically for the purposes of informing the PBAC consideration. These analyses were not part of the pre-specified statistical plan for the NATALEE trial. Interpretation of the results and their application should therefore be limited to seeking to understand the basis for the PBAC outcome and should not be used for any other purpose.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22CF8" w14:textId="77777777" w:rsidR="006F21D5" w:rsidRPr="00DB3D39" w:rsidRDefault="006F21D5">
    <w:pPr>
      <w:pStyle w:val="Header"/>
    </w:pPr>
  </w:p>
  <w:p w14:paraId="33542566" w14:textId="77777777" w:rsidR="006F21D5" w:rsidRPr="00DB3D39" w:rsidRDefault="006F21D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A113E" w14:textId="31428D2F" w:rsidR="005E6319" w:rsidRPr="00795D64" w:rsidRDefault="00D30015" w:rsidP="005E6319">
    <w:pPr>
      <w:pStyle w:val="Header"/>
      <w:rPr>
        <w:i w:val="0"/>
        <w:iCs w:val="0"/>
      </w:rPr>
    </w:pPr>
    <w:r>
      <w:rPr>
        <w:rFonts w:asciiTheme="minorHAnsi" w:hAnsiTheme="minorHAnsi"/>
      </w:rPr>
      <w:t>Public Summary Document</w:t>
    </w:r>
    <w:r w:rsidR="001B3C28" w:rsidRPr="001B3C28">
      <w:rPr>
        <w:rFonts w:asciiTheme="minorHAnsi" w:hAnsiTheme="minorHAnsi"/>
      </w:rPr>
      <w:t xml:space="preserve"> – </w:t>
    </w:r>
    <w:r w:rsidR="005E6319">
      <w:t>November</w:t>
    </w:r>
    <w:r w:rsidR="005E6319" w:rsidRPr="00795D64">
      <w:t xml:space="preserve"> </w:t>
    </w:r>
    <w:r w:rsidR="005E6319">
      <w:t>2024</w:t>
    </w:r>
    <w:r w:rsidR="005E6319" w:rsidRPr="00795D64">
      <w:t xml:space="preserve"> PBAC meeting </w:t>
    </w:r>
  </w:p>
  <w:p w14:paraId="37EDBE89" w14:textId="77777777" w:rsidR="005E6319" w:rsidRDefault="005E63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6A3BB" w14:textId="77777777" w:rsidR="006F21D5" w:rsidRPr="00DB3D39" w:rsidRDefault="006F21D5">
    <w:pPr>
      <w:pStyle w:val="Header"/>
      <w:pBdr>
        <w:bottom w:val="single" w:sz="4" w:space="0" w:color="auto"/>
      </w:pBdr>
      <w:rPr>
        <w:sz w:val="20"/>
      </w:rPr>
    </w:pPr>
    <w:r w:rsidRPr="00DB3D39">
      <w:rPr>
        <w:sz w:val="20"/>
      </w:rPr>
      <w:t>Submission title</w:t>
    </w:r>
    <w:r w:rsidRPr="00DB3D39">
      <w:rPr>
        <w:sz w:val="20"/>
      </w:rPr>
      <w:tab/>
    </w:r>
    <w:r w:rsidRPr="00DB3D39">
      <w:rPr>
        <w:sz w:val="20"/>
      </w:rPr>
      <w:tab/>
      <w:t>Section 2</w:t>
    </w:r>
  </w:p>
  <w:p w14:paraId="7C14028A" w14:textId="77777777" w:rsidR="006F21D5" w:rsidRPr="00DB3D39" w:rsidRDefault="006F21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9F6D2C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FC4AB1"/>
    <w:multiLevelType w:val="hybridMultilevel"/>
    <w:tmpl w:val="4504043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36654B"/>
    <w:multiLevelType w:val="hybridMultilevel"/>
    <w:tmpl w:val="EC806C50"/>
    <w:lvl w:ilvl="0" w:tplc="FFFFFFFF">
      <w:start w:val="1"/>
      <w:numFmt w:val="bullet"/>
      <w:lvlText w:val="o"/>
      <w:lvlJc w:val="left"/>
      <w:pPr>
        <w:ind w:left="4320" w:hanging="360"/>
      </w:pPr>
      <w:rPr>
        <w:rFonts w:ascii="Courier New" w:hAnsi="Courier New" w:cs="Courier New" w:hint="default"/>
      </w:rPr>
    </w:lvl>
    <w:lvl w:ilvl="1" w:tplc="FFFFFFFF" w:tentative="1">
      <w:start w:val="1"/>
      <w:numFmt w:val="bullet"/>
      <w:lvlText w:val="o"/>
      <w:lvlJc w:val="left"/>
      <w:pPr>
        <w:ind w:left="2880" w:hanging="360"/>
      </w:pPr>
      <w:rPr>
        <w:rFonts w:ascii="Courier New" w:hAnsi="Courier New" w:cs="Courier New" w:hint="default"/>
      </w:rPr>
    </w:lvl>
    <w:lvl w:ilvl="2" w:tplc="0C090001">
      <w:start w:val="1"/>
      <w:numFmt w:val="bullet"/>
      <w:lvlText w:val=""/>
      <w:lvlJc w:val="left"/>
      <w:pPr>
        <w:ind w:left="1429" w:hanging="360"/>
      </w:pPr>
      <w:rPr>
        <w:rFonts w:ascii="Symbol" w:hAnsi="Symbol"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3" w15:restartNumberingAfterBreak="0">
    <w:nsid w:val="077C578E"/>
    <w:multiLevelType w:val="hybridMultilevel"/>
    <w:tmpl w:val="4CFE1422"/>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4"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9E706D4"/>
    <w:multiLevelType w:val="hybridMultilevel"/>
    <w:tmpl w:val="3DFEB5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6747A7"/>
    <w:multiLevelType w:val="hybridMultilevel"/>
    <w:tmpl w:val="FB26AB6A"/>
    <w:lvl w:ilvl="0" w:tplc="A1082320">
      <w:start w:val="1"/>
      <w:numFmt w:val="bullet"/>
      <w:pStyle w:val="ListParagraph"/>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4385D60"/>
    <w:multiLevelType w:val="hybridMultilevel"/>
    <w:tmpl w:val="07CED1C4"/>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8" w15:restartNumberingAfterBreak="0">
    <w:nsid w:val="1BBC40AA"/>
    <w:multiLevelType w:val="hybridMultilevel"/>
    <w:tmpl w:val="AB30CCF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9" w15:restartNumberingAfterBreak="0">
    <w:nsid w:val="206D2667"/>
    <w:multiLevelType w:val="hybridMultilevel"/>
    <w:tmpl w:val="184C62B0"/>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DE38CAEE">
      <w:start w:val="91"/>
      <w:numFmt w:val="bullet"/>
      <w:lvlText w:val="-"/>
      <w:lvlJc w:val="left"/>
      <w:pPr>
        <w:ind w:left="2160" w:hanging="360"/>
      </w:pPr>
      <w:rPr>
        <w:rFonts w:ascii="Calibri" w:eastAsiaTheme="minorHAnsi" w:hAnsi="Calibri" w:cs="Calibri" w:hint="default"/>
        <w:i/>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1FA208F"/>
    <w:multiLevelType w:val="hybridMultilevel"/>
    <w:tmpl w:val="7CD45A6A"/>
    <w:styleLink w:val="SectionBii"/>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67519C3"/>
    <w:multiLevelType w:val="hybridMultilevel"/>
    <w:tmpl w:val="47B8CF42"/>
    <w:lvl w:ilvl="0" w:tplc="95A8E6CC">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D5A01CD"/>
    <w:multiLevelType w:val="hybridMultilevel"/>
    <w:tmpl w:val="755A8712"/>
    <w:lvl w:ilvl="0" w:tplc="0C090003">
      <w:start w:val="1"/>
      <w:numFmt w:val="bullet"/>
      <w:lvlText w:val="o"/>
      <w:lvlJc w:val="left"/>
      <w:pPr>
        <w:ind w:left="2880" w:hanging="360"/>
      </w:pPr>
      <w:rPr>
        <w:rFonts w:ascii="Courier New" w:hAnsi="Courier New" w:cs="Courier New" w:hint="default"/>
      </w:rPr>
    </w:lvl>
    <w:lvl w:ilvl="1" w:tplc="0C090003" w:tentative="1">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13" w15:restartNumberingAfterBreak="0">
    <w:nsid w:val="30346AD7"/>
    <w:multiLevelType w:val="hybridMultilevel"/>
    <w:tmpl w:val="71A65F8E"/>
    <w:lvl w:ilvl="0" w:tplc="CFBE442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3963546"/>
    <w:multiLevelType w:val="hybridMultilevel"/>
    <w:tmpl w:val="7612FE7E"/>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29"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3AD38CB"/>
    <w:multiLevelType w:val="hybridMultilevel"/>
    <w:tmpl w:val="F5D0D970"/>
    <w:styleLink w:val="SectionBi3"/>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0F4364"/>
    <w:multiLevelType w:val="hybridMultilevel"/>
    <w:tmpl w:val="E2E29BC6"/>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3A3708C7"/>
    <w:multiLevelType w:val="multilevel"/>
    <w:tmpl w:val="B12C5596"/>
    <w:lvl w:ilvl="0">
      <w:numFmt w:val="decimal"/>
      <w:lvlText w:val="%1.0"/>
      <w:lvlJc w:val="left"/>
      <w:pPr>
        <w:ind w:left="372" w:hanging="372"/>
      </w:pPr>
      <w:rPr>
        <w:rFonts w:hint="default"/>
      </w:rPr>
    </w:lvl>
    <w:lvl w:ilvl="1">
      <w:start w:val="1"/>
      <w:numFmt w:val="decimalZero"/>
      <w:lvlText w:val="%1.%2"/>
      <w:lvlJc w:val="left"/>
      <w:pPr>
        <w:ind w:left="1092" w:hanging="37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3AE52AEC"/>
    <w:multiLevelType w:val="hybridMultilevel"/>
    <w:tmpl w:val="A79ED5A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44442297"/>
    <w:multiLevelType w:val="hybridMultilevel"/>
    <w:tmpl w:val="E6FE4E00"/>
    <w:styleLink w:val="Style13"/>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8D67A6"/>
    <w:multiLevelType w:val="hybridMultilevel"/>
    <w:tmpl w:val="51CA1480"/>
    <w:styleLink w:val="SectionBii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BF5060"/>
    <w:multiLevelType w:val="multilevel"/>
    <w:tmpl w:val="538EE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9460DEA"/>
    <w:multiLevelType w:val="hybridMultilevel"/>
    <w:tmpl w:val="7CD45A6A"/>
    <w:styleLink w:val="Style1"/>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99A25F4"/>
    <w:multiLevelType w:val="hybridMultilevel"/>
    <w:tmpl w:val="7CD45A6A"/>
    <w:styleLink w:val="SectionBi"/>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0363E79"/>
    <w:multiLevelType w:val="multilevel"/>
    <w:tmpl w:val="E820C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0AE48C0"/>
    <w:multiLevelType w:val="hybridMultilevel"/>
    <w:tmpl w:val="57282D3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62E0677F"/>
    <w:multiLevelType w:val="hybridMultilevel"/>
    <w:tmpl w:val="98A0AE86"/>
    <w:lvl w:ilvl="0" w:tplc="0C090001">
      <w:start w:val="1"/>
      <w:numFmt w:val="bullet"/>
      <w:lvlText w:val=""/>
      <w:lvlJc w:val="left"/>
      <w:pPr>
        <w:ind w:left="1429" w:hanging="360"/>
      </w:pPr>
      <w:rPr>
        <w:rFonts w:ascii="Symbol" w:hAnsi="Symbol" w:hint="default"/>
      </w:rPr>
    </w:lvl>
    <w:lvl w:ilvl="1" w:tplc="0C090003">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7"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8" w15:restartNumberingAfterBreak="0">
    <w:nsid w:val="6AF22442"/>
    <w:multiLevelType w:val="hybridMultilevel"/>
    <w:tmpl w:val="9BA0DDBE"/>
    <w:lvl w:ilvl="0" w:tplc="0C090001">
      <w:start w:val="1"/>
      <w:numFmt w:val="bullet"/>
      <w:lvlText w:val=""/>
      <w:lvlJc w:val="left"/>
      <w:pPr>
        <w:ind w:left="1080" w:hanging="360"/>
      </w:pPr>
      <w:rPr>
        <w:rFonts w:ascii="Symbol" w:hAnsi="Symbol" w:hint="default"/>
      </w:rPr>
    </w:lvl>
    <w:lvl w:ilvl="1" w:tplc="0C090001">
      <w:start w:val="1"/>
      <w:numFmt w:val="bullet"/>
      <w:lvlText w:val=""/>
      <w:lvlJc w:val="left"/>
      <w:pPr>
        <w:ind w:left="1800" w:hanging="360"/>
      </w:pPr>
      <w:rPr>
        <w:rFonts w:ascii="Symbol" w:hAnsi="Symbol" w:hint="default"/>
      </w:rPr>
    </w:lvl>
    <w:lvl w:ilvl="2" w:tplc="0C090001">
      <w:start w:val="1"/>
      <w:numFmt w:val="bullet"/>
      <w:lvlText w:val=""/>
      <w:lvlJc w:val="left"/>
      <w:pPr>
        <w:ind w:left="2520" w:hanging="360"/>
      </w:pPr>
      <w:rPr>
        <w:rFonts w:ascii="Symbol" w:hAnsi="Symbol"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72A2015B"/>
    <w:multiLevelType w:val="multilevel"/>
    <w:tmpl w:val="52341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81F0F9E"/>
    <w:multiLevelType w:val="hybridMultilevel"/>
    <w:tmpl w:val="BD10C2F4"/>
    <w:lvl w:ilvl="0" w:tplc="A9582378">
      <w:start w:val="1"/>
      <w:numFmt w:val="bullet"/>
      <w:lvlText w:val=""/>
      <w:lvlJc w:val="left"/>
      <w:pPr>
        <w:ind w:left="720" w:hanging="360"/>
      </w:pPr>
      <w:rPr>
        <w:rFonts w:ascii="Symbol" w:hAnsi="Symbol"/>
      </w:rPr>
    </w:lvl>
    <w:lvl w:ilvl="1" w:tplc="23FE3836">
      <w:start w:val="1"/>
      <w:numFmt w:val="bullet"/>
      <w:lvlText w:val=""/>
      <w:lvlJc w:val="left"/>
      <w:pPr>
        <w:ind w:left="720" w:hanging="360"/>
      </w:pPr>
      <w:rPr>
        <w:rFonts w:ascii="Symbol" w:hAnsi="Symbol"/>
      </w:rPr>
    </w:lvl>
    <w:lvl w:ilvl="2" w:tplc="B7BA0C56">
      <w:start w:val="1"/>
      <w:numFmt w:val="bullet"/>
      <w:lvlText w:val=""/>
      <w:lvlJc w:val="left"/>
      <w:pPr>
        <w:ind w:left="720" w:hanging="360"/>
      </w:pPr>
      <w:rPr>
        <w:rFonts w:ascii="Symbol" w:hAnsi="Symbol"/>
      </w:rPr>
    </w:lvl>
    <w:lvl w:ilvl="3" w:tplc="94EEDDE6">
      <w:start w:val="1"/>
      <w:numFmt w:val="bullet"/>
      <w:lvlText w:val=""/>
      <w:lvlJc w:val="left"/>
      <w:pPr>
        <w:ind w:left="720" w:hanging="360"/>
      </w:pPr>
      <w:rPr>
        <w:rFonts w:ascii="Symbol" w:hAnsi="Symbol"/>
      </w:rPr>
    </w:lvl>
    <w:lvl w:ilvl="4" w:tplc="39B4032C">
      <w:start w:val="1"/>
      <w:numFmt w:val="bullet"/>
      <w:lvlText w:val=""/>
      <w:lvlJc w:val="left"/>
      <w:pPr>
        <w:ind w:left="720" w:hanging="360"/>
      </w:pPr>
      <w:rPr>
        <w:rFonts w:ascii="Symbol" w:hAnsi="Symbol"/>
      </w:rPr>
    </w:lvl>
    <w:lvl w:ilvl="5" w:tplc="2C84487C">
      <w:start w:val="1"/>
      <w:numFmt w:val="bullet"/>
      <w:lvlText w:val=""/>
      <w:lvlJc w:val="left"/>
      <w:pPr>
        <w:ind w:left="720" w:hanging="360"/>
      </w:pPr>
      <w:rPr>
        <w:rFonts w:ascii="Symbol" w:hAnsi="Symbol"/>
      </w:rPr>
    </w:lvl>
    <w:lvl w:ilvl="6" w:tplc="28B898B8">
      <w:start w:val="1"/>
      <w:numFmt w:val="bullet"/>
      <w:lvlText w:val=""/>
      <w:lvlJc w:val="left"/>
      <w:pPr>
        <w:ind w:left="720" w:hanging="360"/>
      </w:pPr>
      <w:rPr>
        <w:rFonts w:ascii="Symbol" w:hAnsi="Symbol"/>
      </w:rPr>
    </w:lvl>
    <w:lvl w:ilvl="7" w:tplc="76C4B120">
      <w:start w:val="1"/>
      <w:numFmt w:val="bullet"/>
      <w:lvlText w:val=""/>
      <w:lvlJc w:val="left"/>
      <w:pPr>
        <w:ind w:left="720" w:hanging="360"/>
      </w:pPr>
      <w:rPr>
        <w:rFonts w:ascii="Symbol" w:hAnsi="Symbol"/>
      </w:rPr>
    </w:lvl>
    <w:lvl w:ilvl="8" w:tplc="BBF8D3DC">
      <w:start w:val="1"/>
      <w:numFmt w:val="bullet"/>
      <w:lvlText w:val=""/>
      <w:lvlJc w:val="left"/>
      <w:pPr>
        <w:ind w:left="720" w:hanging="360"/>
      </w:pPr>
      <w:rPr>
        <w:rFonts w:ascii="Symbol" w:hAnsi="Symbol"/>
      </w:rPr>
    </w:lvl>
  </w:abstractNum>
  <w:abstractNum w:abstractNumId="31" w15:restartNumberingAfterBreak="0">
    <w:nsid w:val="784D033C"/>
    <w:multiLevelType w:val="multilevel"/>
    <w:tmpl w:val="00E80D64"/>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1800" w:hanging="720"/>
      </w:pPr>
      <w:rPr>
        <w:rFonts w:hint="default"/>
        <w:b w:val="0"/>
        <w:bCs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816186631">
    <w:abstractNumId w:val="31"/>
  </w:num>
  <w:num w:numId="2" w16cid:durableId="917793048">
    <w:abstractNumId w:val="19"/>
  </w:num>
  <w:num w:numId="3" w16cid:durableId="324548822">
    <w:abstractNumId w:val="20"/>
  </w:num>
  <w:num w:numId="4" w16cid:durableId="320543630">
    <w:abstractNumId w:val="15"/>
  </w:num>
  <w:num w:numId="5" w16cid:durableId="263461728">
    <w:abstractNumId w:val="0"/>
  </w:num>
  <w:num w:numId="6" w16cid:durableId="220360847">
    <w:abstractNumId w:val="27"/>
  </w:num>
  <w:num w:numId="7" w16cid:durableId="268196418">
    <w:abstractNumId w:val="13"/>
  </w:num>
  <w:num w:numId="8" w16cid:durableId="1694109783">
    <w:abstractNumId w:val="9"/>
  </w:num>
  <w:num w:numId="9" w16cid:durableId="1374844783">
    <w:abstractNumId w:val="22"/>
  </w:num>
  <w:num w:numId="10" w16cid:durableId="368383419">
    <w:abstractNumId w:val="10"/>
  </w:num>
  <w:num w:numId="11" w16cid:durableId="2083670999">
    <w:abstractNumId w:val="23"/>
  </w:num>
  <w:num w:numId="12" w16cid:durableId="851845927">
    <w:abstractNumId w:val="31"/>
  </w:num>
  <w:num w:numId="13" w16cid:durableId="1926449375">
    <w:abstractNumId w:val="17"/>
  </w:num>
  <w:num w:numId="14" w16cid:durableId="1531190258">
    <w:abstractNumId w:val="16"/>
  </w:num>
  <w:num w:numId="15" w16cid:durableId="902373037">
    <w:abstractNumId w:val="8"/>
  </w:num>
  <w:num w:numId="16" w16cid:durableId="1189833865">
    <w:abstractNumId w:val="6"/>
  </w:num>
  <w:num w:numId="17" w16cid:durableId="1121799289">
    <w:abstractNumId w:val="3"/>
  </w:num>
  <w:num w:numId="18" w16cid:durableId="126240624">
    <w:abstractNumId w:val="28"/>
  </w:num>
  <w:num w:numId="19" w16cid:durableId="297993939">
    <w:abstractNumId w:val="1"/>
  </w:num>
  <w:num w:numId="20" w16cid:durableId="1266384383">
    <w:abstractNumId w:val="2"/>
  </w:num>
  <w:num w:numId="21" w16cid:durableId="708922143">
    <w:abstractNumId w:val="12"/>
  </w:num>
  <w:num w:numId="22" w16cid:durableId="164903647">
    <w:abstractNumId w:val="18"/>
  </w:num>
  <w:num w:numId="23" w16cid:durableId="796221401">
    <w:abstractNumId w:val="26"/>
  </w:num>
  <w:num w:numId="24" w16cid:durableId="1660116426">
    <w:abstractNumId w:val="4"/>
  </w:num>
  <w:num w:numId="25" w16cid:durableId="627902080">
    <w:abstractNumId w:val="30"/>
  </w:num>
  <w:num w:numId="26" w16cid:durableId="600261910">
    <w:abstractNumId w:val="7"/>
  </w:num>
  <w:num w:numId="27" w16cid:durableId="1163815650">
    <w:abstractNumId w:val="11"/>
  </w:num>
  <w:num w:numId="28" w16cid:durableId="456291421">
    <w:abstractNumId w:val="25"/>
  </w:num>
  <w:num w:numId="29" w16cid:durableId="1327705919">
    <w:abstractNumId w:val="21"/>
  </w:num>
  <w:num w:numId="30" w16cid:durableId="1642540055">
    <w:abstractNumId w:val="24"/>
  </w:num>
  <w:num w:numId="31" w16cid:durableId="1515075065">
    <w:abstractNumId w:val="29"/>
  </w:num>
  <w:num w:numId="32" w16cid:durableId="1848403284">
    <w:abstractNumId w:val="5"/>
  </w:num>
  <w:num w:numId="33" w16cid:durableId="197280399">
    <w:abstractNumId w:val="14"/>
  </w:num>
  <w:num w:numId="34" w16cid:durableId="1050029773">
    <w:abstractNumId w:val="3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0F7"/>
    <w:rsid w:val="0000025D"/>
    <w:rsid w:val="0000033D"/>
    <w:rsid w:val="0000059F"/>
    <w:rsid w:val="00000790"/>
    <w:rsid w:val="000007A6"/>
    <w:rsid w:val="000009BD"/>
    <w:rsid w:val="00000DDD"/>
    <w:rsid w:val="0000110B"/>
    <w:rsid w:val="000011A1"/>
    <w:rsid w:val="00001217"/>
    <w:rsid w:val="000014CC"/>
    <w:rsid w:val="000018BE"/>
    <w:rsid w:val="000019C5"/>
    <w:rsid w:val="00001C95"/>
    <w:rsid w:val="000021EF"/>
    <w:rsid w:val="000029EF"/>
    <w:rsid w:val="00002B5D"/>
    <w:rsid w:val="00002C69"/>
    <w:rsid w:val="00003499"/>
    <w:rsid w:val="000035A7"/>
    <w:rsid w:val="0000368B"/>
    <w:rsid w:val="000039B7"/>
    <w:rsid w:val="00003BF6"/>
    <w:rsid w:val="00003C55"/>
    <w:rsid w:val="00004156"/>
    <w:rsid w:val="000042AF"/>
    <w:rsid w:val="00004993"/>
    <w:rsid w:val="000049C9"/>
    <w:rsid w:val="00004AC3"/>
    <w:rsid w:val="00004BD6"/>
    <w:rsid w:val="00004C72"/>
    <w:rsid w:val="000050C5"/>
    <w:rsid w:val="0000559A"/>
    <w:rsid w:val="00005691"/>
    <w:rsid w:val="000056B9"/>
    <w:rsid w:val="000058A4"/>
    <w:rsid w:val="000059FB"/>
    <w:rsid w:val="00005BEA"/>
    <w:rsid w:val="00006235"/>
    <w:rsid w:val="0000639A"/>
    <w:rsid w:val="00006ADC"/>
    <w:rsid w:val="00006AE6"/>
    <w:rsid w:val="00006EAC"/>
    <w:rsid w:val="00006EC5"/>
    <w:rsid w:val="00007073"/>
    <w:rsid w:val="000072DA"/>
    <w:rsid w:val="000074D5"/>
    <w:rsid w:val="0000770B"/>
    <w:rsid w:val="000077A5"/>
    <w:rsid w:val="00007B71"/>
    <w:rsid w:val="00007BA8"/>
    <w:rsid w:val="00007D82"/>
    <w:rsid w:val="00010069"/>
    <w:rsid w:val="00010098"/>
    <w:rsid w:val="00010263"/>
    <w:rsid w:val="0001036D"/>
    <w:rsid w:val="000108D3"/>
    <w:rsid w:val="000109A9"/>
    <w:rsid w:val="00010CB1"/>
    <w:rsid w:val="00011301"/>
    <w:rsid w:val="0001149E"/>
    <w:rsid w:val="000116E7"/>
    <w:rsid w:val="00011739"/>
    <w:rsid w:val="0001193C"/>
    <w:rsid w:val="0001193D"/>
    <w:rsid w:val="00011994"/>
    <w:rsid w:val="000122AC"/>
    <w:rsid w:val="0001238E"/>
    <w:rsid w:val="00012420"/>
    <w:rsid w:val="00012569"/>
    <w:rsid w:val="000127BB"/>
    <w:rsid w:val="0001285D"/>
    <w:rsid w:val="00012AC6"/>
    <w:rsid w:val="00013247"/>
    <w:rsid w:val="000135A5"/>
    <w:rsid w:val="00013D3D"/>
    <w:rsid w:val="00013FB8"/>
    <w:rsid w:val="000143FD"/>
    <w:rsid w:val="00014586"/>
    <w:rsid w:val="000145A5"/>
    <w:rsid w:val="000148D9"/>
    <w:rsid w:val="00015144"/>
    <w:rsid w:val="00015602"/>
    <w:rsid w:val="00015886"/>
    <w:rsid w:val="00015E5C"/>
    <w:rsid w:val="00015FB7"/>
    <w:rsid w:val="000161B5"/>
    <w:rsid w:val="000161F9"/>
    <w:rsid w:val="0001629B"/>
    <w:rsid w:val="000162C6"/>
    <w:rsid w:val="000162EF"/>
    <w:rsid w:val="000165E4"/>
    <w:rsid w:val="00016614"/>
    <w:rsid w:val="0001668D"/>
    <w:rsid w:val="000166E3"/>
    <w:rsid w:val="000167DA"/>
    <w:rsid w:val="000167E0"/>
    <w:rsid w:val="0001683B"/>
    <w:rsid w:val="00017090"/>
    <w:rsid w:val="0001725D"/>
    <w:rsid w:val="00017536"/>
    <w:rsid w:val="00017576"/>
    <w:rsid w:val="00017958"/>
    <w:rsid w:val="000200DD"/>
    <w:rsid w:val="0002018E"/>
    <w:rsid w:val="000201CB"/>
    <w:rsid w:val="000207C9"/>
    <w:rsid w:val="00020C26"/>
    <w:rsid w:val="00020CBF"/>
    <w:rsid w:val="0002118A"/>
    <w:rsid w:val="00021237"/>
    <w:rsid w:val="00021392"/>
    <w:rsid w:val="00021506"/>
    <w:rsid w:val="000217CC"/>
    <w:rsid w:val="00021B85"/>
    <w:rsid w:val="00021BA7"/>
    <w:rsid w:val="00021E98"/>
    <w:rsid w:val="00021FB7"/>
    <w:rsid w:val="00022253"/>
    <w:rsid w:val="0002225F"/>
    <w:rsid w:val="000223CB"/>
    <w:rsid w:val="0002241B"/>
    <w:rsid w:val="00022661"/>
    <w:rsid w:val="0002292F"/>
    <w:rsid w:val="00022ECF"/>
    <w:rsid w:val="000231EB"/>
    <w:rsid w:val="00023207"/>
    <w:rsid w:val="0002337A"/>
    <w:rsid w:val="00023763"/>
    <w:rsid w:val="00023BFF"/>
    <w:rsid w:val="00023CB7"/>
    <w:rsid w:val="00023E62"/>
    <w:rsid w:val="0002418C"/>
    <w:rsid w:val="00024382"/>
    <w:rsid w:val="00024833"/>
    <w:rsid w:val="00024EB5"/>
    <w:rsid w:val="00024F2C"/>
    <w:rsid w:val="00024F93"/>
    <w:rsid w:val="00025089"/>
    <w:rsid w:val="00025195"/>
    <w:rsid w:val="00025249"/>
    <w:rsid w:val="00025494"/>
    <w:rsid w:val="000256A3"/>
    <w:rsid w:val="00025920"/>
    <w:rsid w:val="00025AB1"/>
    <w:rsid w:val="00025AC0"/>
    <w:rsid w:val="00025B5E"/>
    <w:rsid w:val="00026150"/>
    <w:rsid w:val="00026375"/>
    <w:rsid w:val="000263F6"/>
    <w:rsid w:val="0002652B"/>
    <w:rsid w:val="000266B7"/>
    <w:rsid w:val="00026F61"/>
    <w:rsid w:val="00026FB8"/>
    <w:rsid w:val="000274B8"/>
    <w:rsid w:val="000279DD"/>
    <w:rsid w:val="00030D60"/>
    <w:rsid w:val="00031275"/>
    <w:rsid w:val="00031E8E"/>
    <w:rsid w:val="00031EED"/>
    <w:rsid w:val="00031FEC"/>
    <w:rsid w:val="00032090"/>
    <w:rsid w:val="0003222C"/>
    <w:rsid w:val="000328E8"/>
    <w:rsid w:val="00032986"/>
    <w:rsid w:val="000329B7"/>
    <w:rsid w:val="00032CA6"/>
    <w:rsid w:val="000334AA"/>
    <w:rsid w:val="00033863"/>
    <w:rsid w:val="000339F6"/>
    <w:rsid w:val="00033A8C"/>
    <w:rsid w:val="00033D5B"/>
    <w:rsid w:val="00034269"/>
    <w:rsid w:val="0003464F"/>
    <w:rsid w:val="000348DA"/>
    <w:rsid w:val="00034C36"/>
    <w:rsid w:val="00034E7A"/>
    <w:rsid w:val="000351A1"/>
    <w:rsid w:val="00035412"/>
    <w:rsid w:val="000356C0"/>
    <w:rsid w:val="00035DC0"/>
    <w:rsid w:val="00035EDC"/>
    <w:rsid w:val="00035FB4"/>
    <w:rsid w:val="000361B5"/>
    <w:rsid w:val="000367D2"/>
    <w:rsid w:val="00036829"/>
    <w:rsid w:val="00036975"/>
    <w:rsid w:val="00036A98"/>
    <w:rsid w:val="00036EC0"/>
    <w:rsid w:val="000370B2"/>
    <w:rsid w:val="0003748A"/>
    <w:rsid w:val="000376B4"/>
    <w:rsid w:val="00037A54"/>
    <w:rsid w:val="00037A6D"/>
    <w:rsid w:val="00037BBF"/>
    <w:rsid w:val="00037C1C"/>
    <w:rsid w:val="00037DB7"/>
    <w:rsid w:val="00037FB5"/>
    <w:rsid w:val="0004025C"/>
    <w:rsid w:val="0004027D"/>
    <w:rsid w:val="0004047F"/>
    <w:rsid w:val="00040674"/>
    <w:rsid w:val="000406C5"/>
    <w:rsid w:val="00040895"/>
    <w:rsid w:val="000409F5"/>
    <w:rsid w:val="00040C97"/>
    <w:rsid w:val="000410A0"/>
    <w:rsid w:val="00041343"/>
    <w:rsid w:val="000417BD"/>
    <w:rsid w:val="00041883"/>
    <w:rsid w:val="00041B5E"/>
    <w:rsid w:val="00042323"/>
    <w:rsid w:val="00042591"/>
    <w:rsid w:val="0004263A"/>
    <w:rsid w:val="00042838"/>
    <w:rsid w:val="00042B9A"/>
    <w:rsid w:val="000435EE"/>
    <w:rsid w:val="000435F4"/>
    <w:rsid w:val="000437E0"/>
    <w:rsid w:val="00043C37"/>
    <w:rsid w:val="000440B0"/>
    <w:rsid w:val="000440D0"/>
    <w:rsid w:val="000446D4"/>
    <w:rsid w:val="00044AC2"/>
    <w:rsid w:val="00044C99"/>
    <w:rsid w:val="00045017"/>
    <w:rsid w:val="00045171"/>
    <w:rsid w:val="000457B2"/>
    <w:rsid w:val="00045A2B"/>
    <w:rsid w:val="00045BA8"/>
    <w:rsid w:val="00045F8A"/>
    <w:rsid w:val="000460C3"/>
    <w:rsid w:val="00046241"/>
    <w:rsid w:val="000463A1"/>
    <w:rsid w:val="0004666E"/>
    <w:rsid w:val="00046936"/>
    <w:rsid w:val="0004698F"/>
    <w:rsid w:val="00046A94"/>
    <w:rsid w:val="00046B96"/>
    <w:rsid w:val="00046CBA"/>
    <w:rsid w:val="00046D64"/>
    <w:rsid w:val="00047074"/>
    <w:rsid w:val="00047450"/>
    <w:rsid w:val="000476B2"/>
    <w:rsid w:val="00050018"/>
    <w:rsid w:val="000507E5"/>
    <w:rsid w:val="00050823"/>
    <w:rsid w:val="000508C2"/>
    <w:rsid w:val="000508C8"/>
    <w:rsid w:val="00050ED7"/>
    <w:rsid w:val="00050FB4"/>
    <w:rsid w:val="00050FD8"/>
    <w:rsid w:val="00051445"/>
    <w:rsid w:val="00051747"/>
    <w:rsid w:val="00052B5F"/>
    <w:rsid w:val="00052C8F"/>
    <w:rsid w:val="000530A5"/>
    <w:rsid w:val="00053491"/>
    <w:rsid w:val="000534FC"/>
    <w:rsid w:val="000535CF"/>
    <w:rsid w:val="000539D0"/>
    <w:rsid w:val="00053B17"/>
    <w:rsid w:val="00053B87"/>
    <w:rsid w:val="00053C97"/>
    <w:rsid w:val="00053D4A"/>
    <w:rsid w:val="00053F6E"/>
    <w:rsid w:val="000542D9"/>
    <w:rsid w:val="00054621"/>
    <w:rsid w:val="000546D7"/>
    <w:rsid w:val="00054A8D"/>
    <w:rsid w:val="00054EC8"/>
    <w:rsid w:val="00054FE0"/>
    <w:rsid w:val="000551E1"/>
    <w:rsid w:val="000552A9"/>
    <w:rsid w:val="000552FF"/>
    <w:rsid w:val="000553CD"/>
    <w:rsid w:val="0005599F"/>
    <w:rsid w:val="0005637C"/>
    <w:rsid w:val="000568F9"/>
    <w:rsid w:val="000569EB"/>
    <w:rsid w:val="00056ECF"/>
    <w:rsid w:val="00057097"/>
    <w:rsid w:val="00057819"/>
    <w:rsid w:val="00057B98"/>
    <w:rsid w:val="00057C30"/>
    <w:rsid w:val="00057C6E"/>
    <w:rsid w:val="0006015A"/>
    <w:rsid w:val="000603A4"/>
    <w:rsid w:val="000604DF"/>
    <w:rsid w:val="00061064"/>
    <w:rsid w:val="000610F5"/>
    <w:rsid w:val="00061428"/>
    <w:rsid w:val="0006160B"/>
    <w:rsid w:val="000617A3"/>
    <w:rsid w:val="000619A2"/>
    <w:rsid w:val="00061AE2"/>
    <w:rsid w:val="00061BAA"/>
    <w:rsid w:val="000621BB"/>
    <w:rsid w:val="00062324"/>
    <w:rsid w:val="0006242F"/>
    <w:rsid w:val="000626C2"/>
    <w:rsid w:val="000629A0"/>
    <w:rsid w:val="000629A6"/>
    <w:rsid w:val="00062A82"/>
    <w:rsid w:val="00062AD6"/>
    <w:rsid w:val="0006302A"/>
    <w:rsid w:val="00063166"/>
    <w:rsid w:val="00063850"/>
    <w:rsid w:val="00063880"/>
    <w:rsid w:val="0006389C"/>
    <w:rsid w:val="0006391A"/>
    <w:rsid w:val="000641BD"/>
    <w:rsid w:val="00064303"/>
    <w:rsid w:val="00064313"/>
    <w:rsid w:val="000648FE"/>
    <w:rsid w:val="00064C0F"/>
    <w:rsid w:val="000653B5"/>
    <w:rsid w:val="000657A9"/>
    <w:rsid w:val="0006590B"/>
    <w:rsid w:val="00065AE4"/>
    <w:rsid w:val="00065BE2"/>
    <w:rsid w:val="00065C2E"/>
    <w:rsid w:val="0006628B"/>
    <w:rsid w:val="000662F1"/>
    <w:rsid w:val="00066360"/>
    <w:rsid w:val="000667CF"/>
    <w:rsid w:val="00066960"/>
    <w:rsid w:val="00066988"/>
    <w:rsid w:val="00066AF8"/>
    <w:rsid w:val="00066D39"/>
    <w:rsid w:val="00066E34"/>
    <w:rsid w:val="000670BB"/>
    <w:rsid w:val="000671B3"/>
    <w:rsid w:val="000677C7"/>
    <w:rsid w:val="00067C39"/>
    <w:rsid w:val="00067D17"/>
    <w:rsid w:val="00070295"/>
    <w:rsid w:val="000703B0"/>
    <w:rsid w:val="00070AA8"/>
    <w:rsid w:val="00070DBA"/>
    <w:rsid w:val="00070E65"/>
    <w:rsid w:val="00070E75"/>
    <w:rsid w:val="00071248"/>
    <w:rsid w:val="00071670"/>
    <w:rsid w:val="00071781"/>
    <w:rsid w:val="00071C0B"/>
    <w:rsid w:val="00071DD4"/>
    <w:rsid w:val="00071DDE"/>
    <w:rsid w:val="00071E18"/>
    <w:rsid w:val="000720B9"/>
    <w:rsid w:val="0007218D"/>
    <w:rsid w:val="00072393"/>
    <w:rsid w:val="00072649"/>
    <w:rsid w:val="00072829"/>
    <w:rsid w:val="0007286C"/>
    <w:rsid w:val="000729DE"/>
    <w:rsid w:val="00072CF7"/>
    <w:rsid w:val="00072D78"/>
    <w:rsid w:val="000730EA"/>
    <w:rsid w:val="000732CA"/>
    <w:rsid w:val="000733A3"/>
    <w:rsid w:val="00073720"/>
    <w:rsid w:val="000737F7"/>
    <w:rsid w:val="000738D8"/>
    <w:rsid w:val="00073953"/>
    <w:rsid w:val="00073C8D"/>
    <w:rsid w:val="00073D13"/>
    <w:rsid w:val="00074005"/>
    <w:rsid w:val="00074346"/>
    <w:rsid w:val="00074B26"/>
    <w:rsid w:val="00074D87"/>
    <w:rsid w:val="00074DB1"/>
    <w:rsid w:val="00074F56"/>
    <w:rsid w:val="00075281"/>
    <w:rsid w:val="000757E3"/>
    <w:rsid w:val="000758E7"/>
    <w:rsid w:val="00075941"/>
    <w:rsid w:val="000761E8"/>
    <w:rsid w:val="000765D3"/>
    <w:rsid w:val="000766B4"/>
    <w:rsid w:val="0007672F"/>
    <w:rsid w:val="0007675A"/>
    <w:rsid w:val="000768DE"/>
    <w:rsid w:val="00076B54"/>
    <w:rsid w:val="0007747E"/>
    <w:rsid w:val="000774F0"/>
    <w:rsid w:val="000776F7"/>
    <w:rsid w:val="00077C59"/>
    <w:rsid w:val="00077DA0"/>
    <w:rsid w:val="00077E1E"/>
    <w:rsid w:val="000801F1"/>
    <w:rsid w:val="000803C8"/>
    <w:rsid w:val="000805B1"/>
    <w:rsid w:val="00080726"/>
    <w:rsid w:val="0008087E"/>
    <w:rsid w:val="00080909"/>
    <w:rsid w:val="00080BCC"/>
    <w:rsid w:val="00080C23"/>
    <w:rsid w:val="00080E20"/>
    <w:rsid w:val="000810FB"/>
    <w:rsid w:val="000812CA"/>
    <w:rsid w:val="00081E63"/>
    <w:rsid w:val="00081EBB"/>
    <w:rsid w:val="00082243"/>
    <w:rsid w:val="00082499"/>
    <w:rsid w:val="0008258D"/>
    <w:rsid w:val="00082940"/>
    <w:rsid w:val="00082B07"/>
    <w:rsid w:val="00082E72"/>
    <w:rsid w:val="00082FAD"/>
    <w:rsid w:val="00083054"/>
    <w:rsid w:val="0008380E"/>
    <w:rsid w:val="00083941"/>
    <w:rsid w:val="000839FD"/>
    <w:rsid w:val="00083B94"/>
    <w:rsid w:val="00083E99"/>
    <w:rsid w:val="00084174"/>
    <w:rsid w:val="000846E8"/>
    <w:rsid w:val="00084BFC"/>
    <w:rsid w:val="00084DFF"/>
    <w:rsid w:val="00084FA8"/>
    <w:rsid w:val="00085662"/>
    <w:rsid w:val="000856C5"/>
    <w:rsid w:val="00085B68"/>
    <w:rsid w:val="00085C31"/>
    <w:rsid w:val="0008623C"/>
    <w:rsid w:val="0008635F"/>
    <w:rsid w:val="000863F8"/>
    <w:rsid w:val="000866A8"/>
    <w:rsid w:val="00086C5F"/>
    <w:rsid w:val="00086C75"/>
    <w:rsid w:val="00086D6D"/>
    <w:rsid w:val="00086F1A"/>
    <w:rsid w:val="00087952"/>
    <w:rsid w:val="00087955"/>
    <w:rsid w:val="00087CA0"/>
    <w:rsid w:val="00087DBE"/>
    <w:rsid w:val="00087E19"/>
    <w:rsid w:val="00090037"/>
    <w:rsid w:val="0009016E"/>
    <w:rsid w:val="000902D9"/>
    <w:rsid w:val="00090470"/>
    <w:rsid w:val="00090A6C"/>
    <w:rsid w:val="00090C33"/>
    <w:rsid w:val="00090C7E"/>
    <w:rsid w:val="00090E41"/>
    <w:rsid w:val="00090F30"/>
    <w:rsid w:val="000911AC"/>
    <w:rsid w:val="000917B3"/>
    <w:rsid w:val="00091852"/>
    <w:rsid w:val="000918B9"/>
    <w:rsid w:val="00091CA5"/>
    <w:rsid w:val="00092032"/>
    <w:rsid w:val="00092093"/>
    <w:rsid w:val="0009229D"/>
    <w:rsid w:val="00092600"/>
    <w:rsid w:val="0009262B"/>
    <w:rsid w:val="00092CA6"/>
    <w:rsid w:val="00092CD2"/>
    <w:rsid w:val="00092F0E"/>
    <w:rsid w:val="00092F78"/>
    <w:rsid w:val="000932B7"/>
    <w:rsid w:val="00093310"/>
    <w:rsid w:val="000933DA"/>
    <w:rsid w:val="00093EC7"/>
    <w:rsid w:val="0009445C"/>
    <w:rsid w:val="000944C5"/>
    <w:rsid w:val="00094607"/>
    <w:rsid w:val="00094CB4"/>
    <w:rsid w:val="00094E7D"/>
    <w:rsid w:val="00095200"/>
    <w:rsid w:val="0009544D"/>
    <w:rsid w:val="0009563D"/>
    <w:rsid w:val="00095AE5"/>
    <w:rsid w:val="00095FE5"/>
    <w:rsid w:val="000961DE"/>
    <w:rsid w:val="00096284"/>
    <w:rsid w:val="00096473"/>
    <w:rsid w:val="000964B1"/>
    <w:rsid w:val="000966FD"/>
    <w:rsid w:val="00096E94"/>
    <w:rsid w:val="0009783D"/>
    <w:rsid w:val="00097B55"/>
    <w:rsid w:val="000A00F3"/>
    <w:rsid w:val="000A0100"/>
    <w:rsid w:val="000A05F3"/>
    <w:rsid w:val="000A0ED0"/>
    <w:rsid w:val="000A10C7"/>
    <w:rsid w:val="000A11B5"/>
    <w:rsid w:val="000A155A"/>
    <w:rsid w:val="000A1658"/>
    <w:rsid w:val="000A17AC"/>
    <w:rsid w:val="000A1BC0"/>
    <w:rsid w:val="000A1FD5"/>
    <w:rsid w:val="000A2560"/>
    <w:rsid w:val="000A26B4"/>
    <w:rsid w:val="000A2F9E"/>
    <w:rsid w:val="000A30DE"/>
    <w:rsid w:val="000A325A"/>
    <w:rsid w:val="000A32D8"/>
    <w:rsid w:val="000A33AF"/>
    <w:rsid w:val="000A35AC"/>
    <w:rsid w:val="000A36F6"/>
    <w:rsid w:val="000A3AC2"/>
    <w:rsid w:val="000A3E47"/>
    <w:rsid w:val="000A3E7E"/>
    <w:rsid w:val="000A41CC"/>
    <w:rsid w:val="000A4784"/>
    <w:rsid w:val="000A4D27"/>
    <w:rsid w:val="000A522B"/>
    <w:rsid w:val="000A522D"/>
    <w:rsid w:val="000A52AD"/>
    <w:rsid w:val="000A5449"/>
    <w:rsid w:val="000A5557"/>
    <w:rsid w:val="000A6023"/>
    <w:rsid w:val="000A6039"/>
    <w:rsid w:val="000A6335"/>
    <w:rsid w:val="000A6356"/>
    <w:rsid w:val="000A63F6"/>
    <w:rsid w:val="000A65CA"/>
    <w:rsid w:val="000A6E90"/>
    <w:rsid w:val="000A7412"/>
    <w:rsid w:val="000A7453"/>
    <w:rsid w:val="000A7658"/>
    <w:rsid w:val="000A7861"/>
    <w:rsid w:val="000A7D08"/>
    <w:rsid w:val="000B0121"/>
    <w:rsid w:val="000B028A"/>
    <w:rsid w:val="000B0446"/>
    <w:rsid w:val="000B04B7"/>
    <w:rsid w:val="000B063B"/>
    <w:rsid w:val="000B0670"/>
    <w:rsid w:val="000B06A7"/>
    <w:rsid w:val="000B0776"/>
    <w:rsid w:val="000B092E"/>
    <w:rsid w:val="000B096E"/>
    <w:rsid w:val="000B09DB"/>
    <w:rsid w:val="000B0E75"/>
    <w:rsid w:val="000B10DD"/>
    <w:rsid w:val="000B11C3"/>
    <w:rsid w:val="000B1332"/>
    <w:rsid w:val="000B13F6"/>
    <w:rsid w:val="000B1F22"/>
    <w:rsid w:val="000B2826"/>
    <w:rsid w:val="000B2C48"/>
    <w:rsid w:val="000B2DCB"/>
    <w:rsid w:val="000B30BD"/>
    <w:rsid w:val="000B31E4"/>
    <w:rsid w:val="000B327C"/>
    <w:rsid w:val="000B34B4"/>
    <w:rsid w:val="000B36D9"/>
    <w:rsid w:val="000B3C75"/>
    <w:rsid w:val="000B3ECF"/>
    <w:rsid w:val="000B4002"/>
    <w:rsid w:val="000B44CF"/>
    <w:rsid w:val="000B4506"/>
    <w:rsid w:val="000B45A3"/>
    <w:rsid w:val="000B45CF"/>
    <w:rsid w:val="000B4BD1"/>
    <w:rsid w:val="000B4C63"/>
    <w:rsid w:val="000B4F57"/>
    <w:rsid w:val="000B5015"/>
    <w:rsid w:val="000B55DD"/>
    <w:rsid w:val="000B5CE0"/>
    <w:rsid w:val="000B65D5"/>
    <w:rsid w:val="000B66E7"/>
    <w:rsid w:val="000B6A39"/>
    <w:rsid w:val="000B6CAC"/>
    <w:rsid w:val="000B6D8F"/>
    <w:rsid w:val="000B6F19"/>
    <w:rsid w:val="000B750E"/>
    <w:rsid w:val="000B7612"/>
    <w:rsid w:val="000B76F2"/>
    <w:rsid w:val="000B78AE"/>
    <w:rsid w:val="000C02C7"/>
    <w:rsid w:val="000C06F0"/>
    <w:rsid w:val="000C06F9"/>
    <w:rsid w:val="000C077E"/>
    <w:rsid w:val="000C09C4"/>
    <w:rsid w:val="000C09E5"/>
    <w:rsid w:val="000C0F23"/>
    <w:rsid w:val="000C1056"/>
    <w:rsid w:val="000C185A"/>
    <w:rsid w:val="000C1C13"/>
    <w:rsid w:val="000C2D89"/>
    <w:rsid w:val="000C30B5"/>
    <w:rsid w:val="000C31DE"/>
    <w:rsid w:val="000C35D0"/>
    <w:rsid w:val="000C3CAE"/>
    <w:rsid w:val="000C3CD7"/>
    <w:rsid w:val="000C3DDF"/>
    <w:rsid w:val="000C3DF9"/>
    <w:rsid w:val="000C4411"/>
    <w:rsid w:val="000C4BB4"/>
    <w:rsid w:val="000C4C1E"/>
    <w:rsid w:val="000C4CB5"/>
    <w:rsid w:val="000C4CF2"/>
    <w:rsid w:val="000C4F58"/>
    <w:rsid w:val="000C53B0"/>
    <w:rsid w:val="000C5F73"/>
    <w:rsid w:val="000C6042"/>
    <w:rsid w:val="000C634E"/>
    <w:rsid w:val="000C6713"/>
    <w:rsid w:val="000C6752"/>
    <w:rsid w:val="000C680B"/>
    <w:rsid w:val="000C6883"/>
    <w:rsid w:val="000C6888"/>
    <w:rsid w:val="000C6B78"/>
    <w:rsid w:val="000C6CD7"/>
    <w:rsid w:val="000C70DF"/>
    <w:rsid w:val="000C7273"/>
    <w:rsid w:val="000C79C7"/>
    <w:rsid w:val="000D0386"/>
    <w:rsid w:val="000D0A3A"/>
    <w:rsid w:val="000D0A40"/>
    <w:rsid w:val="000D100D"/>
    <w:rsid w:val="000D12A3"/>
    <w:rsid w:val="000D1865"/>
    <w:rsid w:val="000D1A0A"/>
    <w:rsid w:val="000D1BFC"/>
    <w:rsid w:val="000D1D5D"/>
    <w:rsid w:val="000D216A"/>
    <w:rsid w:val="000D2497"/>
    <w:rsid w:val="000D24AB"/>
    <w:rsid w:val="000D2642"/>
    <w:rsid w:val="000D27B7"/>
    <w:rsid w:val="000D281A"/>
    <w:rsid w:val="000D2848"/>
    <w:rsid w:val="000D2F5C"/>
    <w:rsid w:val="000D326A"/>
    <w:rsid w:val="000D336E"/>
    <w:rsid w:val="000D3872"/>
    <w:rsid w:val="000D411B"/>
    <w:rsid w:val="000D41C5"/>
    <w:rsid w:val="000D42D8"/>
    <w:rsid w:val="000D475E"/>
    <w:rsid w:val="000D4D41"/>
    <w:rsid w:val="000D509D"/>
    <w:rsid w:val="000D51FB"/>
    <w:rsid w:val="000D55CC"/>
    <w:rsid w:val="000D5B46"/>
    <w:rsid w:val="000D5CD7"/>
    <w:rsid w:val="000D6031"/>
    <w:rsid w:val="000D62A1"/>
    <w:rsid w:val="000D6F8E"/>
    <w:rsid w:val="000D718C"/>
    <w:rsid w:val="000D7354"/>
    <w:rsid w:val="000D7EB5"/>
    <w:rsid w:val="000E0640"/>
    <w:rsid w:val="000E0721"/>
    <w:rsid w:val="000E0AF7"/>
    <w:rsid w:val="000E0C20"/>
    <w:rsid w:val="000E0E2E"/>
    <w:rsid w:val="000E104B"/>
    <w:rsid w:val="000E10C2"/>
    <w:rsid w:val="000E11E5"/>
    <w:rsid w:val="000E135D"/>
    <w:rsid w:val="000E1484"/>
    <w:rsid w:val="000E1D4A"/>
    <w:rsid w:val="000E1DF7"/>
    <w:rsid w:val="000E1E22"/>
    <w:rsid w:val="000E1EB9"/>
    <w:rsid w:val="000E2063"/>
    <w:rsid w:val="000E2107"/>
    <w:rsid w:val="000E21B4"/>
    <w:rsid w:val="000E21FD"/>
    <w:rsid w:val="000E222E"/>
    <w:rsid w:val="000E2460"/>
    <w:rsid w:val="000E24CB"/>
    <w:rsid w:val="000E277D"/>
    <w:rsid w:val="000E2811"/>
    <w:rsid w:val="000E2B64"/>
    <w:rsid w:val="000E2CA3"/>
    <w:rsid w:val="000E2ECD"/>
    <w:rsid w:val="000E30AF"/>
    <w:rsid w:val="000E32D3"/>
    <w:rsid w:val="000E33BA"/>
    <w:rsid w:val="000E3952"/>
    <w:rsid w:val="000E3D10"/>
    <w:rsid w:val="000E3E70"/>
    <w:rsid w:val="000E3F92"/>
    <w:rsid w:val="000E40D1"/>
    <w:rsid w:val="000E417A"/>
    <w:rsid w:val="000E47FC"/>
    <w:rsid w:val="000E4A4F"/>
    <w:rsid w:val="000E4EA9"/>
    <w:rsid w:val="000E5097"/>
    <w:rsid w:val="000E50B4"/>
    <w:rsid w:val="000E511C"/>
    <w:rsid w:val="000E68A8"/>
    <w:rsid w:val="000E79E6"/>
    <w:rsid w:val="000E7CE6"/>
    <w:rsid w:val="000E7F4D"/>
    <w:rsid w:val="000F009B"/>
    <w:rsid w:val="000F00BA"/>
    <w:rsid w:val="000F0503"/>
    <w:rsid w:val="000F1179"/>
    <w:rsid w:val="000F1755"/>
    <w:rsid w:val="000F17C0"/>
    <w:rsid w:val="000F1D2D"/>
    <w:rsid w:val="000F1FE0"/>
    <w:rsid w:val="000F2049"/>
    <w:rsid w:val="000F23B1"/>
    <w:rsid w:val="000F23F4"/>
    <w:rsid w:val="000F2F04"/>
    <w:rsid w:val="000F2FC9"/>
    <w:rsid w:val="000F316A"/>
    <w:rsid w:val="000F32B5"/>
    <w:rsid w:val="000F33B1"/>
    <w:rsid w:val="000F36D7"/>
    <w:rsid w:val="000F36FC"/>
    <w:rsid w:val="000F3BCF"/>
    <w:rsid w:val="000F3C74"/>
    <w:rsid w:val="000F3D83"/>
    <w:rsid w:val="000F4119"/>
    <w:rsid w:val="000F47BA"/>
    <w:rsid w:val="000F4BB8"/>
    <w:rsid w:val="000F4BD2"/>
    <w:rsid w:val="000F4E4B"/>
    <w:rsid w:val="000F4FA9"/>
    <w:rsid w:val="000F53FB"/>
    <w:rsid w:val="000F59B1"/>
    <w:rsid w:val="000F5A8D"/>
    <w:rsid w:val="000F5B5F"/>
    <w:rsid w:val="000F6017"/>
    <w:rsid w:val="000F6325"/>
    <w:rsid w:val="000F6B52"/>
    <w:rsid w:val="000F6D10"/>
    <w:rsid w:val="000F6FE3"/>
    <w:rsid w:val="000F7012"/>
    <w:rsid w:val="000F7085"/>
    <w:rsid w:val="000F7127"/>
    <w:rsid w:val="000F741D"/>
    <w:rsid w:val="000F749B"/>
    <w:rsid w:val="000F7507"/>
    <w:rsid w:val="000F7789"/>
    <w:rsid w:val="000F7B54"/>
    <w:rsid w:val="000F7F66"/>
    <w:rsid w:val="000F7F88"/>
    <w:rsid w:val="001000B3"/>
    <w:rsid w:val="001004C0"/>
    <w:rsid w:val="001004CC"/>
    <w:rsid w:val="001009FF"/>
    <w:rsid w:val="00100F8A"/>
    <w:rsid w:val="0010115E"/>
    <w:rsid w:val="00101333"/>
    <w:rsid w:val="001017CA"/>
    <w:rsid w:val="001019A2"/>
    <w:rsid w:val="00101CEF"/>
    <w:rsid w:val="00101E82"/>
    <w:rsid w:val="00101E9B"/>
    <w:rsid w:val="00102051"/>
    <w:rsid w:val="0010207D"/>
    <w:rsid w:val="001021A9"/>
    <w:rsid w:val="0010241C"/>
    <w:rsid w:val="00102994"/>
    <w:rsid w:val="00102EE5"/>
    <w:rsid w:val="00103549"/>
    <w:rsid w:val="0010452E"/>
    <w:rsid w:val="00104A38"/>
    <w:rsid w:val="00104C66"/>
    <w:rsid w:val="00104C90"/>
    <w:rsid w:val="00104CC6"/>
    <w:rsid w:val="00105009"/>
    <w:rsid w:val="00105482"/>
    <w:rsid w:val="00105768"/>
    <w:rsid w:val="001058D3"/>
    <w:rsid w:val="001059C0"/>
    <w:rsid w:val="00105A9B"/>
    <w:rsid w:val="00105AE2"/>
    <w:rsid w:val="00105D0B"/>
    <w:rsid w:val="00105E21"/>
    <w:rsid w:val="001060C6"/>
    <w:rsid w:val="00106205"/>
    <w:rsid w:val="00106466"/>
    <w:rsid w:val="001066F7"/>
    <w:rsid w:val="0010695E"/>
    <w:rsid w:val="00106B80"/>
    <w:rsid w:val="0010706D"/>
    <w:rsid w:val="001070DA"/>
    <w:rsid w:val="00107959"/>
    <w:rsid w:val="00107C96"/>
    <w:rsid w:val="00107CE6"/>
    <w:rsid w:val="00107E50"/>
    <w:rsid w:val="0011032E"/>
    <w:rsid w:val="001103B5"/>
    <w:rsid w:val="001109E3"/>
    <w:rsid w:val="00111380"/>
    <w:rsid w:val="00111930"/>
    <w:rsid w:val="00111BE5"/>
    <w:rsid w:val="00111C03"/>
    <w:rsid w:val="001124EB"/>
    <w:rsid w:val="00112BF9"/>
    <w:rsid w:val="00112ED9"/>
    <w:rsid w:val="00112EE5"/>
    <w:rsid w:val="00112F0E"/>
    <w:rsid w:val="00112F22"/>
    <w:rsid w:val="00112F61"/>
    <w:rsid w:val="00112FD1"/>
    <w:rsid w:val="00113159"/>
    <w:rsid w:val="0011348B"/>
    <w:rsid w:val="00113B80"/>
    <w:rsid w:val="00113B95"/>
    <w:rsid w:val="0011433D"/>
    <w:rsid w:val="001143F8"/>
    <w:rsid w:val="00114793"/>
    <w:rsid w:val="00114B6E"/>
    <w:rsid w:val="00114E23"/>
    <w:rsid w:val="00114F9F"/>
    <w:rsid w:val="001151D9"/>
    <w:rsid w:val="001151F8"/>
    <w:rsid w:val="001153FF"/>
    <w:rsid w:val="00115633"/>
    <w:rsid w:val="0011565B"/>
    <w:rsid w:val="00115814"/>
    <w:rsid w:val="00115982"/>
    <w:rsid w:val="00115C37"/>
    <w:rsid w:val="00115CBC"/>
    <w:rsid w:val="00116C53"/>
    <w:rsid w:val="00116FA8"/>
    <w:rsid w:val="00117054"/>
    <w:rsid w:val="00117105"/>
    <w:rsid w:val="001175CF"/>
    <w:rsid w:val="00117723"/>
    <w:rsid w:val="001178E3"/>
    <w:rsid w:val="00117923"/>
    <w:rsid w:val="00117964"/>
    <w:rsid w:val="001179CD"/>
    <w:rsid w:val="00117F8A"/>
    <w:rsid w:val="00117FD2"/>
    <w:rsid w:val="00120417"/>
    <w:rsid w:val="001208FE"/>
    <w:rsid w:val="00120A2B"/>
    <w:rsid w:val="0012114D"/>
    <w:rsid w:val="00121431"/>
    <w:rsid w:val="001215DF"/>
    <w:rsid w:val="00121799"/>
    <w:rsid w:val="0012186C"/>
    <w:rsid w:val="0012193C"/>
    <w:rsid w:val="00121C25"/>
    <w:rsid w:val="00121ECF"/>
    <w:rsid w:val="001222FC"/>
    <w:rsid w:val="001223EE"/>
    <w:rsid w:val="0012243F"/>
    <w:rsid w:val="00122461"/>
    <w:rsid w:val="001229BC"/>
    <w:rsid w:val="00122DED"/>
    <w:rsid w:val="0012305A"/>
    <w:rsid w:val="001233E1"/>
    <w:rsid w:val="00123517"/>
    <w:rsid w:val="001236F4"/>
    <w:rsid w:val="00123902"/>
    <w:rsid w:val="00123A0D"/>
    <w:rsid w:val="00123D60"/>
    <w:rsid w:val="00123D71"/>
    <w:rsid w:val="00123F5A"/>
    <w:rsid w:val="00123FE8"/>
    <w:rsid w:val="0012418B"/>
    <w:rsid w:val="001246E2"/>
    <w:rsid w:val="00124747"/>
    <w:rsid w:val="00124A19"/>
    <w:rsid w:val="00124A51"/>
    <w:rsid w:val="00125DF5"/>
    <w:rsid w:val="00126083"/>
    <w:rsid w:val="001263F8"/>
    <w:rsid w:val="00126621"/>
    <w:rsid w:val="00126694"/>
    <w:rsid w:val="00126B0E"/>
    <w:rsid w:val="00126B1D"/>
    <w:rsid w:val="00126CAF"/>
    <w:rsid w:val="00126DEB"/>
    <w:rsid w:val="0012716E"/>
    <w:rsid w:val="0012725C"/>
    <w:rsid w:val="00127273"/>
    <w:rsid w:val="001272F0"/>
    <w:rsid w:val="001275CA"/>
    <w:rsid w:val="00127814"/>
    <w:rsid w:val="00127891"/>
    <w:rsid w:val="00127F8D"/>
    <w:rsid w:val="0013013A"/>
    <w:rsid w:val="001301E9"/>
    <w:rsid w:val="001302FC"/>
    <w:rsid w:val="001304E5"/>
    <w:rsid w:val="00130794"/>
    <w:rsid w:val="00131264"/>
    <w:rsid w:val="00131D82"/>
    <w:rsid w:val="00131F13"/>
    <w:rsid w:val="00132970"/>
    <w:rsid w:val="00132B22"/>
    <w:rsid w:val="00132D05"/>
    <w:rsid w:val="00133442"/>
    <w:rsid w:val="001338EE"/>
    <w:rsid w:val="0013399C"/>
    <w:rsid w:val="00133D36"/>
    <w:rsid w:val="001342D2"/>
    <w:rsid w:val="00134759"/>
    <w:rsid w:val="00134829"/>
    <w:rsid w:val="00134DE3"/>
    <w:rsid w:val="00134F8F"/>
    <w:rsid w:val="0013531E"/>
    <w:rsid w:val="001358E2"/>
    <w:rsid w:val="00135E0A"/>
    <w:rsid w:val="001360CF"/>
    <w:rsid w:val="001360F2"/>
    <w:rsid w:val="00136313"/>
    <w:rsid w:val="0013637E"/>
    <w:rsid w:val="001366BD"/>
    <w:rsid w:val="00136A46"/>
    <w:rsid w:val="00136D88"/>
    <w:rsid w:val="0013746C"/>
    <w:rsid w:val="00137645"/>
    <w:rsid w:val="001377BA"/>
    <w:rsid w:val="001377E7"/>
    <w:rsid w:val="00137B87"/>
    <w:rsid w:val="00137CCF"/>
    <w:rsid w:val="0014015A"/>
    <w:rsid w:val="0014045C"/>
    <w:rsid w:val="00140683"/>
    <w:rsid w:val="001408A2"/>
    <w:rsid w:val="00140B60"/>
    <w:rsid w:val="00140D7A"/>
    <w:rsid w:val="00140E99"/>
    <w:rsid w:val="001411AC"/>
    <w:rsid w:val="00141761"/>
    <w:rsid w:val="001419FA"/>
    <w:rsid w:val="0014200F"/>
    <w:rsid w:val="001420ED"/>
    <w:rsid w:val="00142193"/>
    <w:rsid w:val="0014243B"/>
    <w:rsid w:val="00142577"/>
    <w:rsid w:val="00142A8A"/>
    <w:rsid w:val="00142C9F"/>
    <w:rsid w:val="0014327E"/>
    <w:rsid w:val="0014350B"/>
    <w:rsid w:val="00143516"/>
    <w:rsid w:val="001438BB"/>
    <w:rsid w:val="00143C21"/>
    <w:rsid w:val="00143F67"/>
    <w:rsid w:val="00143FAD"/>
    <w:rsid w:val="0014405B"/>
    <w:rsid w:val="0014415A"/>
    <w:rsid w:val="001441C5"/>
    <w:rsid w:val="0014436F"/>
    <w:rsid w:val="00144376"/>
    <w:rsid w:val="001443E4"/>
    <w:rsid w:val="00144571"/>
    <w:rsid w:val="00144973"/>
    <w:rsid w:val="00144DCE"/>
    <w:rsid w:val="00145234"/>
    <w:rsid w:val="001452A5"/>
    <w:rsid w:val="00145540"/>
    <w:rsid w:val="001455DB"/>
    <w:rsid w:val="001456B0"/>
    <w:rsid w:val="00145A01"/>
    <w:rsid w:val="00145AC2"/>
    <w:rsid w:val="00145AEB"/>
    <w:rsid w:val="00145E3F"/>
    <w:rsid w:val="00146642"/>
    <w:rsid w:val="00146B57"/>
    <w:rsid w:val="00146C81"/>
    <w:rsid w:val="00146F6C"/>
    <w:rsid w:val="00147078"/>
    <w:rsid w:val="00147193"/>
    <w:rsid w:val="0014786C"/>
    <w:rsid w:val="0014789A"/>
    <w:rsid w:val="00147A1A"/>
    <w:rsid w:val="00147A60"/>
    <w:rsid w:val="00147C52"/>
    <w:rsid w:val="00147DEE"/>
    <w:rsid w:val="00147EFB"/>
    <w:rsid w:val="00150370"/>
    <w:rsid w:val="0015050D"/>
    <w:rsid w:val="001509CF"/>
    <w:rsid w:val="00150B3C"/>
    <w:rsid w:val="00150BFE"/>
    <w:rsid w:val="00150F2E"/>
    <w:rsid w:val="001510BC"/>
    <w:rsid w:val="00151512"/>
    <w:rsid w:val="00151A1F"/>
    <w:rsid w:val="00151A5F"/>
    <w:rsid w:val="00151D0C"/>
    <w:rsid w:val="00151D52"/>
    <w:rsid w:val="00151F33"/>
    <w:rsid w:val="00152407"/>
    <w:rsid w:val="00152503"/>
    <w:rsid w:val="00152831"/>
    <w:rsid w:val="00152C05"/>
    <w:rsid w:val="00152E0D"/>
    <w:rsid w:val="00153BB4"/>
    <w:rsid w:val="00153BE3"/>
    <w:rsid w:val="00153F17"/>
    <w:rsid w:val="00154000"/>
    <w:rsid w:val="0015417A"/>
    <w:rsid w:val="001543AD"/>
    <w:rsid w:val="00154630"/>
    <w:rsid w:val="001546C6"/>
    <w:rsid w:val="001547AB"/>
    <w:rsid w:val="0015487C"/>
    <w:rsid w:val="0015523E"/>
    <w:rsid w:val="0015544D"/>
    <w:rsid w:val="001556C1"/>
    <w:rsid w:val="001558D6"/>
    <w:rsid w:val="00155D8B"/>
    <w:rsid w:val="001560D1"/>
    <w:rsid w:val="00156507"/>
    <w:rsid w:val="0015669F"/>
    <w:rsid w:val="00156852"/>
    <w:rsid w:val="00156922"/>
    <w:rsid w:val="00156F06"/>
    <w:rsid w:val="00156F64"/>
    <w:rsid w:val="00156F8F"/>
    <w:rsid w:val="00157130"/>
    <w:rsid w:val="001575A3"/>
    <w:rsid w:val="001576B1"/>
    <w:rsid w:val="001600CE"/>
    <w:rsid w:val="001601F1"/>
    <w:rsid w:val="00160393"/>
    <w:rsid w:val="0016047B"/>
    <w:rsid w:val="00160A4C"/>
    <w:rsid w:val="00160CDA"/>
    <w:rsid w:val="001617E7"/>
    <w:rsid w:val="00161CF8"/>
    <w:rsid w:val="00161FF2"/>
    <w:rsid w:val="00162182"/>
    <w:rsid w:val="0016227F"/>
    <w:rsid w:val="00162522"/>
    <w:rsid w:val="001625E9"/>
    <w:rsid w:val="00162913"/>
    <w:rsid w:val="00162CE0"/>
    <w:rsid w:val="00163109"/>
    <w:rsid w:val="00163577"/>
    <w:rsid w:val="001639BB"/>
    <w:rsid w:val="00163AC0"/>
    <w:rsid w:val="00163D1E"/>
    <w:rsid w:val="00163EFF"/>
    <w:rsid w:val="00163F66"/>
    <w:rsid w:val="0016436B"/>
    <w:rsid w:val="00164580"/>
    <w:rsid w:val="0016478E"/>
    <w:rsid w:val="00164894"/>
    <w:rsid w:val="001649B6"/>
    <w:rsid w:val="00164B5F"/>
    <w:rsid w:val="00164D22"/>
    <w:rsid w:val="0016509A"/>
    <w:rsid w:val="00165800"/>
    <w:rsid w:val="00165A0D"/>
    <w:rsid w:val="00165E8C"/>
    <w:rsid w:val="00165E8E"/>
    <w:rsid w:val="00165EC4"/>
    <w:rsid w:val="001661FB"/>
    <w:rsid w:val="001669BA"/>
    <w:rsid w:val="001669E0"/>
    <w:rsid w:val="00166A8A"/>
    <w:rsid w:val="00166B9B"/>
    <w:rsid w:val="00166BBE"/>
    <w:rsid w:val="001671A0"/>
    <w:rsid w:val="00167645"/>
    <w:rsid w:val="0016767F"/>
    <w:rsid w:val="00167A76"/>
    <w:rsid w:val="00167D33"/>
    <w:rsid w:val="00167FC5"/>
    <w:rsid w:val="00170CFC"/>
    <w:rsid w:val="00170E65"/>
    <w:rsid w:val="001710C4"/>
    <w:rsid w:val="0017137C"/>
    <w:rsid w:val="001717C7"/>
    <w:rsid w:val="00171994"/>
    <w:rsid w:val="001719A9"/>
    <w:rsid w:val="00171EF2"/>
    <w:rsid w:val="00171F0E"/>
    <w:rsid w:val="001724BD"/>
    <w:rsid w:val="00172663"/>
    <w:rsid w:val="00172701"/>
    <w:rsid w:val="0017289C"/>
    <w:rsid w:val="001728E7"/>
    <w:rsid w:val="00172C03"/>
    <w:rsid w:val="00173008"/>
    <w:rsid w:val="00173044"/>
    <w:rsid w:val="00173565"/>
    <w:rsid w:val="00173B07"/>
    <w:rsid w:val="00173D31"/>
    <w:rsid w:val="00173F44"/>
    <w:rsid w:val="001740E5"/>
    <w:rsid w:val="00174697"/>
    <w:rsid w:val="00174925"/>
    <w:rsid w:val="001749AC"/>
    <w:rsid w:val="00174D6E"/>
    <w:rsid w:val="00174DC0"/>
    <w:rsid w:val="001751FA"/>
    <w:rsid w:val="0017541F"/>
    <w:rsid w:val="00175557"/>
    <w:rsid w:val="00175683"/>
    <w:rsid w:val="00175773"/>
    <w:rsid w:val="00175AFA"/>
    <w:rsid w:val="001761C4"/>
    <w:rsid w:val="00176464"/>
    <w:rsid w:val="00176767"/>
    <w:rsid w:val="00176A61"/>
    <w:rsid w:val="00176AEA"/>
    <w:rsid w:val="00176B57"/>
    <w:rsid w:val="00176B98"/>
    <w:rsid w:val="00176E0F"/>
    <w:rsid w:val="001773F7"/>
    <w:rsid w:val="00177B83"/>
    <w:rsid w:val="00177CD6"/>
    <w:rsid w:val="001804FE"/>
    <w:rsid w:val="00180624"/>
    <w:rsid w:val="00180704"/>
    <w:rsid w:val="00180868"/>
    <w:rsid w:val="001809A5"/>
    <w:rsid w:val="00180D31"/>
    <w:rsid w:val="00181424"/>
    <w:rsid w:val="00181916"/>
    <w:rsid w:val="00181C10"/>
    <w:rsid w:val="00181D9C"/>
    <w:rsid w:val="001820C5"/>
    <w:rsid w:val="0018240B"/>
    <w:rsid w:val="001826E8"/>
    <w:rsid w:val="00182755"/>
    <w:rsid w:val="00182859"/>
    <w:rsid w:val="00182951"/>
    <w:rsid w:val="00182AFA"/>
    <w:rsid w:val="00182D1C"/>
    <w:rsid w:val="0018337F"/>
    <w:rsid w:val="00183596"/>
    <w:rsid w:val="001837FF"/>
    <w:rsid w:val="00183C91"/>
    <w:rsid w:val="00184085"/>
    <w:rsid w:val="001843BD"/>
    <w:rsid w:val="00184480"/>
    <w:rsid w:val="001845BF"/>
    <w:rsid w:val="001846A4"/>
    <w:rsid w:val="00184982"/>
    <w:rsid w:val="00184B0E"/>
    <w:rsid w:val="00184D8B"/>
    <w:rsid w:val="00184DCE"/>
    <w:rsid w:val="00185A8C"/>
    <w:rsid w:val="00185ACD"/>
    <w:rsid w:val="0018608B"/>
    <w:rsid w:val="00186663"/>
    <w:rsid w:val="00186768"/>
    <w:rsid w:val="00186C29"/>
    <w:rsid w:val="001874A9"/>
    <w:rsid w:val="0018752F"/>
    <w:rsid w:val="00187606"/>
    <w:rsid w:val="001877E3"/>
    <w:rsid w:val="001878DF"/>
    <w:rsid w:val="00187DC8"/>
    <w:rsid w:val="00187EC2"/>
    <w:rsid w:val="0019013A"/>
    <w:rsid w:val="00190197"/>
    <w:rsid w:val="00190347"/>
    <w:rsid w:val="00190502"/>
    <w:rsid w:val="00190C04"/>
    <w:rsid w:val="001914BC"/>
    <w:rsid w:val="0019163A"/>
    <w:rsid w:val="001919A8"/>
    <w:rsid w:val="00191C9E"/>
    <w:rsid w:val="00191DC5"/>
    <w:rsid w:val="0019210A"/>
    <w:rsid w:val="00192988"/>
    <w:rsid w:val="00192AE2"/>
    <w:rsid w:val="00192B32"/>
    <w:rsid w:val="0019325C"/>
    <w:rsid w:val="00193366"/>
    <w:rsid w:val="001934AB"/>
    <w:rsid w:val="00193838"/>
    <w:rsid w:val="0019397E"/>
    <w:rsid w:val="00193F03"/>
    <w:rsid w:val="001947EF"/>
    <w:rsid w:val="00194A46"/>
    <w:rsid w:val="00194AD8"/>
    <w:rsid w:val="00195220"/>
    <w:rsid w:val="00195222"/>
    <w:rsid w:val="00195452"/>
    <w:rsid w:val="00195505"/>
    <w:rsid w:val="00195825"/>
    <w:rsid w:val="00195BCC"/>
    <w:rsid w:val="00195D79"/>
    <w:rsid w:val="00195EBD"/>
    <w:rsid w:val="00196148"/>
    <w:rsid w:val="0019650C"/>
    <w:rsid w:val="001965A1"/>
    <w:rsid w:val="00196735"/>
    <w:rsid w:val="00196822"/>
    <w:rsid w:val="00196BB6"/>
    <w:rsid w:val="00196D05"/>
    <w:rsid w:val="00196D12"/>
    <w:rsid w:val="001975D8"/>
    <w:rsid w:val="00197B3C"/>
    <w:rsid w:val="00197D4D"/>
    <w:rsid w:val="001A0B39"/>
    <w:rsid w:val="001A119E"/>
    <w:rsid w:val="001A1221"/>
    <w:rsid w:val="001A178E"/>
    <w:rsid w:val="001A17B9"/>
    <w:rsid w:val="001A1999"/>
    <w:rsid w:val="001A1FE8"/>
    <w:rsid w:val="001A21CD"/>
    <w:rsid w:val="001A2607"/>
    <w:rsid w:val="001A274C"/>
    <w:rsid w:val="001A2AD1"/>
    <w:rsid w:val="001A2D00"/>
    <w:rsid w:val="001A2F1C"/>
    <w:rsid w:val="001A31FA"/>
    <w:rsid w:val="001A32D0"/>
    <w:rsid w:val="001A3355"/>
    <w:rsid w:val="001A337F"/>
    <w:rsid w:val="001A33C9"/>
    <w:rsid w:val="001A3551"/>
    <w:rsid w:val="001A3C16"/>
    <w:rsid w:val="001A3D9D"/>
    <w:rsid w:val="001A3DB8"/>
    <w:rsid w:val="001A40A5"/>
    <w:rsid w:val="001A412F"/>
    <w:rsid w:val="001A43FA"/>
    <w:rsid w:val="001A47C5"/>
    <w:rsid w:val="001A4B53"/>
    <w:rsid w:val="001A4BB4"/>
    <w:rsid w:val="001A580E"/>
    <w:rsid w:val="001A58A4"/>
    <w:rsid w:val="001A59FB"/>
    <w:rsid w:val="001A5DFA"/>
    <w:rsid w:val="001A5E9E"/>
    <w:rsid w:val="001A6354"/>
    <w:rsid w:val="001A6366"/>
    <w:rsid w:val="001A65BB"/>
    <w:rsid w:val="001A65D3"/>
    <w:rsid w:val="001A69B8"/>
    <w:rsid w:val="001A6E2D"/>
    <w:rsid w:val="001A6FA5"/>
    <w:rsid w:val="001A715A"/>
    <w:rsid w:val="001A72A2"/>
    <w:rsid w:val="001A7447"/>
    <w:rsid w:val="001A745B"/>
    <w:rsid w:val="001A74FF"/>
    <w:rsid w:val="001A750F"/>
    <w:rsid w:val="001A79D3"/>
    <w:rsid w:val="001A79FC"/>
    <w:rsid w:val="001A7AE8"/>
    <w:rsid w:val="001B0758"/>
    <w:rsid w:val="001B08B3"/>
    <w:rsid w:val="001B0AC9"/>
    <w:rsid w:val="001B0B27"/>
    <w:rsid w:val="001B0E11"/>
    <w:rsid w:val="001B0E74"/>
    <w:rsid w:val="001B1523"/>
    <w:rsid w:val="001B1542"/>
    <w:rsid w:val="001B1739"/>
    <w:rsid w:val="001B18AC"/>
    <w:rsid w:val="001B1919"/>
    <w:rsid w:val="001B1927"/>
    <w:rsid w:val="001B1E67"/>
    <w:rsid w:val="001B204E"/>
    <w:rsid w:val="001B2372"/>
    <w:rsid w:val="001B2983"/>
    <w:rsid w:val="001B2DBF"/>
    <w:rsid w:val="001B2F24"/>
    <w:rsid w:val="001B33F0"/>
    <w:rsid w:val="001B3443"/>
    <w:rsid w:val="001B3747"/>
    <w:rsid w:val="001B39CA"/>
    <w:rsid w:val="001B3C28"/>
    <w:rsid w:val="001B3DC2"/>
    <w:rsid w:val="001B3DF8"/>
    <w:rsid w:val="001B3E49"/>
    <w:rsid w:val="001B4197"/>
    <w:rsid w:val="001B42C9"/>
    <w:rsid w:val="001B42E1"/>
    <w:rsid w:val="001B4555"/>
    <w:rsid w:val="001B4645"/>
    <w:rsid w:val="001B4D20"/>
    <w:rsid w:val="001B4DEE"/>
    <w:rsid w:val="001B51FA"/>
    <w:rsid w:val="001B5540"/>
    <w:rsid w:val="001B570B"/>
    <w:rsid w:val="001B5C93"/>
    <w:rsid w:val="001B634A"/>
    <w:rsid w:val="001B64BA"/>
    <w:rsid w:val="001B65CF"/>
    <w:rsid w:val="001B697F"/>
    <w:rsid w:val="001B6C1A"/>
    <w:rsid w:val="001B6C1D"/>
    <w:rsid w:val="001B71D2"/>
    <w:rsid w:val="001B754B"/>
    <w:rsid w:val="001B7A1B"/>
    <w:rsid w:val="001B7E5E"/>
    <w:rsid w:val="001B7F84"/>
    <w:rsid w:val="001C0424"/>
    <w:rsid w:val="001C076F"/>
    <w:rsid w:val="001C0927"/>
    <w:rsid w:val="001C0929"/>
    <w:rsid w:val="001C0ABE"/>
    <w:rsid w:val="001C0C66"/>
    <w:rsid w:val="001C0EC7"/>
    <w:rsid w:val="001C10E5"/>
    <w:rsid w:val="001C1378"/>
    <w:rsid w:val="001C13C9"/>
    <w:rsid w:val="001C14CB"/>
    <w:rsid w:val="001C18FA"/>
    <w:rsid w:val="001C1E88"/>
    <w:rsid w:val="001C1E96"/>
    <w:rsid w:val="001C21E6"/>
    <w:rsid w:val="001C2304"/>
    <w:rsid w:val="001C2A9B"/>
    <w:rsid w:val="001C3017"/>
    <w:rsid w:val="001C30E2"/>
    <w:rsid w:val="001C328A"/>
    <w:rsid w:val="001C33FD"/>
    <w:rsid w:val="001C352B"/>
    <w:rsid w:val="001C38AB"/>
    <w:rsid w:val="001C3DD6"/>
    <w:rsid w:val="001C4299"/>
    <w:rsid w:val="001C42F7"/>
    <w:rsid w:val="001C444E"/>
    <w:rsid w:val="001C47DE"/>
    <w:rsid w:val="001C4874"/>
    <w:rsid w:val="001C49BE"/>
    <w:rsid w:val="001C4A9D"/>
    <w:rsid w:val="001C4B3D"/>
    <w:rsid w:val="001C4C0D"/>
    <w:rsid w:val="001C4D5F"/>
    <w:rsid w:val="001C4DC0"/>
    <w:rsid w:val="001C50A1"/>
    <w:rsid w:val="001C5607"/>
    <w:rsid w:val="001C5BA4"/>
    <w:rsid w:val="001C5C97"/>
    <w:rsid w:val="001C5CC7"/>
    <w:rsid w:val="001C5E6D"/>
    <w:rsid w:val="001C5F94"/>
    <w:rsid w:val="001C606A"/>
    <w:rsid w:val="001C6A8C"/>
    <w:rsid w:val="001C6E66"/>
    <w:rsid w:val="001C7097"/>
    <w:rsid w:val="001C7306"/>
    <w:rsid w:val="001C76C4"/>
    <w:rsid w:val="001C76F8"/>
    <w:rsid w:val="001C7E88"/>
    <w:rsid w:val="001D0D4C"/>
    <w:rsid w:val="001D0E22"/>
    <w:rsid w:val="001D0F71"/>
    <w:rsid w:val="001D1100"/>
    <w:rsid w:val="001D1217"/>
    <w:rsid w:val="001D1391"/>
    <w:rsid w:val="001D14C6"/>
    <w:rsid w:val="001D17D0"/>
    <w:rsid w:val="001D1C66"/>
    <w:rsid w:val="001D1DAE"/>
    <w:rsid w:val="001D1EBE"/>
    <w:rsid w:val="001D22E4"/>
    <w:rsid w:val="001D25B4"/>
    <w:rsid w:val="001D25D7"/>
    <w:rsid w:val="001D2946"/>
    <w:rsid w:val="001D2B99"/>
    <w:rsid w:val="001D2DF8"/>
    <w:rsid w:val="001D3010"/>
    <w:rsid w:val="001D3117"/>
    <w:rsid w:val="001D33EA"/>
    <w:rsid w:val="001D38C2"/>
    <w:rsid w:val="001D38DD"/>
    <w:rsid w:val="001D39F6"/>
    <w:rsid w:val="001D42C0"/>
    <w:rsid w:val="001D454D"/>
    <w:rsid w:val="001D4B9A"/>
    <w:rsid w:val="001D4BE1"/>
    <w:rsid w:val="001D4CA8"/>
    <w:rsid w:val="001D4D8F"/>
    <w:rsid w:val="001D50B2"/>
    <w:rsid w:val="001D5461"/>
    <w:rsid w:val="001D57E6"/>
    <w:rsid w:val="001D5F55"/>
    <w:rsid w:val="001D6098"/>
    <w:rsid w:val="001D60E4"/>
    <w:rsid w:val="001D6149"/>
    <w:rsid w:val="001D62B8"/>
    <w:rsid w:val="001D6750"/>
    <w:rsid w:val="001D68F3"/>
    <w:rsid w:val="001D70A6"/>
    <w:rsid w:val="001D71F4"/>
    <w:rsid w:val="001D7645"/>
    <w:rsid w:val="001D781F"/>
    <w:rsid w:val="001D7B2F"/>
    <w:rsid w:val="001D7DB1"/>
    <w:rsid w:val="001D7E13"/>
    <w:rsid w:val="001E00FB"/>
    <w:rsid w:val="001E0EC7"/>
    <w:rsid w:val="001E1274"/>
    <w:rsid w:val="001E146C"/>
    <w:rsid w:val="001E1934"/>
    <w:rsid w:val="001E1BDA"/>
    <w:rsid w:val="001E1E86"/>
    <w:rsid w:val="001E210C"/>
    <w:rsid w:val="001E2288"/>
    <w:rsid w:val="001E238E"/>
    <w:rsid w:val="001E2483"/>
    <w:rsid w:val="001E2707"/>
    <w:rsid w:val="001E27CC"/>
    <w:rsid w:val="001E283C"/>
    <w:rsid w:val="001E2B1E"/>
    <w:rsid w:val="001E2C9F"/>
    <w:rsid w:val="001E2CFF"/>
    <w:rsid w:val="001E2F24"/>
    <w:rsid w:val="001E30D4"/>
    <w:rsid w:val="001E32DC"/>
    <w:rsid w:val="001E334D"/>
    <w:rsid w:val="001E34C0"/>
    <w:rsid w:val="001E34DF"/>
    <w:rsid w:val="001E35EC"/>
    <w:rsid w:val="001E3CE6"/>
    <w:rsid w:val="001E42EE"/>
    <w:rsid w:val="001E52EB"/>
    <w:rsid w:val="001E59DF"/>
    <w:rsid w:val="001E5AE6"/>
    <w:rsid w:val="001E5CE8"/>
    <w:rsid w:val="001E5CEF"/>
    <w:rsid w:val="001E5DC6"/>
    <w:rsid w:val="001E61D2"/>
    <w:rsid w:val="001E64EF"/>
    <w:rsid w:val="001E6AEF"/>
    <w:rsid w:val="001E6F15"/>
    <w:rsid w:val="001E740C"/>
    <w:rsid w:val="001E7468"/>
    <w:rsid w:val="001E790A"/>
    <w:rsid w:val="001E792A"/>
    <w:rsid w:val="001E7950"/>
    <w:rsid w:val="001E7A83"/>
    <w:rsid w:val="001E7C5F"/>
    <w:rsid w:val="001F0012"/>
    <w:rsid w:val="001F0245"/>
    <w:rsid w:val="001F03A9"/>
    <w:rsid w:val="001F07CE"/>
    <w:rsid w:val="001F0F86"/>
    <w:rsid w:val="001F1235"/>
    <w:rsid w:val="001F123A"/>
    <w:rsid w:val="001F1363"/>
    <w:rsid w:val="001F173A"/>
    <w:rsid w:val="001F1CB3"/>
    <w:rsid w:val="001F1EFC"/>
    <w:rsid w:val="001F21D4"/>
    <w:rsid w:val="001F28D9"/>
    <w:rsid w:val="001F38B5"/>
    <w:rsid w:val="001F3C54"/>
    <w:rsid w:val="001F3F76"/>
    <w:rsid w:val="001F4081"/>
    <w:rsid w:val="001F447A"/>
    <w:rsid w:val="001F4532"/>
    <w:rsid w:val="001F4B0A"/>
    <w:rsid w:val="001F4B1E"/>
    <w:rsid w:val="001F4DC5"/>
    <w:rsid w:val="001F5B83"/>
    <w:rsid w:val="001F5C59"/>
    <w:rsid w:val="001F5DDE"/>
    <w:rsid w:val="001F5DFF"/>
    <w:rsid w:val="001F5EF3"/>
    <w:rsid w:val="001F5F4A"/>
    <w:rsid w:val="001F6191"/>
    <w:rsid w:val="001F636A"/>
    <w:rsid w:val="001F63FD"/>
    <w:rsid w:val="001F681B"/>
    <w:rsid w:val="001F6B6B"/>
    <w:rsid w:val="001F6D4C"/>
    <w:rsid w:val="001F6F72"/>
    <w:rsid w:val="001F6F9E"/>
    <w:rsid w:val="001F7361"/>
    <w:rsid w:val="001F77F1"/>
    <w:rsid w:val="001F7807"/>
    <w:rsid w:val="001F7983"/>
    <w:rsid w:val="001F7A85"/>
    <w:rsid w:val="00200092"/>
    <w:rsid w:val="002001EA"/>
    <w:rsid w:val="002001FB"/>
    <w:rsid w:val="002005CE"/>
    <w:rsid w:val="002006A5"/>
    <w:rsid w:val="00200D91"/>
    <w:rsid w:val="00200DCB"/>
    <w:rsid w:val="0020119F"/>
    <w:rsid w:val="002011B0"/>
    <w:rsid w:val="002012AA"/>
    <w:rsid w:val="002013CC"/>
    <w:rsid w:val="00201B22"/>
    <w:rsid w:val="00201CFE"/>
    <w:rsid w:val="0020206B"/>
    <w:rsid w:val="002021F2"/>
    <w:rsid w:val="0020253F"/>
    <w:rsid w:val="00202543"/>
    <w:rsid w:val="00202B8B"/>
    <w:rsid w:val="00203181"/>
    <w:rsid w:val="00203783"/>
    <w:rsid w:val="002037C4"/>
    <w:rsid w:val="0020385F"/>
    <w:rsid w:val="00203D69"/>
    <w:rsid w:val="0020409A"/>
    <w:rsid w:val="00204567"/>
    <w:rsid w:val="00204888"/>
    <w:rsid w:val="002048DD"/>
    <w:rsid w:val="00204BD9"/>
    <w:rsid w:val="00205214"/>
    <w:rsid w:val="0020543F"/>
    <w:rsid w:val="00205622"/>
    <w:rsid w:val="0020588D"/>
    <w:rsid w:val="00205BBF"/>
    <w:rsid w:val="00205F14"/>
    <w:rsid w:val="002066E6"/>
    <w:rsid w:val="00206780"/>
    <w:rsid w:val="002068A0"/>
    <w:rsid w:val="002068EC"/>
    <w:rsid w:val="00206937"/>
    <w:rsid w:val="00206D20"/>
    <w:rsid w:val="00207021"/>
    <w:rsid w:val="0020706B"/>
    <w:rsid w:val="0020732F"/>
    <w:rsid w:val="00207543"/>
    <w:rsid w:val="002078CB"/>
    <w:rsid w:val="00207A15"/>
    <w:rsid w:val="00207D00"/>
    <w:rsid w:val="00207D7E"/>
    <w:rsid w:val="00207E91"/>
    <w:rsid w:val="00207FAE"/>
    <w:rsid w:val="002100F9"/>
    <w:rsid w:val="0021018B"/>
    <w:rsid w:val="00210278"/>
    <w:rsid w:val="00210397"/>
    <w:rsid w:val="002105C1"/>
    <w:rsid w:val="002107D0"/>
    <w:rsid w:val="002107E6"/>
    <w:rsid w:val="00210E71"/>
    <w:rsid w:val="00211276"/>
    <w:rsid w:val="002112E7"/>
    <w:rsid w:val="002113D3"/>
    <w:rsid w:val="002115C5"/>
    <w:rsid w:val="002116FD"/>
    <w:rsid w:val="0021170A"/>
    <w:rsid w:val="00211C8D"/>
    <w:rsid w:val="0021211A"/>
    <w:rsid w:val="002124E8"/>
    <w:rsid w:val="0021260D"/>
    <w:rsid w:val="00212696"/>
    <w:rsid w:val="002126F1"/>
    <w:rsid w:val="00212918"/>
    <w:rsid w:val="002129DF"/>
    <w:rsid w:val="00212A67"/>
    <w:rsid w:val="00213095"/>
    <w:rsid w:val="0021354A"/>
    <w:rsid w:val="00213C20"/>
    <w:rsid w:val="00213D99"/>
    <w:rsid w:val="00213EDD"/>
    <w:rsid w:val="00213EF5"/>
    <w:rsid w:val="00213F9D"/>
    <w:rsid w:val="00214BF5"/>
    <w:rsid w:val="0021510D"/>
    <w:rsid w:val="0021587A"/>
    <w:rsid w:val="00215F56"/>
    <w:rsid w:val="00215FAB"/>
    <w:rsid w:val="002164D6"/>
    <w:rsid w:val="0021663F"/>
    <w:rsid w:val="00216B76"/>
    <w:rsid w:val="00216BF5"/>
    <w:rsid w:val="002175BB"/>
    <w:rsid w:val="002177F0"/>
    <w:rsid w:val="00217A6C"/>
    <w:rsid w:val="002202DA"/>
    <w:rsid w:val="002204CC"/>
    <w:rsid w:val="002208A0"/>
    <w:rsid w:val="00220AC2"/>
    <w:rsid w:val="00220C4C"/>
    <w:rsid w:val="00220F28"/>
    <w:rsid w:val="002215C6"/>
    <w:rsid w:val="0022163B"/>
    <w:rsid w:val="00221C44"/>
    <w:rsid w:val="00221E06"/>
    <w:rsid w:val="00222482"/>
    <w:rsid w:val="002227B3"/>
    <w:rsid w:val="00222C14"/>
    <w:rsid w:val="00222C15"/>
    <w:rsid w:val="00223452"/>
    <w:rsid w:val="002237B9"/>
    <w:rsid w:val="00223834"/>
    <w:rsid w:val="002238CA"/>
    <w:rsid w:val="00223912"/>
    <w:rsid w:val="00223B49"/>
    <w:rsid w:val="00223C46"/>
    <w:rsid w:val="00223C8F"/>
    <w:rsid w:val="00223C91"/>
    <w:rsid w:val="00223CC1"/>
    <w:rsid w:val="00223D1D"/>
    <w:rsid w:val="00223D5A"/>
    <w:rsid w:val="00223EC0"/>
    <w:rsid w:val="002242B9"/>
    <w:rsid w:val="00224DD4"/>
    <w:rsid w:val="00224EF4"/>
    <w:rsid w:val="0022544C"/>
    <w:rsid w:val="00225739"/>
    <w:rsid w:val="00225B2B"/>
    <w:rsid w:val="00225E68"/>
    <w:rsid w:val="002261AE"/>
    <w:rsid w:val="00226637"/>
    <w:rsid w:val="002269AA"/>
    <w:rsid w:val="00226AA9"/>
    <w:rsid w:val="00226B63"/>
    <w:rsid w:val="00226CC4"/>
    <w:rsid w:val="00226E47"/>
    <w:rsid w:val="00226EAE"/>
    <w:rsid w:val="00226EF1"/>
    <w:rsid w:val="00227062"/>
    <w:rsid w:val="002273C9"/>
    <w:rsid w:val="00227727"/>
    <w:rsid w:val="002277B0"/>
    <w:rsid w:val="002278A0"/>
    <w:rsid w:val="002278D6"/>
    <w:rsid w:val="00227AFA"/>
    <w:rsid w:val="00227CEA"/>
    <w:rsid w:val="00227CEF"/>
    <w:rsid w:val="00227D26"/>
    <w:rsid w:val="00227E78"/>
    <w:rsid w:val="00230154"/>
    <w:rsid w:val="002303CC"/>
    <w:rsid w:val="002309CC"/>
    <w:rsid w:val="00230EC3"/>
    <w:rsid w:val="0023145F"/>
    <w:rsid w:val="00231916"/>
    <w:rsid w:val="00231923"/>
    <w:rsid w:val="00231AB9"/>
    <w:rsid w:val="00231BA9"/>
    <w:rsid w:val="00231DCA"/>
    <w:rsid w:val="00231E00"/>
    <w:rsid w:val="0023209F"/>
    <w:rsid w:val="00232994"/>
    <w:rsid w:val="002329BF"/>
    <w:rsid w:val="00232EDB"/>
    <w:rsid w:val="002332AE"/>
    <w:rsid w:val="0023352B"/>
    <w:rsid w:val="0023392B"/>
    <w:rsid w:val="00233C01"/>
    <w:rsid w:val="00233C0B"/>
    <w:rsid w:val="00233D7B"/>
    <w:rsid w:val="0023413C"/>
    <w:rsid w:val="00234510"/>
    <w:rsid w:val="002345ED"/>
    <w:rsid w:val="002346F0"/>
    <w:rsid w:val="002349C3"/>
    <w:rsid w:val="00234F54"/>
    <w:rsid w:val="002350BE"/>
    <w:rsid w:val="002351E3"/>
    <w:rsid w:val="00235B26"/>
    <w:rsid w:val="00235D6D"/>
    <w:rsid w:val="00236207"/>
    <w:rsid w:val="0023629D"/>
    <w:rsid w:val="00236542"/>
    <w:rsid w:val="00236567"/>
    <w:rsid w:val="0023660B"/>
    <w:rsid w:val="00236C1C"/>
    <w:rsid w:val="00236F82"/>
    <w:rsid w:val="00237089"/>
    <w:rsid w:val="00237255"/>
    <w:rsid w:val="0023788E"/>
    <w:rsid w:val="00237AB2"/>
    <w:rsid w:val="00240287"/>
    <w:rsid w:val="00240C3C"/>
    <w:rsid w:val="00241124"/>
    <w:rsid w:val="00241415"/>
    <w:rsid w:val="00241C9A"/>
    <w:rsid w:val="00241CE2"/>
    <w:rsid w:val="00241CF2"/>
    <w:rsid w:val="00241ECC"/>
    <w:rsid w:val="002423AD"/>
    <w:rsid w:val="002424AF"/>
    <w:rsid w:val="00242646"/>
    <w:rsid w:val="002427A7"/>
    <w:rsid w:val="00242B0E"/>
    <w:rsid w:val="00242BCD"/>
    <w:rsid w:val="002431A2"/>
    <w:rsid w:val="00243361"/>
    <w:rsid w:val="00243522"/>
    <w:rsid w:val="00243981"/>
    <w:rsid w:val="002439DC"/>
    <w:rsid w:val="00243BCF"/>
    <w:rsid w:val="00243EB5"/>
    <w:rsid w:val="00243FC7"/>
    <w:rsid w:val="002441D2"/>
    <w:rsid w:val="002444B0"/>
    <w:rsid w:val="002447B6"/>
    <w:rsid w:val="002448C2"/>
    <w:rsid w:val="00244AF9"/>
    <w:rsid w:val="00244C0D"/>
    <w:rsid w:val="00244DB5"/>
    <w:rsid w:val="00244DC8"/>
    <w:rsid w:val="00244E0B"/>
    <w:rsid w:val="00244EDB"/>
    <w:rsid w:val="0024525B"/>
    <w:rsid w:val="002454C2"/>
    <w:rsid w:val="002458BA"/>
    <w:rsid w:val="00245AA1"/>
    <w:rsid w:val="00245CE9"/>
    <w:rsid w:val="002462FA"/>
    <w:rsid w:val="0024636C"/>
    <w:rsid w:val="0024662C"/>
    <w:rsid w:val="002466E6"/>
    <w:rsid w:val="002468E1"/>
    <w:rsid w:val="00246974"/>
    <w:rsid w:val="00246CAB"/>
    <w:rsid w:val="00246CC7"/>
    <w:rsid w:val="00246F4B"/>
    <w:rsid w:val="0024715C"/>
    <w:rsid w:val="00247925"/>
    <w:rsid w:val="00247C39"/>
    <w:rsid w:val="00247D40"/>
    <w:rsid w:val="00247FEA"/>
    <w:rsid w:val="002500A3"/>
    <w:rsid w:val="00250607"/>
    <w:rsid w:val="00250C1A"/>
    <w:rsid w:val="00250D9E"/>
    <w:rsid w:val="00251006"/>
    <w:rsid w:val="002512C2"/>
    <w:rsid w:val="00251530"/>
    <w:rsid w:val="00251572"/>
    <w:rsid w:val="00251830"/>
    <w:rsid w:val="00251908"/>
    <w:rsid w:val="00251948"/>
    <w:rsid w:val="00251A41"/>
    <w:rsid w:val="00252439"/>
    <w:rsid w:val="002524D5"/>
    <w:rsid w:val="00252584"/>
    <w:rsid w:val="00252CC5"/>
    <w:rsid w:val="002533D0"/>
    <w:rsid w:val="00253648"/>
    <w:rsid w:val="00253694"/>
    <w:rsid w:val="00253B1D"/>
    <w:rsid w:val="002541C1"/>
    <w:rsid w:val="0025427B"/>
    <w:rsid w:val="00254440"/>
    <w:rsid w:val="002547C3"/>
    <w:rsid w:val="00254DCF"/>
    <w:rsid w:val="002551FB"/>
    <w:rsid w:val="002552FF"/>
    <w:rsid w:val="0025534B"/>
    <w:rsid w:val="00255B45"/>
    <w:rsid w:val="00255B5A"/>
    <w:rsid w:val="00255BB7"/>
    <w:rsid w:val="00255CBF"/>
    <w:rsid w:val="002560E4"/>
    <w:rsid w:val="00256453"/>
    <w:rsid w:val="0025645E"/>
    <w:rsid w:val="00256618"/>
    <w:rsid w:val="00256AAA"/>
    <w:rsid w:val="00257541"/>
    <w:rsid w:val="00257577"/>
    <w:rsid w:val="00257A39"/>
    <w:rsid w:val="00257AC4"/>
    <w:rsid w:val="00257AE8"/>
    <w:rsid w:val="00257BBE"/>
    <w:rsid w:val="00257BC1"/>
    <w:rsid w:val="00257F95"/>
    <w:rsid w:val="00260028"/>
    <w:rsid w:val="00260228"/>
    <w:rsid w:val="0026022F"/>
    <w:rsid w:val="0026066D"/>
    <w:rsid w:val="0026070B"/>
    <w:rsid w:val="00260B68"/>
    <w:rsid w:val="00260EF9"/>
    <w:rsid w:val="00261665"/>
    <w:rsid w:val="002619EC"/>
    <w:rsid w:val="00261EEC"/>
    <w:rsid w:val="00261EEF"/>
    <w:rsid w:val="00261F4B"/>
    <w:rsid w:val="00262050"/>
    <w:rsid w:val="0026230B"/>
    <w:rsid w:val="00262323"/>
    <w:rsid w:val="00262456"/>
    <w:rsid w:val="00262766"/>
    <w:rsid w:val="00262A1A"/>
    <w:rsid w:val="00262A87"/>
    <w:rsid w:val="00263589"/>
    <w:rsid w:val="002636A1"/>
    <w:rsid w:val="00263723"/>
    <w:rsid w:val="00263CCE"/>
    <w:rsid w:val="00264208"/>
    <w:rsid w:val="0026449B"/>
    <w:rsid w:val="00264D26"/>
    <w:rsid w:val="002655E0"/>
    <w:rsid w:val="00265C19"/>
    <w:rsid w:val="00265C45"/>
    <w:rsid w:val="00265D4A"/>
    <w:rsid w:val="002660DB"/>
    <w:rsid w:val="002661C6"/>
    <w:rsid w:val="002661CA"/>
    <w:rsid w:val="00266252"/>
    <w:rsid w:val="00266C2B"/>
    <w:rsid w:val="00266CDC"/>
    <w:rsid w:val="00266DC0"/>
    <w:rsid w:val="00266E56"/>
    <w:rsid w:val="00267642"/>
    <w:rsid w:val="00267730"/>
    <w:rsid w:val="002677F2"/>
    <w:rsid w:val="00267AEA"/>
    <w:rsid w:val="00267BC4"/>
    <w:rsid w:val="002700E6"/>
    <w:rsid w:val="002703F4"/>
    <w:rsid w:val="002707DE"/>
    <w:rsid w:val="00270D49"/>
    <w:rsid w:val="00271063"/>
    <w:rsid w:val="0027128C"/>
    <w:rsid w:val="002715A4"/>
    <w:rsid w:val="0027189B"/>
    <w:rsid w:val="002718AA"/>
    <w:rsid w:val="002719D3"/>
    <w:rsid w:val="00271C3B"/>
    <w:rsid w:val="00271CD8"/>
    <w:rsid w:val="00272445"/>
    <w:rsid w:val="0027284C"/>
    <w:rsid w:val="002728BE"/>
    <w:rsid w:val="0027294B"/>
    <w:rsid w:val="00272A90"/>
    <w:rsid w:val="00272AEE"/>
    <w:rsid w:val="0027306E"/>
    <w:rsid w:val="0027319D"/>
    <w:rsid w:val="002734A3"/>
    <w:rsid w:val="00273517"/>
    <w:rsid w:val="0027373C"/>
    <w:rsid w:val="00273746"/>
    <w:rsid w:val="002738F5"/>
    <w:rsid w:val="00273EB4"/>
    <w:rsid w:val="002743D1"/>
    <w:rsid w:val="002745D7"/>
    <w:rsid w:val="00274682"/>
    <w:rsid w:val="00274FE8"/>
    <w:rsid w:val="00275158"/>
    <w:rsid w:val="002755F6"/>
    <w:rsid w:val="00275887"/>
    <w:rsid w:val="00275C5A"/>
    <w:rsid w:val="00275D29"/>
    <w:rsid w:val="00275FE1"/>
    <w:rsid w:val="0027627A"/>
    <w:rsid w:val="002763B0"/>
    <w:rsid w:val="00276A78"/>
    <w:rsid w:val="00276A8E"/>
    <w:rsid w:val="00276D9D"/>
    <w:rsid w:val="00276E28"/>
    <w:rsid w:val="00277D6B"/>
    <w:rsid w:val="002804E7"/>
    <w:rsid w:val="00280853"/>
    <w:rsid w:val="0028088F"/>
    <w:rsid w:val="002808F7"/>
    <w:rsid w:val="00280937"/>
    <w:rsid w:val="002809A9"/>
    <w:rsid w:val="00280ADD"/>
    <w:rsid w:val="00280E6F"/>
    <w:rsid w:val="00281014"/>
    <w:rsid w:val="0028110A"/>
    <w:rsid w:val="00281170"/>
    <w:rsid w:val="00281206"/>
    <w:rsid w:val="00281559"/>
    <w:rsid w:val="0028166A"/>
    <w:rsid w:val="00281852"/>
    <w:rsid w:val="002818AB"/>
    <w:rsid w:val="00281C78"/>
    <w:rsid w:val="00281F24"/>
    <w:rsid w:val="00281F7C"/>
    <w:rsid w:val="0028208A"/>
    <w:rsid w:val="00282117"/>
    <w:rsid w:val="0028226D"/>
    <w:rsid w:val="002823DA"/>
    <w:rsid w:val="00282A27"/>
    <w:rsid w:val="00282B32"/>
    <w:rsid w:val="00282DB3"/>
    <w:rsid w:val="002837B5"/>
    <w:rsid w:val="002838B8"/>
    <w:rsid w:val="00283A1B"/>
    <w:rsid w:val="00283CB3"/>
    <w:rsid w:val="00283CEC"/>
    <w:rsid w:val="00283D2A"/>
    <w:rsid w:val="00283F63"/>
    <w:rsid w:val="002840FD"/>
    <w:rsid w:val="002842E8"/>
    <w:rsid w:val="002851D1"/>
    <w:rsid w:val="00285618"/>
    <w:rsid w:val="00285A36"/>
    <w:rsid w:val="00285A87"/>
    <w:rsid w:val="00285BCE"/>
    <w:rsid w:val="00285C74"/>
    <w:rsid w:val="00285E4B"/>
    <w:rsid w:val="00285E54"/>
    <w:rsid w:val="00285F6B"/>
    <w:rsid w:val="0028615A"/>
    <w:rsid w:val="002861FD"/>
    <w:rsid w:val="0028665D"/>
    <w:rsid w:val="002867F3"/>
    <w:rsid w:val="0028747A"/>
    <w:rsid w:val="0028769B"/>
    <w:rsid w:val="00287A68"/>
    <w:rsid w:val="00287B75"/>
    <w:rsid w:val="00287BC7"/>
    <w:rsid w:val="00287C03"/>
    <w:rsid w:val="00287ECE"/>
    <w:rsid w:val="00287F7F"/>
    <w:rsid w:val="002901E9"/>
    <w:rsid w:val="0029024F"/>
    <w:rsid w:val="00290326"/>
    <w:rsid w:val="002904B9"/>
    <w:rsid w:val="002909D1"/>
    <w:rsid w:val="00290B24"/>
    <w:rsid w:val="00291103"/>
    <w:rsid w:val="0029151C"/>
    <w:rsid w:val="00291F18"/>
    <w:rsid w:val="0029217B"/>
    <w:rsid w:val="0029236C"/>
    <w:rsid w:val="002926B7"/>
    <w:rsid w:val="00292ACD"/>
    <w:rsid w:val="00292B9F"/>
    <w:rsid w:val="00292CB5"/>
    <w:rsid w:val="00292E81"/>
    <w:rsid w:val="0029360C"/>
    <w:rsid w:val="002938B6"/>
    <w:rsid w:val="002939AC"/>
    <w:rsid w:val="00293DFD"/>
    <w:rsid w:val="00293FC7"/>
    <w:rsid w:val="0029404E"/>
    <w:rsid w:val="00294133"/>
    <w:rsid w:val="00294AD2"/>
    <w:rsid w:val="00294B07"/>
    <w:rsid w:val="002952AD"/>
    <w:rsid w:val="0029596D"/>
    <w:rsid w:val="00295974"/>
    <w:rsid w:val="002959A5"/>
    <w:rsid w:val="00295B0A"/>
    <w:rsid w:val="00295D67"/>
    <w:rsid w:val="0029603C"/>
    <w:rsid w:val="00296C50"/>
    <w:rsid w:val="00296DB9"/>
    <w:rsid w:val="00296E84"/>
    <w:rsid w:val="002970CF"/>
    <w:rsid w:val="0029737D"/>
    <w:rsid w:val="002975F2"/>
    <w:rsid w:val="00297658"/>
    <w:rsid w:val="00297C03"/>
    <w:rsid w:val="00297E66"/>
    <w:rsid w:val="002A00FC"/>
    <w:rsid w:val="002A0462"/>
    <w:rsid w:val="002A0505"/>
    <w:rsid w:val="002A059D"/>
    <w:rsid w:val="002A0711"/>
    <w:rsid w:val="002A0806"/>
    <w:rsid w:val="002A0880"/>
    <w:rsid w:val="002A08E4"/>
    <w:rsid w:val="002A0B7F"/>
    <w:rsid w:val="002A1329"/>
    <w:rsid w:val="002A1492"/>
    <w:rsid w:val="002A14AB"/>
    <w:rsid w:val="002A15D0"/>
    <w:rsid w:val="002A17E1"/>
    <w:rsid w:val="002A1C58"/>
    <w:rsid w:val="002A1E50"/>
    <w:rsid w:val="002A229B"/>
    <w:rsid w:val="002A2377"/>
    <w:rsid w:val="002A23D4"/>
    <w:rsid w:val="002A24A0"/>
    <w:rsid w:val="002A2823"/>
    <w:rsid w:val="002A2ADE"/>
    <w:rsid w:val="002A2CF4"/>
    <w:rsid w:val="002A2F50"/>
    <w:rsid w:val="002A34E9"/>
    <w:rsid w:val="002A358A"/>
    <w:rsid w:val="002A3938"/>
    <w:rsid w:val="002A406A"/>
    <w:rsid w:val="002A4BC4"/>
    <w:rsid w:val="002A5102"/>
    <w:rsid w:val="002A51EE"/>
    <w:rsid w:val="002A5462"/>
    <w:rsid w:val="002A561A"/>
    <w:rsid w:val="002A5A95"/>
    <w:rsid w:val="002A5B9E"/>
    <w:rsid w:val="002A5C78"/>
    <w:rsid w:val="002A606E"/>
    <w:rsid w:val="002A61B4"/>
    <w:rsid w:val="002A6306"/>
    <w:rsid w:val="002A679A"/>
    <w:rsid w:val="002A6B9C"/>
    <w:rsid w:val="002A6C32"/>
    <w:rsid w:val="002A6E8E"/>
    <w:rsid w:val="002A6F9D"/>
    <w:rsid w:val="002A7385"/>
    <w:rsid w:val="002A7480"/>
    <w:rsid w:val="002A749C"/>
    <w:rsid w:val="002A7943"/>
    <w:rsid w:val="002A7FD3"/>
    <w:rsid w:val="002B008C"/>
    <w:rsid w:val="002B028B"/>
    <w:rsid w:val="002B04EB"/>
    <w:rsid w:val="002B05A1"/>
    <w:rsid w:val="002B065F"/>
    <w:rsid w:val="002B0994"/>
    <w:rsid w:val="002B09A4"/>
    <w:rsid w:val="002B0A8F"/>
    <w:rsid w:val="002B0DDD"/>
    <w:rsid w:val="002B0EDA"/>
    <w:rsid w:val="002B1199"/>
    <w:rsid w:val="002B128F"/>
    <w:rsid w:val="002B12FC"/>
    <w:rsid w:val="002B1C1F"/>
    <w:rsid w:val="002B1E85"/>
    <w:rsid w:val="002B2092"/>
    <w:rsid w:val="002B239D"/>
    <w:rsid w:val="002B28BE"/>
    <w:rsid w:val="002B2912"/>
    <w:rsid w:val="002B2CFC"/>
    <w:rsid w:val="002B2F2C"/>
    <w:rsid w:val="002B2F65"/>
    <w:rsid w:val="002B33C0"/>
    <w:rsid w:val="002B33E6"/>
    <w:rsid w:val="002B3B05"/>
    <w:rsid w:val="002B3CC3"/>
    <w:rsid w:val="002B416D"/>
    <w:rsid w:val="002B432F"/>
    <w:rsid w:val="002B47FC"/>
    <w:rsid w:val="002B4CD9"/>
    <w:rsid w:val="002B4D12"/>
    <w:rsid w:val="002B4F69"/>
    <w:rsid w:val="002B5E49"/>
    <w:rsid w:val="002B62B3"/>
    <w:rsid w:val="002B6394"/>
    <w:rsid w:val="002B6754"/>
    <w:rsid w:val="002B6CCE"/>
    <w:rsid w:val="002B700C"/>
    <w:rsid w:val="002B75F9"/>
    <w:rsid w:val="002B7AD6"/>
    <w:rsid w:val="002B7E01"/>
    <w:rsid w:val="002C0139"/>
    <w:rsid w:val="002C04CE"/>
    <w:rsid w:val="002C06A0"/>
    <w:rsid w:val="002C072C"/>
    <w:rsid w:val="002C0D33"/>
    <w:rsid w:val="002C0EC3"/>
    <w:rsid w:val="002C11CF"/>
    <w:rsid w:val="002C1325"/>
    <w:rsid w:val="002C1598"/>
    <w:rsid w:val="002C1B4B"/>
    <w:rsid w:val="002C1C92"/>
    <w:rsid w:val="002C1E80"/>
    <w:rsid w:val="002C23FB"/>
    <w:rsid w:val="002C2510"/>
    <w:rsid w:val="002C2775"/>
    <w:rsid w:val="002C27C1"/>
    <w:rsid w:val="002C3195"/>
    <w:rsid w:val="002C3317"/>
    <w:rsid w:val="002C35D4"/>
    <w:rsid w:val="002C36C9"/>
    <w:rsid w:val="002C36E3"/>
    <w:rsid w:val="002C388E"/>
    <w:rsid w:val="002C421C"/>
    <w:rsid w:val="002C47FC"/>
    <w:rsid w:val="002C495F"/>
    <w:rsid w:val="002C4B2A"/>
    <w:rsid w:val="002C4BC4"/>
    <w:rsid w:val="002C504A"/>
    <w:rsid w:val="002C5099"/>
    <w:rsid w:val="002C5111"/>
    <w:rsid w:val="002C5189"/>
    <w:rsid w:val="002C5287"/>
    <w:rsid w:val="002C552E"/>
    <w:rsid w:val="002C55EF"/>
    <w:rsid w:val="002C5889"/>
    <w:rsid w:val="002C59C5"/>
    <w:rsid w:val="002C5D60"/>
    <w:rsid w:val="002C5EC1"/>
    <w:rsid w:val="002C61FB"/>
    <w:rsid w:val="002C626D"/>
    <w:rsid w:val="002C66ED"/>
    <w:rsid w:val="002C6A2D"/>
    <w:rsid w:val="002C6D34"/>
    <w:rsid w:val="002C702C"/>
    <w:rsid w:val="002C702D"/>
    <w:rsid w:val="002C71CE"/>
    <w:rsid w:val="002C7935"/>
    <w:rsid w:val="002C794D"/>
    <w:rsid w:val="002C7AAD"/>
    <w:rsid w:val="002D001D"/>
    <w:rsid w:val="002D017F"/>
    <w:rsid w:val="002D05FE"/>
    <w:rsid w:val="002D08F8"/>
    <w:rsid w:val="002D0B00"/>
    <w:rsid w:val="002D0FC9"/>
    <w:rsid w:val="002D1096"/>
    <w:rsid w:val="002D13DA"/>
    <w:rsid w:val="002D15DA"/>
    <w:rsid w:val="002D193D"/>
    <w:rsid w:val="002D1E4B"/>
    <w:rsid w:val="002D1E78"/>
    <w:rsid w:val="002D250C"/>
    <w:rsid w:val="002D25F4"/>
    <w:rsid w:val="002D28C2"/>
    <w:rsid w:val="002D2918"/>
    <w:rsid w:val="002D2E30"/>
    <w:rsid w:val="002D36E4"/>
    <w:rsid w:val="002D40BB"/>
    <w:rsid w:val="002D416B"/>
    <w:rsid w:val="002D4A39"/>
    <w:rsid w:val="002D4BFA"/>
    <w:rsid w:val="002D4FF3"/>
    <w:rsid w:val="002D5343"/>
    <w:rsid w:val="002D5623"/>
    <w:rsid w:val="002D577C"/>
    <w:rsid w:val="002D5919"/>
    <w:rsid w:val="002D5D27"/>
    <w:rsid w:val="002D6062"/>
    <w:rsid w:val="002D609C"/>
    <w:rsid w:val="002D6637"/>
    <w:rsid w:val="002D74DF"/>
    <w:rsid w:val="002D7832"/>
    <w:rsid w:val="002D7A09"/>
    <w:rsid w:val="002D7A89"/>
    <w:rsid w:val="002D7DF2"/>
    <w:rsid w:val="002D7EAF"/>
    <w:rsid w:val="002E0A22"/>
    <w:rsid w:val="002E0A26"/>
    <w:rsid w:val="002E0AD1"/>
    <w:rsid w:val="002E0B4D"/>
    <w:rsid w:val="002E0C93"/>
    <w:rsid w:val="002E0CFD"/>
    <w:rsid w:val="002E0E27"/>
    <w:rsid w:val="002E1071"/>
    <w:rsid w:val="002E1353"/>
    <w:rsid w:val="002E142F"/>
    <w:rsid w:val="002E15B9"/>
    <w:rsid w:val="002E202C"/>
    <w:rsid w:val="002E2113"/>
    <w:rsid w:val="002E2158"/>
    <w:rsid w:val="002E2747"/>
    <w:rsid w:val="002E285D"/>
    <w:rsid w:val="002E2CBB"/>
    <w:rsid w:val="002E2EE3"/>
    <w:rsid w:val="002E31E6"/>
    <w:rsid w:val="002E325B"/>
    <w:rsid w:val="002E33EC"/>
    <w:rsid w:val="002E3CA2"/>
    <w:rsid w:val="002E4007"/>
    <w:rsid w:val="002E4222"/>
    <w:rsid w:val="002E4548"/>
    <w:rsid w:val="002E47D6"/>
    <w:rsid w:val="002E481C"/>
    <w:rsid w:val="002E48A7"/>
    <w:rsid w:val="002E4A09"/>
    <w:rsid w:val="002E4B72"/>
    <w:rsid w:val="002E4BD4"/>
    <w:rsid w:val="002E4D13"/>
    <w:rsid w:val="002E4F02"/>
    <w:rsid w:val="002E504C"/>
    <w:rsid w:val="002E5222"/>
    <w:rsid w:val="002E5AD4"/>
    <w:rsid w:val="002E5BF4"/>
    <w:rsid w:val="002E5FC6"/>
    <w:rsid w:val="002E6134"/>
    <w:rsid w:val="002E6610"/>
    <w:rsid w:val="002E677B"/>
    <w:rsid w:val="002E67D2"/>
    <w:rsid w:val="002E6801"/>
    <w:rsid w:val="002E68A9"/>
    <w:rsid w:val="002E69C5"/>
    <w:rsid w:val="002E7722"/>
    <w:rsid w:val="002E79BF"/>
    <w:rsid w:val="002E7E2A"/>
    <w:rsid w:val="002F0572"/>
    <w:rsid w:val="002F06FC"/>
    <w:rsid w:val="002F07BA"/>
    <w:rsid w:val="002F0DA9"/>
    <w:rsid w:val="002F1014"/>
    <w:rsid w:val="002F119B"/>
    <w:rsid w:val="002F12C7"/>
    <w:rsid w:val="002F1E16"/>
    <w:rsid w:val="002F1E3B"/>
    <w:rsid w:val="002F21A3"/>
    <w:rsid w:val="002F23FF"/>
    <w:rsid w:val="002F2FA7"/>
    <w:rsid w:val="002F34F7"/>
    <w:rsid w:val="002F3805"/>
    <w:rsid w:val="002F3B57"/>
    <w:rsid w:val="002F3BA6"/>
    <w:rsid w:val="002F4816"/>
    <w:rsid w:val="002F482B"/>
    <w:rsid w:val="002F490A"/>
    <w:rsid w:val="002F4B0D"/>
    <w:rsid w:val="002F4BBF"/>
    <w:rsid w:val="002F4DAA"/>
    <w:rsid w:val="002F51AD"/>
    <w:rsid w:val="002F557D"/>
    <w:rsid w:val="002F5987"/>
    <w:rsid w:val="002F5BE6"/>
    <w:rsid w:val="002F5FF6"/>
    <w:rsid w:val="002F62E5"/>
    <w:rsid w:val="002F6348"/>
    <w:rsid w:val="002F643C"/>
    <w:rsid w:val="002F68E7"/>
    <w:rsid w:val="002F6A31"/>
    <w:rsid w:val="002F6B97"/>
    <w:rsid w:val="002F71C0"/>
    <w:rsid w:val="002F7273"/>
    <w:rsid w:val="002F74F1"/>
    <w:rsid w:val="002F758A"/>
    <w:rsid w:val="003002AB"/>
    <w:rsid w:val="00300645"/>
    <w:rsid w:val="00300933"/>
    <w:rsid w:val="00300A3B"/>
    <w:rsid w:val="00301017"/>
    <w:rsid w:val="0030108F"/>
    <w:rsid w:val="003011DC"/>
    <w:rsid w:val="00301472"/>
    <w:rsid w:val="0030155F"/>
    <w:rsid w:val="003015F9"/>
    <w:rsid w:val="003017F0"/>
    <w:rsid w:val="0030188A"/>
    <w:rsid w:val="00301FC4"/>
    <w:rsid w:val="00302022"/>
    <w:rsid w:val="003023C2"/>
    <w:rsid w:val="003025CC"/>
    <w:rsid w:val="0030268B"/>
    <w:rsid w:val="00302D05"/>
    <w:rsid w:val="0030399D"/>
    <w:rsid w:val="00304010"/>
    <w:rsid w:val="00304016"/>
    <w:rsid w:val="003040BB"/>
    <w:rsid w:val="00304ABD"/>
    <w:rsid w:val="00304B04"/>
    <w:rsid w:val="00304C05"/>
    <w:rsid w:val="00304D26"/>
    <w:rsid w:val="00304E58"/>
    <w:rsid w:val="0030505B"/>
    <w:rsid w:val="0030569B"/>
    <w:rsid w:val="0030587B"/>
    <w:rsid w:val="00305AE5"/>
    <w:rsid w:val="00305EE5"/>
    <w:rsid w:val="00306B18"/>
    <w:rsid w:val="00306D98"/>
    <w:rsid w:val="00306FE7"/>
    <w:rsid w:val="003071FB"/>
    <w:rsid w:val="003074DB"/>
    <w:rsid w:val="0030786C"/>
    <w:rsid w:val="003079A6"/>
    <w:rsid w:val="00307A28"/>
    <w:rsid w:val="00307C54"/>
    <w:rsid w:val="003100A8"/>
    <w:rsid w:val="00310319"/>
    <w:rsid w:val="0031031A"/>
    <w:rsid w:val="00310455"/>
    <w:rsid w:val="00310634"/>
    <w:rsid w:val="00310981"/>
    <w:rsid w:val="0031132B"/>
    <w:rsid w:val="003118E0"/>
    <w:rsid w:val="00311A46"/>
    <w:rsid w:val="00311AAB"/>
    <w:rsid w:val="00311D9B"/>
    <w:rsid w:val="00311F01"/>
    <w:rsid w:val="003121E4"/>
    <w:rsid w:val="0031224C"/>
    <w:rsid w:val="003124D9"/>
    <w:rsid w:val="00312594"/>
    <w:rsid w:val="003126F1"/>
    <w:rsid w:val="0031311B"/>
    <w:rsid w:val="0031327D"/>
    <w:rsid w:val="003132A6"/>
    <w:rsid w:val="00313451"/>
    <w:rsid w:val="00313A56"/>
    <w:rsid w:val="00313AD7"/>
    <w:rsid w:val="00313DA0"/>
    <w:rsid w:val="003148C5"/>
    <w:rsid w:val="00314948"/>
    <w:rsid w:val="00314EFC"/>
    <w:rsid w:val="00315498"/>
    <w:rsid w:val="00315EB3"/>
    <w:rsid w:val="00316046"/>
    <w:rsid w:val="00316474"/>
    <w:rsid w:val="00316789"/>
    <w:rsid w:val="003169E2"/>
    <w:rsid w:val="00316A41"/>
    <w:rsid w:val="00316F27"/>
    <w:rsid w:val="00317052"/>
    <w:rsid w:val="0031738C"/>
    <w:rsid w:val="00317691"/>
    <w:rsid w:val="003176E1"/>
    <w:rsid w:val="003200C2"/>
    <w:rsid w:val="0032045E"/>
    <w:rsid w:val="003206B2"/>
    <w:rsid w:val="003209F4"/>
    <w:rsid w:val="00320A0E"/>
    <w:rsid w:val="00320EB7"/>
    <w:rsid w:val="00321A25"/>
    <w:rsid w:val="00321E69"/>
    <w:rsid w:val="00321FF2"/>
    <w:rsid w:val="003220F5"/>
    <w:rsid w:val="00322107"/>
    <w:rsid w:val="003221F6"/>
    <w:rsid w:val="00322355"/>
    <w:rsid w:val="00322484"/>
    <w:rsid w:val="00322846"/>
    <w:rsid w:val="00322902"/>
    <w:rsid w:val="00322DB4"/>
    <w:rsid w:val="00323035"/>
    <w:rsid w:val="00323175"/>
    <w:rsid w:val="0032379F"/>
    <w:rsid w:val="003238D2"/>
    <w:rsid w:val="00323A10"/>
    <w:rsid w:val="00323A66"/>
    <w:rsid w:val="00323C99"/>
    <w:rsid w:val="00323DB8"/>
    <w:rsid w:val="0032403A"/>
    <w:rsid w:val="00324164"/>
    <w:rsid w:val="0032456A"/>
    <w:rsid w:val="003246A9"/>
    <w:rsid w:val="00324BCC"/>
    <w:rsid w:val="00325489"/>
    <w:rsid w:val="003255A7"/>
    <w:rsid w:val="0032562B"/>
    <w:rsid w:val="00325E31"/>
    <w:rsid w:val="00326034"/>
    <w:rsid w:val="00326238"/>
    <w:rsid w:val="00326249"/>
    <w:rsid w:val="00326B10"/>
    <w:rsid w:val="00326DA7"/>
    <w:rsid w:val="00326E3B"/>
    <w:rsid w:val="003270E4"/>
    <w:rsid w:val="00327240"/>
    <w:rsid w:val="00327283"/>
    <w:rsid w:val="003272DC"/>
    <w:rsid w:val="0032767F"/>
    <w:rsid w:val="00327A31"/>
    <w:rsid w:val="00327E94"/>
    <w:rsid w:val="00330875"/>
    <w:rsid w:val="00330C58"/>
    <w:rsid w:val="00330D1C"/>
    <w:rsid w:val="00330DAA"/>
    <w:rsid w:val="00330F5C"/>
    <w:rsid w:val="0033126B"/>
    <w:rsid w:val="00331A1A"/>
    <w:rsid w:val="00331A52"/>
    <w:rsid w:val="00331BA4"/>
    <w:rsid w:val="00331F49"/>
    <w:rsid w:val="00332AF4"/>
    <w:rsid w:val="00332D63"/>
    <w:rsid w:val="003332E7"/>
    <w:rsid w:val="00333348"/>
    <w:rsid w:val="003333E6"/>
    <w:rsid w:val="003334BB"/>
    <w:rsid w:val="003335EE"/>
    <w:rsid w:val="0033365B"/>
    <w:rsid w:val="0033370A"/>
    <w:rsid w:val="00333797"/>
    <w:rsid w:val="003338CF"/>
    <w:rsid w:val="00333BA3"/>
    <w:rsid w:val="00334289"/>
    <w:rsid w:val="003344AF"/>
    <w:rsid w:val="00334696"/>
    <w:rsid w:val="00334DB6"/>
    <w:rsid w:val="003350A0"/>
    <w:rsid w:val="00335471"/>
    <w:rsid w:val="003355BA"/>
    <w:rsid w:val="00336225"/>
    <w:rsid w:val="00336242"/>
    <w:rsid w:val="003366C9"/>
    <w:rsid w:val="0033673A"/>
    <w:rsid w:val="00336884"/>
    <w:rsid w:val="003369DB"/>
    <w:rsid w:val="00337150"/>
    <w:rsid w:val="003371B0"/>
    <w:rsid w:val="003373C7"/>
    <w:rsid w:val="00337784"/>
    <w:rsid w:val="003377D6"/>
    <w:rsid w:val="00337E58"/>
    <w:rsid w:val="00337F7B"/>
    <w:rsid w:val="003400A3"/>
    <w:rsid w:val="00340148"/>
    <w:rsid w:val="00340210"/>
    <w:rsid w:val="003405CC"/>
    <w:rsid w:val="00340B99"/>
    <w:rsid w:val="00340D12"/>
    <w:rsid w:val="00340DF1"/>
    <w:rsid w:val="003411AE"/>
    <w:rsid w:val="003413A8"/>
    <w:rsid w:val="00341593"/>
    <w:rsid w:val="003415B1"/>
    <w:rsid w:val="00341629"/>
    <w:rsid w:val="0034180B"/>
    <w:rsid w:val="00341957"/>
    <w:rsid w:val="003420A8"/>
    <w:rsid w:val="00342122"/>
    <w:rsid w:val="003424FA"/>
    <w:rsid w:val="00342BF2"/>
    <w:rsid w:val="00342C9E"/>
    <w:rsid w:val="0034316E"/>
    <w:rsid w:val="003431C9"/>
    <w:rsid w:val="00343337"/>
    <w:rsid w:val="00343503"/>
    <w:rsid w:val="00343636"/>
    <w:rsid w:val="003439C4"/>
    <w:rsid w:val="00343C56"/>
    <w:rsid w:val="00343F52"/>
    <w:rsid w:val="00344089"/>
    <w:rsid w:val="003445D2"/>
    <w:rsid w:val="00344A2E"/>
    <w:rsid w:val="00344D6C"/>
    <w:rsid w:val="003450DD"/>
    <w:rsid w:val="00345121"/>
    <w:rsid w:val="003453E0"/>
    <w:rsid w:val="003453E6"/>
    <w:rsid w:val="0034629D"/>
    <w:rsid w:val="0034686B"/>
    <w:rsid w:val="00346DAE"/>
    <w:rsid w:val="00346DBD"/>
    <w:rsid w:val="0034701E"/>
    <w:rsid w:val="0034786E"/>
    <w:rsid w:val="003479AF"/>
    <w:rsid w:val="00350247"/>
    <w:rsid w:val="00350380"/>
    <w:rsid w:val="00350694"/>
    <w:rsid w:val="00350D97"/>
    <w:rsid w:val="00350E03"/>
    <w:rsid w:val="00350FA8"/>
    <w:rsid w:val="0035139B"/>
    <w:rsid w:val="00351486"/>
    <w:rsid w:val="003517F9"/>
    <w:rsid w:val="00351BA9"/>
    <w:rsid w:val="0035216A"/>
    <w:rsid w:val="003525A7"/>
    <w:rsid w:val="00352A2D"/>
    <w:rsid w:val="00352A59"/>
    <w:rsid w:val="00352D0A"/>
    <w:rsid w:val="003536BB"/>
    <w:rsid w:val="0035389D"/>
    <w:rsid w:val="00353A55"/>
    <w:rsid w:val="00353AA1"/>
    <w:rsid w:val="00353D85"/>
    <w:rsid w:val="003540F7"/>
    <w:rsid w:val="00354201"/>
    <w:rsid w:val="0035421A"/>
    <w:rsid w:val="00354275"/>
    <w:rsid w:val="00354456"/>
    <w:rsid w:val="003544D4"/>
    <w:rsid w:val="00354B4F"/>
    <w:rsid w:val="00354BCA"/>
    <w:rsid w:val="00354F64"/>
    <w:rsid w:val="003555AE"/>
    <w:rsid w:val="0035560A"/>
    <w:rsid w:val="00355CEB"/>
    <w:rsid w:val="00356030"/>
    <w:rsid w:val="0035620E"/>
    <w:rsid w:val="00356320"/>
    <w:rsid w:val="003565B3"/>
    <w:rsid w:val="00356B3B"/>
    <w:rsid w:val="00356D38"/>
    <w:rsid w:val="00356E80"/>
    <w:rsid w:val="00356F91"/>
    <w:rsid w:val="00357400"/>
    <w:rsid w:val="003575BE"/>
    <w:rsid w:val="00357779"/>
    <w:rsid w:val="00360345"/>
    <w:rsid w:val="0036066E"/>
    <w:rsid w:val="0036091F"/>
    <w:rsid w:val="00361731"/>
    <w:rsid w:val="00361A05"/>
    <w:rsid w:val="00361E14"/>
    <w:rsid w:val="00361EEF"/>
    <w:rsid w:val="003624C4"/>
    <w:rsid w:val="00362555"/>
    <w:rsid w:val="00362C2E"/>
    <w:rsid w:val="00363185"/>
    <w:rsid w:val="0036350A"/>
    <w:rsid w:val="00363688"/>
    <w:rsid w:val="00363A58"/>
    <w:rsid w:val="00363A80"/>
    <w:rsid w:val="00363B00"/>
    <w:rsid w:val="00363B0F"/>
    <w:rsid w:val="00363C6D"/>
    <w:rsid w:val="00363E09"/>
    <w:rsid w:val="00363F7D"/>
    <w:rsid w:val="0036439C"/>
    <w:rsid w:val="003644B9"/>
    <w:rsid w:val="00364564"/>
    <w:rsid w:val="00364C0A"/>
    <w:rsid w:val="003654AC"/>
    <w:rsid w:val="003655E3"/>
    <w:rsid w:val="00365B00"/>
    <w:rsid w:val="003661E2"/>
    <w:rsid w:val="00366783"/>
    <w:rsid w:val="00366809"/>
    <w:rsid w:val="0036710D"/>
    <w:rsid w:val="0036791D"/>
    <w:rsid w:val="00370681"/>
    <w:rsid w:val="003706AB"/>
    <w:rsid w:val="003709CE"/>
    <w:rsid w:val="003710CF"/>
    <w:rsid w:val="00371911"/>
    <w:rsid w:val="00371977"/>
    <w:rsid w:val="00371ABA"/>
    <w:rsid w:val="00371FDA"/>
    <w:rsid w:val="00372AC6"/>
    <w:rsid w:val="00372D38"/>
    <w:rsid w:val="00373022"/>
    <w:rsid w:val="003732CB"/>
    <w:rsid w:val="003734AB"/>
    <w:rsid w:val="003734F4"/>
    <w:rsid w:val="0037350F"/>
    <w:rsid w:val="0037358A"/>
    <w:rsid w:val="0037359D"/>
    <w:rsid w:val="00373970"/>
    <w:rsid w:val="00373DBA"/>
    <w:rsid w:val="00373F19"/>
    <w:rsid w:val="003746ED"/>
    <w:rsid w:val="00374857"/>
    <w:rsid w:val="00374B7B"/>
    <w:rsid w:val="0037506D"/>
    <w:rsid w:val="003750F6"/>
    <w:rsid w:val="0037562A"/>
    <w:rsid w:val="00375640"/>
    <w:rsid w:val="00375776"/>
    <w:rsid w:val="003760FC"/>
    <w:rsid w:val="00376555"/>
    <w:rsid w:val="0037677D"/>
    <w:rsid w:val="003767C1"/>
    <w:rsid w:val="003768B7"/>
    <w:rsid w:val="00376BAB"/>
    <w:rsid w:val="00377201"/>
    <w:rsid w:val="003772E0"/>
    <w:rsid w:val="00377937"/>
    <w:rsid w:val="00377EF2"/>
    <w:rsid w:val="003801ED"/>
    <w:rsid w:val="00380356"/>
    <w:rsid w:val="00380424"/>
    <w:rsid w:val="00380583"/>
    <w:rsid w:val="00380A49"/>
    <w:rsid w:val="00380CCB"/>
    <w:rsid w:val="00380FBC"/>
    <w:rsid w:val="00381256"/>
    <w:rsid w:val="00381411"/>
    <w:rsid w:val="00381B8A"/>
    <w:rsid w:val="00381BDB"/>
    <w:rsid w:val="00381E83"/>
    <w:rsid w:val="00381F02"/>
    <w:rsid w:val="003826D8"/>
    <w:rsid w:val="0038274C"/>
    <w:rsid w:val="00382C08"/>
    <w:rsid w:val="00382ED3"/>
    <w:rsid w:val="00383490"/>
    <w:rsid w:val="00383531"/>
    <w:rsid w:val="003835CC"/>
    <w:rsid w:val="0038365C"/>
    <w:rsid w:val="0038369B"/>
    <w:rsid w:val="00383A1B"/>
    <w:rsid w:val="00383B78"/>
    <w:rsid w:val="00383D68"/>
    <w:rsid w:val="00383E57"/>
    <w:rsid w:val="00384100"/>
    <w:rsid w:val="00384214"/>
    <w:rsid w:val="003845D0"/>
    <w:rsid w:val="0038469C"/>
    <w:rsid w:val="00384772"/>
    <w:rsid w:val="00384780"/>
    <w:rsid w:val="003848A1"/>
    <w:rsid w:val="00384965"/>
    <w:rsid w:val="00384A96"/>
    <w:rsid w:val="00384D38"/>
    <w:rsid w:val="0038576B"/>
    <w:rsid w:val="003859AF"/>
    <w:rsid w:val="00385A9D"/>
    <w:rsid w:val="00385ABF"/>
    <w:rsid w:val="00385CBD"/>
    <w:rsid w:val="003860BB"/>
    <w:rsid w:val="00386885"/>
    <w:rsid w:val="00386FEA"/>
    <w:rsid w:val="00387121"/>
    <w:rsid w:val="00387152"/>
    <w:rsid w:val="0038751A"/>
    <w:rsid w:val="00387738"/>
    <w:rsid w:val="00387A17"/>
    <w:rsid w:val="00387A53"/>
    <w:rsid w:val="00387BB2"/>
    <w:rsid w:val="00387E31"/>
    <w:rsid w:val="003902B1"/>
    <w:rsid w:val="00390380"/>
    <w:rsid w:val="003903F4"/>
    <w:rsid w:val="00391236"/>
    <w:rsid w:val="0039179C"/>
    <w:rsid w:val="00391850"/>
    <w:rsid w:val="00391907"/>
    <w:rsid w:val="00391940"/>
    <w:rsid w:val="003923BE"/>
    <w:rsid w:val="00392812"/>
    <w:rsid w:val="0039281F"/>
    <w:rsid w:val="00392A00"/>
    <w:rsid w:val="00393026"/>
    <w:rsid w:val="0039306F"/>
    <w:rsid w:val="00393302"/>
    <w:rsid w:val="003937EE"/>
    <w:rsid w:val="0039397E"/>
    <w:rsid w:val="00393C70"/>
    <w:rsid w:val="00394994"/>
    <w:rsid w:val="00394D60"/>
    <w:rsid w:val="003951B1"/>
    <w:rsid w:val="00395232"/>
    <w:rsid w:val="003953DC"/>
    <w:rsid w:val="00395C2C"/>
    <w:rsid w:val="00396085"/>
    <w:rsid w:val="003964A1"/>
    <w:rsid w:val="00396536"/>
    <w:rsid w:val="0039673A"/>
    <w:rsid w:val="00396896"/>
    <w:rsid w:val="00396CE0"/>
    <w:rsid w:val="00396FD0"/>
    <w:rsid w:val="003971CD"/>
    <w:rsid w:val="003972ED"/>
    <w:rsid w:val="00397688"/>
    <w:rsid w:val="0039782E"/>
    <w:rsid w:val="00397946"/>
    <w:rsid w:val="00397955"/>
    <w:rsid w:val="00397CFC"/>
    <w:rsid w:val="00397DCE"/>
    <w:rsid w:val="00397E43"/>
    <w:rsid w:val="00397E9B"/>
    <w:rsid w:val="003A047A"/>
    <w:rsid w:val="003A0AC4"/>
    <w:rsid w:val="003A0C44"/>
    <w:rsid w:val="003A0EE5"/>
    <w:rsid w:val="003A11B4"/>
    <w:rsid w:val="003A13C6"/>
    <w:rsid w:val="003A183D"/>
    <w:rsid w:val="003A192A"/>
    <w:rsid w:val="003A1A7A"/>
    <w:rsid w:val="003A1AE4"/>
    <w:rsid w:val="003A1E22"/>
    <w:rsid w:val="003A1F7C"/>
    <w:rsid w:val="003A2222"/>
    <w:rsid w:val="003A2278"/>
    <w:rsid w:val="003A2392"/>
    <w:rsid w:val="003A24DA"/>
    <w:rsid w:val="003A2710"/>
    <w:rsid w:val="003A2831"/>
    <w:rsid w:val="003A2A54"/>
    <w:rsid w:val="003A2AB8"/>
    <w:rsid w:val="003A2ABB"/>
    <w:rsid w:val="003A2BD2"/>
    <w:rsid w:val="003A2DD2"/>
    <w:rsid w:val="003A34EC"/>
    <w:rsid w:val="003A36D2"/>
    <w:rsid w:val="003A3761"/>
    <w:rsid w:val="003A3BBB"/>
    <w:rsid w:val="003A3C53"/>
    <w:rsid w:val="003A3CB6"/>
    <w:rsid w:val="003A3CDA"/>
    <w:rsid w:val="003A3CFB"/>
    <w:rsid w:val="003A3ED1"/>
    <w:rsid w:val="003A3FFC"/>
    <w:rsid w:val="003A4115"/>
    <w:rsid w:val="003A42E9"/>
    <w:rsid w:val="003A44DB"/>
    <w:rsid w:val="003A45EE"/>
    <w:rsid w:val="003A48D3"/>
    <w:rsid w:val="003A4C14"/>
    <w:rsid w:val="003A4CF4"/>
    <w:rsid w:val="003A4D4D"/>
    <w:rsid w:val="003A4EF9"/>
    <w:rsid w:val="003A4FDC"/>
    <w:rsid w:val="003A517A"/>
    <w:rsid w:val="003A54CB"/>
    <w:rsid w:val="003A590A"/>
    <w:rsid w:val="003A5A2B"/>
    <w:rsid w:val="003A5CE2"/>
    <w:rsid w:val="003A61E2"/>
    <w:rsid w:val="003A648E"/>
    <w:rsid w:val="003A6D61"/>
    <w:rsid w:val="003A6E21"/>
    <w:rsid w:val="003A7095"/>
    <w:rsid w:val="003A70CB"/>
    <w:rsid w:val="003A78F6"/>
    <w:rsid w:val="003A791E"/>
    <w:rsid w:val="003A7BC2"/>
    <w:rsid w:val="003A7BF1"/>
    <w:rsid w:val="003A7D11"/>
    <w:rsid w:val="003B0061"/>
    <w:rsid w:val="003B046D"/>
    <w:rsid w:val="003B098D"/>
    <w:rsid w:val="003B0AFD"/>
    <w:rsid w:val="003B197A"/>
    <w:rsid w:val="003B1DB5"/>
    <w:rsid w:val="003B1DE6"/>
    <w:rsid w:val="003B1ED4"/>
    <w:rsid w:val="003B2000"/>
    <w:rsid w:val="003B223C"/>
    <w:rsid w:val="003B237E"/>
    <w:rsid w:val="003B2C54"/>
    <w:rsid w:val="003B2F20"/>
    <w:rsid w:val="003B2FC8"/>
    <w:rsid w:val="003B370D"/>
    <w:rsid w:val="003B3811"/>
    <w:rsid w:val="003B3971"/>
    <w:rsid w:val="003B3A7B"/>
    <w:rsid w:val="003B3AF4"/>
    <w:rsid w:val="003B444D"/>
    <w:rsid w:val="003B4AD5"/>
    <w:rsid w:val="003B4DC5"/>
    <w:rsid w:val="003B4DF3"/>
    <w:rsid w:val="003B4E51"/>
    <w:rsid w:val="003B4E54"/>
    <w:rsid w:val="003B4FEE"/>
    <w:rsid w:val="003B55D1"/>
    <w:rsid w:val="003B5B61"/>
    <w:rsid w:val="003B5F7A"/>
    <w:rsid w:val="003B602E"/>
    <w:rsid w:val="003B6065"/>
    <w:rsid w:val="003B63B4"/>
    <w:rsid w:val="003B6B98"/>
    <w:rsid w:val="003B6EA4"/>
    <w:rsid w:val="003B7595"/>
    <w:rsid w:val="003B764B"/>
    <w:rsid w:val="003B77AE"/>
    <w:rsid w:val="003C0112"/>
    <w:rsid w:val="003C0127"/>
    <w:rsid w:val="003C06B3"/>
    <w:rsid w:val="003C0967"/>
    <w:rsid w:val="003C0BA2"/>
    <w:rsid w:val="003C0CA0"/>
    <w:rsid w:val="003C103C"/>
    <w:rsid w:val="003C105C"/>
    <w:rsid w:val="003C1156"/>
    <w:rsid w:val="003C12D0"/>
    <w:rsid w:val="003C13BB"/>
    <w:rsid w:val="003C14F5"/>
    <w:rsid w:val="003C1654"/>
    <w:rsid w:val="003C19BD"/>
    <w:rsid w:val="003C1B8D"/>
    <w:rsid w:val="003C2161"/>
    <w:rsid w:val="003C3B32"/>
    <w:rsid w:val="003C3C96"/>
    <w:rsid w:val="003C429F"/>
    <w:rsid w:val="003C4302"/>
    <w:rsid w:val="003C4687"/>
    <w:rsid w:val="003C4B65"/>
    <w:rsid w:val="003C4CA7"/>
    <w:rsid w:val="003C4D7D"/>
    <w:rsid w:val="003C5542"/>
    <w:rsid w:val="003C56F3"/>
    <w:rsid w:val="003C5859"/>
    <w:rsid w:val="003C5B46"/>
    <w:rsid w:val="003C5B7F"/>
    <w:rsid w:val="003C5D02"/>
    <w:rsid w:val="003C5E03"/>
    <w:rsid w:val="003C5ED7"/>
    <w:rsid w:val="003C671A"/>
    <w:rsid w:val="003C6D69"/>
    <w:rsid w:val="003C6FD6"/>
    <w:rsid w:val="003C70CD"/>
    <w:rsid w:val="003C73BD"/>
    <w:rsid w:val="003C73EE"/>
    <w:rsid w:val="003C73F7"/>
    <w:rsid w:val="003C77A7"/>
    <w:rsid w:val="003C79EB"/>
    <w:rsid w:val="003C7B4C"/>
    <w:rsid w:val="003C7C15"/>
    <w:rsid w:val="003C7D19"/>
    <w:rsid w:val="003C7D2F"/>
    <w:rsid w:val="003C7EED"/>
    <w:rsid w:val="003D078C"/>
    <w:rsid w:val="003D08CD"/>
    <w:rsid w:val="003D0C5A"/>
    <w:rsid w:val="003D0D15"/>
    <w:rsid w:val="003D114F"/>
    <w:rsid w:val="003D11B7"/>
    <w:rsid w:val="003D151A"/>
    <w:rsid w:val="003D16A5"/>
    <w:rsid w:val="003D1828"/>
    <w:rsid w:val="003D1D65"/>
    <w:rsid w:val="003D1DDC"/>
    <w:rsid w:val="003D1DE4"/>
    <w:rsid w:val="003D1E67"/>
    <w:rsid w:val="003D1E9A"/>
    <w:rsid w:val="003D2422"/>
    <w:rsid w:val="003D29AE"/>
    <w:rsid w:val="003D2ABA"/>
    <w:rsid w:val="003D2AE0"/>
    <w:rsid w:val="003D2CD7"/>
    <w:rsid w:val="003D2EA4"/>
    <w:rsid w:val="003D30BF"/>
    <w:rsid w:val="003D30C2"/>
    <w:rsid w:val="003D31CD"/>
    <w:rsid w:val="003D31EC"/>
    <w:rsid w:val="003D3597"/>
    <w:rsid w:val="003D3664"/>
    <w:rsid w:val="003D3782"/>
    <w:rsid w:val="003D389E"/>
    <w:rsid w:val="003D3926"/>
    <w:rsid w:val="003D3969"/>
    <w:rsid w:val="003D39A1"/>
    <w:rsid w:val="003D39EB"/>
    <w:rsid w:val="003D3FBF"/>
    <w:rsid w:val="003D3FDA"/>
    <w:rsid w:val="003D4781"/>
    <w:rsid w:val="003D48AF"/>
    <w:rsid w:val="003D49F9"/>
    <w:rsid w:val="003D4A30"/>
    <w:rsid w:val="003D4B75"/>
    <w:rsid w:val="003D4BE1"/>
    <w:rsid w:val="003D4CE1"/>
    <w:rsid w:val="003D4EF6"/>
    <w:rsid w:val="003D5035"/>
    <w:rsid w:val="003D50DF"/>
    <w:rsid w:val="003D50ED"/>
    <w:rsid w:val="003D5404"/>
    <w:rsid w:val="003D5929"/>
    <w:rsid w:val="003D5C25"/>
    <w:rsid w:val="003D5CB6"/>
    <w:rsid w:val="003D5E99"/>
    <w:rsid w:val="003D61C5"/>
    <w:rsid w:val="003D6F84"/>
    <w:rsid w:val="003D7452"/>
    <w:rsid w:val="003D760A"/>
    <w:rsid w:val="003D79BB"/>
    <w:rsid w:val="003D7BD2"/>
    <w:rsid w:val="003D7C98"/>
    <w:rsid w:val="003D7D9D"/>
    <w:rsid w:val="003E00D7"/>
    <w:rsid w:val="003E0343"/>
    <w:rsid w:val="003E0543"/>
    <w:rsid w:val="003E0755"/>
    <w:rsid w:val="003E0B89"/>
    <w:rsid w:val="003E1155"/>
    <w:rsid w:val="003E1286"/>
    <w:rsid w:val="003E16CB"/>
    <w:rsid w:val="003E179A"/>
    <w:rsid w:val="003E18D6"/>
    <w:rsid w:val="003E1DCD"/>
    <w:rsid w:val="003E2901"/>
    <w:rsid w:val="003E3089"/>
    <w:rsid w:val="003E308C"/>
    <w:rsid w:val="003E3329"/>
    <w:rsid w:val="003E3521"/>
    <w:rsid w:val="003E35B0"/>
    <w:rsid w:val="003E391A"/>
    <w:rsid w:val="003E3C5E"/>
    <w:rsid w:val="003E3CA4"/>
    <w:rsid w:val="003E4505"/>
    <w:rsid w:val="003E4646"/>
    <w:rsid w:val="003E46E1"/>
    <w:rsid w:val="003E4D97"/>
    <w:rsid w:val="003E531D"/>
    <w:rsid w:val="003E547A"/>
    <w:rsid w:val="003E5603"/>
    <w:rsid w:val="003E5909"/>
    <w:rsid w:val="003E5D40"/>
    <w:rsid w:val="003E5F0D"/>
    <w:rsid w:val="003E5FAE"/>
    <w:rsid w:val="003E65E6"/>
    <w:rsid w:val="003E660A"/>
    <w:rsid w:val="003E6D4A"/>
    <w:rsid w:val="003E70D4"/>
    <w:rsid w:val="003E7416"/>
    <w:rsid w:val="003E749E"/>
    <w:rsid w:val="003F00ED"/>
    <w:rsid w:val="003F032D"/>
    <w:rsid w:val="003F0694"/>
    <w:rsid w:val="003F07BF"/>
    <w:rsid w:val="003F0E33"/>
    <w:rsid w:val="003F142E"/>
    <w:rsid w:val="003F159A"/>
    <w:rsid w:val="003F1658"/>
    <w:rsid w:val="003F18F9"/>
    <w:rsid w:val="003F1F86"/>
    <w:rsid w:val="003F246D"/>
    <w:rsid w:val="003F27A5"/>
    <w:rsid w:val="003F2A2A"/>
    <w:rsid w:val="003F2CE3"/>
    <w:rsid w:val="003F2EB3"/>
    <w:rsid w:val="003F35AC"/>
    <w:rsid w:val="003F3BFD"/>
    <w:rsid w:val="003F3D75"/>
    <w:rsid w:val="003F4156"/>
    <w:rsid w:val="003F4186"/>
    <w:rsid w:val="003F42A4"/>
    <w:rsid w:val="003F4355"/>
    <w:rsid w:val="003F4399"/>
    <w:rsid w:val="003F44DC"/>
    <w:rsid w:val="003F4ACA"/>
    <w:rsid w:val="003F5387"/>
    <w:rsid w:val="003F5743"/>
    <w:rsid w:val="003F5ADF"/>
    <w:rsid w:val="003F5ED0"/>
    <w:rsid w:val="003F6B68"/>
    <w:rsid w:val="003F6ED1"/>
    <w:rsid w:val="003F70B9"/>
    <w:rsid w:val="003F7368"/>
    <w:rsid w:val="003F7888"/>
    <w:rsid w:val="003F78EF"/>
    <w:rsid w:val="003F7A11"/>
    <w:rsid w:val="003F7D23"/>
    <w:rsid w:val="003F7DC7"/>
    <w:rsid w:val="004003C9"/>
    <w:rsid w:val="004003D0"/>
    <w:rsid w:val="00400582"/>
    <w:rsid w:val="00400B29"/>
    <w:rsid w:val="004011E4"/>
    <w:rsid w:val="004013B3"/>
    <w:rsid w:val="00401CBA"/>
    <w:rsid w:val="00401F3A"/>
    <w:rsid w:val="004021ED"/>
    <w:rsid w:val="00402555"/>
    <w:rsid w:val="004026AD"/>
    <w:rsid w:val="004027FF"/>
    <w:rsid w:val="00402812"/>
    <w:rsid w:val="00402CB1"/>
    <w:rsid w:val="00403055"/>
    <w:rsid w:val="0040322C"/>
    <w:rsid w:val="0040325C"/>
    <w:rsid w:val="00403414"/>
    <w:rsid w:val="00403489"/>
    <w:rsid w:val="00403B09"/>
    <w:rsid w:val="00403E8C"/>
    <w:rsid w:val="00404119"/>
    <w:rsid w:val="004042C2"/>
    <w:rsid w:val="00404504"/>
    <w:rsid w:val="00404649"/>
    <w:rsid w:val="0040471D"/>
    <w:rsid w:val="00404BE0"/>
    <w:rsid w:val="00404F05"/>
    <w:rsid w:val="0040504B"/>
    <w:rsid w:val="004050E8"/>
    <w:rsid w:val="004051CE"/>
    <w:rsid w:val="0040546B"/>
    <w:rsid w:val="004059F4"/>
    <w:rsid w:val="00405A42"/>
    <w:rsid w:val="00405CCB"/>
    <w:rsid w:val="004063A3"/>
    <w:rsid w:val="00406F4B"/>
    <w:rsid w:val="00406F67"/>
    <w:rsid w:val="0040702C"/>
    <w:rsid w:val="004070B4"/>
    <w:rsid w:val="0040713A"/>
    <w:rsid w:val="00407279"/>
    <w:rsid w:val="0040749F"/>
    <w:rsid w:val="004074E7"/>
    <w:rsid w:val="00407545"/>
    <w:rsid w:val="00407625"/>
    <w:rsid w:val="004076C8"/>
    <w:rsid w:val="004077CC"/>
    <w:rsid w:val="00407B63"/>
    <w:rsid w:val="00407E18"/>
    <w:rsid w:val="00407FE5"/>
    <w:rsid w:val="00410179"/>
    <w:rsid w:val="0041017D"/>
    <w:rsid w:val="004101B0"/>
    <w:rsid w:val="004101D5"/>
    <w:rsid w:val="00410326"/>
    <w:rsid w:val="00410347"/>
    <w:rsid w:val="00410708"/>
    <w:rsid w:val="00410C0F"/>
    <w:rsid w:val="00410E17"/>
    <w:rsid w:val="00410EC7"/>
    <w:rsid w:val="00411977"/>
    <w:rsid w:val="00411B39"/>
    <w:rsid w:val="00412171"/>
    <w:rsid w:val="0041219A"/>
    <w:rsid w:val="00412420"/>
    <w:rsid w:val="004127A7"/>
    <w:rsid w:val="00412C92"/>
    <w:rsid w:val="0041382D"/>
    <w:rsid w:val="004138F0"/>
    <w:rsid w:val="004139D3"/>
    <w:rsid w:val="00413A1E"/>
    <w:rsid w:val="00414476"/>
    <w:rsid w:val="00414C2E"/>
    <w:rsid w:val="00414D10"/>
    <w:rsid w:val="00414E69"/>
    <w:rsid w:val="004151B6"/>
    <w:rsid w:val="004151CF"/>
    <w:rsid w:val="00415454"/>
    <w:rsid w:val="00415603"/>
    <w:rsid w:val="0041563B"/>
    <w:rsid w:val="00415769"/>
    <w:rsid w:val="00415AB4"/>
    <w:rsid w:val="00415DFF"/>
    <w:rsid w:val="0041609C"/>
    <w:rsid w:val="00416364"/>
    <w:rsid w:val="00416458"/>
    <w:rsid w:val="0041694B"/>
    <w:rsid w:val="00416F25"/>
    <w:rsid w:val="00417353"/>
    <w:rsid w:val="0041791A"/>
    <w:rsid w:val="00417E08"/>
    <w:rsid w:val="00417F83"/>
    <w:rsid w:val="0042047F"/>
    <w:rsid w:val="00420541"/>
    <w:rsid w:val="0042094A"/>
    <w:rsid w:val="00420AA6"/>
    <w:rsid w:val="00420B9F"/>
    <w:rsid w:val="00420BAA"/>
    <w:rsid w:val="00420BC9"/>
    <w:rsid w:val="00420F2F"/>
    <w:rsid w:val="00421718"/>
    <w:rsid w:val="0042192C"/>
    <w:rsid w:val="00422260"/>
    <w:rsid w:val="004224A6"/>
    <w:rsid w:val="0042269B"/>
    <w:rsid w:val="004226F1"/>
    <w:rsid w:val="00422705"/>
    <w:rsid w:val="00422946"/>
    <w:rsid w:val="00422952"/>
    <w:rsid w:val="00422A13"/>
    <w:rsid w:val="00422DFB"/>
    <w:rsid w:val="00422E12"/>
    <w:rsid w:val="00422E75"/>
    <w:rsid w:val="00422FA9"/>
    <w:rsid w:val="004231D3"/>
    <w:rsid w:val="004231D4"/>
    <w:rsid w:val="00423311"/>
    <w:rsid w:val="0042335C"/>
    <w:rsid w:val="00423530"/>
    <w:rsid w:val="00423689"/>
    <w:rsid w:val="00423739"/>
    <w:rsid w:val="00423FEA"/>
    <w:rsid w:val="00424093"/>
    <w:rsid w:val="0042409C"/>
    <w:rsid w:val="0042413F"/>
    <w:rsid w:val="0042465A"/>
    <w:rsid w:val="00424692"/>
    <w:rsid w:val="004246F4"/>
    <w:rsid w:val="0042476A"/>
    <w:rsid w:val="00424963"/>
    <w:rsid w:val="00424D19"/>
    <w:rsid w:val="00424D52"/>
    <w:rsid w:val="0042503F"/>
    <w:rsid w:val="004250FA"/>
    <w:rsid w:val="00425331"/>
    <w:rsid w:val="004261D9"/>
    <w:rsid w:val="00426246"/>
    <w:rsid w:val="004267C6"/>
    <w:rsid w:val="00426A6E"/>
    <w:rsid w:val="0042706B"/>
    <w:rsid w:val="00427290"/>
    <w:rsid w:val="004272F2"/>
    <w:rsid w:val="00427A41"/>
    <w:rsid w:val="00427D64"/>
    <w:rsid w:val="00430578"/>
    <w:rsid w:val="00430672"/>
    <w:rsid w:val="00430C5B"/>
    <w:rsid w:val="004310EE"/>
    <w:rsid w:val="004312BE"/>
    <w:rsid w:val="0043151E"/>
    <w:rsid w:val="0043165A"/>
    <w:rsid w:val="0043199A"/>
    <w:rsid w:val="004319F8"/>
    <w:rsid w:val="00431AB0"/>
    <w:rsid w:val="00431E4F"/>
    <w:rsid w:val="00431E55"/>
    <w:rsid w:val="004321F6"/>
    <w:rsid w:val="004324BD"/>
    <w:rsid w:val="00432999"/>
    <w:rsid w:val="004329A0"/>
    <w:rsid w:val="00432B98"/>
    <w:rsid w:val="00433044"/>
    <w:rsid w:val="00433318"/>
    <w:rsid w:val="004334D5"/>
    <w:rsid w:val="00433635"/>
    <w:rsid w:val="004336AB"/>
    <w:rsid w:val="00433764"/>
    <w:rsid w:val="00433C56"/>
    <w:rsid w:val="00433FA6"/>
    <w:rsid w:val="00434088"/>
    <w:rsid w:val="004340E3"/>
    <w:rsid w:val="0043426D"/>
    <w:rsid w:val="00434571"/>
    <w:rsid w:val="0043495F"/>
    <w:rsid w:val="00434994"/>
    <w:rsid w:val="004349CD"/>
    <w:rsid w:val="00434A9F"/>
    <w:rsid w:val="00434AA4"/>
    <w:rsid w:val="0043541D"/>
    <w:rsid w:val="0043583E"/>
    <w:rsid w:val="00435AA7"/>
    <w:rsid w:val="00435BB9"/>
    <w:rsid w:val="00435C0E"/>
    <w:rsid w:val="00436215"/>
    <w:rsid w:val="004363A8"/>
    <w:rsid w:val="004363E1"/>
    <w:rsid w:val="00436597"/>
    <w:rsid w:val="00436804"/>
    <w:rsid w:val="004368AF"/>
    <w:rsid w:val="00436914"/>
    <w:rsid w:val="004369A2"/>
    <w:rsid w:val="00436A25"/>
    <w:rsid w:val="00436E5A"/>
    <w:rsid w:val="00437097"/>
    <w:rsid w:val="004373CF"/>
    <w:rsid w:val="004375B9"/>
    <w:rsid w:val="004377FF"/>
    <w:rsid w:val="00437BBD"/>
    <w:rsid w:val="00437FDF"/>
    <w:rsid w:val="004406E9"/>
    <w:rsid w:val="004411DC"/>
    <w:rsid w:val="004413C6"/>
    <w:rsid w:val="004414DC"/>
    <w:rsid w:val="004416F7"/>
    <w:rsid w:val="00441EA6"/>
    <w:rsid w:val="00441F32"/>
    <w:rsid w:val="00441F4E"/>
    <w:rsid w:val="004424E9"/>
    <w:rsid w:val="0044263F"/>
    <w:rsid w:val="004428D0"/>
    <w:rsid w:val="00442AFB"/>
    <w:rsid w:val="0044352D"/>
    <w:rsid w:val="004435E7"/>
    <w:rsid w:val="0044369A"/>
    <w:rsid w:val="00443B0F"/>
    <w:rsid w:val="00443EB5"/>
    <w:rsid w:val="00444185"/>
    <w:rsid w:val="004443A7"/>
    <w:rsid w:val="0044441A"/>
    <w:rsid w:val="0044442C"/>
    <w:rsid w:val="00444678"/>
    <w:rsid w:val="0044491D"/>
    <w:rsid w:val="00444929"/>
    <w:rsid w:val="00444A6E"/>
    <w:rsid w:val="00445072"/>
    <w:rsid w:val="004457FC"/>
    <w:rsid w:val="00445941"/>
    <w:rsid w:val="00445A38"/>
    <w:rsid w:val="00445E4D"/>
    <w:rsid w:val="00445F37"/>
    <w:rsid w:val="004461AC"/>
    <w:rsid w:val="00446314"/>
    <w:rsid w:val="004464EB"/>
    <w:rsid w:val="0044651D"/>
    <w:rsid w:val="00446FC0"/>
    <w:rsid w:val="00446FE9"/>
    <w:rsid w:val="004477CD"/>
    <w:rsid w:val="00447D26"/>
    <w:rsid w:val="00447D93"/>
    <w:rsid w:val="00447DFC"/>
    <w:rsid w:val="00450A57"/>
    <w:rsid w:val="00450BE6"/>
    <w:rsid w:val="00450DC7"/>
    <w:rsid w:val="00450E64"/>
    <w:rsid w:val="0045140D"/>
    <w:rsid w:val="0045158C"/>
    <w:rsid w:val="004515F7"/>
    <w:rsid w:val="004523EC"/>
    <w:rsid w:val="00452871"/>
    <w:rsid w:val="00452A2F"/>
    <w:rsid w:val="00452C67"/>
    <w:rsid w:val="00452C6F"/>
    <w:rsid w:val="004532B5"/>
    <w:rsid w:val="004536C3"/>
    <w:rsid w:val="004538EB"/>
    <w:rsid w:val="00453D96"/>
    <w:rsid w:val="0045438E"/>
    <w:rsid w:val="0045467A"/>
    <w:rsid w:val="00454740"/>
    <w:rsid w:val="00454922"/>
    <w:rsid w:val="00454923"/>
    <w:rsid w:val="00454A37"/>
    <w:rsid w:val="00455055"/>
    <w:rsid w:val="004550BC"/>
    <w:rsid w:val="0045524F"/>
    <w:rsid w:val="0045525A"/>
    <w:rsid w:val="004559BF"/>
    <w:rsid w:val="00455A56"/>
    <w:rsid w:val="00455CE9"/>
    <w:rsid w:val="00455D45"/>
    <w:rsid w:val="00455EFC"/>
    <w:rsid w:val="00456D18"/>
    <w:rsid w:val="00456F9D"/>
    <w:rsid w:val="004573FA"/>
    <w:rsid w:val="00457B01"/>
    <w:rsid w:val="00457BE7"/>
    <w:rsid w:val="0046011F"/>
    <w:rsid w:val="00460B36"/>
    <w:rsid w:val="00460CF9"/>
    <w:rsid w:val="00460E7D"/>
    <w:rsid w:val="00460EE1"/>
    <w:rsid w:val="00460FB3"/>
    <w:rsid w:val="0046108F"/>
    <w:rsid w:val="0046141A"/>
    <w:rsid w:val="004615E8"/>
    <w:rsid w:val="0046165B"/>
    <w:rsid w:val="00461793"/>
    <w:rsid w:val="004619EB"/>
    <w:rsid w:val="00461A09"/>
    <w:rsid w:val="00461DF8"/>
    <w:rsid w:val="00461EA7"/>
    <w:rsid w:val="00461F3F"/>
    <w:rsid w:val="004626B9"/>
    <w:rsid w:val="0046291B"/>
    <w:rsid w:val="004632D2"/>
    <w:rsid w:val="004632F5"/>
    <w:rsid w:val="00463446"/>
    <w:rsid w:val="00463685"/>
    <w:rsid w:val="00463A9D"/>
    <w:rsid w:val="00463C7C"/>
    <w:rsid w:val="00463E00"/>
    <w:rsid w:val="004640E4"/>
    <w:rsid w:val="0046440C"/>
    <w:rsid w:val="00464595"/>
    <w:rsid w:val="004645B2"/>
    <w:rsid w:val="00464624"/>
    <w:rsid w:val="0046575E"/>
    <w:rsid w:val="004658B5"/>
    <w:rsid w:val="004658F3"/>
    <w:rsid w:val="00465BAA"/>
    <w:rsid w:val="00466935"/>
    <w:rsid w:val="00466B5D"/>
    <w:rsid w:val="0046794C"/>
    <w:rsid w:val="004679B5"/>
    <w:rsid w:val="00467BEC"/>
    <w:rsid w:val="00467E19"/>
    <w:rsid w:val="0047007A"/>
    <w:rsid w:val="00470306"/>
    <w:rsid w:val="00470D2E"/>
    <w:rsid w:val="0047101F"/>
    <w:rsid w:val="004713B6"/>
    <w:rsid w:val="004716F3"/>
    <w:rsid w:val="00471DD9"/>
    <w:rsid w:val="00471E1D"/>
    <w:rsid w:val="00471E7E"/>
    <w:rsid w:val="00471EA5"/>
    <w:rsid w:val="00472495"/>
    <w:rsid w:val="004728BF"/>
    <w:rsid w:val="00472A79"/>
    <w:rsid w:val="00472DC2"/>
    <w:rsid w:val="004736E5"/>
    <w:rsid w:val="00473786"/>
    <w:rsid w:val="00473F19"/>
    <w:rsid w:val="00475060"/>
    <w:rsid w:val="00475B86"/>
    <w:rsid w:val="00475E22"/>
    <w:rsid w:val="00476072"/>
    <w:rsid w:val="0047618F"/>
    <w:rsid w:val="00476195"/>
    <w:rsid w:val="004762D7"/>
    <w:rsid w:val="00476879"/>
    <w:rsid w:val="004768B4"/>
    <w:rsid w:val="00476A09"/>
    <w:rsid w:val="00476C2B"/>
    <w:rsid w:val="004770C9"/>
    <w:rsid w:val="004775AA"/>
    <w:rsid w:val="00477A77"/>
    <w:rsid w:val="00477EF0"/>
    <w:rsid w:val="004803C7"/>
    <w:rsid w:val="0048088E"/>
    <w:rsid w:val="0048092B"/>
    <w:rsid w:val="004809A3"/>
    <w:rsid w:val="00480E8C"/>
    <w:rsid w:val="00480F2B"/>
    <w:rsid w:val="0048185B"/>
    <w:rsid w:val="0048249B"/>
    <w:rsid w:val="00482700"/>
    <w:rsid w:val="00482720"/>
    <w:rsid w:val="004827CA"/>
    <w:rsid w:val="004829C2"/>
    <w:rsid w:val="00482A24"/>
    <w:rsid w:val="00482A5E"/>
    <w:rsid w:val="0048317C"/>
    <w:rsid w:val="004835E7"/>
    <w:rsid w:val="004836C3"/>
    <w:rsid w:val="00483B2B"/>
    <w:rsid w:val="00483D4E"/>
    <w:rsid w:val="00483DDB"/>
    <w:rsid w:val="00484017"/>
    <w:rsid w:val="00484565"/>
    <w:rsid w:val="00484EFC"/>
    <w:rsid w:val="00484F33"/>
    <w:rsid w:val="0048543B"/>
    <w:rsid w:val="004854C3"/>
    <w:rsid w:val="00485611"/>
    <w:rsid w:val="004856A0"/>
    <w:rsid w:val="004856D5"/>
    <w:rsid w:val="004859D5"/>
    <w:rsid w:val="004859E1"/>
    <w:rsid w:val="00485B51"/>
    <w:rsid w:val="00485CEF"/>
    <w:rsid w:val="00485EC0"/>
    <w:rsid w:val="00485FBD"/>
    <w:rsid w:val="004865C6"/>
    <w:rsid w:val="004867E2"/>
    <w:rsid w:val="00486990"/>
    <w:rsid w:val="004869D7"/>
    <w:rsid w:val="00486B98"/>
    <w:rsid w:val="00486E6F"/>
    <w:rsid w:val="00486F7F"/>
    <w:rsid w:val="0048721F"/>
    <w:rsid w:val="0048770D"/>
    <w:rsid w:val="00487EB1"/>
    <w:rsid w:val="004905A2"/>
    <w:rsid w:val="004909E5"/>
    <w:rsid w:val="00490B17"/>
    <w:rsid w:val="004913AD"/>
    <w:rsid w:val="0049159C"/>
    <w:rsid w:val="00491B3A"/>
    <w:rsid w:val="00492BC5"/>
    <w:rsid w:val="00492CBB"/>
    <w:rsid w:val="00492CBC"/>
    <w:rsid w:val="00492CFD"/>
    <w:rsid w:val="00492D73"/>
    <w:rsid w:val="00493228"/>
    <w:rsid w:val="004933C2"/>
    <w:rsid w:val="004935FC"/>
    <w:rsid w:val="00493892"/>
    <w:rsid w:val="00493BCE"/>
    <w:rsid w:val="00493BF8"/>
    <w:rsid w:val="00494027"/>
    <w:rsid w:val="00494207"/>
    <w:rsid w:val="004945F2"/>
    <w:rsid w:val="00494DD5"/>
    <w:rsid w:val="00494F99"/>
    <w:rsid w:val="00494FC3"/>
    <w:rsid w:val="004953B8"/>
    <w:rsid w:val="0049544F"/>
    <w:rsid w:val="00495B02"/>
    <w:rsid w:val="00495C0C"/>
    <w:rsid w:val="00495F81"/>
    <w:rsid w:val="0049620D"/>
    <w:rsid w:val="004962D2"/>
    <w:rsid w:val="00496377"/>
    <w:rsid w:val="00496A48"/>
    <w:rsid w:val="00496B39"/>
    <w:rsid w:val="0049760F"/>
    <w:rsid w:val="004979AD"/>
    <w:rsid w:val="00497B17"/>
    <w:rsid w:val="00497CF5"/>
    <w:rsid w:val="00497E0B"/>
    <w:rsid w:val="00497F44"/>
    <w:rsid w:val="00497F5C"/>
    <w:rsid w:val="004A0172"/>
    <w:rsid w:val="004A06DA"/>
    <w:rsid w:val="004A090D"/>
    <w:rsid w:val="004A0A1D"/>
    <w:rsid w:val="004A0B85"/>
    <w:rsid w:val="004A0DA1"/>
    <w:rsid w:val="004A104A"/>
    <w:rsid w:val="004A135C"/>
    <w:rsid w:val="004A13D6"/>
    <w:rsid w:val="004A14E6"/>
    <w:rsid w:val="004A1733"/>
    <w:rsid w:val="004A18B2"/>
    <w:rsid w:val="004A1AE5"/>
    <w:rsid w:val="004A1BCA"/>
    <w:rsid w:val="004A24EF"/>
    <w:rsid w:val="004A2582"/>
    <w:rsid w:val="004A2660"/>
    <w:rsid w:val="004A2928"/>
    <w:rsid w:val="004A293B"/>
    <w:rsid w:val="004A2B6F"/>
    <w:rsid w:val="004A2DE2"/>
    <w:rsid w:val="004A3055"/>
    <w:rsid w:val="004A30AE"/>
    <w:rsid w:val="004A30C6"/>
    <w:rsid w:val="004A30D4"/>
    <w:rsid w:val="004A326B"/>
    <w:rsid w:val="004A400B"/>
    <w:rsid w:val="004A4108"/>
    <w:rsid w:val="004A43CE"/>
    <w:rsid w:val="004A45D9"/>
    <w:rsid w:val="004A4817"/>
    <w:rsid w:val="004A4A24"/>
    <w:rsid w:val="004A4BEE"/>
    <w:rsid w:val="004A4CDF"/>
    <w:rsid w:val="004A4D28"/>
    <w:rsid w:val="004A4D54"/>
    <w:rsid w:val="004A5163"/>
    <w:rsid w:val="004A5281"/>
    <w:rsid w:val="004A52DA"/>
    <w:rsid w:val="004A52E9"/>
    <w:rsid w:val="004A5470"/>
    <w:rsid w:val="004A548E"/>
    <w:rsid w:val="004A55CD"/>
    <w:rsid w:val="004A5A8C"/>
    <w:rsid w:val="004A5BEC"/>
    <w:rsid w:val="004A5E17"/>
    <w:rsid w:val="004A6040"/>
    <w:rsid w:val="004A619B"/>
    <w:rsid w:val="004A6329"/>
    <w:rsid w:val="004A6597"/>
    <w:rsid w:val="004A65B8"/>
    <w:rsid w:val="004A72AA"/>
    <w:rsid w:val="004A7848"/>
    <w:rsid w:val="004A793B"/>
    <w:rsid w:val="004A7EDB"/>
    <w:rsid w:val="004B000A"/>
    <w:rsid w:val="004B00F0"/>
    <w:rsid w:val="004B0565"/>
    <w:rsid w:val="004B0611"/>
    <w:rsid w:val="004B082E"/>
    <w:rsid w:val="004B1744"/>
    <w:rsid w:val="004B1CB4"/>
    <w:rsid w:val="004B21C4"/>
    <w:rsid w:val="004B28A5"/>
    <w:rsid w:val="004B2AF4"/>
    <w:rsid w:val="004B2B86"/>
    <w:rsid w:val="004B2B87"/>
    <w:rsid w:val="004B2F18"/>
    <w:rsid w:val="004B3683"/>
    <w:rsid w:val="004B3DCC"/>
    <w:rsid w:val="004B3DDB"/>
    <w:rsid w:val="004B3F08"/>
    <w:rsid w:val="004B44FD"/>
    <w:rsid w:val="004B4505"/>
    <w:rsid w:val="004B4512"/>
    <w:rsid w:val="004B4578"/>
    <w:rsid w:val="004B4A67"/>
    <w:rsid w:val="004B4A76"/>
    <w:rsid w:val="004B4BA7"/>
    <w:rsid w:val="004B4BD0"/>
    <w:rsid w:val="004B5215"/>
    <w:rsid w:val="004B5866"/>
    <w:rsid w:val="004B5CFC"/>
    <w:rsid w:val="004B5D4C"/>
    <w:rsid w:val="004B6358"/>
    <w:rsid w:val="004B693D"/>
    <w:rsid w:val="004B6987"/>
    <w:rsid w:val="004B6B73"/>
    <w:rsid w:val="004B6B90"/>
    <w:rsid w:val="004B6F79"/>
    <w:rsid w:val="004B7170"/>
    <w:rsid w:val="004B7238"/>
    <w:rsid w:val="004B774D"/>
    <w:rsid w:val="004B7A68"/>
    <w:rsid w:val="004B7A7B"/>
    <w:rsid w:val="004B7C3C"/>
    <w:rsid w:val="004B7D93"/>
    <w:rsid w:val="004C0041"/>
    <w:rsid w:val="004C0086"/>
    <w:rsid w:val="004C0CFB"/>
    <w:rsid w:val="004C0DE7"/>
    <w:rsid w:val="004C0F2C"/>
    <w:rsid w:val="004C11AA"/>
    <w:rsid w:val="004C1493"/>
    <w:rsid w:val="004C187B"/>
    <w:rsid w:val="004C1970"/>
    <w:rsid w:val="004C1B6B"/>
    <w:rsid w:val="004C1D90"/>
    <w:rsid w:val="004C2081"/>
    <w:rsid w:val="004C2268"/>
    <w:rsid w:val="004C258B"/>
    <w:rsid w:val="004C2741"/>
    <w:rsid w:val="004C2852"/>
    <w:rsid w:val="004C2AC2"/>
    <w:rsid w:val="004C2DA2"/>
    <w:rsid w:val="004C2F6E"/>
    <w:rsid w:val="004C2F8F"/>
    <w:rsid w:val="004C32FC"/>
    <w:rsid w:val="004C33E8"/>
    <w:rsid w:val="004C3B02"/>
    <w:rsid w:val="004C3B69"/>
    <w:rsid w:val="004C3C49"/>
    <w:rsid w:val="004C407D"/>
    <w:rsid w:val="004C4128"/>
    <w:rsid w:val="004C4180"/>
    <w:rsid w:val="004C422D"/>
    <w:rsid w:val="004C4496"/>
    <w:rsid w:val="004C492F"/>
    <w:rsid w:val="004C49FC"/>
    <w:rsid w:val="004C4AED"/>
    <w:rsid w:val="004C4C3D"/>
    <w:rsid w:val="004C4C64"/>
    <w:rsid w:val="004C4EB6"/>
    <w:rsid w:val="004C57AE"/>
    <w:rsid w:val="004C5936"/>
    <w:rsid w:val="004C5ADC"/>
    <w:rsid w:val="004C5D38"/>
    <w:rsid w:val="004C5DB4"/>
    <w:rsid w:val="004C6219"/>
    <w:rsid w:val="004C6562"/>
    <w:rsid w:val="004C667F"/>
    <w:rsid w:val="004C67D8"/>
    <w:rsid w:val="004C6C51"/>
    <w:rsid w:val="004C6C64"/>
    <w:rsid w:val="004C6D4D"/>
    <w:rsid w:val="004C714A"/>
    <w:rsid w:val="004C76C7"/>
    <w:rsid w:val="004C7805"/>
    <w:rsid w:val="004C7DCA"/>
    <w:rsid w:val="004D07AB"/>
    <w:rsid w:val="004D07FB"/>
    <w:rsid w:val="004D084B"/>
    <w:rsid w:val="004D088A"/>
    <w:rsid w:val="004D0CA5"/>
    <w:rsid w:val="004D1339"/>
    <w:rsid w:val="004D1432"/>
    <w:rsid w:val="004D1616"/>
    <w:rsid w:val="004D2278"/>
    <w:rsid w:val="004D2A05"/>
    <w:rsid w:val="004D2C2D"/>
    <w:rsid w:val="004D2FDE"/>
    <w:rsid w:val="004D3239"/>
    <w:rsid w:val="004D333E"/>
    <w:rsid w:val="004D369B"/>
    <w:rsid w:val="004D4091"/>
    <w:rsid w:val="004D427C"/>
    <w:rsid w:val="004D43EB"/>
    <w:rsid w:val="004D4AC4"/>
    <w:rsid w:val="004D4DA4"/>
    <w:rsid w:val="004D4FAF"/>
    <w:rsid w:val="004D50D7"/>
    <w:rsid w:val="004D528C"/>
    <w:rsid w:val="004D57AD"/>
    <w:rsid w:val="004D5CF2"/>
    <w:rsid w:val="004D5D8C"/>
    <w:rsid w:val="004D5DA5"/>
    <w:rsid w:val="004D5F3C"/>
    <w:rsid w:val="004D65BF"/>
    <w:rsid w:val="004D6942"/>
    <w:rsid w:val="004D69B5"/>
    <w:rsid w:val="004D69F3"/>
    <w:rsid w:val="004D6A4F"/>
    <w:rsid w:val="004D71DD"/>
    <w:rsid w:val="004D7227"/>
    <w:rsid w:val="004D7646"/>
    <w:rsid w:val="004D76BF"/>
    <w:rsid w:val="004D7B5E"/>
    <w:rsid w:val="004E00C1"/>
    <w:rsid w:val="004E0963"/>
    <w:rsid w:val="004E0E49"/>
    <w:rsid w:val="004E0E7F"/>
    <w:rsid w:val="004E0EB8"/>
    <w:rsid w:val="004E0FD9"/>
    <w:rsid w:val="004E151C"/>
    <w:rsid w:val="004E18E9"/>
    <w:rsid w:val="004E219A"/>
    <w:rsid w:val="004E2228"/>
    <w:rsid w:val="004E2278"/>
    <w:rsid w:val="004E23A1"/>
    <w:rsid w:val="004E25D3"/>
    <w:rsid w:val="004E26DC"/>
    <w:rsid w:val="004E2ADC"/>
    <w:rsid w:val="004E2EB6"/>
    <w:rsid w:val="004E35FE"/>
    <w:rsid w:val="004E37BD"/>
    <w:rsid w:val="004E382B"/>
    <w:rsid w:val="004E3B58"/>
    <w:rsid w:val="004E43B2"/>
    <w:rsid w:val="004E4B94"/>
    <w:rsid w:val="004E4DA4"/>
    <w:rsid w:val="004E4E39"/>
    <w:rsid w:val="004E52B6"/>
    <w:rsid w:val="004E54B4"/>
    <w:rsid w:val="004E5548"/>
    <w:rsid w:val="004E5DE5"/>
    <w:rsid w:val="004E5FB2"/>
    <w:rsid w:val="004E62A7"/>
    <w:rsid w:val="004E64B4"/>
    <w:rsid w:val="004E6622"/>
    <w:rsid w:val="004E6755"/>
    <w:rsid w:val="004E6B4E"/>
    <w:rsid w:val="004E6F31"/>
    <w:rsid w:val="004E7DAD"/>
    <w:rsid w:val="004E7E2E"/>
    <w:rsid w:val="004E7E88"/>
    <w:rsid w:val="004F0365"/>
    <w:rsid w:val="004F0384"/>
    <w:rsid w:val="004F06D4"/>
    <w:rsid w:val="004F07AE"/>
    <w:rsid w:val="004F07B1"/>
    <w:rsid w:val="004F08AF"/>
    <w:rsid w:val="004F0D63"/>
    <w:rsid w:val="004F0E49"/>
    <w:rsid w:val="004F1151"/>
    <w:rsid w:val="004F18B0"/>
    <w:rsid w:val="004F1C70"/>
    <w:rsid w:val="004F1D02"/>
    <w:rsid w:val="004F1E4F"/>
    <w:rsid w:val="004F2679"/>
    <w:rsid w:val="004F27A9"/>
    <w:rsid w:val="004F29D7"/>
    <w:rsid w:val="004F2F21"/>
    <w:rsid w:val="004F3135"/>
    <w:rsid w:val="004F34D0"/>
    <w:rsid w:val="004F3B1C"/>
    <w:rsid w:val="004F3DE5"/>
    <w:rsid w:val="004F40A7"/>
    <w:rsid w:val="004F414A"/>
    <w:rsid w:val="004F45FE"/>
    <w:rsid w:val="004F464A"/>
    <w:rsid w:val="004F46A6"/>
    <w:rsid w:val="004F4937"/>
    <w:rsid w:val="004F4C6C"/>
    <w:rsid w:val="004F4FE3"/>
    <w:rsid w:val="004F504C"/>
    <w:rsid w:val="004F512A"/>
    <w:rsid w:val="004F5161"/>
    <w:rsid w:val="004F5F40"/>
    <w:rsid w:val="004F609F"/>
    <w:rsid w:val="004F632B"/>
    <w:rsid w:val="004F6710"/>
    <w:rsid w:val="004F6913"/>
    <w:rsid w:val="004F730D"/>
    <w:rsid w:val="004F743C"/>
    <w:rsid w:val="004F7481"/>
    <w:rsid w:val="004F75B6"/>
    <w:rsid w:val="004F76F1"/>
    <w:rsid w:val="004F7865"/>
    <w:rsid w:val="004F7AE3"/>
    <w:rsid w:val="004F7E3B"/>
    <w:rsid w:val="005001B8"/>
    <w:rsid w:val="00500673"/>
    <w:rsid w:val="00500B02"/>
    <w:rsid w:val="00500CB4"/>
    <w:rsid w:val="00500E01"/>
    <w:rsid w:val="00501246"/>
    <w:rsid w:val="00501628"/>
    <w:rsid w:val="00501646"/>
    <w:rsid w:val="0050174E"/>
    <w:rsid w:val="0050176F"/>
    <w:rsid w:val="00501774"/>
    <w:rsid w:val="00501854"/>
    <w:rsid w:val="00501938"/>
    <w:rsid w:val="00501FA9"/>
    <w:rsid w:val="0050219B"/>
    <w:rsid w:val="00502229"/>
    <w:rsid w:val="0050266D"/>
    <w:rsid w:val="00502B55"/>
    <w:rsid w:val="00502C4E"/>
    <w:rsid w:val="005034B9"/>
    <w:rsid w:val="00503EC0"/>
    <w:rsid w:val="00503F17"/>
    <w:rsid w:val="00503F3A"/>
    <w:rsid w:val="005050D4"/>
    <w:rsid w:val="00505154"/>
    <w:rsid w:val="00505573"/>
    <w:rsid w:val="00505578"/>
    <w:rsid w:val="0050577F"/>
    <w:rsid w:val="00505B46"/>
    <w:rsid w:val="00505EF9"/>
    <w:rsid w:val="0050662B"/>
    <w:rsid w:val="00506928"/>
    <w:rsid w:val="00506F18"/>
    <w:rsid w:val="005077EF"/>
    <w:rsid w:val="00507F9E"/>
    <w:rsid w:val="00510595"/>
    <w:rsid w:val="00510826"/>
    <w:rsid w:val="0051125D"/>
    <w:rsid w:val="00511AD5"/>
    <w:rsid w:val="00511B87"/>
    <w:rsid w:val="00511C99"/>
    <w:rsid w:val="00511DC7"/>
    <w:rsid w:val="00511DF1"/>
    <w:rsid w:val="00512648"/>
    <w:rsid w:val="005127CF"/>
    <w:rsid w:val="00512B87"/>
    <w:rsid w:val="00512CC3"/>
    <w:rsid w:val="00512F6D"/>
    <w:rsid w:val="00513067"/>
    <w:rsid w:val="005132F1"/>
    <w:rsid w:val="0051338C"/>
    <w:rsid w:val="005133AF"/>
    <w:rsid w:val="00513433"/>
    <w:rsid w:val="005138AB"/>
    <w:rsid w:val="00513ED4"/>
    <w:rsid w:val="00513FD1"/>
    <w:rsid w:val="005142C5"/>
    <w:rsid w:val="005142C8"/>
    <w:rsid w:val="005143F4"/>
    <w:rsid w:val="00514456"/>
    <w:rsid w:val="00514D66"/>
    <w:rsid w:val="00514DF2"/>
    <w:rsid w:val="0051501B"/>
    <w:rsid w:val="00515263"/>
    <w:rsid w:val="005152B5"/>
    <w:rsid w:val="005154C6"/>
    <w:rsid w:val="00515748"/>
    <w:rsid w:val="00515886"/>
    <w:rsid w:val="005158DB"/>
    <w:rsid w:val="00515BD7"/>
    <w:rsid w:val="00515BE0"/>
    <w:rsid w:val="00516128"/>
    <w:rsid w:val="005162B1"/>
    <w:rsid w:val="005164C3"/>
    <w:rsid w:val="005165D9"/>
    <w:rsid w:val="0051677A"/>
    <w:rsid w:val="0051678B"/>
    <w:rsid w:val="00516FD2"/>
    <w:rsid w:val="00517254"/>
    <w:rsid w:val="00517893"/>
    <w:rsid w:val="00517948"/>
    <w:rsid w:val="00517BC6"/>
    <w:rsid w:val="00520B31"/>
    <w:rsid w:val="00520B97"/>
    <w:rsid w:val="00520BA0"/>
    <w:rsid w:val="00520EA5"/>
    <w:rsid w:val="0052104A"/>
    <w:rsid w:val="005210B3"/>
    <w:rsid w:val="00521127"/>
    <w:rsid w:val="0052123C"/>
    <w:rsid w:val="00521319"/>
    <w:rsid w:val="00521369"/>
    <w:rsid w:val="00521F8B"/>
    <w:rsid w:val="00522510"/>
    <w:rsid w:val="00522755"/>
    <w:rsid w:val="005229B0"/>
    <w:rsid w:val="00522BC8"/>
    <w:rsid w:val="00522BCA"/>
    <w:rsid w:val="00522DDA"/>
    <w:rsid w:val="00522F93"/>
    <w:rsid w:val="005230D6"/>
    <w:rsid w:val="00523171"/>
    <w:rsid w:val="0052342C"/>
    <w:rsid w:val="0052350D"/>
    <w:rsid w:val="00523580"/>
    <w:rsid w:val="0052374D"/>
    <w:rsid w:val="00523C28"/>
    <w:rsid w:val="005241CC"/>
    <w:rsid w:val="00524200"/>
    <w:rsid w:val="0052462B"/>
    <w:rsid w:val="00524987"/>
    <w:rsid w:val="00524AAF"/>
    <w:rsid w:val="005253CD"/>
    <w:rsid w:val="00525A60"/>
    <w:rsid w:val="00525C69"/>
    <w:rsid w:val="00525D2E"/>
    <w:rsid w:val="0052606C"/>
    <w:rsid w:val="00526306"/>
    <w:rsid w:val="00526361"/>
    <w:rsid w:val="00526EF8"/>
    <w:rsid w:val="00527268"/>
    <w:rsid w:val="0052757D"/>
    <w:rsid w:val="00527731"/>
    <w:rsid w:val="0052780E"/>
    <w:rsid w:val="00527A7E"/>
    <w:rsid w:val="00527D52"/>
    <w:rsid w:val="00527EDD"/>
    <w:rsid w:val="00530062"/>
    <w:rsid w:val="005301AE"/>
    <w:rsid w:val="005301D9"/>
    <w:rsid w:val="00530394"/>
    <w:rsid w:val="0053052D"/>
    <w:rsid w:val="0053085C"/>
    <w:rsid w:val="00530904"/>
    <w:rsid w:val="005310F5"/>
    <w:rsid w:val="005313A5"/>
    <w:rsid w:val="005316C5"/>
    <w:rsid w:val="0053176B"/>
    <w:rsid w:val="0053178A"/>
    <w:rsid w:val="00531824"/>
    <w:rsid w:val="005319DC"/>
    <w:rsid w:val="00531C42"/>
    <w:rsid w:val="00531C4A"/>
    <w:rsid w:val="00531DC1"/>
    <w:rsid w:val="00531E6F"/>
    <w:rsid w:val="00531FB8"/>
    <w:rsid w:val="00532B4D"/>
    <w:rsid w:val="00532F6B"/>
    <w:rsid w:val="005331DC"/>
    <w:rsid w:val="005337F6"/>
    <w:rsid w:val="00533832"/>
    <w:rsid w:val="005339E7"/>
    <w:rsid w:val="00533ADF"/>
    <w:rsid w:val="00533EDA"/>
    <w:rsid w:val="00533FBE"/>
    <w:rsid w:val="00534079"/>
    <w:rsid w:val="005341B3"/>
    <w:rsid w:val="005342B4"/>
    <w:rsid w:val="00534389"/>
    <w:rsid w:val="005343FD"/>
    <w:rsid w:val="00534441"/>
    <w:rsid w:val="00534813"/>
    <w:rsid w:val="005349C1"/>
    <w:rsid w:val="00534A0E"/>
    <w:rsid w:val="005352F1"/>
    <w:rsid w:val="0053535D"/>
    <w:rsid w:val="00535931"/>
    <w:rsid w:val="00535D19"/>
    <w:rsid w:val="00535D1F"/>
    <w:rsid w:val="00535E6A"/>
    <w:rsid w:val="0053619F"/>
    <w:rsid w:val="005367C9"/>
    <w:rsid w:val="00536BA8"/>
    <w:rsid w:val="00536C1B"/>
    <w:rsid w:val="00536DB9"/>
    <w:rsid w:val="00536F42"/>
    <w:rsid w:val="00537182"/>
    <w:rsid w:val="005373CA"/>
    <w:rsid w:val="00537421"/>
    <w:rsid w:val="00537747"/>
    <w:rsid w:val="00537972"/>
    <w:rsid w:val="00540C96"/>
    <w:rsid w:val="00540D8A"/>
    <w:rsid w:val="00541927"/>
    <w:rsid w:val="00541AD7"/>
    <w:rsid w:val="00541D85"/>
    <w:rsid w:val="00541EDD"/>
    <w:rsid w:val="00541F86"/>
    <w:rsid w:val="00542109"/>
    <w:rsid w:val="00542344"/>
    <w:rsid w:val="005426CE"/>
    <w:rsid w:val="00542743"/>
    <w:rsid w:val="0054293A"/>
    <w:rsid w:val="00542C2D"/>
    <w:rsid w:val="0054305E"/>
    <w:rsid w:val="005431CC"/>
    <w:rsid w:val="005437B3"/>
    <w:rsid w:val="00543A01"/>
    <w:rsid w:val="00543A34"/>
    <w:rsid w:val="00543E78"/>
    <w:rsid w:val="0054468A"/>
    <w:rsid w:val="00544CE9"/>
    <w:rsid w:val="00544DD8"/>
    <w:rsid w:val="00544F82"/>
    <w:rsid w:val="0054543A"/>
    <w:rsid w:val="005455F3"/>
    <w:rsid w:val="00545724"/>
    <w:rsid w:val="00545769"/>
    <w:rsid w:val="0054578A"/>
    <w:rsid w:val="005466DC"/>
    <w:rsid w:val="005466DF"/>
    <w:rsid w:val="00546806"/>
    <w:rsid w:val="00546900"/>
    <w:rsid w:val="00546995"/>
    <w:rsid w:val="00546AF4"/>
    <w:rsid w:val="00546EB9"/>
    <w:rsid w:val="00547542"/>
    <w:rsid w:val="005478BD"/>
    <w:rsid w:val="005479E3"/>
    <w:rsid w:val="00547B56"/>
    <w:rsid w:val="005506B6"/>
    <w:rsid w:val="005507C4"/>
    <w:rsid w:val="00550ABB"/>
    <w:rsid w:val="00550C17"/>
    <w:rsid w:val="00550CF1"/>
    <w:rsid w:val="00550F59"/>
    <w:rsid w:val="005511B1"/>
    <w:rsid w:val="005513E9"/>
    <w:rsid w:val="005515E6"/>
    <w:rsid w:val="00551985"/>
    <w:rsid w:val="00551CA2"/>
    <w:rsid w:val="00552071"/>
    <w:rsid w:val="00552087"/>
    <w:rsid w:val="00552312"/>
    <w:rsid w:val="0055233A"/>
    <w:rsid w:val="00552406"/>
    <w:rsid w:val="00552488"/>
    <w:rsid w:val="00552551"/>
    <w:rsid w:val="00552BD3"/>
    <w:rsid w:val="00552C3B"/>
    <w:rsid w:val="00552C6F"/>
    <w:rsid w:val="00552CBA"/>
    <w:rsid w:val="00552E6C"/>
    <w:rsid w:val="0055307C"/>
    <w:rsid w:val="00553279"/>
    <w:rsid w:val="005532A0"/>
    <w:rsid w:val="005534CC"/>
    <w:rsid w:val="00553709"/>
    <w:rsid w:val="00554131"/>
    <w:rsid w:val="005541BA"/>
    <w:rsid w:val="005542E2"/>
    <w:rsid w:val="005544E7"/>
    <w:rsid w:val="00554660"/>
    <w:rsid w:val="00554805"/>
    <w:rsid w:val="005548ED"/>
    <w:rsid w:val="00554BFA"/>
    <w:rsid w:val="00554D82"/>
    <w:rsid w:val="00554DA8"/>
    <w:rsid w:val="00554F03"/>
    <w:rsid w:val="005550FA"/>
    <w:rsid w:val="00555109"/>
    <w:rsid w:val="00555316"/>
    <w:rsid w:val="005556B6"/>
    <w:rsid w:val="00555700"/>
    <w:rsid w:val="00555897"/>
    <w:rsid w:val="00555B93"/>
    <w:rsid w:val="00555CE0"/>
    <w:rsid w:val="0055668B"/>
    <w:rsid w:val="00556B35"/>
    <w:rsid w:val="00556B4D"/>
    <w:rsid w:val="00556C9C"/>
    <w:rsid w:val="00556CE4"/>
    <w:rsid w:val="005571A8"/>
    <w:rsid w:val="00557227"/>
    <w:rsid w:val="005573E2"/>
    <w:rsid w:val="0055741A"/>
    <w:rsid w:val="005576B9"/>
    <w:rsid w:val="0055772A"/>
    <w:rsid w:val="00557A32"/>
    <w:rsid w:val="00557BDF"/>
    <w:rsid w:val="00557DD1"/>
    <w:rsid w:val="00560181"/>
    <w:rsid w:val="00560917"/>
    <w:rsid w:val="00560CCC"/>
    <w:rsid w:val="00560DE8"/>
    <w:rsid w:val="00560EB6"/>
    <w:rsid w:val="005611B7"/>
    <w:rsid w:val="0056180C"/>
    <w:rsid w:val="005618D4"/>
    <w:rsid w:val="00561FF0"/>
    <w:rsid w:val="005621D2"/>
    <w:rsid w:val="00562567"/>
    <w:rsid w:val="0056295B"/>
    <w:rsid w:val="00562A5C"/>
    <w:rsid w:val="00562D62"/>
    <w:rsid w:val="00562DE9"/>
    <w:rsid w:val="00563152"/>
    <w:rsid w:val="0056339E"/>
    <w:rsid w:val="005633E9"/>
    <w:rsid w:val="00563714"/>
    <w:rsid w:val="00563775"/>
    <w:rsid w:val="0056391E"/>
    <w:rsid w:val="00563B88"/>
    <w:rsid w:val="00563EA9"/>
    <w:rsid w:val="00564867"/>
    <w:rsid w:val="00564D1D"/>
    <w:rsid w:val="00564D92"/>
    <w:rsid w:val="0056509B"/>
    <w:rsid w:val="005655B9"/>
    <w:rsid w:val="005658B5"/>
    <w:rsid w:val="00565C79"/>
    <w:rsid w:val="00565DF0"/>
    <w:rsid w:val="00565EB3"/>
    <w:rsid w:val="00566061"/>
    <w:rsid w:val="005667D0"/>
    <w:rsid w:val="0056696F"/>
    <w:rsid w:val="00566D84"/>
    <w:rsid w:val="00566FCC"/>
    <w:rsid w:val="005671CD"/>
    <w:rsid w:val="00567480"/>
    <w:rsid w:val="005676BF"/>
    <w:rsid w:val="0056773A"/>
    <w:rsid w:val="00567E96"/>
    <w:rsid w:val="00567FFD"/>
    <w:rsid w:val="005702DF"/>
    <w:rsid w:val="005708B2"/>
    <w:rsid w:val="00570DE1"/>
    <w:rsid w:val="005719A9"/>
    <w:rsid w:val="00571CB1"/>
    <w:rsid w:val="00571D7B"/>
    <w:rsid w:val="00571F0E"/>
    <w:rsid w:val="005720FB"/>
    <w:rsid w:val="00572269"/>
    <w:rsid w:val="0057244A"/>
    <w:rsid w:val="00572A3B"/>
    <w:rsid w:val="00572B29"/>
    <w:rsid w:val="00572BBE"/>
    <w:rsid w:val="00572F26"/>
    <w:rsid w:val="00572F65"/>
    <w:rsid w:val="00572F80"/>
    <w:rsid w:val="00573B81"/>
    <w:rsid w:val="00574041"/>
    <w:rsid w:val="0057476A"/>
    <w:rsid w:val="0057488E"/>
    <w:rsid w:val="005748B9"/>
    <w:rsid w:val="00575063"/>
    <w:rsid w:val="005750C5"/>
    <w:rsid w:val="005751C2"/>
    <w:rsid w:val="005752DE"/>
    <w:rsid w:val="00575334"/>
    <w:rsid w:val="00575479"/>
    <w:rsid w:val="005758DC"/>
    <w:rsid w:val="00575AA4"/>
    <w:rsid w:val="00575D60"/>
    <w:rsid w:val="00575D8D"/>
    <w:rsid w:val="0057610B"/>
    <w:rsid w:val="005766B8"/>
    <w:rsid w:val="005766CC"/>
    <w:rsid w:val="00576972"/>
    <w:rsid w:val="00576C82"/>
    <w:rsid w:val="00576E60"/>
    <w:rsid w:val="00576E8F"/>
    <w:rsid w:val="00576F82"/>
    <w:rsid w:val="005770C2"/>
    <w:rsid w:val="00577248"/>
    <w:rsid w:val="00577345"/>
    <w:rsid w:val="005777C1"/>
    <w:rsid w:val="00577B48"/>
    <w:rsid w:val="00577CB0"/>
    <w:rsid w:val="005802AE"/>
    <w:rsid w:val="00580449"/>
    <w:rsid w:val="00580457"/>
    <w:rsid w:val="005804B6"/>
    <w:rsid w:val="00580B47"/>
    <w:rsid w:val="00580E11"/>
    <w:rsid w:val="00581528"/>
    <w:rsid w:val="00581992"/>
    <w:rsid w:val="005819DC"/>
    <w:rsid w:val="00581E36"/>
    <w:rsid w:val="00581E89"/>
    <w:rsid w:val="00581FBE"/>
    <w:rsid w:val="00582311"/>
    <w:rsid w:val="00582683"/>
    <w:rsid w:val="00582718"/>
    <w:rsid w:val="0058288A"/>
    <w:rsid w:val="00582C8F"/>
    <w:rsid w:val="00582D3D"/>
    <w:rsid w:val="00582E24"/>
    <w:rsid w:val="005832A7"/>
    <w:rsid w:val="00583424"/>
    <w:rsid w:val="005834C2"/>
    <w:rsid w:val="00583699"/>
    <w:rsid w:val="00583AD5"/>
    <w:rsid w:val="00583DC2"/>
    <w:rsid w:val="00583E7B"/>
    <w:rsid w:val="005843A7"/>
    <w:rsid w:val="00584567"/>
    <w:rsid w:val="00584617"/>
    <w:rsid w:val="005846E2"/>
    <w:rsid w:val="005848B5"/>
    <w:rsid w:val="00585576"/>
    <w:rsid w:val="005857C9"/>
    <w:rsid w:val="0058581B"/>
    <w:rsid w:val="00585BE0"/>
    <w:rsid w:val="00585CDD"/>
    <w:rsid w:val="00585E55"/>
    <w:rsid w:val="00585ECC"/>
    <w:rsid w:val="00585FFC"/>
    <w:rsid w:val="00586093"/>
    <w:rsid w:val="0058625D"/>
    <w:rsid w:val="005864E5"/>
    <w:rsid w:val="005865DD"/>
    <w:rsid w:val="00586652"/>
    <w:rsid w:val="00586755"/>
    <w:rsid w:val="00586807"/>
    <w:rsid w:val="00587058"/>
    <w:rsid w:val="005870BD"/>
    <w:rsid w:val="00587166"/>
    <w:rsid w:val="005876A9"/>
    <w:rsid w:val="00587CF6"/>
    <w:rsid w:val="00590431"/>
    <w:rsid w:val="0059046F"/>
    <w:rsid w:val="00590AD5"/>
    <w:rsid w:val="00591957"/>
    <w:rsid w:val="00591ACD"/>
    <w:rsid w:val="00591C6F"/>
    <w:rsid w:val="00591F67"/>
    <w:rsid w:val="0059213D"/>
    <w:rsid w:val="0059213F"/>
    <w:rsid w:val="00592255"/>
    <w:rsid w:val="005922A1"/>
    <w:rsid w:val="0059287E"/>
    <w:rsid w:val="00592CE2"/>
    <w:rsid w:val="005936A1"/>
    <w:rsid w:val="0059379F"/>
    <w:rsid w:val="0059381E"/>
    <w:rsid w:val="00593CC3"/>
    <w:rsid w:val="00593D84"/>
    <w:rsid w:val="005940FD"/>
    <w:rsid w:val="005945ED"/>
    <w:rsid w:val="0059468E"/>
    <w:rsid w:val="005947E8"/>
    <w:rsid w:val="005948DB"/>
    <w:rsid w:val="00594AA9"/>
    <w:rsid w:val="00594DE9"/>
    <w:rsid w:val="00594E96"/>
    <w:rsid w:val="00594FBC"/>
    <w:rsid w:val="0059518E"/>
    <w:rsid w:val="005958E6"/>
    <w:rsid w:val="00595A80"/>
    <w:rsid w:val="00595A85"/>
    <w:rsid w:val="00596486"/>
    <w:rsid w:val="0059696D"/>
    <w:rsid w:val="00596CDC"/>
    <w:rsid w:val="00596CEF"/>
    <w:rsid w:val="00596E0F"/>
    <w:rsid w:val="00596F69"/>
    <w:rsid w:val="00597024"/>
    <w:rsid w:val="005971EF"/>
    <w:rsid w:val="005972C4"/>
    <w:rsid w:val="0059731A"/>
    <w:rsid w:val="0059738D"/>
    <w:rsid w:val="00597394"/>
    <w:rsid w:val="0059759B"/>
    <w:rsid w:val="005979A3"/>
    <w:rsid w:val="00597AA9"/>
    <w:rsid w:val="00597BF9"/>
    <w:rsid w:val="00597DC0"/>
    <w:rsid w:val="00597F07"/>
    <w:rsid w:val="005A0621"/>
    <w:rsid w:val="005A09D0"/>
    <w:rsid w:val="005A0A2F"/>
    <w:rsid w:val="005A0C11"/>
    <w:rsid w:val="005A0F21"/>
    <w:rsid w:val="005A104F"/>
    <w:rsid w:val="005A18CE"/>
    <w:rsid w:val="005A1B94"/>
    <w:rsid w:val="005A1F7E"/>
    <w:rsid w:val="005A201D"/>
    <w:rsid w:val="005A20F2"/>
    <w:rsid w:val="005A2485"/>
    <w:rsid w:val="005A28A2"/>
    <w:rsid w:val="005A28A4"/>
    <w:rsid w:val="005A298C"/>
    <w:rsid w:val="005A2F09"/>
    <w:rsid w:val="005A309A"/>
    <w:rsid w:val="005A373D"/>
    <w:rsid w:val="005A3A84"/>
    <w:rsid w:val="005A4986"/>
    <w:rsid w:val="005A4AC0"/>
    <w:rsid w:val="005A4AD2"/>
    <w:rsid w:val="005A4C51"/>
    <w:rsid w:val="005A4D0B"/>
    <w:rsid w:val="005A4FD9"/>
    <w:rsid w:val="005A5602"/>
    <w:rsid w:val="005A592B"/>
    <w:rsid w:val="005A5B0C"/>
    <w:rsid w:val="005A5D4D"/>
    <w:rsid w:val="005A5DD4"/>
    <w:rsid w:val="005A6092"/>
    <w:rsid w:val="005A64E8"/>
    <w:rsid w:val="005A676F"/>
    <w:rsid w:val="005A6B2C"/>
    <w:rsid w:val="005A6D11"/>
    <w:rsid w:val="005A6E06"/>
    <w:rsid w:val="005A6F91"/>
    <w:rsid w:val="005A6FA2"/>
    <w:rsid w:val="005A70C4"/>
    <w:rsid w:val="005A735D"/>
    <w:rsid w:val="005A765D"/>
    <w:rsid w:val="005A76F3"/>
    <w:rsid w:val="005A7863"/>
    <w:rsid w:val="005A7B90"/>
    <w:rsid w:val="005B007B"/>
    <w:rsid w:val="005B0261"/>
    <w:rsid w:val="005B047E"/>
    <w:rsid w:val="005B04AB"/>
    <w:rsid w:val="005B06E4"/>
    <w:rsid w:val="005B06F2"/>
    <w:rsid w:val="005B0B58"/>
    <w:rsid w:val="005B0CCD"/>
    <w:rsid w:val="005B0DA5"/>
    <w:rsid w:val="005B0F0D"/>
    <w:rsid w:val="005B115E"/>
    <w:rsid w:val="005B1916"/>
    <w:rsid w:val="005B2357"/>
    <w:rsid w:val="005B2652"/>
    <w:rsid w:val="005B28BA"/>
    <w:rsid w:val="005B2B82"/>
    <w:rsid w:val="005B31C1"/>
    <w:rsid w:val="005B3B00"/>
    <w:rsid w:val="005B3D2E"/>
    <w:rsid w:val="005B40C1"/>
    <w:rsid w:val="005B40D1"/>
    <w:rsid w:val="005B4E53"/>
    <w:rsid w:val="005B51A8"/>
    <w:rsid w:val="005B54B4"/>
    <w:rsid w:val="005B573A"/>
    <w:rsid w:val="005B5857"/>
    <w:rsid w:val="005B598C"/>
    <w:rsid w:val="005B5FEF"/>
    <w:rsid w:val="005B603E"/>
    <w:rsid w:val="005B6473"/>
    <w:rsid w:val="005B6739"/>
    <w:rsid w:val="005B68B9"/>
    <w:rsid w:val="005B7414"/>
    <w:rsid w:val="005B74F7"/>
    <w:rsid w:val="005B764A"/>
    <w:rsid w:val="005B7756"/>
    <w:rsid w:val="005B7B98"/>
    <w:rsid w:val="005B7C88"/>
    <w:rsid w:val="005B7FD3"/>
    <w:rsid w:val="005C006A"/>
    <w:rsid w:val="005C00ED"/>
    <w:rsid w:val="005C03C3"/>
    <w:rsid w:val="005C099E"/>
    <w:rsid w:val="005C0A68"/>
    <w:rsid w:val="005C1055"/>
    <w:rsid w:val="005C140F"/>
    <w:rsid w:val="005C15A0"/>
    <w:rsid w:val="005C19C4"/>
    <w:rsid w:val="005C1B83"/>
    <w:rsid w:val="005C25FF"/>
    <w:rsid w:val="005C2965"/>
    <w:rsid w:val="005C2C53"/>
    <w:rsid w:val="005C2D55"/>
    <w:rsid w:val="005C346B"/>
    <w:rsid w:val="005C34E9"/>
    <w:rsid w:val="005C38E3"/>
    <w:rsid w:val="005C3FDF"/>
    <w:rsid w:val="005C42F7"/>
    <w:rsid w:val="005C45D2"/>
    <w:rsid w:val="005C4837"/>
    <w:rsid w:val="005C4975"/>
    <w:rsid w:val="005C4B91"/>
    <w:rsid w:val="005C4DC6"/>
    <w:rsid w:val="005C5672"/>
    <w:rsid w:val="005C5857"/>
    <w:rsid w:val="005C5ABC"/>
    <w:rsid w:val="005C5D4D"/>
    <w:rsid w:val="005C5F2D"/>
    <w:rsid w:val="005C60F3"/>
    <w:rsid w:val="005C6346"/>
    <w:rsid w:val="005C65B3"/>
    <w:rsid w:val="005C69F9"/>
    <w:rsid w:val="005C6CEE"/>
    <w:rsid w:val="005C6F88"/>
    <w:rsid w:val="005C7E8D"/>
    <w:rsid w:val="005D044D"/>
    <w:rsid w:val="005D0643"/>
    <w:rsid w:val="005D09A3"/>
    <w:rsid w:val="005D0ABD"/>
    <w:rsid w:val="005D0CC1"/>
    <w:rsid w:val="005D0CF9"/>
    <w:rsid w:val="005D10CA"/>
    <w:rsid w:val="005D149D"/>
    <w:rsid w:val="005D18AD"/>
    <w:rsid w:val="005D1AC0"/>
    <w:rsid w:val="005D1CF6"/>
    <w:rsid w:val="005D1EAB"/>
    <w:rsid w:val="005D225A"/>
    <w:rsid w:val="005D23A9"/>
    <w:rsid w:val="005D26B4"/>
    <w:rsid w:val="005D36AA"/>
    <w:rsid w:val="005D37CB"/>
    <w:rsid w:val="005D38DA"/>
    <w:rsid w:val="005D38F7"/>
    <w:rsid w:val="005D3B46"/>
    <w:rsid w:val="005D3C26"/>
    <w:rsid w:val="005D3D98"/>
    <w:rsid w:val="005D3DA3"/>
    <w:rsid w:val="005D3F40"/>
    <w:rsid w:val="005D43D5"/>
    <w:rsid w:val="005D448E"/>
    <w:rsid w:val="005D4C74"/>
    <w:rsid w:val="005D4CA7"/>
    <w:rsid w:val="005D4EDA"/>
    <w:rsid w:val="005D4FAE"/>
    <w:rsid w:val="005D50B0"/>
    <w:rsid w:val="005D568F"/>
    <w:rsid w:val="005D57AC"/>
    <w:rsid w:val="005D5926"/>
    <w:rsid w:val="005D5A06"/>
    <w:rsid w:val="005D6A1A"/>
    <w:rsid w:val="005D6E32"/>
    <w:rsid w:val="005D7082"/>
    <w:rsid w:val="005D7A29"/>
    <w:rsid w:val="005D7A50"/>
    <w:rsid w:val="005D7E17"/>
    <w:rsid w:val="005E0326"/>
    <w:rsid w:val="005E098A"/>
    <w:rsid w:val="005E1338"/>
    <w:rsid w:val="005E16E9"/>
    <w:rsid w:val="005E18BF"/>
    <w:rsid w:val="005E1995"/>
    <w:rsid w:val="005E1CBA"/>
    <w:rsid w:val="005E1D6F"/>
    <w:rsid w:val="005E1F7F"/>
    <w:rsid w:val="005E1FDB"/>
    <w:rsid w:val="005E2687"/>
    <w:rsid w:val="005E29FA"/>
    <w:rsid w:val="005E2F44"/>
    <w:rsid w:val="005E3097"/>
    <w:rsid w:val="005E333C"/>
    <w:rsid w:val="005E3974"/>
    <w:rsid w:val="005E40DE"/>
    <w:rsid w:val="005E4299"/>
    <w:rsid w:val="005E44BC"/>
    <w:rsid w:val="005E487D"/>
    <w:rsid w:val="005E4AB1"/>
    <w:rsid w:val="005E4D10"/>
    <w:rsid w:val="005E5013"/>
    <w:rsid w:val="005E54FB"/>
    <w:rsid w:val="005E5776"/>
    <w:rsid w:val="005E5C93"/>
    <w:rsid w:val="005E5E7B"/>
    <w:rsid w:val="005E6125"/>
    <w:rsid w:val="005E6319"/>
    <w:rsid w:val="005E6772"/>
    <w:rsid w:val="005E6CBC"/>
    <w:rsid w:val="005E6FDD"/>
    <w:rsid w:val="005E72D4"/>
    <w:rsid w:val="005E72FF"/>
    <w:rsid w:val="005E73C0"/>
    <w:rsid w:val="005E77AB"/>
    <w:rsid w:val="005E7ACE"/>
    <w:rsid w:val="005F0104"/>
    <w:rsid w:val="005F028F"/>
    <w:rsid w:val="005F050A"/>
    <w:rsid w:val="005F0755"/>
    <w:rsid w:val="005F07ED"/>
    <w:rsid w:val="005F098D"/>
    <w:rsid w:val="005F0B9B"/>
    <w:rsid w:val="005F1AFD"/>
    <w:rsid w:val="005F1EA7"/>
    <w:rsid w:val="005F1FC6"/>
    <w:rsid w:val="005F24DD"/>
    <w:rsid w:val="005F2706"/>
    <w:rsid w:val="005F2A78"/>
    <w:rsid w:val="005F2B8D"/>
    <w:rsid w:val="005F2D7E"/>
    <w:rsid w:val="005F3237"/>
    <w:rsid w:val="005F44E9"/>
    <w:rsid w:val="005F452C"/>
    <w:rsid w:val="005F4CE2"/>
    <w:rsid w:val="005F54CE"/>
    <w:rsid w:val="005F5D52"/>
    <w:rsid w:val="005F5E7D"/>
    <w:rsid w:val="005F5E7F"/>
    <w:rsid w:val="005F5FB4"/>
    <w:rsid w:val="005F60CF"/>
    <w:rsid w:val="005F657E"/>
    <w:rsid w:val="005F6A8F"/>
    <w:rsid w:val="005F6B80"/>
    <w:rsid w:val="005F6BB7"/>
    <w:rsid w:val="005F6ECF"/>
    <w:rsid w:val="005F6F5F"/>
    <w:rsid w:val="005F6FA7"/>
    <w:rsid w:val="005F7010"/>
    <w:rsid w:val="005F7184"/>
    <w:rsid w:val="005F726A"/>
    <w:rsid w:val="005F7380"/>
    <w:rsid w:val="005F7476"/>
    <w:rsid w:val="005F7588"/>
    <w:rsid w:val="005F77A9"/>
    <w:rsid w:val="005F7997"/>
    <w:rsid w:val="005F7C44"/>
    <w:rsid w:val="006001AA"/>
    <w:rsid w:val="0060090A"/>
    <w:rsid w:val="00600A34"/>
    <w:rsid w:val="00600FCB"/>
    <w:rsid w:val="00601815"/>
    <w:rsid w:val="00601A51"/>
    <w:rsid w:val="00601A96"/>
    <w:rsid w:val="00601B17"/>
    <w:rsid w:val="00602093"/>
    <w:rsid w:val="0060209E"/>
    <w:rsid w:val="006028D3"/>
    <w:rsid w:val="00602E01"/>
    <w:rsid w:val="006032A5"/>
    <w:rsid w:val="0060346C"/>
    <w:rsid w:val="00603B5B"/>
    <w:rsid w:val="00603B68"/>
    <w:rsid w:val="00603DB9"/>
    <w:rsid w:val="00603FA6"/>
    <w:rsid w:val="0060412A"/>
    <w:rsid w:val="006041E5"/>
    <w:rsid w:val="006044CF"/>
    <w:rsid w:val="006048F1"/>
    <w:rsid w:val="00604BED"/>
    <w:rsid w:val="00605861"/>
    <w:rsid w:val="00605A33"/>
    <w:rsid w:val="00605C59"/>
    <w:rsid w:val="00605DF3"/>
    <w:rsid w:val="0060614F"/>
    <w:rsid w:val="006066FC"/>
    <w:rsid w:val="006067F7"/>
    <w:rsid w:val="00606E6C"/>
    <w:rsid w:val="00606FBA"/>
    <w:rsid w:val="006074CD"/>
    <w:rsid w:val="006075EA"/>
    <w:rsid w:val="00607669"/>
    <w:rsid w:val="006076F4"/>
    <w:rsid w:val="0060786A"/>
    <w:rsid w:val="006078E3"/>
    <w:rsid w:val="00607AFD"/>
    <w:rsid w:val="00607FB9"/>
    <w:rsid w:val="00610037"/>
    <w:rsid w:val="0061034E"/>
    <w:rsid w:val="00610462"/>
    <w:rsid w:val="0061137C"/>
    <w:rsid w:val="0061156B"/>
    <w:rsid w:val="0061171B"/>
    <w:rsid w:val="00611B12"/>
    <w:rsid w:val="00611B52"/>
    <w:rsid w:val="006120A7"/>
    <w:rsid w:val="0061246C"/>
    <w:rsid w:val="00612547"/>
    <w:rsid w:val="00612B56"/>
    <w:rsid w:val="00612B97"/>
    <w:rsid w:val="00612DE2"/>
    <w:rsid w:val="00612F97"/>
    <w:rsid w:val="0061302E"/>
    <w:rsid w:val="0061320B"/>
    <w:rsid w:val="0061345D"/>
    <w:rsid w:val="00614119"/>
    <w:rsid w:val="00614256"/>
    <w:rsid w:val="0061426C"/>
    <w:rsid w:val="006142B7"/>
    <w:rsid w:val="0061462E"/>
    <w:rsid w:val="00614EA5"/>
    <w:rsid w:val="00615400"/>
    <w:rsid w:val="0061549B"/>
    <w:rsid w:val="00615545"/>
    <w:rsid w:val="0061563C"/>
    <w:rsid w:val="006159BF"/>
    <w:rsid w:val="00615CDA"/>
    <w:rsid w:val="0061627F"/>
    <w:rsid w:val="0061668F"/>
    <w:rsid w:val="00616802"/>
    <w:rsid w:val="00616C3F"/>
    <w:rsid w:val="00616F79"/>
    <w:rsid w:val="006171A3"/>
    <w:rsid w:val="00617258"/>
    <w:rsid w:val="00617750"/>
    <w:rsid w:val="00617A71"/>
    <w:rsid w:val="00617C35"/>
    <w:rsid w:val="00617CCB"/>
    <w:rsid w:val="00617E12"/>
    <w:rsid w:val="00620537"/>
    <w:rsid w:val="00620612"/>
    <w:rsid w:val="0062076E"/>
    <w:rsid w:val="00620C25"/>
    <w:rsid w:val="00620E13"/>
    <w:rsid w:val="00620E8A"/>
    <w:rsid w:val="00620F4B"/>
    <w:rsid w:val="0062126A"/>
    <w:rsid w:val="006212CF"/>
    <w:rsid w:val="00621401"/>
    <w:rsid w:val="00621477"/>
    <w:rsid w:val="006217A3"/>
    <w:rsid w:val="006217AF"/>
    <w:rsid w:val="0062199C"/>
    <w:rsid w:val="00621ADA"/>
    <w:rsid w:val="00622560"/>
    <w:rsid w:val="00622B64"/>
    <w:rsid w:val="00622D34"/>
    <w:rsid w:val="006233C3"/>
    <w:rsid w:val="006235E8"/>
    <w:rsid w:val="00623788"/>
    <w:rsid w:val="00623949"/>
    <w:rsid w:val="00623B5E"/>
    <w:rsid w:val="00623D6B"/>
    <w:rsid w:val="00623F7B"/>
    <w:rsid w:val="006240E4"/>
    <w:rsid w:val="00624103"/>
    <w:rsid w:val="006249BE"/>
    <w:rsid w:val="00624BD4"/>
    <w:rsid w:val="00624D77"/>
    <w:rsid w:val="00624F9C"/>
    <w:rsid w:val="0062530A"/>
    <w:rsid w:val="00625A3B"/>
    <w:rsid w:val="00625B17"/>
    <w:rsid w:val="00625F9E"/>
    <w:rsid w:val="006260BE"/>
    <w:rsid w:val="00626429"/>
    <w:rsid w:val="0062647E"/>
    <w:rsid w:val="0062658C"/>
    <w:rsid w:val="00626634"/>
    <w:rsid w:val="0062673E"/>
    <w:rsid w:val="00626883"/>
    <w:rsid w:val="00626CEF"/>
    <w:rsid w:val="00627174"/>
    <w:rsid w:val="00627189"/>
    <w:rsid w:val="006271FE"/>
    <w:rsid w:val="00627440"/>
    <w:rsid w:val="006275D1"/>
    <w:rsid w:val="006277C9"/>
    <w:rsid w:val="00627A7C"/>
    <w:rsid w:val="00627B23"/>
    <w:rsid w:val="00627F5A"/>
    <w:rsid w:val="0063094D"/>
    <w:rsid w:val="00630CDE"/>
    <w:rsid w:val="0063158F"/>
    <w:rsid w:val="006315E9"/>
    <w:rsid w:val="00631D6B"/>
    <w:rsid w:val="00631FB6"/>
    <w:rsid w:val="00632183"/>
    <w:rsid w:val="0063250F"/>
    <w:rsid w:val="006326F6"/>
    <w:rsid w:val="00632A37"/>
    <w:rsid w:val="00632D3C"/>
    <w:rsid w:val="006330A1"/>
    <w:rsid w:val="006338F3"/>
    <w:rsid w:val="00633B92"/>
    <w:rsid w:val="00633D27"/>
    <w:rsid w:val="00634051"/>
    <w:rsid w:val="006341A2"/>
    <w:rsid w:val="006346C0"/>
    <w:rsid w:val="0063479F"/>
    <w:rsid w:val="00634841"/>
    <w:rsid w:val="00634A45"/>
    <w:rsid w:val="00634ADB"/>
    <w:rsid w:val="00634C3F"/>
    <w:rsid w:val="00634F57"/>
    <w:rsid w:val="00635192"/>
    <w:rsid w:val="0063525F"/>
    <w:rsid w:val="00635319"/>
    <w:rsid w:val="006353F0"/>
    <w:rsid w:val="00635562"/>
    <w:rsid w:val="00635651"/>
    <w:rsid w:val="006357B5"/>
    <w:rsid w:val="00635815"/>
    <w:rsid w:val="00635A37"/>
    <w:rsid w:val="00635A74"/>
    <w:rsid w:val="00635D43"/>
    <w:rsid w:val="00635E49"/>
    <w:rsid w:val="00635E6F"/>
    <w:rsid w:val="006362A8"/>
    <w:rsid w:val="006363E2"/>
    <w:rsid w:val="00636461"/>
    <w:rsid w:val="006364A1"/>
    <w:rsid w:val="006364A6"/>
    <w:rsid w:val="0063678E"/>
    <w:rsid w:val="00636882"/>
    <w:rsid w:val="0063690A"/>
    <w:rsid w:val="00636A1F"/>
    <w:rsid w:val="0063724B"/>
    <w:rsid w:val="0063749F"/>
    <w:rsid w:val="006374AF"/>
    <w:rsid w:val="006377E7"/>
    <w:rsid w:val="00637826"/>
    <w:rsid w:val="00637883"/>
    <w:rsid w:val="00637936"/>
    <w:rsid w:val="00637975"/>
    <w:rsid w:val="00637BFD"/>
    <w:rsid w:val="00637C5C"/>
    <w:rsid w:val="00640297"/>
    <w:rsid w:val="0064035B"/>
    <w:rsid w:val="0064040A"/>
    <w:rsid w:val="0064042D"/>
    <w:rsid w:val="0064061B"/>
    <w:rsid w:val="006406C5"/>
    <w:rsid w:val="0064082A"/>
    <w:rsid w:val="0064087D"/>
    <w:rsid w:val="00640A9B"/>
    <w:rsid w:val="00640AF3"/>
    <w:rsid w:val="00640CCC"/>
    <w:rsid w:val="00640F41"/>
    <w:rsid w:val="006410EF"/>
    <w:rsid w:val="0064147D"/>
    <w:rsid w:val="00641507"/>
    <w:rsid w:val="0064151E"/>
    <w:rsid w:val="00641B99"/>
    <w:rsid w:val="00641C4E"/>
    <w:rsid w:val="00641FB3"/>
    <w:rsid w:val="00642241"/>
    <w:rsid w:val="00642638"/>
    <w:rsid w:val="0064265B"/>
    <w:rsid w:val="006426AC"/>
    <w:rsid w:val="0064293C"/>
    <w:rsid w:val="006429BC"/>
    <w:rsid w:val="00642F50"/>
    <w:rsid w:val="006432AB"/>
    <w:rsid w:val="006432CC"/>
    <w:rsid w:val="006435EC"/>
    <w:rsid w:val="00643CAA"/>
    <w:rsid w:val="00643E86"/>
    <w:rsid w:val="0064434C"/>
    <w:rsid w:val="00644517"/>
    <w:rsid w:val="00644836"/>
    <w:rsid w:val="00645033"/>
    <w:rsid w:val="00645061"/>
    <w:rsid w:val="006457E1"/>
    <w:rsid w:val="00645A33"/>
    <w:rsid w:val="00645CF9"/>
    <w:rsid w:val="00645D62"/>
    <w:rsid w:val="00646105"/>
    <w:rsid w:val="006462C0"/>
    <w:rsid w:val="00646680"/>
    <w:rsid w:val="00646B41"/>
    <w:rsid w:val="00646E73"/>
    <w:rsid w:val="00646FE4"/>
    <w:rsid w:val="00647103"/>
    <w:rsid w:val="006471CC"/>
    <w:rsid w:val="006472FE"/>
    <w:rsid w:val="006473C8"/>
    <w:rsid w:val="006476B6"/>
    <w:rsid w:val="00647A29"/>
    <w:rsid w:val="00647D5B"/>
    <w:rsid w:val="006501B0"/>
    <w:rsid w:val="006502E1"/>
    <w:rsid w:val="0065067C"/>
    <w:rsid w:val="0065079F"/>
    <w:rsid w:val="0065086D"/>
    <w:rsid w:val="0065096A"/>
    <w:rsid w:val="0065099A"/>
    <w:rsid w:val="006509DB"/>
    <w:rsid w:val="006514C7"/>
    <w:rsid w:val="00651523"/>
    <w:rsid w:val="00651C1B"/>
    <w:rsid w:val="0065232B"/>
    <w:rsid w:val="00652A28"/>
    <w:rsid w:val="00652B64"/>
    <w:rsid w:val="00652DFC"/>
    <w:rsid w:val="00652F5A"/>
    <w:rsid w:val="00652F79"/>
    <w:rsid w:val="0065318F"/>
    <w:rsid w:val="00653243"/>
    <w:rsid w:val="006534D1"/>
    <w:rsid w:val="0065379F"/>
    <w:rsid w:val="00653C63"/>
    <w:rsid w:val="00653D22"/>
    <w:rsid w:val="00653D91"/>
    <w:rsid w:val="006545E3"/>
    <w:rsid w:val="006545EC"/>
    <w:rsid w:val="006548FA"/>
    <w:rsid w:val="0065498D"/>
    <w:rsid w:val="00654AAE"/>
    <w:rsid w:val="00654B71"/>
    <w:rsid w:val="00654F4B"/>
    <w:rsid w:val="0065506D"/>
    <w:rsid w:val="00655C83"/>
    <w:rsid w:val="0065606F"/>
    <w:rsid w:val="00656089"/>
    <w:rsid w:val="0065611B"/>
    <w:rsid w:val="00656188"/>
    <w:rsid w:val="00656694"/>
    <w:rsid w:val="00656B28"/>
    <w:rsid w:val="00656CD9"/>
    <w:rsid w:val="00656D4D"/>
    <w:rsid w:val="00656D7B"/>
    <w:rsid w:val="0065715A"/>
    <w:rsid w:val="00657432"/>
    <w:rsid w:val="00657754"/>
    <w:rsid w:val="00657ECB"/>
    <w:rsid w:val="00660951"/>
    <w:rsid w:val="00660C46"/>
    <w:rsid w:val="00660DDD"/>
    <w:rsid w:val="006610F1"/>
    <w:rsid w:val="00661230"/>
    <w:rsid w:val="00661A53"/>
    <w:rsid w:val="00661C6B"/>
    <w:rsid w:val="00662043"/>
    <w:rsid w:val="0066229E"/>
    <w:rsid w:val="006623FD"/>
    <w:rsid w:val="0066269E"/>
    <w:rsid w:val="006628FB"/>
    <w:rsid w:val="00662D17"/>
    <w:rsid w:val="00662D3E"/>
    <w:rsid w:val="0066312F"/>
    <w:rsid w:val="00663287"/>
    <w:rsid w:val="006635F5"/>
    <w:rsid w:val="00663989"/>
    <w:rsid w:val="00663F3C"/>
    <w:rsid w:val="00664388"/>
    <w:rsid w:val="00664485"/>
    <w:rsid w:val="00664643"/>
    <w:rsid w:val="006646F9"/>
    <w:rsid w:val="006647C7"/>
    <w:rsid w:val="0066486B"/>
    <w:rsid w:val="00664E9A"/>
    <w:rsid w:val="00664F59"/>
    <w:rsid w:val="006657B5"/>
    <w:rsid w:val="0066586A"/>
    <w:rsid w:val="00665CEB"/>
    <w:rsid w:val="00666623"/>
    <w:rsid w:val="0066674F"/>
    <w:rsid w:val="00666868"/>
    <w:rsid w:val="0066689B"/>
    <w:rsid w:val="00666937"/>
    <w:rsid w:val="00666C06"/>
    <w:rsid w:val="00666FB4"/>
    <w:rsid w:val="0066732B"/>
    <w:rsid w:val="006673D4"/>
    <w:rsid w:val="00667667"/>
    <w:rsid w:val="00667838"/>
    <w:rsid w:val="00667BB5"/>
    <w:rsid w:val="00667BBA"/>
    <w:rsid w:val="00667BE3"/>
    <w:rsid w:val="00667C03"/>
    <w:rsid w:val="00670546"/>
    <w:rsid w:val="006705BB"/>
    <w:rsid w:val="0067090C"/>
    <w:rsid w:val="00670D12"/>
    <w:rsid w:val="00670E06"/>
    <w:rsid w:val="00671004"/>
    <w:rsid w:val="006713A7"/>
    <w:rsid w:val="006714BE"/>
    <w:rsid w:val="006718A3"/>
    <w:rsid w:val="00671C53"/>
    <w:rsid w:val="00672259"/>
    <w:rsid w:val="0067226E"/>
    <w:rsid w:val="00672646"/>
    <w:rsid w:val="00673265"/>
    <w:rsid w:val="00673613"/>
    <w:rsid w:val="00673C65"/>
    <w:rsid w:val="00673EEE"/>
    <w:rsid w:val="006740F2"/>
    <w:rsid w:val="00674437"/>
    <w:rsid w:val="00674A6D"/>
    <w:rsid w:val="00674E42"/>
    <w:rsid w:val="00674FA3"/>
    <w:rsid w:val="00675121"/>
    <w:rsid w:val="0067541B"/>
    <w:rsid w:val="00675E53"/>
    <w:rsid w:val="00676198"/>
    <w:rsid w:val="0067622B"/>
    <w:rsid w:val="00676241"/>
    <w:rsid w:val="00676353"/>
    <w:rsid w:val="00676486"/>
    <w:rsid w:val="00676563"/>
    <w:rsid w:val="00676735"/>
    <w:rsid w:val="00676BB2"/>
    <w:rsid w:val="00676CFB"/>
    <w:rsid w:val="00677143"/>
    <w:rsid w:val="00677239"/>
    <w:rsid w:val="00677A79"/>
    <w:rsid w:val="00677D8B"/>
    <w:rsid w:val="0068085E"/>
    <w:rsid w:val="00680F8F"/>
    <w:rsid w:val="006810D5"/>
    <w:rsid w:val="00681313"/>
    <w:rsid w:val="006813F8"/>
    <w:rsid w:val="006818EB"/>
    <w:rsid w:val="00681980"/>
    <w:rsid w:val="00681A2F"/>
    <w:rsid w:val="00681FCC"/>
    <w:rsid w:val="00682112"/>
    <w:rsid w:val="006826C0"/>
    <w:rsid w:val="0068292E"/>
    <w:rsid w:val="00682BA6"/>
    <w:rsid w:val="00682DA7"/>
    <w:rsid w:val="006831C8"/>
    <w:rsid w:val="006831E1"/>
    <w:rsid w:val="006831F3"/>
    <w:rsid w:val="0068394D"/>
    <w:rsid w:val="006839B7"/>
    <w:rsid w:val="00683BEA"/>
    <w:rsid w:val="0068476B"/>
    <w:rsid w:val="006849B2"/>
    <w:rsid w:val="00684D37"/>
    <w:rsid w:val="00684D70"/>
    <w:rsid w:val="00684D72"/>
    <w:rsid w:val="00684FBE"/>
    <w:rsid w:val="00685247"/>
    <w:rsid w:val="00685365"/>
    <w:rsid w:val="00685552"/>
    <w:rsid w:val="006855B4"/>
    <w:rsid w:val="00685999"/>
    <w:rsid w:val="00685A89"/>
    <w:rsid w:val="00685BBD"/>
    <w:rsid w:val="00686287"/>
    <w:rsid w:val="00686780"/>
    <w:rsid w:val="006867C5"/>
    <w:rsid w:val="00686957"/>
    <w:rsid w:val="00686BFE"/>
    <w:rsid w:val="00686D8C"/>
    <w:rsid w:val="006870C8"/>
    <w:rsid w:val="006872BA"/>
    <w:rsid w:val="00687457"/>
    <w:rsid w:val="00687571"/>
    <w:rsid w:val="00687576"/>
    <w:rsid w:val="006905CB"/>
    <w:rsid w:val="00690795"/>
    <w:rsid w:val="0069083E"/>
    <w:rsid w:val="00690891"/>
    <w:rsid w:val="00690B5A"/>
    <w:rsid w:val="00691396"/>
    <w:rsid w:val="00691648"/>
    <w:rsid w:val="00691731"/>
    <w:rsid w:val="006917D7"/>
    <w:rsid w:val="00691927"/>
    <w:rsid w:val="00691992"/>
    <w:rsid w:val="00691A50"/>
    <w:rsid w:val="00691AF8"/>
    <w:rsid w:val="00692577"/>
    <w:rsid w:val="00692BC3"/>
    <w:rsid w:val="00692DDB"/>
    <w:rsid w:val="00692DE6"/>
    <w:rsid w:val="00692ED2"/>
    <w:rsid w:val="006932F8"/>
    <w:rsid w:val="0069434C"/>
    <w:rsid w:val="006944B9"/>
    <w:rsid w:val="006948B4"/>
    <w:rsid w:val="0069490D"/>
    <w:rsid w:val="0069491E"/>
    <w:rsid w:val="0069492D"/>
    <w:rsid w:val="00694C8E"/>
    <w:rsid w:val="00694CDD"/>
    <w:rsid w:val="00694DF6"/>
    <w:rsid w:val="00694F44"/>
    <w:rsid w:val="0069532B"/>
    <w:rsid w:val="006953E5"/>
    <w:rsid w:val="0069590A"/>
    <w:rsid w:val="00695C39"/>
    <w:rsid w:val="00696324"/>
    <w:rsid w:val="00696DC8"/>
    <w:rsid w:val="00696EF9"/>
    <w:rsid w:val="00696F51"/>
    <w:rsid w:val="006971D0"/>
    <w:rsid w:val="006972A1"/>
    <w:rsid w:val="00697675"/>
    <w:rsid w:val="006978E9"/>
    <w:rsid w:val="006979A5"/>
    <w:rsid w:val="00697BB0"/>
    <w:rsid w:val="00697C62"/>
    <w:rsid w:val="00697E76"/>
    <w:rsid w:val="006A006B"/>
    <w:rsid w:val="006A016F"/>
    <w:rsid w:val="006A0244"/>
    <w:rsid w:val="006A0858"/>
    <w:rsid w:val="006A0889"/>
    <w:rsid w:val="006A0BD3"/>
    <w:rsid w:val="006A0DF7"/>
    <w:rsid w:val="006A0F8A"/>
    <w:rsid w:val="006A0FC0"/>
    <w:rsid w:val="006A1065"/>
    <w:rsid w:val="006A1108"/>
    <w:rsid w:val="006A12D7"/>
    <w:rsid w:val="006A1436"/>
    <w:rsid w:val="006A169B"/>
    <w:rsid w:val="006A169C"/>
    <w:rsid w:val="006A17BC"/>
    <w:rsid w:val="006A182B"/>
    <w:rsid w:val="006A1982"/>
    <w:rsid w:val="006A1CEA"/>
    <w:rsid w:val="006A1D46"/>
    <w:rsid w:val="006A2192"/>
    <w:rsid w:val="006A22A9"/>
    <w:rsid w:val="006A2337"/>
    <w:rsid w:val="006A289B"/>
    <w:rsid w:val="006A292F"/>
    <w:rsid w:val="006A29DF"/>
    <w:rsid w:val="006A2F43"/>
    <w:rsid w:val="006A3398"/>
    <w:rsid w:val="006A383A"/>
    <w:rsid w:val="006A397B"/>
    <w:rsid w:val="006A3D11"/>
    <w:rsid w:val="006A4321"/>
    <w:rsid w:val="006A43D9"/>
    <w:rsid w:val="006A43DA"/>
    <w:rsid w:val="006A467E"/>
    <w:rsid w:val="006A4ACF"/>
    <w:rsid w:val="006A4B3A"/>
    <w:rsid w:val="006A4C8F"/>
    <w:rsid w:val="006A5240"/>
    <w:rsid w:val="006A5594"/>
    <w:rsid w:val="006A5605"/>
    <w:rsid w:val="006A596B"/>
    <w:rsid w:val="006A5A78"/>
    <w:rsid w:val="006A5B4B"/>
    <w:rsid w:val="006A5DCE"/>
    <w:rsid w:val="006A61B3"/>
    <w:rsid w:val="006A663C"/>
    <w:rsid w:val="006A66C1"/>
    <w:rsid w:val="006A6B99"/>
    <w:rsid w:val="006A7314"/>
    <w:rsid w:val="006A7484"/>
    <w:rsid w:val="006A76BB"/>
    <w:rsid w:val="006A79E0"/>
    <w:rsid w:val="006A7AE8"/>
    <w:rsid w:val="006A7E5F"/>
    <w:rsid w:val="006B0227"/>
    <w:rsid w:val="006B03FD"/>
    <w:rsid w:val="006B088E"/>
    <w:rsid w:val="006B0962"/>
    <w:rsid w:val="006B0FFE"/>
    <w:rsid w:val="006B142B"/>
    <w:rsid w:val="006B16C0"/>
    <w:rsid w:val="006B2376"/>
    <w:rsid w:val="006B261B"/>
    <w:rsid w:val="006B2805"/>
    <w:rsid w:val="006B2C90"/>
    <w:rsid w:val="006B331B"/>
    <w:rsid w:val="006B3354"/>
    <w:rsid w:val="006B335F"/>
    <w:rsid w:val="006B3397"/>
    <w:rsid w:val="006B35E6"/>
    <w:rsid w:val="006B3603"/>
    <w:rsid w:val="006B37B9"/>
    <w:rsid w:val="006B3832"/>
    <w:rsid w:val="006B3D9C"/>
    <w:rsid w:val="006B4214"/>
    <w:rsid w:val="006B4510"/>
    <w:rsid w:val="006B462E"/>
    <w:rsid w:val="006B465A"/>
    <w:rsid w:val="006B4BE1"/>
    <w:rsid w:val="006B5108"/>
    <w:rsid w:val="006B5306"/>
    <w:rsid w:val="006B551B"/>
    <w:rsid w:val="006B5770"/>
    <w:rsid w:val="006B5A63"/>
    <w:rsid w:val="006B5D24"/>
    <w:rsid w:val="006B66FF"/>
    <w:rsid w:val="006B68F7"/>
    <w:rsid w:val="006B6DD0"/>
    <w:rsid w:val="006B6E18"/>
    <w:rsid w:val="006B779D"/>
    <w:rsid w:val="006B77B6"/>
    <w:rsid w:val="006B78BF"/>
    <w:rsid w:val="006B78F8"/>
    <w:rsid w:val="006C0243"/>
    <w:rsid w:val="006C0399"/>
    <w:rsid w:val="006C0459"/>
    <w:rsid w:val="006C04A0"/>
    <w:rsid w:val="006C0AC6"/>
    <w:rsid w:val="006C0D2D"/>
    <w:rsid w:val="006C128F"/>
    <w:rsid w:val="006C1331"/>
    <w:rsid w:val="006C1769"/>
    <w:rsid w:val="006C1BE5"/>
    <w:rsid w:val="006C1DFD"/>
    <w:rsid w:val="006C1FE4"/>
    <w:rsid w:val="006C1FF4"/>
    <w:rsid w:val="006C2077"/>
    <w:rsid w:val="006C20D0"/>
    <w:rsid w:val="006C226A"/>
    <w:rsid w:val="006C2279"/>
    <w:rsid w:val="006C2283"/>
    <w:rsid w:val="006C2570"/>
    <w:rsid w:val="006C2794"/>
    <w:rsid w:val="006C2A8E"/>
    <w:rsid w:val="006C2CAB"/>
    <w:rsid w:val="006C3210"/>
    <w:rsid w:val="006C3255"/>
    <w:rsid w:val="006C3574"/>
    <w:rsid w:val="006C3777"/>
    <w:rsid w:val="006C3D71"/>
    <w:rsid w:val="006C3F26"/>
    <w:rsid w:val="006C3FA3"/>
    <w:rsid w:val="006C412A"/>
    <w:rsid w:val="006C44F6"/>
    <w:rsid w:val="006C462D"/>
    <w:rsid w:val="006C4707"/>
    <w:rsid w:val="006C4736"/>
    <w:rsid w:val="006C5AD3"/>
    <w:rsid w:val="006C5AF0"/>
    <w:rsid w:val="006C5B64"/>
    <w:rsid w:val="006C5BF7"/>
    <w:rsid w:val="006C606B"/>
    <w:rsid w:val="006C621B"/>
    <w:rsid w:val="006C63E5"/>
    <w:rsid w:val="006C6490"/>
    <w:rsid w:val="006C6749"/>
    <w:rsid w:val="006C6FBF"/>
    <w:rsid w:val="006C72CE"/>
    <w:rsid w:val="006C7578"/>
    <w:rsid w:val="006C7695"/>
    <w:rsid w:val="006D0072"/>
    <w:rsid w:val="006D02BE"/>
    <w:rsid w:val="006D060B"/>
    <w:rsid w:val="006D08F4"/>
    <w:rsid w:val="006D09E8"/>
    <w:rsid w:val="006D0ABA"/>
    <w:rsid w:val="006D0B00"/>
    <w:rsid w:val="006D0D0D"/>
    <w:rsid w:val="006D0D17"/>
    <w:rsid w:val="006D113B"/>
    <w:rsid w:val="006D1939"/>
    <w:rsid w:val="006D1A85"/>
    <w:rsid w:val="006D2945"/>
    <w:rsid w:val="006D2B35"/>
    <w:rsid w:val="006D3701"/>
    <w:rsid w:val="006D3C7D"/>
    <w:rsid w:val="006D3CC9"/>
    <w:rsid w:val="006D4249"/>
    <w:rsid w:val="006D4393"/>
    <w:rsid w:val="006D45B2"/>
    <w:rsid w:val="006D4659"/>
    <w:rsid w:val="006D4764"/>
    <w:rsid w:val="006D482F"/>
    <w:rsid w:val="006D48CA"/>
    <w:rsid w:val="006D4D2F"/>
    <w:rsid w:val="006D5BA2"/>
    <w:rsid w:val="006D5D5F"/>
    <w:rsid w:val="006D6172"/>
    <w:rsid w:val="006D67FD"/>
    <w:rsid w:val="006D6820"/>
    <w:rsid w:val="006D686B"/>
    <w:rsid w:val="006D68FB"/>
    <w:rsid w:val="006D6AAD"/>
    <w:rsid w:val="006D6CCC"/>
    <w:rsid w:val="006D7332"/>
    <w:rsid w:val="006D7939"/>
    <w:rsid w:val="006D7D86"/>
    <w:rsid w:val="006D7E49"/>
    <w:rsid w:val="006D7F2F"/>
    <w:rsid w:val="006E07C9"/>
    <w:rsid w:val="006E0D0A"/>
    <w:rsid w:val="006E0DBE"/>
    <w:rsid w:val="006E0DC5"/>
    <w:rsid w:val="006E0FFB"/>
    <w:rsid w:val="006E10B2"/>
    <w:rsid w:val="006E1605"/>
    <w:rsid w:val="006E1DAD"/>
    <w:rsid w:val="006E21C5"/>
    <w:rsid w:val="006E2868"/>
    <w:rsid w:val="006E296F"/>
    <w:rsid w:val="006E29D4"/>
    <w:rsid w:val="006E2DCA"/>
    <w:rsid w:val="006E2E3F"/>
    <w:rsid w:val="006E2FA8"/>
    <w:rsid w:val="006E326A"/>
    <w:rsid w:val="006E32B3"/>
    <w:rsid w:val="006E3D6D"/>
    <w:rsid w:val="006E43D1"/>
    <w:rsid w:val="006E518C"/>
    <w:rsid w:val="006E58D9"/>
    <w:rsid w:val="006E5B56"/>
    <w:rsid w:val="006E60B2"/>
    <w:rsid w:val="006E6484"/>
    <w:rsid w:val="006E6E44"/>
    <w:rsid w:val="006E6EDC"/>
    <w:rsid w:val="006E7171"/>
    <w:rsid w:val="006E75BE"/>
    <w:rsid w:val="006E76E6"/>
    <w:rsid w:val="006E7979"/>
    <w:rsid w:val="006E7C6C"/>
    <w:rsid w:val="006E7FEA"/>
    <w:rsid w:val="006F092D"/>
    <w:rsid w:val="006F0D57"/>
    <w:rsid w:val="006F0DE1"/>
    <w:rsid w:val="006F0E04"/>
    <w:rsid w:val="006F104F"/>
    <w:rsid w:val="006F10B0"/>
    <w:rsid w:val="006F120D"/>
    <w:rsid w:val="006F14BD"/>
    <w:rsid w:val="006F1726"/>
    <w:rsid w:val="006F1C17"/>
    <w:rsid w:val="006F1C26"/>
    <w:rsid w:val="006F21D5"/>
    <w:rsid w:val="006F237C"/>
    <w:rsid w:val="006F23DF"/>
    <w:rsid w:val="006F24A7"/>
    <w:rsid w:val="006F28FC"/>
    <w:rsid w:val="006F2964"/>
    <w:rsid w:val="006F29DF"/>
    <w:rsid w:val="006F2CB3"/>
    <w:rsid w:val="006F3007"/>
    <w:rsid w:val="006F306C"/>
    <w:rsid w:val="006F30A2"/>
    <w:rsid w:val="006F3424"/>
    <w:rsid w:val="006F3B8B"/>
    <w:rsid w:val="006F3F5B"/>
    <w:rsid w:val="006F4576"/>
    <w:rsid w:val="006F4AF4"/>
    <w:rsid w:val="006F4AF7"/>
    <w:rsid w:val="006F51D7"/>
    <w:rsid w:val="006F52B2"/>
    <w:rsid w:val="006F52C3"/>
    <w:rsid w:val="006F54CA"/>
    <w:rsid w:val="006F5E2C"/>
    <w:rsid w:val="006F63A5"/>
    <w:rsid w:val="006F693B"/>
    <w:rsid w:val="006F6953"/>
    <w:rsid w:val="006F6BC7"/>
    <w:rsid w:val="006F7793"/>
    <w:rsid w:val="006F7834"/>
    <w:rsid w:val="007007E1"/>
    <w:rsid w:val="00700E6F"/>
    <w:rsid w:val="0070142B"/>
    <w:rsid w:val="0070189A"/>
    <w:rsid w:val="00701AD9"/>
    <w:rsid w:val="007024A4"/>
    <w:rsid w:val="0070276E"/>
    <w:rsid w:val="00702BB5"/>
    <w:rsid w:val="00702F8F"/>
    <w:rsid w:val="00703266"/>
    <w:rsid w:val="00703492"/>
    <w:rsid w:val="007034E3"/>
    <w:rsid w:val="007036B6"/>
    <w:rsid w:val="00703A26"/>
    <w:rsid w:val="00704B34"/>
    <w:rsid w:val="0070576F"/>
    <w:rsid w:val="00705A6C"/>
    <w:rsid w:val="00705F71"/>
    <w:rsid w:val="00706021"/>
    <w:rsid w:val="00706127"/>
    <w:rsid w:val="00706161"/>
    <w:rsid w:val="007061BA"/>
    <w:rsid w:val="00706647"/>
    <w:rsid w:val="00706F24"/>
    <w:rsid w:val="007072AF"/>
    <w:rsid w:val="007074D1"/>
    <w:rsid w:val="007078AC"/>
    <w:rsid w:val="007079FC"/>
    <w:rsid w:val="00707C9F"/>
    <w:rsid w:val="00707D46"/>
    <w:rsid w:val="00707DA3"/>
    <w:rsid w:val="00707E13"/>
    <w:rsid w:val="00707E97"/>
    <w:rsid w:val="007102DF"/>
    <w:rsid w:val="007102E3"/>
    <w:rsid w:val="00710360"/>
    <w:rsid w:val="00710909"/>
    <w:rsid w:val="007113AB"/>
    <w:rsid w:val="007115AE"/>
    <w:rsid w:val="00711A36"/>
    <w:rsid w:val="00712030"/>
    <w:rsid w:val="00712043"/>
    <w:rsid w:val="0071204F"/>
    <w:rsid w:val="0071213B"/>
    <w:rsid w:val="00712268"/>
    <w:rsid w:val="007125D3"/>
    <w:rsid w:val="00712614"/>
    <w:rsid w:val="00712CC9"/>
    <w:rsid w:val="007139E0"/>
    <w:rsid w:val="00714349"/>
    <w:rsid w:val="00714423"/>
    <w:rsid w:val="00714B3F"/>
    <w:rsid w:val="00714B50"/>
    <w:rsid w:val="00714C26"/>
    <w:rsid w:val="00714E63"/>
    <w:rsid w:val="0071529C"/>
    <w:rsid w:val="00715467"/>
    <w:rsid w:val="007154C4"/>
    <w:rsid w:val="00715509"/>
    <w:rsid w:val="007157C1"/>
    <w:rsid w:val="00715A58"/>
    <w:rsid w:val="00715F54"/>
    <w:rsid w:val="007162CE"/>
    <w:rsid w:val="007162E2"/>
    <w:rsid w:val="007165DF"/>
    <w:rsid w:val="0071674D"/>
    <w:rsid w:val="007167B9"/>
    <w:rsid w:val="007169B7"/>
    <w:rsid w:val="00716A50"/>
    <w:rsid w:val="00716BF0"/>
    <w:rsid w:val="00716E84"/>
    <w:rsid w:val="007170DA"/>
    <w:rsid w:val="007171F7"/>
    <w:rsid w:val="007172AD"/>
    <w:rsid w:val="0071735F"/>
    <w:rsid w:val="00717546"/>
    <w:rsid w:val="00717F1D"/>
    <w:rsid w:val="007201AA"/>
    <w:rsid w:val="00720242"/>
    <w:rsid w:val="00720460"/>
    <w:rsid w:val="00720608"/>
    <w:rsid w:val="00720801"/>
    <w:rsid w:val="00720AF7"/>
    <w:rsid w:val="00720FAA"/>
    <w:rsid w:val="0072118B"/>
    <w:rsid w:val="007215BC"/>
    <w:rsid w:val="00721757"/>
    <w:rsid w:val="0072191C"/>
    <w:rsid w:val="00721D2D"/>
    <w:rsid w:val="00722167"/>
    <w:rsid w:val="007223AE"/>
    <w:rsid w:val="007225D4"/>
    <w:rsid w:val="00722B1B"/>
    <w:rsid w:val="00722E04"/>
    <w:rsid w:val="00722EB2"/>
    <w:rsid w:val="007233B9"/>
    <w:rsid w:val="007238C4"/>
    <w:rsid w:val="00723B02"/>
    <w:rsid w:val="00723EF9"/>
    <w:rsid w:val="0072416F"/>
    <w:rsid w:val="0072426E"/>
    <w:rsid w:val="007243F1"/>
    <w:rsid w:val="0072442D"/>
    <w:rsid w:val="00724F5C"/>
    <w:rsid w:val="007250BA"/>
    <w:rsid w:val="00725AAB"/>
    <w:rsid w:val="00725B54"/>
    <w:rsid w:val="0072614E"/>
    <w:rsid w:val="00726965"/>
    <w:rsid w:val="00726AEB"/>
    <w:rsid w:val="007270D8"/>
    <w:rsid w:val="00727292"/>
    <w:rsid w:val="0072758D"/>
    <w:rsid w:val="00727715"/>
    <w:rsid w:val="007277BC"/>
    <w:rsid w:val="00727C94"/>
    <w:rsid w:val="00727D8F"/>
    <w:rsid w:val="00727F41"/>
    <w:rsid w:val="007301B3"/>
    <w:rsid w:val="0073021A"/>
    <w:rsid w:val="00730309"/>
    <w:rsid w:val="007304D1"/>
    <w:rsid w:val="007311E1"/>
    <w:rsid w:val="007313BA"/>
    <w:rsid w:val="00731479"/>
    <w:rsid w:val="007317E0"/>
    <w:rsid w:val="007317F9"/>
    <w:rsid w:val="007317FE"/>
    <w:rsid w:val="00731B0A"/>
    <w:rsid w:val="00731BBC"/>
    <w:rsid w:val="00731DB3"/>
    <w:rsid w:val="00731EAE"/>
    <w:rsid w:val="007320F9"/>
    <w:rsid w:val="00732172"/>
    <w:rsid w:val="00732318"/>
    <w:rsid w:val="0073271C"/>
    <w:rsid w:val="00733073"/>
    <w:rsid w:val="00733314"/>
    <w:rsid w:val="00733F7D"/>
    <w:rsid w:val="007340BA"/>
    <w:rsid w:val="007341BC"/>
    <w:rsid w:val="00734257"/>
    <w:rsid w:val="0073474B"/>
    <w:rsid w:val="00734968"/>
    <w:rsid w:val="00734AB8"/>
    <w:rsid w:val="00735033"/>
    <w:rsid w:val="00735100"/>
    <w:rsid w:val="00735328"/>
    <w:rsid w:val="0073563A"/>
    <w:rsid w:val="0073658B"/>
    <w:rsid w:val="0073662B"/>
    <w:rsid w:val="0073685B"/>
    <w:rsid w:val="007370E2"/>
    <w:rsid w:val="007371D5"/>
    <w:rsid w:val="0073769C"/>
    <w:rsid w:val="00737746"/>
    <w:rsid w:val="007378C7"/>
    <w:rsid w:val="00737BEA"/>
    <w:rsid w:val="00737DC3"/>
    <w:rsid w:val="00737E35"/>
    <w:rsid w:val="0074031B"/>
    <w:rsid w:val="0074040E"/>
    <w:rsid w:val="007405C7"/>
    <w:rsid w:val="00740615"/>
    <w:rsid w:val="007406A1"/>
    <w:rsid w:val="007408E3"/>
    <w:rsid w:val="00740BE2"/>
    <w:rsid w:val="00741058"/>
    <w:rsid w:val="00741320"/>
    <w:rsid w:val="00741444"/>
    <w:rsid w:val="00741529"/>
    <w:rsid w:val="007416FA"/>
    <w:rsid w:val="007417A0"/>
    <w:rsid w:val="0074199D"/>
    <w:rsid w:val="00741CCE"/>
    <w:rsid w:val="00742749"/>
    <w:rsid w:val="00742D58"/>
    <w:rsid w:val="00742D63"/>
    <w:rsid w:val="00742DE9"/>
    <w:rsid w:val="00742EC5"/>
    <w:rsid w:val="00743520"/>
    <w:rsid w:val="00743605"/>
    <w:rsid w:val="00743749"/>
    <w:rsid w:val="00743ECE"/>
    <w:rsid w:val="007443AD"/>
    <w:rsid w:val="00744405"/>
    <w:rsid w:val="007444C5"/>
    <w:rsid w:val="007449BF"/>
    <w:rsid w:val="00744A18"/>
    <w:rsid w:val="00744AA1"/>
    <w:rsid w:val="0074506A"/>
    <w:rsid w:val="0074521B"/>
    <w:rsid w:val="0074547A"/>
    <w:rsid w:val="0074575B"/>
    <w:rsid w:val="007459E3"/>
    <w:rsid w:val="00745A07"/>
    <w:rsid w:val="00746265"/>
    <w:rsid w:val="007463F9"/>
    <w:rsid w:val="007463FE"/>
    <w:rsid w:val="0074661B"/>
    <w:rsid w:val="00746882"/>
    <w:rsid w:val="00746A73"/>
    <w:rsid w:val="00746BC0"/>
    <w:rsid w:val="00746D34"/>
    <w:rsid w:val="00747630"/>
    <w:rsid w:val="0074768C"/>
    <w:rsid w:val="00747720"/>
    <w:rsid w:val="00747722"/>
    <w:rsid w:val="00750195"/>
    <w:rsid w:val="0075029C"/>
    <w:rsid w:val="00750934"/>
    <w:rsid w:val="00750C59"/>
    <w:rsid w:val="007510B4"/>
    <w:rsid w:val="007514FA"/>
    <w:rsid w:val="00751591"/>
    <w:rsid w:val="00751B10"/>
    <w:rsid w:val="00751D8D"/>
    <w:rsid w:val="00751EBC"/>
    <w:rsid w:val="00752096"/>
    <w:rsid w:val="00752142"/>
    <w:rsid w:val="00752178"/>
    <w:rsid w:val="00752383"/>
    <w:rsid w:val="007523F9"/>
    <w:rsid w:val="00752599"/>
    <w:rsid w:val="007525E2"/>
    <w:rsid w:val="00752AC4"/>
    <w:rsid w:val="00752C7F"/>
    <w:rsid w:val="00752EC6"/>
    <w:rsid w:val="00752F94"/>
    <w:rsid w:val="00753557"/>
    <w:rsid w:val="0075357E"/>
    <w:rsid w:val="007537BF"/>
    <w:rsid w:val="00753B29"/>
    <w:rsid w:val="00753BF8"/>
    <w:rsid w:val="007545A5"/>
    <w:rsid w:val="0075462F"/>
    <w:rsid w:val="00754BCD"/>
    <w:rsid w:val="00755433"/>
    <w:rsid w:val="0075545A"/>
    <w:rsid w:val="00755854"/>
    <w:rsid w:val="00755D8B"/>
    <w:rsid w:val="00755FAD"/>
    <w:rsid w:val="00756628"/>
    <w:rsid w:val="00756910"/>
    <w:rsid w:val="00756E82"/>
    <w:rsid w:val="00756EBB"/>
    <w:rsid w:val="00756EE4"/>
    <w:rsid w:val="0075730A"/>
    <w:rsid w:val="007573E8"/>
    <w:rsid w:val="00757701"/>
    <w:rsid w:val="00757BA4"/>
    <w:rsid w:val="00757CB7"/>
    <w:rsid w:val="00757DDF"/>
    <w:rsid w:val="00757E41"/>
    <w:rsid w:val="00757F6E"/>
    <w:rsid w:val="0076007A"/>
    <w:rsid w:val="007600F8"/>
    <w:rsid w:val="0076010E"/>
    <w:rsid w:val="007606F5"/>
    <w:rsid w:val="00760A8E"/>
    <w:rsid w:val="00760C4E"/>
    <w:rsid w:val="00760E50"/>
    <w:rsid w:val="00760F9E"/>
    <w:rsid w:val="00760FEC"/>
    <w:rsid w:val="00761179"/>
    <w:rsid w:val="0076134B"/>
    <w:rsid w:val="00761385"/>
    <w:rsid w:val="0076146B"/>
    <w:rsid w:val="007615BE"/>
    <w:rsid w:val="007616E6"/>
    <w:rsid w:val="007617B8"/>
    <w:rsid w:val="00761959"/>
    <w:rsid w:val="00761D7D"/>
    <w:rsid w:val="007623C9"/>
    <w:rsid w:val="007623DB"/>
    <w:rsid w:val="0076279C"/>
    <w:rsid w:val="007627BE"/>
    <w:rsid w:val="007628DA"/>
    <w:rsid w:val="00762FAD"/>
    <w:rsid w:val="0076324A"/>
    <w:rsid w:val="007632BC"/>
    <w:rsid w:val="00763A93"/>
    <w:rsid w:val="00763C10"/>
    <w:rsid w:val="00763D27"/>
    <w:rsid w:val="00763F9F"/>
    <w:rsid w:val="0076413B"/>
    <w:rsid w:val="007644E7"/>
    <w:rsid w:val="00764A87"/>
    <w:rsid w:val="00764F03"/>
    <w:rsid w:val="00765106"/>
    <w:rsid w:val="0076540A"/>
    <w:rsid w:val="00765488"/>
    <w:rsid w:val="00765539"/>
    <w:rsid w:val="00765635"/>
    <w:rsid w:val="00765B1A"/>
    <w:rsid w:val="00765DC1"/>
    <w:rsid w:val="007664C7"/>
    <w:rsid w:val="007667FE"/>
    <w:rsid w:val="00767223"/>
    <w:rsid w:val="00767343"/>
    <w:rsid w:val="00767350"/>
    <w:rsid w:val="00767496"/>
    <w:rsid w:val="007676AD"/>
    <w:rsid w:val="00767AD5"/>
    <w:rsid w:val="0077019C"/>
    <w:rsid w:val="0077071E"/>
    <w:rsid w:val="00770B89"/>
    <w:rsid w:val="00771156"/>
    <w:rsid w:val="007714AD"/>
    <w:rsid w:val="0077176C"/>
    <w:rsid w:val="00771B88"/>
    <w:rsid w:val="00771E8B"/>
    <w:rsid w:val="00772195"/>
    <w:rsid w:val="007722CB"/>
    <w:rsid w:val="007723B3"/>
    <w:rsid w:val="0077248E"/>
    <w:rsid w:val="0077284C"/>
    <w:rsid w:val="00772C0F"/>
    <w:rsid w:val="007733EF"/>
    <w:rsid w:val="0077358B"/>
    <w:rsid w:val="00773793"/>
    <w:rsid w:val="007737A6"/>
    <w:rsid w:val="00773AD7"/>
    <w:rsid w:val="00773D92"/>
    <w:rsid w:val="0077464E"/>
    <w:rsid w:val="00775365"/>
    <w:rsid w:val="00775520"/>
    <w:rsid w:val="007756C2"/>
    <w:rsid w:val="00775BAA"/>
    <w:rsid w:val="00775E54"/>
    <w:rsid w:val="00775F05"/>
    <w:rsid w:val="0077617E"/>
    <w:rsid w:val="00776215"/>
    <w:rsid w:val="0077638F"/>
    <w:rsid w:val="007768AA"/>
    <w:rsid w:val="007768EA"/>
    <w:rsid w:val="00776939"/>
    <w:rsid w:val="00776A29"/>
    <w:rsid w:val="00776D40"/>
    <w:rsid w:val="00777335"/>
    <w:rsid w:val="0077733E"/>
    <w:rsid w:val="00777718"/>
    <w:rsid w:val="00777B29"/>
    <w:rsid w:val="00777BD8"/>
    <w:rsid w:val="00777C6B"/>
    <w:rsid w:val="00777FA2"/>
    <w:rsid w:val="00780388"/>
    <w:rsid w:val="007806F3"/>
    <w:rsid w:val="00780812"/>
    <w:rsid w:val="007809E4"/>
    <w:rsid w:val="00780A6B"/>
    <w:rsid w:val="00780B33"/>
    <w:rsid w:val="00780BE8"/>
    <w:rsid w:val="00780C50"/>
    <w:rsid w:val="00780D1A"/>
    <w:rsid w:val="00780D62"/>
    <w:rsid w:val="00780E0F"/>
    <w:rsid w:val="00780F2B"/>
    <w:rsid w:val="007811D5"/>
    <w:rsid w:val="0078172B"/>
    <w:rsid w:val="00781740"/>
    <w:rsid w:val="007818F0"/>
    <w:rsid w:val="007820EC"/>
    <w:rsid w:val="007821EB"/>
    <w:rsid w:val="007824EF"/>
    <w:rsid w:val="007828D2"/>
    <w:rsid w:val="007829F9"/>
    <w:rsid w:val="00782D58"/>
    <w:rsid w:val="00783676"/>
    <w:rsid w:val="00783792"/>
    <w:rsid w:val="0078397D"/>
    <w:rsid w:val="007840DC"/>
    <w:rsid w:val="007842AE"/>
    <w:rsid w:val="007843F2"/>
    <w:rsid w:val="0078443D"/>
    <w:rsid w:val="007846FA"/>
    <w:rsid w:val="0078528D"/>
    <w:rsid w:val="00785524"/>
    <w:rsid w:val="00785A9F"/>
    <w:rsid w:val="00785AA5"/>
    <w:rsid w:val="00785AC8"/>
    <w:rsid w:val="00785E96"/>
    <w:rsid w:val="00785F49"/>
    <w:rsid w:val="007861C9"/>
    <w:rsid w:val="00786329"/>
    <w:rsid w:val="0078652E"/>
    <w:rsid w:val="0078669F"/>
    <w:rsid w:val="0078678D"/>
    <w:rsid w:val="0078690C"/>
    <w:rsid w:val="00786CC3"/>
    <w:rsid w:val="00787467"/>
    <w:rsid w:val="00787612"/>
    <w:rsid w:val="00787955"/>
    <w:rsid w:val="00787CDE"/>
    <w:rsid w:val="00787E8A"/>
    <w:rsid w:val="00787FB4"/>
    <w:rsid w:val="007902A6"/>
    <w:rsid w:val="0079032D"/>
    <w:rsid w:val="007907F3"/>
    <w:rsid w:val="00790A2B"/>
    <w:rsid w:val="00790B05"/>
    <w:rsid w:val="00790CB2"/>
    <w:rsid w:val="00790E30"/>
    <w:rsid w:val="00790E63"/>
    <w:rsid w:val="007911E0"/>
    <w:rsid w:val="0079129C"/>
    <w:rsid w:val="007916F7"/>
    <w:rsid w:val="00791A5E"/>
    <w:rsid w:val="00791C5E"/>
    <w:rsid w:val="00791D7C"/>
    <w:rsid w:val="00792379"/>
    <w:rsid w:val="007923E5"/>
    <w:rsid w:val="007925A0"/>
    <w:rsid w:val="007925DF"/>
    <w:rsid w:val="00792B99"/>
    <w:rsid w:val="00792DA6"/>
    <w:rsid w:val="00793474"/>
    <w:rsid w:val="00793903"/>
    <w:rsid w:val="00793908"/>
    <w:rsid w:val="00793B8D"/>
    <w:rsid w:val="00793CDF"/>
    <w:rsid w:val="007941B8"/>
    <w:rsid w:val="007941E0"/>
    <w:rsid w:val="00794385"/>
    <w:rsid w:val="00794671"/>
    <w:rsid w:val="007946A6"/>
    <w:rsid w:val="00794D6A"/>
    <w:rsid w:val="00795402"/>
    <w:rsid w:val="00795ADD"/>
    <w:rsid w:val="00795CD4"/>
    <w:rsid w:val="0079608F"/>
    <w:rsid w:val="00796976"/>
    <w:rsid w:val="00796B90"/>
    <w:rsid w:val="00796CEA"/>
    <w:rsid w:val="00796F99"/>
    <w:rsid w:val="00797C76"/>
    <w:rsid w:val="007A0275"/>
    <w:rsid w:val="007A0612"/>
    <w:rsid w:val="007A0856"/>
    <w:rsid w:val="007A08AA"/>
    <w:rsid w:val="007A09B7"/>
    <w:rsid w:val="007A0A12"/>
    <w:rsid w:val="007A0B85"/>
    <w:rsid w:val="007A0C22"/>
    <w:rsid w:val="007A0D93"/>
    <w:rsid w:val="007A0F7A"/>
    <w:rsid w:val="007A0FFC"/>
    <w:rsid w:val="007A109C"/>
    <w:rsid w:val="007A11DB"/>
    <w:rsid w:val="007A132D"/>
    <w:rsid w:val="007A1345"/>
    <w:rsid w:val="007A135F"/>
    <w:rsid w:val="007A136D"/>
    <w:rsid w:val="007A193C"/>
    <w:rsid w:val="007A1EFB"/>
    <w:rsid w:val="007A20C6"/>
    <w:rsid w:val="007A23C6"/>
    <w:rsid w:val="007A2501"/>
    <w:rsid w:val="007A2859"/>
    <w:rsid w:val="007A289E"/>
    <w:rsid w:val="007A2DDB"/>
    <w:rsid w:val="007A3277"/>
    <w:rsid w:val="007A3FD0"/>
    <w:rsid w:val="007A4360"/>
    <w:rsid w:val="007A4954"/>
    <w:rsid w:val="007A4C90"/>
    <w:rsid w:val="007A4EE8"/>
    <w:rsid w:val="007A4F0B"/>
    <w:rsid w:val="007A54DB"/>
    <w:rsid w:val="007A564A"/>
    <w:rsid w:val="007A65F6"/>
    <w:rsid w:val="007A6626"/>
    <w:rsid w:val="007A6AB9"/>
    <w:rsid w:val="007A6B31"/>
    <w:rsid w:val="007A6D9F"/>
    <w:rsid w:val="007A70BA"/>
    <w:rsid w:val="007A70F5"/>
    <w:rsid w:val="007A71E7"/>
    <w:rsid w:val="007A7404"/>
    <w:rsid w:val="007A7407"/>
    <w:rsid w:val="007A778D"/>
    <w:rsid w:val="007A7967"/>
    <w:rsid w:val="007A7C87"/>
    <w:rsid w:val="007B0056"/>
    <w:rsid w:val="007B0324"/>
    <w:rsid w:val="007B0D68"/>
    <w:rsid w:val="007B1618"/>
    <w:rsid w:val="007B1B9C"/>
    <w:rsid w:val="007B1C2C"/>
    <w:rsid w:val="007B1C5D"/>
    <w:rsid w:val="007B1D47"/>
    <w:rsid w:val="007B1E40"/>
    <w:rsid w:val="007B1F34"/>
    <w:rsid w:val="007B251D"/>
    <w:rsid w:val="007B2736"/>
    <w:rsid w:val="007B274A"/>
    <w:rsid w:val="007B2D1D"/>
    <w:rsid w:val="007B3533"/>
    <w:rsid w:val="007B3829"/>
    <w:rsid w:val="007B3A42"/>
    <w:rsid w:val="007B3ACB"/>
    <w:rsid w:val="007B3CBE"/>
    <w:rsid w:val="007B411E"/>
    <w:rsid w:val="007B46F2"/>
    <w:rsid w:val="007B4A34"/>
    <w:rsid w:val="007B4C6E"/>
    <w:rsid w:val="007B4E67"/>
    <w:rsid w:val="007B4EAC"/>
    <w:rsid w:val="007B4F57"/>
    <w:rsid w:val="007B4F58"/>
    <w:rsid w:val="007B502B"/>
    <w:rsid w:val="007B5052"/>
    <w:rsid w:val="007B528D"/>
    <w:rsid w:val="007B552F"/>
    <w:rsid w:val="007B5859"/>
    <w:rsid w:val="007B5880"/>
    <w:rsid w:val="007B63CA"/>
    <w:rsid w:val="007B64BC"/>
    <w:rsid w:val="007B67A8"/>
    <w:rsid w:val="007B6B19"/>
    <w:rsid w:val="007B6F2C"/>
    <w:rsid w:val="007B71D4"/>
    <w:rsid w:val="007B75B7"/>
    <w:rsid w:val="007B77D1"/>
    <w:rsid w:val="007B78D7"/>
    <w:rsid w:val="007B7B1E"/>
    <w:rsid w:val="007B7C6D"/>
    <w:rsid w:val="007C02DB"/>
    <w:rsid w:val="007C0707"/>
    <w:rsid w:val="007C073C"/>
    <w:rsid w:val="007C076F"/>
    <w:rsid w:val="007C07C7"/>
    <w:rsid w:val="007C097C"/>
    <w:rsid w:val="007C098B"/>
    <w:rsid w:val="007C0DB8"/>
    <w:rsid w:val="007C0F96"/>
    <w:rsid w:val="007C12F5"/>
    <w:rsid w:val="007C1411"/>
    <w:rsid w:val="007C1412"/>
    <w:rsid w:val="007C1CC1"/>
    <w:rsid w:val="007C1CD9"/>
    <w:rsid w:val="007C20D3"/>
    <w:rsid w:val="007C22C0"/>
    <w:rsid w:val="007C23E5"/>
    <w:rsid w:val="007C257F"/>
    <w:rsid w:val="007C2593"/>
    <w:rsid w:val="007C2685"/>
    <w:rsid w:val="007C2726"/>
    <w:rsid w:val="007C2741"/>
    <w:rsid w:val="007C32D9"/>
    <w:rsid w:val="007C32EF"/>
    <w:rsid w:val="007C3378"/>
    <w:rsid w:val="007C3467"/>
    <w:rsid w:val="007C34C0"/>
    <w:rsid w:val="007C3504"/>
    <w:rsid w:val="007C35D2"/>
    <w:rsid w:val="007C361D"/>
    <w:rsid w:val="007C391E"/>
    <w:rsid w:val="007C3A04"/>
    <w:rsid w:val="007C3BC9"/>
    <w:rsid w:val="007C3EE2"/>
    <w:rsid w:val="007C4560"/>
    <w:rsid w:val="007C4B84"/>
    <w:rsid w:val="007C524E"/>
    <w:rsid w:val="007C53D6"/>
    <w:rsid w:val="007C53F7"/>
    <w:rsid w:val="007C5F73"/>
    <w:rsid w:val="007C626C"/>
    <w:rsid w:val="007C6641"/>
    <w:rsid w:val="007C69F8"/>
    <w:rsid w:val="007C6E47"/>
    <w:rsid w:val="007C7037"/>
    <w:rsid w:val="007C70B7"/>
    <w:rsid w:val="007C70FF"/>
    <w:rsid w:val="007C71AB"/>
    <w:rsid w:val="007C738A"/>
    <w:rsid w:val="007C74BB"/>
    <w:rsid w:val="007C7566"/>
    <w:rsid w:val="007C7B8B"/>
    <w:rsid w:val="007C7C25"/>
    <w:rsid w:val="007D004F"/>
    <w:rsid w:val="007D035F"/>
    <w:rsid w:val="007D0510"/>
    <w:rsid w:val="007D06B2"/>
    <w:rsid w:val="007D0B38"/>
    <w:rsid w:val="007D0BE0"/>
    <w:rsid w:val="007D0CAA"/>
    <w:rsid w:val="007D0D95"/>
    <w:rsid w:val="007D0F91"/>
    <w:rsid w:val="007D1338"/>
    <w:rsid w:val="007D1407"/>
    <w:rsid w:val="007D1475"/>
    <w:rsid w:val="007D151B"/>
    <w:rsid w:val="007D1ACC"/>
    <w:rsid w:val="007D1DE5"/>
    <w:rsid w:val="007D2745"/>
    <w:rsid w:val="007D2A5F"/>
    <w:rsid w:val="007D3792"/>
    <w:rsid w:val="007D39E6"/>
    <w:rsid w:val="007D3C83"/>
    <w:rsid w:val="007D3CAB"/>
    <w:rsid w:val="007D409D"/>
    <w:rsid w:val="007D4D82"/>
    <w:rsid w:val="007D5236"/>
    <w:rsid w:val="007D5440"/>
    <w:rsid w:val="007D54BC"/>
    <w:rsid w:val="007D5BF2"/>
    <w:rsid w:val="007D5C60"/>
    <w:rsid w:val="007D5F5B"/>
    <w:rsid w:val="007D610E"/>
    <w:rsid w:val="007D649B"/>
    <w:rsid w:val="007D6567"/>
    <w:rsid w:val="007D69EB"/>
    <w:rsid w:val="007D6D43"/>
    <w:rsid w:val="007D6D7E"/>
    <w:rsid w:val="007D725B"/>
    <w:rsid w:val="007D73C7"/>
    <w:rsid w:val="007D7899"/>
    <w:rsid w:val="007D7BA3"/>
    <w:rsid w:val="007D7C08"/>
    <w:rsid w:val="007D7CC1"/>
    <w:rsid w:val="007E0013"/>
    <w:rsid w:val="007E0722"/>
    <w:rsid w:val="007E0E56"/>
    <w:rsid w:val="007E0E84"/>
    <w:rsid w:val="007E128F"/>
    <w:rsid w:val="007E14A0"/>
    <w:rsid w:val="007E15C0"/>
    <w:rsid w:val="007E1A0E"/>
    <w:rsid w:val="007E1E6B"/>
    <w:rsid w:val="007E2241"/>
    <w:rsid w:val="007E229D"/>
    <w:rsid w:val="007E2501"/>
    <w:rsid w:val="007E2F65"/>
    <w:rsid w:val="007E30F4"/>
    <w:rsid w:val="007E313C"/>
    <w:rsid w:val="007E3585"/>
    <w:rsid w:val="007E396B"/>
    <w:rsid w:val="007E3EBB"/>
    <w:rsid w:val="007E4539"/>
    <w:rsid w:val="007E5009"/>
    <w:rsid w:val="007E5311"/>
    <w:rsid w:val="007E56BC"/>
    <w:rsid w:val="007E5B52"/>
    <w:rsid w:val="007E5EB1"/>
    <w:rsid w:val="007E638D"/>
    <w:rsid w:val="007E6951"/>
    <w:rsid w:val="007E697E"/>
    <w:rsid w:val="007E6B51"/>
    <w:rsid w:val="007E6D27"/>
    <w:rsid w:val="007E6E4A"/>
    <w:rsid w:val="007E6ED3"/>
    <w:rsid w:val="007E71DD"/>
    <w:rsid w:val="007E74E5"/>
    <w:rsid w:val="007F0061"/>
    <w:rsid w:val="007F0111"/>
    <w:rsid w:val="007F0169"/>
    <w:rsid w:val="007F03CC"/>
    <w:rsid w:val="007F05EE"/>
    <w:rsid w:val="007F085D"/>
    <w:rsid w:val="007F0B3B"/>
    <w:rsid w:val="007F0CFA"/>
    <w:rsid w:val="007F1017"/>
    <w:rsid w:val="007F13B5"/>
    <w:rsid w:val="007F1651"/>
    <w:rsid w:val="007F19A9"/>
    <w:rsid w:val="007F1D2A"/>
    <w:rsid w:val="007F2140"/>
    <w:rsid w:val="007F2837"/>
    <w:rsid w:val="007F2CBA"/>
    <w:rsid w:val="007F2DD1"/>
    <w:rsid w:val="007F2F1C"/>
    <w:rsid w:val="007F3084"/>
    <w:rsid w:val="007F31D7"/>
    <w:rsid w:val="007F3367"/>
    <w:rsid w:val="007F33AB"/>
    <w:rsid w:val="007F348C"/>
    <w:rsid w:val="007F34CE"/>
    <w:rsid w:val="007F3B06"/>
    <w:rsid w:val="007F3B9D"/>
    <w:rsid w:val="007F411C"/>
    <w:rsid w:val="007F4124"/>
    <w:rsid w:val="007F4375"/>
    <w:rsid w:val="007F4A3F"/>
    <w:rsid w:val="007F4A61"/>
    <w:rsid w:val="007F4BE1"/>
    <w:rsid w:val="007F5169"/>
    <w:rsid w:val="007F5255"/>
    <w:rsid w:val="007F5425"/>
    <w:rsid w:val="007F56CC"/>
    <w:rsid w:val="007F61C2"/>
    <w:rsid w:val="007F63F1"/>
    <w:rsid w:val="007F686F"/>
    <w:rsid w:val="007F6B12"/>
    <w:rsid w:val="007F6B73"/>
    <w:rsid w:val="007F6C07"/>
    <w:rsid w:val="007F70E6"/>
    <w:rsid w:val="007F723E"/>
    <w:rsid w:val="007F75FE"/>
    <w:rsid w:val="007F7AC4"/>
    <w:rsid w:val="007F7ACB"/>
    <w:rsid w:val="007F7CE8"/>
    <w:rsid w:val="007F7D82"/>
    <w:rsid w:val="00800132"/>
    <w:rsid w:val="00800840"/>
    <w:rsid w:val="008009C6"/>
    <w:rsid w:val="008015ED"/>
    <w:rsid w:val="008016DB"/>
    <w:rsid w:val="00801784"/>
    <w:rsid w:val="0080196E"/>
    <w:rsid w:val="00801FEC"/>
    <w:rsid w:val="008020C2"/>
    <w:rsid w:val="00802128"/>
    <w:rsid w:val="00802C33"/>
    <w:rsid w:val="0080361C"/>
    <w:rsid w:val="00803D5A"/>
    <w:rsid w:val="0080412D"/>
    <w:rsid w:val="008045B2"/>
    <w:rsid w:val="00805142"/>
    <w:rsid w:val="0080566B"/>
    <w:rsid w:val="00805824"/>
    <w:rsid w:val="00805CAF"/>
    <w:rsid w:val="00805D3E"/>
    <w:rsid w:val="00805EE5"/>
    <w:rsid w:val="00805FCE"/>
    <w:rsid w:val="008063A3"/>
    <w:rsid w:val="008065F0"/>
    <w:rsid w:val="0080696F"/>
    <w:rsid w:val="00806E0E"/>
    <w:rsid w:val="00806FAE"/>
    <w:rsid w:val="00806FE6"/>
    <w:rsid w:val="008071ED"/>
    <w:rsid w:val="00807271"/>
    <w:rsid w:val="00807A8B"/>
    <w:rsid w:val="0081048C"/>
    <w:rsid w:val="00810AFD"/>
    <w:rsid w:val="00810DE9"/>
    <w:rsid w:val="0081105F"/>
    <w:rsid w:val="00811383"/>
    <w:rsid w:val="0081154C"/>
    <w:rsid w:val="00811646"/>
    <w:rsid w:val="008117E2"/>
    <w:rsid w:val="008118D3"/>
    <w:rsid w:val="00811A5D"/>
    <w:rsid w:val="00811F9C"/>
    <w:rsid w:val="00812149"/>
    <w:rsid w:val="00812206"/>
    <w:rsid w:val="0081239B"/>
    <w:rsid w:val="0081248B"/>
    <w:rsid w:val="00812672"/>
    <w:rsid w:val="00812C88"/>
    <w:rsid w:val="00812CAC"/>
    <w:rsid w:val="008130B0"/>
    <w:rsid w:val="008136E6"/>
    <w:rsid w:val="00813758"/>
    <w:rsid w:val="00813ABE"/>
    <w:rsid w:val="00813F17"/>
    <w:rsid w:val="00814013"/>
    <w:rsid w:val="00814042"/>
    <w:rsid w:val="0081480D"/>
    <w:rsid w:val="00814A8A"/>
    <w:rsid w:val="0081500D"/>
    <w:rsid w:val="008150DD"/>
    <w:rsid w:val="008151F4"/>
    <w:rsid w:val="0081529D"/>
    <w:rsid w:val="008155A9"/>
    <w:rsid w:val="00815AFC"/>
    <w:rsid w:val="00815CFB"/>
    <w:rsid w:val="008162B9"/>
    <w:rsid w:val="00816361"/>
    <w:rsid w:val="008166C4"/>
    <w:rsid w:val="008166EF"/>
    <w:rsid w:val="00816729"/>
    <w:rsid w:val="00816FEF"/>
    <w:rsid w:val="008175FB"/>
    <w:rsid w:val="00817D7A"/>
    <w:rsid w:val="00817E1C"/>
    <w:rsid w:val="0082006A"/>
    <w:rsid w:val="00820460"/>
    <w:rsid w:val="00820955"/>
    <w:rsid w:val="00820A8C"/>
    <w:rsid w:val="00820C4F"/>
    <w:rsid w:val="00820D69"/>
    <w:rsid w:val="008210BF"/>
    <w:rsid w:val="008215FB"/>
    <w:rsid w:val="00821735"/>
    <w:rsid w:val="0082177B"/>
    <w:rsid w:val="00821A0E"/>
    <w:rsid w:val="008220CC"/>
    <w:rsid w:val="008225AA"/>
    <w:rsid w:val="00822757"/>
    <w:rsid w:val="00822CCB"/>
    <w:rsid w:val="00823174"/>
    <w:rsid w:val="008235C4"/>
    <w:rsid w:val="008237B8"/>
    <w:rsid w:val="008243E7"/>
    <w:rsid w:val="0082460C"/>
    <w:rsid w:val="008248DD"/>
    <w:rsid w:val="00824970"/>
    <w:rsid w:val="008249D0"/>
    <w:rsid w:val="00824B5E"/>
    <w:rsid w:val="00825751"/>
    <w:rsid w:val="00825A4B"/>
    <w:rsid w:val="00825C83"/>
    <w:rsid w:val="00825E22"/>
    <w:rsid w:val="00825E75"/>
    <w:rsid w:val="008263C1"/>
    <w:rsid w:val="008264D7"/>
    <w:rsid w:val="008264EB"/>
    <w:rsid w:val="008268CE"/>
    <w:rsid w:val="00826F99"/>
    <w:rsid w:val="00827297"/>
    <w:rsid w:val="008273E3"/>
    <w:rsid w:val="00827762"/>
    <w:rsid w:val="00827892"/>
    <w:rsid w:val="00827C23"/>
    <w:rsid w:val="00827CBD"/>
    <w:rsid w:val="00830092"/>
    <w:rsid w:val="00830271"/>
    <w:rsid w:val="00830445"/>
    <w:rsid w:val="00830807"/>
    <w:rsid w:val="00830BE9"/>
    <w:rsid w:val="00830D27"/>
    <w:rsid w:val="00830D7F"/>
    <w:rsid w:val="00831096"/>
    <w:rsid w:val="00831E01"/>
    <w:rsid w:val="0083264A"/>
    <w:rsid w:val="0083291E"/>
    <w:rsid w:val="00832AEF"/>
    <w:rsid w:val="00832E46"/>
    <w:rsid w:val="00832EC5"/>
    <w:rsid w:val="00833223"/>
    <w:rsid w:val="008333BF"/>
    <w:rsid w:val="00833495"/>
    <w:rsid w:val="00833631"/>
    <w:rsid w:val="008336EA"/>
    <w:rsid w:val="008337F9"/>
    <w:rsid w:val="00833B05"/>
    <w:rsid w:val="00833BED"/>
    <w:rsid w:val="00833D43"/>
    <w:rsid w:val="00834C0C"/>
    <w:rsid w:val="00834F59"/>
    <w:rsid w:val="008351BE"/>
    <w:rsid w:val="008355A9"/>
    <w:rsid w:val="0083579A"/>
    <w:rsid w:val="0083599B"/>
    <w:rsid w:val="00835BD0"/>
    <w:rsid w:val="00835BDA"/>
    <w:rsid w:val="00835EFC"/>
    <w:rsid w:val="00836124"/>
    <w:rsid w:val="008362B4"/>
    <w:rsid w:val="00836344"/>
    <w:rsid w:val="008367A6"/>
    <w:rsid w:val="00836E1D"/>
    <w:rsid w:val="00836E87"/>
    <w:rsid w:val="00836FFE"/>
    <w:rsid w:val="0083701D"/>
    <w:rsid w:val="00837042"/>
    <w:rsid w:val="00837260"/>
    <w:rsid w:val="008374CA"/>
    <w:rsid w:val="008376C1"/>
    <w:rsid w:val="0083771D"/>
    <w:rsid w:val="00837AF7"/>
    <w:rsid w:val="00837E9D"/>
    <w:rsid w:val="00840883"/>
    <w:rsid w:val="008409D0"/>
    <w:rsid w:val="00840CA2"/>
    <w:rsid w:val="008410C4"/>
    <w:rsid w:val="0084157B"/>
    <w:rsid w:val="00841908"/>
    <w:rsid w:val="00841CE5"/>
    <w:rsid w:val="00841E49"/>
    <w:rsid w:val="008421D2"/>
    <w:rsid w:val="00842387"/>
    <w:rsid w:val="00842B8A"/>
    <w:rsid w:val="00842D3E"/>
    <w:rsid w:val="00842E16"/>
    <w:rsid w:val="00843201"/>
    <w:rsid w:val="00843225"/>
    <w:rsid w:val="0084374F"/>
    <w:rsid w:val="00843A14"/>
    <w:rsid w:val="00843AE7"/>
    <w:rsid w:val="00843D23"/>
    <w:rsid w:val="008440D2"/>
    <w:rsid w:val="008442FE"/>
    <w:rsid w:val="008447FE"/>
    <w:rsid w:val="00844A22"/>
    <w:rsid w:val="00844BE4"/>
    <w:rsid w:val="00844D47"/>
    <w:rsid w:val="00844E1B"/>
    <w:rsid w:val="008450DE"/>
    <w:rsid w:val="008451D4"/>
    <w:rsid w:val="008452FE"/>
    <w:rsid w:val="00845324"/>
    <w:rsid w:val="008459C2"/>
    <w:rsid w:val="00845AC8"/>
    <w:rsid w:val="00845BAA"/>
    <w:rsid w:val="00845DBE"/>
    <w:rsid w:val="00845E5F"/>
    <w:rsid w:val="00846672"/>
    <w:rsid w:val="0084668B"/>
    <w:rsid w:val="0084670B"/>
    <w:rsid w:val="00846746"/>
    <w:rsid w:val="00846AEA"/>
    <w:rsid w:val="00846BB3"/>
    <w:rsid w:val="00846F31"/>
    <w:rsid w:val="0084706D"/>
    <w:rsid w:val="008475B4"/>
    <w:rsid w:val="00847703"/>
    <w:rsid w:val="0084782C"/>
    <w:rsid w:val="008478FC"/>
    <w:rsid w:val="00847944"/>
    <w:rsid w:val="008479BC"/>
    <w:rsid w:val="00847A0C"/>
    <w:rsid w:val="00847DF5"/>
    <w:rsid w:val="00851083"/>
    <w:rsid w:val="00851148"/>
    <w:rsid w:val="00851247"/>
    <w:rsid w:val="0085147F"/>
    <w:rsid w:val="00851888"/>
    <w:rsid w:val="00851B1C"/>
    <w:rsid w:val="00851BA8"/>
    <w:rsid w:val="00851BFD"/>
    <w:rsid w:val="00851DB5"/>
    <w:rsid w:val="008521C6"/>
    <w:rsid w:val="008521CE"/>
    <w:rsid w:val="008522DB"/>
    <w:rsid w:val="0085239D"/>
    <w:rsid w:val="00852422"/>
    <w:rsid w:val="008524B0"/>
    <w:rsid w:val="008526CE"/>
    <w:rsid w:val="00852BF1"/>
    <w:rsid w:val="00852D87"/>
    <w:rsid w:val="0085309D"/>
    <w:rsid w:val="00853167"/>
    <w:rsid w:val="008535A0"/>
    <w:rsid w:val="008535DD"/>
    <w:rsid w:val="008536E6"/>
    <w:rsid w:val="00853B87"/>
    <w:rsid w:val="00853B98"/>
    <w:rsid w:val="00853C87"/>
    <w:rsid w:val="00854250"/>
    <w:rsid w:val="00854612"/>
    <w:rsid w:val="0085477D"/>
    <w:rsid w:val="008548E7"/>
    <w:rsid w:val="00854AB7"/>
    <w:rsid w:val="00855430"/>
    <w:rsid w:val="00855B91"/>
    <w:rsid w:val="00855DB3"/>
    <w:rsid w:val="0085630C"/>
    <w:rsid w:val="00856897"/>
    <w:rsid w:val="008569B0"/>
    <w:rsid w:val="00856E9A"/>
    <w:rsid w:val="00857ABF"/>
    <w:rsid w:val="00857AF7"/>
    <w:rsid w:val="008602F8"/>
    <w:rsid w:val="00860717"/>
    <w:rsid w:val="0086075D"/>
    <w:rsid w:val="00860904"/>
    <w:rsid w:val="00860A60"/>
    <w:rsid w:val="008611DF"/>
    <w:rsid w:val="008613B1"/>
    <w:rsid w:val="008616DD"/>
    <w:rsid w:val="00861867"/>
    <w:rsid w:val="0086216E"/>
    <w:rsid w:val="008621E2"/>
    <w:rsid w:val="00862502"/>
    <w:rsid w:val="00862CC1"/>
    <w:rsid w:val="00862EA8"/>
    <w:rsid w:val="0086346D"/>
    <w:rsid w:val="00863706"/>
    <w:rsid w:val="00863849"/>
    <w:rsid w:val="00863983"/>
    <w:rsid w:val="00863992"/>
    <w:rsid w:val="008639DD"/>
    <w:rsid w:val="00863B85"/>
    <w:rsid w:val="00863EFF"/>
    <w:rsid w:val="00863F09"/>
    <w:rsid w:val="00864056"/>
    <w:rsid w:val="008642A7"/>
    <w:rsid w:val="0086466C"/>
    <w:rsid w:val="00864810"/>
    <w:rsid w:val="00864AEB"/>
    <w:rsid w:val="00864C66"/>
    <w:rsid w:val="00864EEA"/>
    <w:rsid w:val="00865274"/>
    <w:rsid w:val="00865354"/>
    <w:rsid w:val="00865784"/>
    <w:rsid w:val="00865925"/>
    <w:rsid w:val="00865BB1"/>
    <w:rsid w:val="00865C69"/>
    <w:rsid w:val="00865D33"/>
    <w:rsid w:val="00865DDF"/>
    <w:rsid w:val="00865F65"/>
    <w:rsid w:val="008660D4"/>
    <w:rsid w:val="008660E2"/>
    <w:rsid w:val="0086625E"/>
    <w:rsid w:val="00866306"/>
    <w:rsid w:val="008663E4"/>
    <w:rsid w:val="008665C2"/>
    <w:rsid w:val="008669D3"/>
    <w:rsid w:val="00866B8D"/>
    <w:rsid w:val="00866C39"/>
    <w:rsid w:val="00866E29"/>
    <w:rsid w:val="0086783B"/>
    <w:rsid w:val="00867928"/>
    <w:rsid w:val="00867EB0"/>
    <w:rsid w:val="008700E3"/>
    <w:rsid w:val="008701F8"/>
    <w:rsid w:val="00870333"/>
    <w:rsid w:val="00870544"/>
    <w:rsid w:val="0087079E"/>
    <w:rsid w:val="00870F86"/>
    <w:rsid w:val="008714C4"/>
    <w:rsid w:val="008715C9"/>
    <w:rsid w:val="00871630"/>
    <w:rsid w:val="0087190D"/>
    <w:rsid w:val="00871AE4"/>
    <w:rsid w:val="00871C56"/>
    <w:rsid w:val="00871D5A"/>
    <w:rsid w:val="00871FA9"/>
    <w:rsid w:val="00872395"/>
    <w:rsid w:val="008728E9"/>
    <w:rsid w:val="0087297D"/>
    <w:rsid w:val="0087338E"/>
    <w:rsid w:val="008735E8"/>
    <w:rsid w:val="008736E1"/>
    <w:rsid w:val="00873B1B"/>
    <w:rsid w:val="00873B32"/>
    <w:rsid w:val="00873E2B"/>
    <w:rsid w:val="008741E6"/>
    <w:rsid w:val="0087450F"/>
    <w:rsid w:val="00874C35"/>
    <w:rsid w:val="00874D01"/>
    <w:rsid w:val="0087522B"/>
    <w:rsid w:val="0087568B"/>
    <w:rsid w:val="008757D4"/>
    <w:rsid w:val="008758C6"/>
    <w:rsid w:val="00875EF6"/>
    <w:rsid w:val="008760D6"/>
    <w:rsid w:val="0087631B"/>
    <w:rsid w:val="00876344"/>
    <w:rsid w:val="008763CA"/>
    <w:rsid w:val="00876573"/>
    <w:rsid w:val="008765DE"/>
    <w:rsid w:val="008770C0"/>
    <w:rsid w:val="00877406"/>
    <w:rsid w:val="008776A8"/>
    <w:rsid w:val="00877723"/>
    <w:rsid w:val="008778EF"/>
    <w:rsid w:val="00877903"/>
    <w:rsid w:val="00877959"/>
    <w:rsid w:val="00877D6D"/>
    <w:rsid w:val="00877E4B"/>
    <w:rsid w:val="00880007"/>
    <w:rsid w:val="008801A1"/>
    <w:rsid w:val="00880291"/>
    <w:rsid w:val="008804A6"/>
    <w:rsid w:val="008809EB"/>
    <w:rsid w:val="00880AF8"/>
    <w:rsid w:val="00880C3A"/>
    <w:rsid w:val="008811B8"/>
    <w:rsid w:val="00881394"/>
    <w:rsid w:val="008816C4"/>
    <w:rsid w:val="00881B14"/>
    <w:rsid w:val="00881BA0"/>
    <w:rsid w:val="00881F3A"/>
    <w:rsid w:val="0088203B"/>
    <w:rsid w:val="00882219"/>
    <w:rsid w:val="0088246A"/>
    <w:rsid w:val="00882715"/>
    <w:rsid w:val="00882874"/>
    <w:rsid w:val="0088298F"/>
    <w:rsid w:val="00882A1F"/>
    <w:rsid w:val="00882E3C"/>
    <w:rsid w:val="0088301D"/>
    <w:rsid w:val="0088308A"/>
    <w:rsid w:val="00883787"/>
    <w:rsid w:val="00883AEA"/>
    <w:rsid w:val="00883F93"/>
    <w:rsid w:val="008842AA"/>
    <w:rsid w:val="008842C9"/>
    <w:rsid w:val="00884678"/>
    <w:rsid w:val="00884AB2"/>
    <w:rsid w:val="00884C3E"/>
    <w:rsid w:val="00885015"/>
    <w:rsid w:val="00885057"/>
    <w:rsid w:val="00885179"/>
    <w:rsid w:val="008855E4"/>
    <w:rsid w:val="00885606"/>
    <w:rsid w:val="008857F8"/>
    <w:rsid w:val="00885E6B"/>
    <w:rsid w:val="00885E98"/>
    <w:rsid w:val="0088602C"/>
    <w:rsid w:val="00886236"/>
    <w:rsid w:val="0088657C"/>
    <w:rsid w:val="008866AE"/>
    <w:rsid w:val="008866C8"/>
    <w:rsid w:val="00886A3F"/>
    <w:rsid w:val="00886CD2"/>
    <w:rsid w:val="0088704F"/>
    <w:rsid w:val="00887074"/>
    <w:rsid w:val="00887080"/>
    <w:rsid w:val="0088733B"/>
    <w:rsid w:val="00887782"/>
    <w:rsid w:val="0088781E"/>
    <w:rsid w:val="00887E69"/>
    <w:rsid w:val="00887EDE"/>
    <w:rsid w:val="00890A28"/>
    <w:rsid w:val="00890FB6"/>
    <w:rsid w:val="00890FE2"/>
    <w:rsid w:val="0089137C"/>
    <w:rsid w:val="00891BDF"/>
    <w:rsid w:val="00891E0E"/>
    <w:rsid w:val="00891E6F"/>
    <w:rsid w:val="0089212C"/>
    <w:rsid w:val="00892631"/>
    <w:rsid w:val="0089275D"/>
    <w:rsid w:val="00892941"/>
    <w:rsid w:val="00892A36"/>
    <w:rsid w:val="00892C1A"/>
    <w:rsid w:val="00892FEF"/>
    <w:rsid w:val="00893239"/>
    <w:rsid w:val="0089323B"/>
    <w:rsid w:val="00893287"/>
    <w:rsid w:val="008932EE"/>
    <w:rsid w:val="0089359E"/>
    <w:rsid w:val="00893675"/>
    <w:rsid w:val="00893A46"/>
    <w:rsid w:val="00893D13"/>
    <w:rsid w:val="00893F9B"/>
    <w:rsid w:val="0089420E"/>
    <w:rsid w:val="00894461"/>
    <w:rsid w:val="00894489"/>
    <w:rsid w:val="008946DB"/>
    <w:rsid w:val="00894CD6"/>
    <w:rsid w:val="00894F70"/>
    <w:rsid w:val="0089505A"/>
    <w:rsid w:val="008950ED"/>
    <w:rsid w:val="008951A2"/>
    <w:rsid w:val="00895299"/>
    <w:rsid w:val="00895551"/>
    <w:rsid w:val="008958B9"/>
    <w:rsid w:val="008959D2"/>
    <w:rsid w:val="00895EE3"/>
    <w:rsid w:val="008963A5"/>
    <w:rsid w:val="00896563"/>
    <w:rsid w:val="008965E0"/>
    <w:rsid w:val="00896778"/>
    <w:rsid w:val="00896B69"/>
    <w:rsid w:val="00896CFA"/>
    <w:rsid w:val="00896D5D"/>
    <w:rsid w:val="00896FA0"/>
    <w:rsid w:val="00897021"/>
    <w:rsid w:val="00897D96"/>
    <w:rsid w:val="00897E12"/>
    <w:rsid w:val="00897F42"/>
    <w:rsid w:val="008A004F"/>
    <w:rsid w:val="008A0556"/>
    <w:rsid w:val="008A0A5F"/>
    <w:rsid w:val="008A0CCD"/>
    <w:rsid w:val="008A0ED9"/>
    <w:rsid w:val="008A183A"/>
    <w:rsid w:val="008A22BA"/>
    <w:rsid w:val="008A288D"/>
    <w:rsid w:val="008A2B10"/>
    <w:rsid w:val="008A2E1C"/>
    <w:rsid w:val="008A3158"/>
    <w:rsid w:val="008A3363"/>
    <w:rsid w:val="008A3371"/>
    <w:rsid w:val="008A34F5"/>
    <w:rsid w:val="008A3B14"/>
    <w:rsid w:val="008A3BFC"/>
    <w:rsid w:val="008A3C3E"/>
    <w:rsid w:val="008A4367"/>
    <w:rsid w:val="008A4592"/>
    <w:rsid w:val="008A45DB"/>
    <w:rsid w:val="008A46CC"/>
    <w:rsid w:val="008A474E"/>
    <w:rsid w:val="008A49EA"/>
    <w:rsid w:val="008A4BA1"/>
    <w:rsid w:val="008A4BF9"/>
    <w:rsid w:val="008A4E79"/>
    <w:rsid w:val="008A549C"/>
    <w:rsid w:val="008A561B"/>
    <w:rsid w:val="008A589C"/>
    <w:rsid w:val="008A5B9C"/>
    <w:rsid w:val="008A5C51"/>
    <w:rsid w:val="008A5CD2"/>
    <w:rsid w:val="008A5D18"/>
    <w:rsid w:val="008A6161"/>
    <w:rsid w:val="008A64E6"/>
    <w:rsid w:val="008A64F9"/>
    <w:rsid w:val="008A685B"/>
    <w:rsid w:val="008A6A81"/>
    <w:rsid w:val="008A6C06"/>
    <w:rsid w:val="008A6E92"/>
    <w:rsid w:val="008A71CD"/>
    <w:rsid w:val="008A7208"/>
    <w:rsid w:val="008A7270"/>
    <w:rsid w:val="008A72F3"/>
    <w:rsid w:val="008A7429"/>
    <w:rsid w:val="008A79DE"/>
    <w:rsid w:val="008A7F56"/>
    <w:rsid w:val="008A7FC6"/>
    <w:rsid w:val="008B03BF"/>
    <w:rsid w:val="008B0B7D"/>
    <w:rsid w:val="008B0F56"/>
    <w:rsid w:val="008B16CC"/>
    <w:rsid w:val="008B1757"/>
    <w:rsid w:val="008B18AA"/>
    <w:rsid w:val="008B18E2"/>
    <w:rsid w:val="008B1916"/>
    <w:rsid w:val="008B1989"/>
    <w:rsid w:val="008B1A38"/>
    <w:rsid w:val="008B1A4B"/>
    <w:rsid w:val="008B1A6F"/>
    <w:rsid w:val="008B1B8B"/>
    <w:rsid w:val="008B1BD5"/>
    <w:rsid w:val="008B1C33"/>
    <w:rsid w:val="008B1E76"/>
    <w:rsid w:val="008B205A"/>
    <w:rsid w:val="008B22EB"/>
    <w:rsid w:val="008B274F"/>
    <w:rsid w:val="008B31F0"/>
    <w:rsid w:val="008B337D"/>
    <w:rsid w:val="008B338E"/>
    <w:rsid w:val="008B33F8"/>
    <w:rsid w:val="008B3692"/>
    <w:rsid w:val="008B38B6"/>
    <w:rsid w:val="008B3BA3"/>
    <w:rsid w:val="008B3C84"/>
    <w:rsid w:val="008B4B6F"/>
    <w:rsid w:val="008B55B8"/>
    <w:rsid w:val="008B56DC"/>
    <w:rsid w:val="008B5D27"/>
    <w:rsid w:val="008B5FDE"/>
    <w:rsid w:val="008B6400"/>
    <w:rsid w:val="008B68B3"/>
    <w:rsid w:val="008B6AE2"/>
    <w:rsid w:val="008B6B03"/>
    <w:rsid w:val="008B6F20"/>
    <w:rsid w:val="008B754E"/>
    <w:rsid w:val="008B7992"/>
    <w:rsid w:val="008B7D7E"/>
    <w:rsid w:val="008C057C"/>
    <w:rsid w:val="008C05A8"/>
    <w:rsid w:val="008C0B99"/>
    <w:rsid w:val="008C0E12"/>
    <w:rsid w:val="008C0F29"/>
    <w:rsid w:val="008C1018"/>
    <w:rsid w:val="008C133E"/>
    <w:rsid w:val="008C13C9"/>
    <w:rsid w:val="008C14EF"/>
    <w:rsid w:val="008C1B7C"/>
    <w:rsid w:val="008C1CA5"/>
    <w:rsid w:val="008C1EE2"/>
    <w:rsid w:val="008C201C"/>
    <w:rsid w:val="008C2848"/>
    <w:rsid w:val="008C2E28"/>
    <w:rsid w:val="008C33F0"/>
    <w:rsid w:val="008C353F"/>
    <w:rsid w:val="008C3808"/>
    <w:rsid w:val="008C38F0"/>
    <w:rsid w:val="008C39CF"/>
    <w:rsid w:val="008C3A30"/>
    <w:rsid w:val="008C4023"/>
    <w:rsid w:val="008C4430"/>
    <w:rsid w:val="008C4792"/>
    <w:rsid w:val="008C4B66"/>
    <w:rsid w:val="008C4D04"/>
    <w:rsid w:val="008C4D34"/>
    <w:rsid w:val="008C552D"/>
    <w:rsid w:val="008C556B"/>
    <w:rsid w:val="008C5610"/>
    <w:rsid w:val="008C5739"/>
    <w:rsid w:val="008C5A3C"/>
    <w:rsid w:val="008C5D3E"/>
    <w:rsid w:val="008C6037"/>
    <w:rsid w:val="008C61D7"/>
    <w:rsid w:val="008C64D1"/>
    <w:rsid w:val="008C651E"/>
    <w:rsid w:val="008C6628"/>
    <w:rsid w:val="008C69AC"/>
    <w:rsid w:val="008C700E"/>
    <w:rsid w:val="008C71F1"/>
    <w:rsid w:val="008C725B"/>
    <w:rsid w:val="008C7282"/>
    <w:rsid w:val="008C7592"/>
    <w:rsid w:val="008C75E7"/>
    <w:rsid w:val="008C7690"/>
    <w:rsid w:val="008C7ECB"/>
    <w:rsid w:val="008C7FA9"/>
    <w:rsid w:val="008D01DA"/>
    <w:rsid w:val="008D0380"/>
    <w:rsid w:val="008D0498"/>
    <w:rsid w:val="008D04A5"/>
    <w:rsid w:val="008D0909"/>
    <w:rsid w:val="008D12A5"/>
    <w:rsid w:val="008D1895"/>
    <w:rsid w:val="008D1B5A"/>
    <w:rsid w:val="008D1E18"/>
    <w:rsid w:val="008D2402"/>
    <w:rsid w:val="008D2481"/>
    <w:rsid w:val="008D2BF2"/>
    <w:rsid w:val="008D2EC6"/>
    <w:rsid w:val="008D35B1"/>
    <w:rsid w:val="008D37B4"/>
    <w:rsid w:val="008D3B86"/>
    <w:rsid w:val="008D3CD9"/>
    <w:rsid w:val="008D3D5B"/>
    <w:rsid w:val="008D3D76"/>
    <w:rsid w:val="008D3F3A"/>
    <w:rsid w:val="008D3FE2"/>
    <w:rsid w:val="008D40B7"/>
    <w:rsid w:val="008D4139"/>
    <w:rsid w:val="008D4391"/>
    <w:rsid w:val="008D43FD"/>
    <w:rsid w:val="008D4755"/>
    <w:rsid w:val="008D4C3D"/>
    <w:rsid w:val="008D4CF2"/>
    <w:rsid w:val="008D4D49"/>
    <w:rsid w:val="008D4EAD"/>
    <w:rsid w:val="008D4EEA"/>
    <w:rsid w:val="008D53B3"/>
    <w:rsid w:val="008D53E8"/>
    <w:rsid w:val="008D5621"/>
    <w:rsid w:val="008D5A2C"/>
    <w:rsid w:val="008D5AA9"/>
    <w:rsid w:val="008D5C2D"/>
    <w:rsid w:val="008D6198"/>
    <w:rsid w:val="008D6244"/>
    <w:rsid w:val="008D645E"/>
    <w:rsid w:val="008D65EC"/>
    <w:rsid w:val="008D680E"/>
    <w:rsid w:val="008D68E9"/>
    <w:rsid w:val="008D6A31"/>
    <w:rsid w:val="008D6A85"/>
    <w:rsid w:val="008D6BBA"/>
    <w:rsid w:val="008D6C39"/>
    <w:rsid w:val="008D6D70"/>
    <w:rsid w:val="008D7107"/>
    <w:rsid w:val="008D743C"/>
    <w:rsid w:val="008D79F1"/>
    <w:rsid w:val="008D7AD5"/>
    <w:rsid w:val="008E0697"/>
    <w:rsid w:val="008E0D3C"/>
    <w:rsid w:val="008E15CF"/>
    <w:rsid w:val="008E1828"/>
    <w:rsid w:val="008E1B9E"/>
    <w:rsid w:val="008E27C6"/>
    <w:rsid w:val="008E28AC"/>
    <w:rsid w:val="008E294C"/>
    <w:rsid w:val="008E2967"/>
    <w:rsid w:val="008E2BEF"/>
    <w:rsid w:val="008E2FDE"/>
    <w:rsid w:val="008E3009"/>
    <w:rsid w:val="008E30AB"/>
    <w:rsid w:val="008E344C"/>
    <w:rsid w:val="008E392E"/>
    <w:rsid w:val="008E3A67"/>
    <w:rsid w:val="008E4167"/>
    <w:rsid w:val="008E43E5"/>
    <w:rsid w:val="008E4500"/>
    <w:rsid w:val="008E48D4"/>
    <w:rsid w:val="008E4B42"/>
    <w:rsid w:val="008E4F33"/>
    <w:rsid w:val="008E5173"/>
    <w:rsid w:val="008E546A"/>
    <w:rsid w:val="008E546F"/>
    <w:rsid w:val="008E55AB"/>
    <w:rsid w:val="008E5C57"/>
    <w:rsid w:val="008E5E14"/>
    <w:rsid w:val="008E5F72"/>
    <w:rsid w:val="008E6189"/>
    <w:rsid w:val="008E619C"/>
    <w:rsid w:val="008E6281"/>
    <w:rsid w:val="008E63BA"/>
    <w:rsid w:val="008E6740"/>
    <w:rsid w:val="008E6927"/>
    <w:rsid w:val="008E6C3F"/>
    <w:rsid w:val="008E7040"/>
    <w:rsid w:val="008E70F4"/>
    <w:rsid w:val="008E795C"/>
    <w:rsid w:val="008E7D96"/>
    <w:rsid w:val="008F01BF"/>
    <w:rsid w:val="008F06B3"/>
    <w:rsid w:val="008F07A2"/>
    <w:rsid w:val="008F0A4C"/>
    <w:rsid w:val="008F0C61"/>
    <w:rsid w:val="008F0CC2"/>
    <w:rsid w:val="008F0FA9"/>
    <w:rsid w:val="008F120A"/>
    <w:rsid w:val="008F1351"/>
    <w:rsid w:val="008F17CA"/>
    <w:rsid w:val="008F18F7"/>
    <w:rsid w:val="008F20F8"/>
    <w:rsid w:val="008F27E0"/>
    <w:rsid w:val="008F2926"/>
    <w:rsid w:val="008F2F00"/>
    <w:rsid w:val="008F31E3"/>
    <w:rsid w:val="008F3556"/>
    <w:rsid w:val="008F37B3"/>
    <w:rsid w:val="008F385A"/>
    <w:rsid w:val="008F3CEC"/>
    <w:rsid w:val="008F3D69"/>
    <w:rsid w:val="008F3FFA"/>
    <w:rsid w:val="008F41E1"/>
    <w:rsid w:val="008F43F6"/>
    <w:rsid w:val="008F47E2"/>
    <w:rsid w:val="008F48EB"/>
    <w:rsid w:val="008F4E27"/>
    <w:rsid w:val="008F4F0B"/>
    <w:rsid w:val="008F5098"/>
    <w:rsid w:val="008F5440"/>
    <w:rsid w:val="008F566C"/>
    <w:rsid w:val="008F5798"/>
    <w:rsid w:val="008F5CEC"/>
    <w:rsid w:val="008F6022"/>
    <w:rsid w:val="008F613D"/>
    <w:rsid w:val="008F6166"/>
    <w:rsid w:val="008F61FB"/>
    <w:rsid w:val="008F66FF"/>
    <w:rsid w:val="008F6888"/>
    <w:rsid w:val="008F6931"/>
    <w:rsid w:val="008F6A41"/>
    <w:rsid w:val="008F6EC7"/>
    <w:rsid w:val="008F7410"/>
    <w:rsid w:val="008F74E2"/>
    <w:rsid w:val="008F7C19"/>
    <w:rsid w:val="008F7C1F"/>
    <w:rsid w:val="00900424"/>
    <w:rsid w:val="0090066B"/>
    <w:rsid w:val="00900732"/>
    <w:rsid w:val="00900890"/>
    <w:rsid w:val="009008C4"/>
    <w:rsid w:val="0090095C"/>
    <w:rsid w:val="00900991"/>
    <w:rsid w:val="00900BB3"/>
    <w:rsid w:val="009010AE"/>
    <w:rsid w:val="00901524"/>
    <w:rsid w:val="009016EA"/>
    <w:rsid w:val="00901804"/>
    <w:rsid w:val="00901999"/>
    <w:rsid w:val="00901A1F"/>
    <w:rsid w:val="00901BDF"/>
    <w:rsid w:val="00901DC9"/>
    <w:rsid w:val="0090213D"/>
    <w:rsid w:val="0090222A"/>
    <w:rsid w:val="00902414"/>
    <w:rsid w:val="00902628"/>
    <w:rsid w:val="00902C64"/>
    <w:rsid w:val="00902FA2"/>
    <w:rsid w:val="00903246"/>
    <w:rsid w:val="00903618"/>
    <w:rsid w:val="00904060"/>
    <w:rsid w:val="00904628"/>
    <w:rsid w:val="009046C4"/>
    <w:rsid w:val="0090483F"/>
    <w:rsid w:val="00905072"/>
    <w:rsid w:val="00905756"/>
    <w:rsid w:val="00905836"/>
    <w:rsid w:val="00905CA8"/>
    <w:rsid w:val="00905D7F"/>
    <w:rsid w:val="009062A5"/>
    <w:rsid w:val="009062B1"/>
    <w:rsid w:val="00906652"/>
    <w:rsid w:val="00906A29"/>
    <w:rsid w:val="00906BA3"/>
    <w:rsid w:val="00906BF7"/>
    <w:rsid w:val="00906DFB"/>
    <w:rsid w:val="00906EB9"/>
    <w:rsid w:val="0090730F"/>
    <w:rsid w:val="00907436"/>
    <w:rsid w:val="00907699"/>
    <w:rsid w:val="00907A8E"/>
    <w:rsid w:val="00907BC7"/>
    <w:rsid w:val="00907DC4"/>
    <w:rsid w:val="00907FE1"/>
    <w:rsid w:val="009101CD"/>
    <w:rsid w:val="0091027D"/>
    <w:rsid w:val="00910B83"/>
    <w:rsid w:val="00910D43"/>
    <w:rsid w:val="00910FA7"/>
    <w:rsid w:val="00911154"/>
    <w:rsid w:val="00911272"/>
    <w:rsid w:val="00911339"/>
    <w:rsid w:val="00911517"/>
    <w:rsid w:val="00911AA1"/>
    <w:rsid w:val="00911B60"/>
    <w:rsid w:val="00911DCF"/>
    <w:rsid w:val="009122E7"/>
    <w:rsid w:val="00912B84"/>
    <w:rsid w:val="009131EB"/>
    <w:rsid w:val="009135D6"/>
    <w:rsid w:val="00913677"/>
    <w:rsid w:val="00913765"/>
    <w:rsid w:val="00913E5C"/>
    <w:rsid w:val="0091406B"/>
    <w:rsid w:val="009141C9"/>
    <w:rsid w:val="00914337"/>
    <w:rsid w:val="00914389"/>
    <w:rsid w:val="00914531"/>
    <w:rsid w:val="009145EE"/>
    <w:rsid w:val="00914C77"/>
    <w:rsid w:val="00914D9C"/>
    <w:rsid w:val="00914FC4"/>
    <w:rsid w:val="009151B5"/>
    <w:rsid w:val="00915CD5"/>
    <w:rsid w:val="00915F75"/>
    <w:rsid w:val="00916434"/>
    <w:rsid w:val="009164D0"/>
    <w:rsid w:val="00916B12"/>
    <w:rsid w:val="00916EAE"/>
    <w:rsid w:val="00916F25"/>
    <w:rsid w:val="0091705A"/>
    <w:rsid w:val="00917104"/>
    <w:rsid w:val="0091710D"/>
    <w:rsid w:val="0091717A"/>
    <w:rsid w:val="009177C5"/>
    <w:rsid w:val="00917908"/>
    <w:rsid w:val="009200E0"/>
    <w:rsid w:val="009203AB"/>
    <w:rsid w:val="009203E1"/>
    <w:rsid w:val="009204C3"/>
    <w:rsid w:val="00920627"/>
    <w:rsid w:val="00920AA7"/>
    <w:rsid w:val="00920CE8"/>
    <w:rsid w:val="00920DE5"/>
    <w:rsid w:val="00920F0D"/>
    <w:rsid w:val="00920F91"/>
    <w:rsid w:val="0092107A"/>
    <w:rsid w:val="009215DB"/>
    <w:rsid w:val="0092162B"/>
    <w:rsid w:val="00921663"/>
    <w:rsid w:val="009216A0"/>
    <w:rsid w:val="009218EF"/>
    <w:rsid w:val="00921ACB"/>
    <w:rsid w:val="00921B00"/>
    <w:rsid w:val="00921B1F"/>
    <w:rsid w:val="00921DCE"/>
    <w:rsid w:val="00922AAF"/>
    <w:rsid w:val="00922F71"/>
    <w:rsid w:val="009232AE"/>
    <w:rsid w:val="009233F3"/>
    <w:rsid w:val="00923535"/>
    <w:rsid w:val="0092369B"/>
    <w:rsid w:val="0092378F"/>
    <w:rsid w:val="00923DDE"/>
    <w:rsid w:val="00923E3E"/>
    <w:rsid w:val="0092406D"/>
    <w:rsid w:val="009241F6"/>
    <w:rsid w:val="009244A5"/>
    <w:rsid w:val="009244E3"/>
    <w:rsid w:val="0092458C"/>
    <w:rsid w:val="00924620"/>
    <w:rsid w:val="00924CA4"/>
    <w:rsid w:val="00924D60"/>
    <w:rsid w:val="00924E45"/>
    <w:rsid w:val="009250AE"/>
    <w:rsid w:val="009250DF"/>
    <w:rsid w:val="00925211"/>
    <w:rsid w:val="00925B78"/>
    <w:rsid w:val="00925DD7"/>
    <w:rsid w:val="00925FB5"/>
    <w:rsid w:val="009266A8"/>
    <w:rsid w:val="00926A1E"/>
    <w:rsid w:val="00926A22"/>
    <w:rsid w:val="00926E12"/>
    <w:rsid w:val="0092730A"/>
    <w:rsid w:val="00927519"/>
    <w:rsid w:val="009275D7"/>
    <w:rsid w:val="009278F0"/>
    <w:rsid w:val="00927925"/>
    <w:rsid w:val="00927E29"/>
    <w:rsid w:val="00927F36"/>
    <w:rsid w:val="00930097"/>
    <w:rsid w:val="009302F1"/>
    <w:rsid w:val="00930568"/>
    <w:rsid w:val="009307E1"/>
    <w:rsid w:val="00930D94"/>
    <w:rsid w:val="00930DAB"/>
    <w:rsid w:val="00931355"/>
    <w:rsid w:val="0093154C"/>
    <w:rsid w:val="00931A8C"/>
    <w:rsid w:val="00931D74"/>
    <w:rsid w:val="009320AB"/>
    <w:rsid w:val="009322B2"/>
    <w:rsid w:val="00932AB0"/>
    <w:rsid w:val="00932C0A"/>
    <w:rsid w:val="00933069"/>
    <w:rsid w:val="00933236"/>
    <w:rsid w:val="009333DA"/>
    <w:rsid w:val="009336E2"/>
    <w:rsid w:val="00933DCF"/>
    <w:rsid w:val="00933DD7"/>
    <w:rsid w:val="00933E7B"/>
    <w:rsid w:val="00933EB0"/>
    <w:rsid w:val="00934092"/>
    <w:rsid w:val="009341A4"/>
    <w:rsid w:val="0093430C"/>
    <w:rsid w:val="00934420"/>
    <w:rsid w:val="00934988"/>
    <w:rsid w:val="009357F1"/>
    <w:rsid w:val="00935D30"/>
    <w:rsid w:val="00935D82"/>
    <w:rsid w:val="0093619B"/>
    <w:rsid w:val="00936238"/>
    <w:rsid w:val="00936431"/>
    <w:rsid w:val="00936884"/>
    <w:rsid w:val="00936A8A"/>
    <w:rsid w:val="00937089"/>
    <w:rsid w:val="00937346"/>
    <w:rsid w:val="0093734A"/>
    <w:rsid w:val="00937375"/>
    <w:rsid w:val="00937BAC"/>
    <w:rsid w:val="009402EE"/>
    <w:rsid w:val="00941A96"/>
    <w:rsid w:val="00941A9C"/>
    <w:rsid w:val="00941C05"/>
    <w:rsid w:val="00941E13"/>
    <w:rsid w:val="00941E80"/>
    <w:rsid w:val="00941FC0"/>
    <w:rsid w:val="0094208C"/>
    <w:rsid w:val="009421C0"/>
    <w:rsid w:val="00942316"/>
    <w:rsid w:val="00942392"/>
    <w:rsid w:val="009423D6"/>
    <w:rsid w:val="00942661"/>
    <w:rsid w:val="009427AD"/>
    <w:rsid w:val="00943DA1"/>
    <w:rsid w:val="009440E1"/>
    <w:rsid w:val="0094462D"/>
    <w:rsid w:val="009446AB"/>
    <w:rsid w:val="0094470F"/>
    <w:rsid w:val="00944B5E"/>
    <w:rsid w:val="00944F28"/>
    <w:rsid w:val="00944F8A"/>
    <w:rsid w:val="0094504F"/>
    <w:rsid w:val="00945DAE"/>
    <w:rsid w:val="00946051"/>
    <w:rsid w:val="0094606F"/>
    <w:rsid w:val="00946110"/>
    <w:rsid w:val="00946748"/>
    <w:rsid w:val="0094717D"/>
    <w:rsid w:val="009472EA"/>
    <w:rsid w:val="009475C3"/>
    <w:rsid w:val="0094799B"/>
    <w:rsid w:val="00947DA3"/>
    <w:rsid w:val="00947DDF"/>
    <w:rsid w:val="00947E23"/>
    <w:rsid w:val="0095003B"/>
    <w:rsid w:val="009500BA"/>
    <w:rsid w:val="00950249"/>
    <w:rsid w:val="009506F5"/>
    <w:rsid w:val="009510A2"/>
    <w:rsid w:val="009512A2"/>
    <w:rsid w:val="009517BA"/>
    <w:rsid w:val="009518F3"/>
    <w:rsid w:val="00952452"/>
    <w:rsid w:val="009524AB"/>
    <w:rsid w:val="0095285B"/>
    <w:rsid w:val="0095316D"/>
    <w:rsid w:val="00953257"/>
    <w:rsid w:val="009537EB"/>
    <w:rsid w:val="00953883"/>
    <w:rsid w:val="009539FF"/>
    <w:rsid w:val="00953B7C"/>
    <w:rsid w:val="00953DCF"/>
    <w:rsid w:val="00953EB1"/>
    <w:rsid w:val="0095458E"/>
    <w:rsid w:val="00954711"/>
    <w:rsid w:val="0095474C"/>
    <w:rsid w:val="00954A0B"/>
    <w:rsid w:val="00954B78"/>
    <w:rsid w:val="0095512D"/>
    <w:rsid w:val="009555FF"/>
    <w:rsid w:val="009559EE"/>
    <w:rsid w:val="00956021"/>
    <w:rsid w:val="009560FC"/>
    <w:rsid w:val="009561D2"/>
    <w:rsid w:val="009561E9"/>
    <w:rsid w:val="00956536"/>
    <w:rsid w:val="00956629"/>
    <w:rsid w:val="009566C8"/>
    <w:rsid w:val="00956815"/>
    <w:rsid w:val="0095686F"/>
    <w:rsid w:val="0095695B"/>
    <w:rsid w:val="00957673"/>
    <w:rsid w:val="00957A24"/>
    <w:rsid w:val="00957A60"/>
    <w:rsid w:val="00957C3E"/>
    <w:rsid w:val="00957C62"/>
    <w:rsid w:val="00957D92"/>
    <w:rsid w:val="00960375"/>
    <w:rsid w:val="00960868"/>
    <w:rsid w:val="009609E0"/>
    <w:rsid w:val="00960F16"/>
    <w:rsid w:val="00960FDD"/>
    <w:rsid w:val="0096110E"/>
    <w:rsid w:val="00961883"/>
    <w:rsid w:val="009618DC"/>
    <w:rsid w:val="009619F4"/>
    <w:rsid w:val="00962664"/>
    <w:rsid w:val="00962964"/>
    <w:rsid w:val="00962CB9"/>
    <w:rsid w:val="00962E6C"/>
    <w:rsid w:val="00963036"/>
    <w:rsid w:val="009632C0"/>
    <w:rsid w:val="00963665"/>
    <w:rsid w:val="00963761"/>
    <w:rsid w:val="00963A1C"/>
    <w:rsid w:val="00964009"/>
    <w:rsid w:val="009642B9"/>
    <w:rsid w:val="00964312"/>
    <w:rsid w:val="009644C3"/>
    <w:rsid w:val="009648A5"/>
    <w:rsid w:val="00964B46"/>
    <w:rsid w:val="00964EDD"/>
    <w:rsid w:val="0096535E"/>
    <w:rsid w:val="00965749"/>
    <w:rsid w:val="009657D8"/>
    <w:rsid w:val="0096582C"/>
    <w:rsid w:val="00965A82"/>
    <w:rsid w:val="00965B8A"/>
    <w:rsid w:val="009660BD"/>
    <w:rsid w:val="00966536"/>
    <w:rsid w:val="00966B8F"/>
    <w:rsid w:val="00966BC5"/>
    <w:rsid w:val="00966DFD"/>
    <w:rsid w:val="00966E94"/>
    <w:rsid w:val="00966FB9"/>
    <w:rsid w:val="009675DE"/>
    <w:rsid w:val="00967640"/>
    <w:rsid w:val="00967878"/>
    <w:rsid w:val="009704AB"/>
    <w:rsid w:val="0097071F"/>
    <w:rsid w:val="009709A6"/>
    <w:rsid w:val="00970B1D"/>
    <w:rsid w:val="00970D63"/>
    <w:rsid w:val="00970D6C"/>
    <w:rsid w:val="00970FB4"/>
    <w:rsid w:val="009717AC"/>
    <w:rsid w:val="00971BC7"/>
    <w:rsid w:val="00972193"/>
    <w:rsid w:val="00972751"/>
    <w:rsid w:val="00972A50"/>
    <w:rsid w:val="00972ABE"/>
    <w:rsid w:val="00972DD4"/>
    <w:rsid w:val="00973706"/>
    <w:rsid w:val="009738AF"/>
    <w:rsid w:val="00973B7B"/>
    <w:rsid w:val="00973DD6"/>
    <w:rsid w:val="00973E5A"/>
    <w:rsid w:val="00973E64"/>
    <w:rsid w:val="00973FA4"/>
    <w:rsid w:val="00974327"/>
    <w:rsid w:val="009749E0"/>
    <w:rsid w:val="00974D0B"/>
    <w:rsid w:val="00974D9F"/>
    <w:rsid w:val="00974E5C"/>
    <w:rsid w:val="009751C1"/>
    <w:rsid w:val="00975244"/>
    <w:rsid w:val="009754F3"/>
    <w:rsid w:val="00975668"/>
    <w:rsid w:val="00975704"/>
    <w:rsid w:val="00975A4B"/>
    <w:rsid w:val="00975D49"/>
    <w:rsid w:val="00976353"/>
    <w:rsid w:val="009763BB"/>
    <w:rsid w:val="0097653F"/>
    <w:rsid w:val="009769FF"/>
    <w:rsid w:val="00976A5A"/>
    <w:rsid w:val="00976AF8"/>
    <w:rsid w:val="00976B73"/>
    <w:rsid w:val="009771DE"/>
    <w:rsid w:val="009776AC"/>
    <w:rsid w:val="00977718"/>
    <w:rsid w:val="00977B38"/>
    <w:rsid w:val="00977C16"/>
    <w:rsid w:val="00977C76"/>
    <w:rsid w:val="00977EEA"/>
    <w:rsid w:val="0098004B"/>
    <w:rsid w:val="00980383"/>
    <w:rsid w:val="00980566"/>
    <w:rsid w:val="00980B15"/>
    <w:rsid w:val="00980CB6"/>
    <w:rsid w:val="00980EF8"/>
    <w:rsid w:val="009811C5"/>
    <w:rsid w:val="009811F1"/>
    <w:rsid w:val="00981738"/>
    <w:rsid w:val="009817B3"/>
    <w:rsid w:val="009819CA"/>
    <w:rsid w:val="00981CB4"/>
    <w:rsid w:val="0098239C"/>
    <w:rsid w:val="009823FD"/>
    <w:rsid w:val="0098262F"/>
    <w:rsid w:val="009829FE"/>
    <w:rsid w:val="009831F4"/>
    <w:rsid w:val="00983212"/>
    <w:rsid w:val="0098352C"/>
    <w:rsid w:val="00983E57"/>
    <w:rsid w:val="00984064"/>
    <w:rsid w:val="00984BFB"/>
    <w:rsid w:val="00984EF1"/>
    <w:rsid w:val="00985212"/>
    <w:rsid w:val="00985388"/>
    <w:rsid w:val="00985A08"/>
    <w:rsid w:val="00985DCE"/>
    <w:rsid w:val="00985DE2"/>
    <w:rsid w:val="00985E26"/>
    <w:rsid w:val="0098608D"/>
    <w:rsid w:val="009860EE"/>
    <w:rsid w:val="009864C6"/>
    <w:rsid w:val="0098658D"/>
    <w:rsid w:val="009865B1"/>
    <w:rsid w:val="00986692"/>
    <w:rsid w:val="0098675D"/>
    <w:rsid w:val="00986915"/>
    <w:rsid w:val="0098699F"/>
    <w:rsid w:val="00986AED"/>
    <w:rsid w:val="00986BC0"/>
    <w:rsid w:val="00987350"/>
    <w:rsid w:val="00987834"/>
    <w:rsid w:val="00987BA4"/>
    <w:rsid w:val="00987CCD"/>
    <w:rsid w:val="009900DE"/>
    <w:rsid w:val="0099012F"/>
    <w:rsid w:val="009902D8"/>
    <w:rsid w:val="00990677"/>
    <w:rsid w:val="00990815"/>
    <w:rsid w:val="00990A5E"/>
    <w:rsid w:val="00990DF0"/>
    <w:rsid w:val="00991727"/>
    <w:rsid w:val="00991DEF"/>
    <w:rsid w:val="00992212"/>
    <w:rsid w:val="009924B9"/>
    <w:rsid w:val="00992546"/>
    <w:rsid w:val="00992615"/>
    <w:rsid w:val="009926E0"/>
    <w:rsid w:val="00992911"/>
    <w:rsid w:val="0099299E"/>
    <w:rsid w:val="00992ADA"/>
    <w:rsid w:val="00992D4C"/>
    <w:rsid w:val="00993040"/>
    <w:rsid w:val="00993055"/>
    <w:rsid w:val="00993867"/>
    <w:rsid w:val="00993CFF"/>
    <w:rsid w:val="00993FC1"/>
    <w:rsid w:val="00993FE3"/>
    <w:rsid w:val="00994293"/>
    <w:rsid w:val="00994300"/>
    <w:rsid w:val="0099451E"/>
    <w:rsid w:val="009946D0"/>
    <w:rsid w:val="00994721"/>
    <w:rsid w:val="00994C3D"/>
    <w:rsid w:val="0099519A"/>
    <w:rsid w:val="00995321"/>
    <w:rsid w:val="00995414"/>
    <w:rsid w:val="00995855"/>
    <w:rsid w:val="00995DBE"/>
    <w:rsid w:val="00995FC8"/>
    <w:rsid w:val="009963A0"/>
    <w:rsid w:val="00996446"/>
    <w:rsid w:val="00996529"/>
    <w:rsid w:val="009966E1"/>
    <w:rsid w:val="0099671F"/>
    <w:rsid w:val="00996A34"/>
    <w:rsid w:val="00996ABF"/>
    <w:rsid w:val="00996B1A"/>
    <w:rsid w:val="0099729C"/>
    <w:rsid w:val="009972FC"/>
    <w:rsid w:val="00997408"/>
    <w:rsid w:val="00997423"/>
    <w:rsid w:val="00997479"/>
    <w:rsid w:val="0099751A"/>
    <w:rsid w:val="009976BC"/>
    <w:rsid w:val="00997B70"/>
    <w:rsid w:val="00997EE2"/>
    <w:rsid w:val="009A0BFC"/>
    <w:rsid w:val="009A1130"/>
    <w:rsid w:val="009A1165"/>
    <w:rsid w:val="009A121E"/>
    <w:rsid w:val="009A12C7"/>
    <w:rsid w:val="009A1375"/>
    <w:rsid w:val="009A13B6"/>
    <w:rsid w:val="009A1429"/>
    <w:rsid w:val="009A14F8"/>
    <w:rsid w:val="009A18F6"/>
    <w:rsid w:val="009A1B41"/>
    <w:rsid w:val="009A1D64"/>
    <w:rsid w:val="009A20F5"/>
    <w:rsid w:val="009A276E"/>
    <w:rsid w:val="009A2B4E"/>
    <w:rsid w:val="009A2DCC"/>
    <w:rsid w:val="009A31EC"/>
    <w:rsid w:val="009A33C9"/>
    <w:rsid w:val="009A34BC"/>
    <w:rsid w:val="009A37C5"/>
    <w:rsid w:val="009A396D"/>
    <w:rsid w:val="009A40AA"/>
    <w:rsid w:val="009A4505"/>
    <w:rsid w:val="009A4646"/>
    <w:rsid w:val="009A4947"/>
    <w:rsid w:val="009A4971"/>
    <w:rsid w:val="009A549D"/>
    <w:rsid w:val="009A5684"/>
    <w:rsid w:val="009A5743"/>
    <w:rsid w:val="009A5ABC"/>
    <w:rsid w:val="009A5B0F"/>
    <w:rsid w:val="009A5E4F"/>
    <w:rsid w:val="009A6241"/>
    <w:rsid w:val="009A63C2"/>
    <w:rsid w:val="009A6769"/>
    <w:rsid w:val="009A686C"/>
    <w:rsid w:val="009A69D5"/>
    <w:rsid w:val="009A6FA8"/>
    <w:rsid w:val="009A7186"/>
    <w:rsid w:val="009A7F10"/>
    <w:rsid w:val="009B0026"/>
    <w:rsid w:val="009B00FA"/>
    <w:rsid w:val="009B0BF5"/>
    <w:rsid w:val="009B0DF2"/>
    <w:rsid w:val="009B0E17"/>
    <w:rsid w:val="009B12EA"/>
    <w:rsid w:val="009B1770"/>
    <w:rsid w:val="009B1953"/>
    <w:rsid w:val="009B19EB"/>
    <w:rsid w:val="009B1E0E"/>
    <w:rsid w:val="009B294D"/>
    <w:rsid w:val="009B2DA7"/>
    <w:rsid w:val="009B2DC3"/>
    <w:rsid w:val="009B2E69"/>
    <w:rsid w:val="009B36AC"/>
    <w:rsid w:val="009B36B9"/>
    <w:rsid w:val="009B3E26"/>
    <w:rsid w:val="009B45C6"/>
    <w:rsid w:val="009B464D"/>
    <w:rsid w:val="009B4B10"/>
    <w:rsid w:val="009B5196"/>
    <w:rsid w:val="009B51C6"/>
    <w:rsid w:val="009B5527"/>
    <w:rsid w:val="009B55D6"/>
    <w:rsid w:val="009B56A2"/>
    <w:rsid w:val="009B56CA"/>
    <w:rsid w:val="009B5A13"/>
    <w:rsid w:val="009B5E6D"/>
    <w:rsid w:val="009B66A5"/>
    <w:rsid w:val="009B67DD"/>
    <w:rsid w:val="009B68DF"/>
    <w:rsid w:val="009B68FD"/>
    <w:rsid w:val="009B6D22"/>
    <w:rsid w:val="009B6F9E"/>
    <w:rsid w:val="009B72A2"/>
    <w:rsid w:val="009B78EA"/>
    <w:rsid w:val="009B7E5B"/>
    <w:rsid w:val="009C0433"/>
    <w:rsid w:val="009C04B4"/>
    <w:rsid w:val="009C04ED"/>
    <w:rsid w:val="009C05E1"/>
    <w:rsid w:val="009C0A2D"/>
    <w:rsid w:val="009C0CDB"/>
    <w:rsid w:val="009C0F1B"/>
    <w:rsid w:val="009C0F3E"/>
    <w:rsid w:val="009C0F80"/>
    <w:rsid w:val="009C1271"/>
    <w:rsid w:val="009C1302"/>
    <w:rsid w:val="009C1DFF"/>
    <w:rsid w:val="009C20E8"/>
    <w:rsid w:val="009C2121"/>
    <w:rsid w:val="009C24E8"/>
    <w:rsid w:val="009C2829"/>
    <w:rsid w:val="009C2978"/>
    <w:rsid w:val="009C2A1B"/>
    <w:rsid w:val="009C33A0"/>
    <w:rsid w:val="009C3487"/>
    <w:rsid w:val="009C3706"/>
    <w:rsid w:val="009C374F"/>
    <w:rsid w:val="009C38A1"/>
    <w:rsid w:val="009C3A3A"/>
    <w:rsid w:val="009C3BAF"/>
    <w:rsid w:val="009C3E18"/>
    <w:rsid w:val="009C3F0A"/>
    <w:rsid w:val="009C40F8"/>
    <w:rsid w:val="009C426B"/>
    <w:rsid w:val="009C453F"/>
    <w:rsid w:val="009C466E"/>
    <w:rsid w:val="009C4A31"/>
    <w:rsid w:val="009C4D09"/>
    <w:rsid w:val="009C4DD1"/>
    <w:rsid w:val="009C513C"/>
    <w:rsid w:val="009C5479"/>
    <w:rsid w:val="009C5801"/>
    <w:rsid w:val="009C5833"/>
    <w:rsid w:val="009C5FFD"/>
    <w:rsid w:val="009C692D"/>
    <w:rsid w:val="009C6962"/>
    <w:rsid w:val="009C6AB9"/>
    <w:rsid w:val="009C6CEA"/>
    <w:rsid w:val="009C6D02"/>
    <w:rsid w:val="009C7B85"/>
    <w:rsid w:val="009C7F26"/>
    <w:rsid w:val="009D0126"/>
    <w:rsid w:val="009D0204"/>
    <w:rsid w:val="009D0254"/>
    <w:rsid w:val="009D049C"/>
    <w:rsid w:val="009D07B4"/>
    <w:rsid w:val="009D09F0"/>
    <w:rsid w:val="009D0ACB"/>
    <w:rsid w:val="009D0CAC"/>
    <w:rsid w:val="009D0DD7"/>
    <w:rsid w:val="009D0E22"/>
    <w:rsid w:val="009D1580"/>
    <w:rsid w:val="009D1A03"/>
    <w:rsid w:val="009D1A64"/>
    <w:rsid w:val="009D1BB9"/>
    <w:rsid w:val="009D1CF5"/>
    <w:rsid w:val="009D2417"/>
    <w:rsid w:val="009D2F92"/>
    <w:rsid w:val="009D32D0"/>
    <w:rsid w:val="009D34F4"/>
    <w:rsid w:val="009D3817"/>
    <w:rsid w:val="009D3917"/>
    <w:rsid w:val="009D3975"/>
    <w:rsid w:val="009D3ADC"/>
    <w:rsid w:val="009D3E2A"/>
    <w:rsid w:val="009D400F"/>
    <w:rsid w:val="009D4242"/>
    <w:rsid w:val="009D493F"/>
    <w:rsid w:val="009D49E8"/>
    <w:rsid w:val="009D4BB9"/>
    <w:rsid w:val="009D4DFA"/>
    <w:rsid w:val="009D5350"/>
    <w:rsid w:val="009D58D1"/>
    <w:rsid w:val="009D5B91"/>
    <w:rsid w:val="009D5B97"/>
    <w:rsid w:val="009D5D7E"/>
    <w:rsid w:val="009D62BF"/>
    <w:rsid w:val="009D6723"/>
    <w:rsid w:val="009D6D83"/>
    <w:rsid w:val="009D6E66"/>
    <w:rsid w:val="009D77D5"/>
    <w:rsid w:val="009D792E"/>
    <w:rsid w:val="009D798B"/>
    <w:rsid w:val="009D7C32"/>
    <w:rsid w:val="009D7D7D"/>
    <w:rsid w:val="009E04BF"/>
    <w:rsid w:val="009E0DFE"/>
    <w:rsid w:val="009E0E30"/>
    <w:rsid w:val="009E0EB8"/>
    <w:rsid w:val="009E177D"/>
    <w:rsid w:val="009E17FC"/>
    <w:rsid w:val="009E1BEB"/>
    <w:rsid w:val="009E1C47"/>
    <w:rsid w:val="009E1F26"/>
    <w:rsid w:val="009E2340"/>
    <w:rsid w:val="009E2A4B"/>
    <w:rsid w:val="009E31F6"/>
    <w:rsid w:val="009E32D3"/>
    <w:rsid w:val="009E3349"/>
    <w:rsid w:val="009E3394"/>
    <w:rsid w:val="009E351D"/>
    <w:rsid w:val="009E3E28"/>
    <w:rsid w:val="009E4105"/>
    <w:rsid w:val="009E43A7"/>
    <w:rsid w:val="009E4C07"/>
    <w:rsid w:val="009E4D9A"/>
    <w:rsid w:val="009E4F04"/>
    <w:rsid w:val="009E4FE2"/>
    <w:rsid w:val="009E5CE1"/>
    <w:rsid w:val="009E6479"/>
    <w:rsid w:val="009E6F65"/>
    <w:rsid w:val="009E6F7C"/>
    <w:rsid w:val="009E712C"/>
    <w:rsid w:val="009E718A"/>
    <w:rsid w:val="009E756F"/>
    <w:rsid w:val="009E777F"/>
    <w:rsid w:val="009E7BD2"/>
    <w:rsid w:val="009E7E3B"/>
    <w:rsid w:val="009E7F42"/>
    <w:rsid w:val="009F00A2"/>
    <w:rsid w:val="009F03EF"/>
    <w:rsid w:val="009F049E"/>
    <w:rsid w:val="009F0873"/>
    <w:rsid w:val="009F1000"/>
    <w:rsid w:val="009F12C4"/>
    <w:rsid w:val="009F141D"/>
    <w:rsid w:val="009F1E42"/>
    <w:rsid w:val="009F1FDE"/>
    <w:rsid w:val="009F21CB"/>
    <w:rsid w:val="009F2494"/>
    <w:rsid w:val="009F2536"/>
    <w:rsid w:val="009F287F"/>
    <w:rsid w:val="009F3162"/>
    <w:rsid w:val="009F3320"/>
    <w:rsid w:val="009F353B"/>
    <w:rsid w:val="009F3619"/>
    <w:rsid w:val="009F3A46"/>
    <w:rsid w:val="009F3D96"/>
    <w:rsid w:val="009F3E75"/>
    <w:rsid w:val="009F40CE"/>
    <w:rsid w:val="009F4252"/>
    <w:rsid w:val="009F4B3D"/>
    <w:rsid w:val="009F4F9C"/>
    <w:rsid w:val="009F518B"/>
    <w:rsid w:val="009F51DA"/>
    <w:rsid w:val="009F5417"/>
    <w:rsid w:val="009F5679"/>
    <w:rsid w:val="009F59CC"/>
    <w:rsid w:val="009F5B21"/>
    <w:rsid w:val="009F5BD4"/>
    <w:rsid w:val="009F5C2C"/>
    <w:rsid w:val="009F5C9D"/>
    <w:rsid w:val="009F5DC8"/>
    <w:rsid w:val="009F5DEC"/>
    <w:rsid w:val="009F6120"/>
    <w:rsid w:val="009F616D"/>
    <w:rsid w:val="009F626A"/>
    <w:rsid w:val="009F67D4"/>
    <w:rsid w:val="009F6B99"/>
    <w:rsid w:val="009F6D3B"/>
    <w:rsid w:val="009F6DB6"/>
    <w:rsid w:val="009F6DF8"/>
    <w:rsid w:val="009F6E7B"/>
    <w:rsid w:val="009F6FFF"/>
    <w:rsid w:val="009F75C7"/>
    <w:rsid w:val="009F75CA"/>
    <w:rsid w:val="009F7A4E"/>
    <w:rsid w:val="009F7D57"/>
    <w:rsid w:val="009F7F5F"/>
    <w:rsid w:val="00A000DD"/>
    <w:rsid w:val="00A00BC1"/>
    <w:rsid w:val="00A00BF1"/>
    <w:rsid w:val="00A00D76"/>
    <w:rsid w:val="00A00E71"/>
    <w:rsid w:val="00A01184"/>
    <w:rsid w:val="00A01384"/>
    <w:rsid w:val="00A01449"/>
    <w:rsid w:val="00A01485"/>
    <w:rsid w:val="00A0151F"/>
    <w:rsid w:val="00A01B46"/>
    <w:rsid w:val="00A01DBF"/>
    <w:rsid w:val="00A02023"/>
    <w:rsid w:val="00A022E5"/>
    <w:rsid w:val="00A02670"/>
    <w:rsid w:val="00A02690"/>
    <w:rsid w:val="00A02875"/>
    <w:rsid w:val="00A02D42"/>
    <w:rsid w:val="00A031A3"/>
    <w:rsid w:val="00A03276"/>
    <w:rsid w:val="00A0329F"/>
    <w:rsid w:val="00A037C2"/>
    <w:rsid w:val="00A03D43"/>
    <w:rsid w:val="00A03ED9"/>
    <w:rsid w:val="00A03F16"/>
    <w:rsid w:val="00A04380"/>
    <w:rsid w:val="00A0455E"/>
    <w:rsid w:val="00A045BE"/>
    <w:rsid w:val="00A045CA"/>
    <w:rsid w:val="00A04786"/>
    <w:rsid w:val="00A04A0C"/>
    <w:rsid w:val="00A05472"/>
    <w:rsid w:val="00A054B4"/>
    <w:rsid w:val="00A0554A"/>
    <w:rsid w:val="00A055FB"/>
    <w:rsid w:val="00A05632"/>
    <w:rsid w:val="00A05824"/>
    <w:rsid w:val="00A05C32"/>
    <w:rsid w:val="00A060A6"/>
    <w:rsid w:val="00A061E1"/>
    <w:rsid w:val="00A063BD"/>
    <w:rsid w:val="00A063C8"/>
    <w:rsid w:val="00A063F9"/>
    <w:rsid w:val="00A0653F"/>
    <w:rsid w:val="00A066B6"/>
    <w:rsid w:val="00A074B2"/>
    <w:rsid w:val="00A075C7"/>
    <w:rsid w:val="00A077D5"/>
    <w:rsid w:val="00A07BE1"/>
    <w:rsid w:val="00A07D57"/>
    <w:rsid w:val="00A10513"/>
    <w:rsid w:val="00A106C0"/>
    <w:rsid w:val="00A10747"/>
    <w:rsid w:val="00A10BF3"/>
    <w:rsid w:val="00A10D78"/>
    <w:rsid w:val="00A10E55"/>
    <w:rsid w:val="00A10EA3"/>
    <w:rsid w:val="00A10F46"/>
    <w:rsid w:val="00A11281"/>
    <w:rsid w:val="00A11972"/>
    <w:rsid w:val="00A11CC0"/>
    <w:rsid w:val="00A11CD0"/>
    <w:rsid w:val="00A11FB3"/>
    <w:rsid w:val="00A11FFE"/>
    <w:rsid w:val="00A12216"/>
    <w:rsid w:val="00A126F2"/>
    <w:rsid w:val="00A128C8"/>
    <w:rsid w:val="00A12F9F"/>
    <w:rsid w:val="00A13072"/>
    <w:rsid w:val="00A13774"/>
    <w:rsid w:val="00A13948"/>
    <w:rsid w:val="00A13E8A"/>
    <w:rsid w:val="00A141A9"/>
    <w:rsid w:val="00A14984"/>
    <w:rsid w:val="00A14A98"/>
    <w:rsid w:val="00A14F4B"/>
    <w:rsid w:val="00A15256"/>
    <w:rsid w:val="00A1549E"/>
    <w:rsid w:val="00A1555B"/>
    <w:rsid w:val="00A155C5"/>
    <w:rsid w:val="00A15935"/>
    <w:rsid w:val="00A15A73"/>
    <w:rsid w:val="00A15E3F"/>
    <w:rsid w:val="00A15F23"/>
    <w:rsid w:val="00A160B0"/>
    <w:rsid w:val="00A16402"/>
    <w:rsid w:val="00A1650E"/>
    <w:rsid w:val="00A167FE"/>
    <w:rsid w:val="00A168A6"/>
    <w:rsid w:val="00A16AD8"/>
    <w:rsid w:val="00A16E05"/>
    <w:rsid w:val="00A16F3E"/>
    <w:rsid w:val="00A1761C"/>
    <w:rsid w:val="00A176AA"/>
    <w:rsid w:val="00A176C1"/>
    <w:rsid w:val="00A17F31"/>
    <w:rsid w:val="00A2021E"/>
    <w:rsid w:val="00A20EE5"/>
    <w:rsid w:val="00A20EE8"/>
    <w:rsid w:val="00A21142"/>
    <w:rsid w:val="00A21424"/>
    <w:rsid w:val="00A218B2"/>
    <w:rsid w:val="00A21A5E"/>
    <w:rsid w:val="00A21B3A"/>
    <w:rsid w:val="00A21B4E"/>
    <w:rsid w:val="00A21C95"/>
    <w:rsid w:val="00A21CF3"/>
    <w:rsid w:val="00A2208D"/>
    <w:rsid w:val="00A22436"/>
    <w:rsid w:val="00A23161"/>
    <w:rsid w:val="00A231C1"/>
    <w:rsid w:val="00A231C2"/>
    <w:rsid w:val="00A2322D"/>
    <w:rsid w:val="00A23524"/>
    <w:rsid w:val="00A2371A"/>
    <w:rsid w:val="00A23D89"/>
    <w:rsid w:val="00A23FB1"/>
    <w:rsid w:val="00A243E5"/>
    <w:rsid w:val="00A24813"/>
    <w:rsid w:val="00A249BD"/>
    <w:rsid w:val="00A24D52"/>
    <w:rsid w:val="00A25287"/>
    <w:rsid w:val="00A25386"/>
    <w:rsid w:val="00A2548E"/>
    <w:rsid w:val="00A255F0"/>
    <w:rsid w:val="00A256EA"/>
    <w:rsid w:val="00A25880"/>
    <w:rsid w:val="00A2592B"/>
    <w:rsid w:val="00A25B2E"/>
    <w:rsid w:val="00A25EC7"/>
    <w:rsid w:val="00A26037"/>
    <w:rsid w:val="00A26044"/>
    <w:rsid w:val="00A26529"/>
    <w:rsid w:val="00A26552"/>
    <w:rsid w:val="00A26553"/>
    <w:rsid w:val="00A2681A"/>
    <w:rsid w:val="00A26E5A"/>
    <w:rsid w:val="00A26F03"/>
    <w:rsid w:val="00A27051"/>
    <w:rsid w:val="00A27AC0"/>
    <w:rsid w:val="00A27AEC"/>
    <w:rsid w:val="00A27B85"/>
    <w:rsid w:val="00A27D62"/>
    <w:rsid w:val="00A3004C"/>
    <w:rsid w:val="00A30148"/>
    <w:rsid w:val="00A301DA"/>
    <w:rsid w:val="00A301F5"/>
    <w:rsid w:val="00A307CC"/>
    <w:rsid w:val="00A30CD4"/>
    <w:rsid w:val="00A30F4E"/>
    <w:rsid w:val="00A31219"/>
    <w:rsid w:val="00A3178C"/>
    <w:rsid w:val="00A3186D"/>
    <w:rsid w:val="00A31FC8"/>
    <w:rsid w:val="00A32008"/>
    <w:rsid w:val="00A320DB"/>
    <w:rsid w:val="00A3254D"/>
    <w:rsid w:val="00A3289D"/>
    <w:rsid w:val="00A33279"/>
    <w:rsid w:val="00A33694"/>
    <w:rsid w:val="00A338E8"/>
    <w:rsid w:val="00A33C0A"/>
    <w:rsid w:val="00A33D4C"/>
    <w:rsid w:val="00A34229"/>
    <w:rsid w:val="00A3467E"/>
    <w:rsid w:val="00A346B7"/>
    <w:rsid w:val="00A34831"/>
    <w:rsid w:val="00A34A98"/>
    <w:rsid w:val="00A34F62"/>
    <w:rsid w:val="00A35243"/>
    <w:rsid w:val="00A352D8"/>
    <w:rsid w:val="00A35371"/>
    <w:rsid w:val="00A358AA"/>
    <w:rsid w:val="00A35BB4"/>
    <w:rsid w:val="00A35C18"/>
    <w:rsid w:val="00A35D16"/>
    <w:rsid w:val="00A35E0B"/>
    <w:rsid w:val="00A35F4D"/>
    <w:rsid w:val="00A36121"/>
    <w:rsid w:val="00A3624C"/>
    <w:rsid w:val="00A362E9"/>
    <w:rsid w:val="00A36398"/>
    <w:rsid w:val="00A36789"/>
    <w:rsid w:val="00A36AC0"/>
    <w:rsid w:val="00A37432"/>
    <w:rsid w:val="00A374E7"/>
    <w:rsid w:val="00A3786A"/>
    <w:rsid w:val="00A378FD"/>
    <w:rsid w:val="00A37BCD"/>
    <w:rsid w:val="00A37FB5"/>
    <w:rsid w:val="00A40645"/>
    <w:rsid w:val="00A40988"/>
    <w:rsid w:val="00A409E8"/>
    <w:rsid w:val="00A40A4F"/>
    <w:rsid w:val="00A40E72"/>
    <w:rsid w:val="00A410E9"/>
    <w:rsid w:val="00A41689"/>
    <w:rsid w:val="00A41AB2"/>
    <w:rsid w:val="00A4212E"/>
    <w:rsid w:val="00A4236D"/>
    <w:rsid w:val="00A42475"/>
    <w:rsid w:val="00A42592"/>
    <w:rsid w:val="00A42D62"/>
    <w:rsid w:val="00A42E1B"/>
    <w:rsid w:val="00A42F38"/>
    <w:rsid w:val="00A42F40"/>
    <w:rsid w:val="00A432E5"/>
    <w:rsid w:val="00A438BF"/>
    <w:rsid w:val="00A43A7C"/>
    <w:rsid w:val="00A43C59"/>
    <w:rsid w:val="00A43EA6"/>
    <w:rsid w:val="00A44402"/>
    <w:rsid w:val="00A4507E"/>
    <w:rsid w:val="00A45501"/>
    <w:rsid w:val="00A45AE2"/>
    <w:rsid w:val="00A45B9E"/>
    <w:rsid w:val="00A45C8A"/>
    <w:rsid w:val="00A46048"/>
    <w:rsid w:val="00A4622E"/>
    <w:rsid w:val="00A463B4"/>
    <w:rsid w:val="00A46408"/>
    <w:rsid w:val="00A46479"/>
    <w:rsid w:val="00A46C7C"/>
    <w:rsid w:val="00A46DC7"/>
    <w:rsid w:val="00A46FA1"/>
    <w:rsid w:val="00A4763C"/>
    <w:rsid w:val="00A476C4"/>
    <w:rsid w:val="00A476E6"/>
    <w:rsid w:val="00A47A62"/>
    <w:rsid w:val="00A47AD1"/>
    <w:rsid w:val="00A47B86"/>
    <w:rsid w:val="00A47DD6"/>
    <w:rsid w:val="00A47E31"/>
    <w:rsid w:val="00A47F02"/>
    <w:rsid w:val="00A5020D"/>
    <w:rsid w:val="00A50511"/>
    <w:rsid w:val="00A5053C"/>
    <w:rsid w:val="00A50980"/>
    <w:rsid w:val="00A50ECD"/>
    <w:rsid w:val="00A51705"/>
    <w:rsid w:val="00A517D7"/>
    <w:rsid w:val="00A518F3"/>
    <w:rsid w:val="00A51D8B"/>
    <w:rsid w:val="00A52012"/>
    <w:rsid w:val="00A52729"/>
    <w:rsid w:val="00A53075"/>
    <w:rsid w:val="00A53294"/>
    <w:rsid w:val="00A535DB"/>
    <w:rsid w:val="00A53675"/>
    <w:rsid w:val="00A5392D"/>
    <w:rsid w:val="00A539C2"/>
    <w:rsid w:val="00A543B1"/>
    <w:rsid w:val="00A549FF"/>
    <w:rsid w:val="00A54AD7"/>
    <w:rsid w:val="00A54B79"/>
    <w:rsid w:val="00A5518A"/>
    <w:rsid w:val="00A553A2"/>
    <w:rsid w:val="00A559ED"/>
    <w:rsid w:val="00A55EAB"/>
    <w:rsid w:val="00A55FB5"/>
    <w:rsid w:val="00A5606A"/>
    <w:rsid w:val="00A561F9"/>
    <w:rsid w:val="00A564D7"/>
    <w:rsid w:val="00A56B6A"/>
    <w:rsid w:val="00A57503"/>
    <w:rsid w:val="00A57679"/>
    <w:rsid w:val="00A577A0"/>
    <w:rsid w:val="00A578DC"/>
    <w:rsid w:val="00A57FC3"/>
    <w:rsid w:val="00A60859"/>
    <w:rsid w:val="00A6123B"/>
    <w:rsid w:val="00A6146A"/>
    <w:rsid w:val="00A615FF"/>
    <w:rsid w:val="00A616DC"/>
    <w:rsid w:val="00A618A7"/>
    <w:rsid w:val="00A618AD"/>
    <w:rsid w:val="00A618F8"/>
    <w:rsid w:val="00A61A37"/>
    <w:rsid w:val="00A61F95"/>
    <w:rsid w:val="00A62146"/>
    <w:rsid w:val="00A621A3"/>
    <w:rsid w:val="00A62435"/>
    <w:rsid w:val="00A62AC2"/>
    <w:rsid w:val="00A62B78"/>
    <w:rsid w:val="00A62C8E"/>
    <w:rsid w:val="00A630AD"/>
    <w:rsid w:val="00A630FA"/>
    <w:rsid w:val="00A63423"/>
    <w:rsid w:val="00A639F2"/>
    <w:rsid w:val="00A63ABC"/>
    <w:rsid w:val="00A640E2"/>
    <w:rsid w:val="00A643F1"/>
    <w:rsid w:val="00A64D65"/>
    <w:rsid w:val="00A64DCB"/>
    <w:rsid w:val="00A64E98"/>
    <w:rsid w:val="00A6515D"/>
    <w:rsid w:val="00A65376"/>
    <w:rsid w:val="00A6540A"/>
    <w:rsid w:val="00A6568C"/>
    <w:rsid w:val="00A661A9"/>
    <w:rsid w:val="00A66656"/>
    <w:rsid w:val="00A6725B"/>
    <w:rsid w:val="00A67931"/>
    <w:rsid w:val="00A6797F"/>
    <w:rsid w:val="00A679DA"/>
    <w:rsid w:val="00A67CB7"/>
    <w:rsid w:val="00A70605"/>
    <w:rsid w:val="00A7079B"/>
    <w:rsid w:val="00A70B2E"/>
    <w:rsid w:val="00A70E4E"/>
    <w:rsid w:val="00A70F82"/>
    <w:rsid w:val="00A70FEA"/>
    <w:rsid w:val="00A71135"/>
    <w:rsid w:val="00A713FF"/>
    <w:rsid w:val="00A7142E"/>
    <w:rsid w:val="00A718CB"/>
    <w:rsid w:val="00A71FEC"/>
    <w:rsid w:val="00A72114"/>
    <w:rsid w:val="00A726E0"/>
    <w:rsid w:val="00A7291A"/>
    <w:rsid w:val="00A72EB6"/>
    <w:rsid w:val="00A73134"/>
    <w:rsid w:val="00A73618"/>
    <w:rsid w:val="00A7364B"/>
    <w:rsid w:val="00A7365A"/>
    <w:rsid w:val="00A73B2E"/>
    <w:rsid w:val="00A73B8A"/>
    <w:rsid w:val="00A73C3D"/>
    <w:rsid w:val="00A73CF4"/>
    <w:rsid w:val="00A73FDA"/>
    <w:rsid w:val="00A7421B"/>
    <w:rsid w:val="00A74826"/>
    <w:rsid w:val="00A74833"/>
    <w:rsid w:val="00A74E24"/>
    <w:rsid w:val="00A75126"/>
    <w:rsid w:val="00A754D6"/>
    <w:rsid w:val="00A75C7F"/>
    <w:rsid w:val="00A75D30"/>
    <w:rsid w:val="00A75E19"/>
    <w:rsid w:val="00A75E61"/>
    <w:rsid w:val="00A76001"/>
    <w:rsid w:val="00A7600B"/>
    <w:rsid w:val="00A76377"/>
    <w:rsid w:val="00A764AF"/>
    <w:rsid w:val="00A7674F"/>
    <w:rsid w:val="00A76813"/>
    <w:rsid w:val="00A768E3"/>
    <w:rsid w:val="00A7693E"/>
    <w:rsid w:val="00A76C64"/>
    <w:rsid w:val="00A76EA6"/>
    <w:rsid w:val="00A76EE2"/>
    <w:rsid w:val="00A77786"/>
    <w:rsid w:val="00A777B2"/>
    <w:rsid w:val="00A77C80"/>
    <w:rsid w:val="00A80058"/>
    <w:rsid w:val="00A8049A"/>
    <w:rsid w:val="00A808B8"/>
    <w:rsid w:val="00A808C6"/>
    <w:rsid w:val="00A80984"/>
    <w:rsid w:val="00A80DA2"/>
    <w:rsid w:val="00A80E01"/>
    <w:rsid w:val="00A81284"/>
    <w:rsid w:val="00A813D1"/>
    <w:rsid w:val="00A817F0"/>
    <w:rsid w:val="00A820F4"/>
    <w:rsid w:val="00A825D4"/>
    <w:rsid w:val="00A82730"/>
    <w:rsid w:val="00A828F6"/>
    <w:rsid w:val="00A82B73"/>
    <w:rsid w:val="00A82F5C"/>
    <w:rsid w:val="00A8311B"/>
    <w:rsid w:val="00A837E0"/>
    <w:rsid w:val="00A8381D"/>
    <w:rsid w:val="00A84015"/>
    <w:rsid w:val="00A843CD"/>
    <w:rsid w:val="00A844EB"/>
    <w:rsid w:val="00A8467E"/>
    <w:rsid w:val="00A849F5"/>
    <w:rsid w:val="00A84B03"/>
    <w:rsid w:val="00A84E73"/>
    <w:rsid w:val="00A85925"/>
    <w:rsid w:val="00A85ACB"/>
    <w:rsid w:val="00A85C9C"/>
    <w:rsid w:val="00A86428"/>
    <w:rsid w:val="00A86E33"/>
    <w:rsid w:val="00A86E8B"/>
    <w:rsid w:val="00A87164"/>
    <w:rsid w:val="00A871A9"/>
    <w:rsid w:val="00A87358"/>
    <w:rsid w:val="00A8747B"/>
    <w:rsid w:val="00A874E0"/>
    <w:rsid w:val="00A875DC"/>
    <w:rsid w:val="00A877A1"/>
    <w:rsid w:val="00A87CEF"/>
    <w:rsid w:val="00A87DE6"/>
    <w:rsid w:val="00A87E4B"/>
    <w:rsid w:val="00A87EDA"/>
    <w:rsid w:val="00A90BFF"/>
    <w:rsid w:val="00A91030"/>
    <w:rsid w:val="00A91A72"/>
    <w:rsid w:val="00A91C37"/>
    <w:rsid w:val="00A91C51"/>
    <w:rsid w:val="00A91E7B"/>
    <w:rsid w:val="00A91F5A"/>
    <w:rsid w:val="00A93055"/>
    <w:rsid w:val="00A93072"/>
    <w:rsid w:val="00A9369F"/>
    <w:rsid w:val="00A9370E"/>
    <w:rsid w:val="00A93723"/>
    <w:rsid w:val="00A93753"/>
    <w:rsid w:val="00A938BD"/>
    <w:rsid w:val="00A938C5"/>
    <w:rsid w:val="00A93953"/>
    <w:rsid w:val="00A93CBF"/>
    <w:rsid w:val="00A93DFE"/>
    <w:rsid w:val="00A941E9"/>
    <w:rsid w:val="00A949EF"/>
    <w:rsid w:val="00A94A2E"/>
    <w:rsid w:val="00A94B0E"/>
    <w:rsid w:val="00A9513F"/>
    <w:rsid w:val="00A951E0"/>
    <w:rsid w:val="00A956EE"/>
    <w:rsid w:val="00A957D0"/>
    <w:rsid w:val="00A959D8"/>
    <w:rsid w:val="00A95B27"/>
    <w:rsid w:val="00A96250"/>
    <w:rsid w:val="00A968FD"/>
    <w:rsid w:val="00A96CAA"/>
    <w:rsid w:val="00A96FEB"/>
    <w:rsid w:val="00A972B9"/>
    <w:rsid w:val="00A97620"/>
    <w:rsid w:val="00A97B46"/>
    <w:rsid w:val="00A97B75"/>
    <w:rsid w:val="00A97BC8"/>
    <w:rsid w:val="00A97E53"/>
    <w:rsid w:val="00AA045B"/>
    <w:rsid w:val="00AA0489"/>
    <w:rsid w:val="00AA04B8"/>
    <w:rsid w:val="00AA09FD"/>
    <w:rsid w:val="00AA0E9E"/>
    <w:rsid w:val="00AA0EF3"/>
    <w:rsid w:val="00AA113D"/>
    <w:rsid w:val="00AA1277"/>
    <w:rsid w:val="00AA13FC"/>
    <w:rsid w:val="00AA1620"/>
    <w:rsid w:val="00AA1718"/>
    <w:rsid w:val="00AA1BC2"/>
    <w:rsid w:val="00AA1CE9"/>
    <w:rsid w:val="00AA2D46"/>
    <w:rsid w:val="00AA2F86"/>
    <w:rsid w:val="00AA2F88"/>
    <w:rsid w:val="00AA31E4"/>
    <w:rsid w:val="00AA3253"/>
    <w:rsid w:val="00AA389D"/>
    <w:rsid w:val="00AA3AD2"/>
    <w:rsid w:val="00AA3F21"/>
    <w:rsid w:val="00AA4161"/>
    <w:rsid w:val="00AA4497"/>
    <w:rsid w:val="00AA457B"/>
    <w:rsid w:val="00AA4828"/>
    <w:rsid w:val="00AA4A38"/>
    <w:rsid w:val="00AA4C91"/>
    <w:rsid w:val="00AA4CD6"/>
    <w:rsid w:val="00AA4D60"/>
    <w:rsid w:val="00AA54F8"/>
    <w:rsid w:val="00AA5BE0"/>
    <w:rsid w:val="00AA5C6D"/>
    <w:rsid w:val="00AA5CE4"/>
    <w:rsid w:val="00AA65A7"/>
    <w:rsid w:val="00AA6BD5"/>
    <w:rsid w:val="00AA6BD8"/>
    <w:rsid w:val="00AA6C7D"/>
    <w:rsid w:val="00AA6E49"/>
    <w:rsid w:val="00AA735D"/>
    <w:rsid w:val="00AA7423"/>
    <w:rsid w:val="00AA7485"/>
    <w:rsid w:val="00AA77D5"/>
    <w:rsid w:val="00AA79A5"/>
    <w:rsid w:val="00AA7D26"/>
    <w:rsid w:val="00AA7D3D"/>
    <w:rsid w:val="00AA7FD6"/>
    <w:rsid w:val="00AB01F4"/>
    <w:rsid w:val="00AB042A"/>
    <w:rsid w:val="00AB08E2"/>
    <w:rsid w:val="00AB113B"/>
    <w:rsid w:val="00AB11AD"/>
    <w:rsid w:val="00AB13FD"/>
    <w:rsid w:val="00AB15CA"/>
    <w:rsid w:val="00AB1604"/>
    <w:rsid w:val="00AB19EF"/>
    <w:rsid w:val="00AB1F41"/>
    <w:rsid w:val="00AB20D1"/>
    <w:rsid w:val="00AB232A"/>
    <w:rsid w:val="00AB2495"/>
    <w:rsid w:val="00AB2A3C"/>
    <w:rsid w:val="00AB2D34"/>
    <w:rsid w:val="00AB2E39"/>
    <w:rsid w:val="00AB3430"/>
    <w:rsid w:val="00AB37B9"/>
    <w:rsid w:val="00AB3813"/>
    <w:rsid w:val="00AB3A7F"/>
    <w:rsid w:val="00AB3B52"/>
    <w:rsid w:val="00AB3CD8"/>
    <w:rsid w:val="00AB4133"/>
    <w:rsid w:val="00AB4365"/>
    <w:rsid w:val="00AB49FA"/>
    <w:rsid w:val="00AB4AD1"/>
    <w:rsid w:val="00AB4DDE"/>
    <w:rsid w:val="00AB5379"/>
    <w:rsid w:val="00AB5C5E"/>
    <w:rsid w:val="00AB5D7B"/>
    <w:rsid w:val="00AB5E07"/>
    <w:rsid w:val="00AB5F3B"/>
    <w:rsid w:val="00AB6012"/>
    <w:rsid w:val="00AB6452"/>
    <w:rsid w:val="00AB6D4A"/>
    <w:rsid w:val="00AB6DB6"/>
    <w:rsid w:val="00AB6E32"/>
    <w:rsid w:val="00AB6E6D"/>
    <w:rsid w:val="00AB7126"/>
    <w:rsid w:val="00AB73FB"/>
    <w:rsid w:val="00AB754D"/>
    <w:rsid w:val="00AB7970"/>
    <w:rsid w:val="00AB7C33"/>
    <w:rsid w:val="00AB7CFA"/>
    <w:rsid w:val="00AC035B"/>
    <w:rsid w:val="00AC03E7"/>
    <w:rsid w:val="00AC04E4"/>
    <w:rsid w:val="00AC05EE"/>
    <w:rsid w:val="00AC0822"/>
    <w:rsid w:val="00AC1246"/>
    <w:rsid w:val="00AC13A0"/>
    <w:rsid w:val="00AC1441"/>
    <w:rsid w:val="00AC14DD"/>
    <w:rsid w:val="00AC1BA5"/>
    <w:rsid w:val="00AC1DD6"/>
    <w:rsid w:val="00AC1E03"/>
    <w:rsid w:val="00AC21DE"/>
    <w:rsid w:val="00AC23ED"/>
    <w:rsid w:val="00AC240A"/>
    <w:rsid w:val="00AC2477"/>
    <w:rsid w:val="00AC29DB"/>
    <w:rsid w:val="00AC2B26"/>
    <w:rsid w:val="00AC2B42"/>
    <w:rsid w:val="00AC362F"/>
    <w:rsid w:val="00AC37E5"/>
    <w:rsid w:val="00AC38FB"/>
    <w:rsid w:val="00AC5000"/>
    <w:rsid w:val="00AC5263"/>
    <w:rsid w:val="00AC52D7"/>
    <w:rsid w:val="00AC57C1"/>
    <w:rsid w:val="00AC58DE"/>
    <w:rsid w:val="00AC59E2"/>
    <w:rsid w:val="00AC5B42"/>
    <w:rsid w:val="00AC5B48"/>
    <w:rsid w:val="00AC5B77"/>
    <w:rsid w:val="00AC5BB1"/>
    <w:rsid w:val="00AC5EA0"/>
    <w:rsid w:val="00AC5FD4"/>
    <w:rsid w:val="00AC62F8"/>
    <w:rsid w:val="00AC6341"/>
    <w:rsid w:val="00AC6837"/>
    <w:rsid w:val="00AC684E"/>
    <w:rsid w:val="00AC6CDC"/>
    <w:rsid w:val="00AC6E4E"/>
    <w:rsid w:val="00AC702C"/>
    <w:rsid w:val="00AC73A3"/>
    <w:rsid w:val="00AC7652"/>
    <w:rsid w:val="00AC76AA"/>
    <w:rsid w:val="00AD0865"/>
    <w:rsid w:val="00AD0875"/>
    <w:rsid w:val="00AD098E"/>
    <w:rsid w:val="00AD0D01"/>
    <w:rsid w:val="00AD0E4D"/>
    <w:rsid w:val="00AD1450"/>
    <w:rsid w:val="00AD1494"/>
    <w:rsid w:val="00AD15E8"/>
    <w:rsid w:val="00AD1996"/>
    <w:rsid w:val="00AD21BB"/>
    <w:rsid w:val="00AD2258"/>
    <w:rsid w:val="00AD2375"/>
    <w:rsid w:val="00AD2ABE"/>
    <w:rsid w:val="00AD2CB9"/>
    <w:rsid w:val="00AD356D"/>
    <w:rsid w:val="00AD35E2"/>
    <w:rsid w:val="00AD38D2"/>
    <w:rsid w:val="00AD3AD2"/>
    <w:rsid w:val="00AD45E1"/>
    <w:rsid w:val="00AD4F4D"/>
    <w:rsid w:val="00AD54C6"/>
    <w:rsid w:val="00AD562B"/>
    <w:rsid w:val="00AD5681"/>
    <w:rsid w:val="00AD56C0"/>
    <w:rsid w:val="00AD5B89"/>
    <w:rsid w:val="00AD5BC2"/>
    <w:rsid w:val="00AD5C21"/>
    <w:rsid w:val="00AD5C85"/>
    <w:rsid w:val="00AD5F51"/>
    <w:rsid w:val="00AD6070"/>
    <w:rsid w:val="00AD629F"/>
    <w:rsid w:val="00AD6502"/>
    <w:rsid w:val="00AD660D"/>
    <w:rsid w:val="00AD6944"/>
    <w:rsid w:val="00AD695F"/>
    <w:rsid w:val="00AD6A5D"/>
    <w:rsid w:val="00AD6AD4"/>
    <w:rsid w:val="00AD6DC3"/>
    <w:rsid w:val="00AD6DD3"/>
    <w:rsid w:val="00AD713A"/>
    <w:rsid w:val="00AD74EB"/>
    <w:rsid w:val="00AD76F4"/>
    <w:rsid w:val="00AD77DD"/>
    <w:rsid w:val="00AD7836"/>
    <w:rsid w:val="00AE0119"/>
    <w:rsid w:val="00AE025A"/>
    <w:rsid w:val="00AE0370"/>
    <w:rsid w:val="00AE03B7"/>
    <w:rsid w:val="00AE0695"/>
    <w:rsid w:val="00AE06B5"/>
    <w:rsid w:val="00AE0C28"/>
    <w:rsid w:val="00AE0D0D"/>
    <w:rsid w:val="00AE0F18"/>
    <w:rsid w:val="00AE105D"/>
    <w:rsid w:val="00AE114F"/>
    <w:rsid w:val="00AE188E"/>
    <w:rsid w:val="00AE1D41"/>
    <w:rsid w:val="00AE21B6"/>
    <w:rsid w:val="00AE21EC"/>
    <w:rsid w:val="00AE2344"/>
    <w:rsid w:val="00AE23AB"/>
    <w:rsid w:val="00AE2589"/>
    <w:rsid w:val="00AE2BD5"/>
    <w:rsid w:val="00AE2C4C"/>
    <w:rsid w:val="00AE2CE3"/>
    <w:rsid w:val="00AE329E"/>
    <w:rsid w:val="00AE3DFE"/>
    <w:rsid w:val="00AE3E7E"/>
    <w:rsid w:val="00AE3FDC"/>
    <w:rsid w:val="00AE4010"/>
    <w:rsid w:val="00AE4056"/>
    <w:rsid w:val="00AE40A8"/>
    <w:rsid w:val="00AE421D"/>
    <w:rsid w:val="00AE4585"/>
    <w:rsid w:val="00AE4660"/>
    <w:rsid w:val="00AE47AB"/>
    <w:rsid w:val="00AE47FD"/>
    <w:rsid w:val="00AE4D37"/>
    <w:rsid w:val="00AE4D4F"/>
    <w:rsid w:val="00AE4DAF"/>
    <w:rsid w:val="00AE5413"/>
    <w:rsid w:val="00AE5758"/>
    <w:rsid w:val="00AE5ACA"/>
    <w:rsid w:val="00AE5B9C"/>
    <w:rsid w:val="00AE5D86"/>
    <w:rsid w:val="00AE6275"/>
    <w:rsid w:val="00AE6404"/>
    <w:rsid w:val="00AE6872"/>
    <w:rsid w:val="00AE68E0"/>
    <w:rsid w:val="00AE6DAC"/>
    <w:rsid w:val="00AE6E7B"/>
    <w:rsid w:val="00AE7146"/>
    <w:rsid w:val="00AE7691"/>
    <w:rsid w:val="00AE76DE"/>
    <w:rsid w:val="00AE76E2"/>
    <w:rsid w:val="00AE7BF8"/>
    <w:rsid w:val="00AE7D13"/>
    <w:rsid w:val="00AE7E53"/>
    <w:rsid w:val="00AE7F43"/>
    <w:rsid w:val="00AF02B1"/>
    <w:rsid w:val="00AF03C8"/>
    <w:rsid w:val="00AF054F"/>
    <w:rsid w:val="00AF0674"/>
    <w:rsid w:val="00AF11B8"/>
    <w:rsid w:val="00AF12AC"/>
    <w:rsid w:val="00AF1315"/>
    <w:rsid w:val="00AF13F1"/>
    <w:rsid w:val="00AF18F7"/>
    <w:rsid w:val="00AF19BF"/>
    <w:rsid w:val="00AF1AD5"/>
    <w:rsid w:val="00AF2160"/>
    <w:rsid w:val="00AF23E2"/>
    <w:rsid w:val="00AF278F"/>
    <w:rsid w:val="00AF283E"/>
    <w:rsid w:val="00AF289F"/>
    <w:rsid w:val="00AF2941"/>
    <w:rsid w:val="00AF2ACE"/>
    <w:rsid w:val="00AF2DC3"/>
    <w:rsid w:val="00AF2DD3"/>
    <w:rsid w:val="00AF34E1"/>
    <w:rsid w:val="00AF35DC"/>
    <w:rsid w:val="00AF3796"/>
    <w:rsid w:val="00AF38B2"/>
    <w:rsid w:val="00AF39BC"/>
    <w:rsid w:val="00AF3C05"/>
    <w:rsid w:val="00AF3C27"/>
    <w:rsid w:val="00AF3C6F"/>
    <w:rsid w:val="00AF3D5B"/>
    <w:rsid w:val="00AF42DD"/>
    <w:rsid w:val="00AF456A"/>
    <w:rsid w:val="00AF45A7"/>
    <w:rsid w:val="00AF46E5"/>
    <w:rsid w:val="00AF4AA0"/>
    <w:rsid w:val="00AF4B47"/>
    <w:rsid w:val="00AF4B55"/>
    <w:rsid w:val="00AF4F28"/>
    <w:rsid w:val="00AF4F99"/>
    <w:rsid w:val="00AF567A"/>
    <w:rsid w:val="00AF597F"/>
    <w:rsid w:val="00AF641F"/>
    <w:rsid w:val="00AF6682"/>
    <w:rsid w:val="00AF6DF7"/>
    <w:rsid w:val="00AF6F3E"/>
    <w:rsid w:val="00AF7096"/>
    <w:rsid w:val="00AF70FE"/>
    <w:rsid w:val="00AF75C4"/>
    <w:rsid w:val="00AF79BD"/>
    <w:rsid w:val="00AF7AFF"/>
    <w:rsid w:val="00B003DB"/>
    <w:rsid w:val="00B009F3"/>
    <w:rsid w:val="00B00D57"/>
    <w:rsid w:val="00B00FD8"/>
    <w:rsid w:val="00B012D1"/>
    <w:rsid w:val="00B013A3"/>
    <w:rsid w:val="00B015F8"/>
    <w:rsid w:val="00B0167F"/>
    <w:rsid w:val="00B0220C"/>
    <w:rsid w:val="00B022FB"/>
    <w:rsid w:val="00B025DA"/>
    <w:rsid w:val="00B0264C"/>
    <w:rsid w:val="00B028D5"/>
    <w:rsid w:val="00B02AD2"/>
    <w:rsid w:val="00B02F5A"/>
    <w:rsid w:val="00B03004"/>
    <w:rsid w:val="00B03070"/>
    <w:rsid w:val="00B033E5"/>
    <w:rsid w:val="00B03A63"/>
    <w:rsid w:val="00B03D0E"/>
    <w:rsid w:val="00B03DB4"/>
    <w:rsid w:val="00B04059"/>
    <w:rsid w:val="00B042AC"/>
    <w:rsid w:val="00B042CB"/>
    <w:rsid w:val="00B04356"/>
    <w:rsid w:val="00B0468D"/>
    <w:rsid w:val="00B04F01"/>
    <w:rsid w:val="00B05002"/>
    <w:rsid w:val="00B052A3"/>
    <w:rsid w:val="00B05300"/>
    <w:rsid w:val="00B05442"/>
    <w:rsid w:val="00B0556D"/>
    <w:rsid w:val="00B05AB6"/>
    <w:rsid w:val="00B05B83"/>
    <w:rsid w:val="00B05D51"/>
    <w:rsid w:val="00B060A4"/>
    <w:rsid w:val="00B06155"/>
    <w:rsid w:val="00B0626B"/>
    <w:rsid w:val="00B06738"/>
    <w:rsid w:val="00B0693B"/>
    <w:rsid w:val="00B06BCB"/>
    <w:rsid w:val="00B07188"/>
    <w:rsid w:val="00B07216"/>
    <w:rsid w:val="00B07260"/>
    <w:rsid w:val="00B07278"/>
    <w:rsid w:val="00B072C9"/>
    <w:rsid w:val="00B07ACE"/>
    <w:rsid w:val="00B07FE7"/>
    <w:rsid w:val="00B101BA"/>
    <w:rsid w:val="00B104A4"/>
    <w:rsid w:val="00B1093C"/>
    <w:rsid w:val="00B110A9"/>
    <w:rsid w:val="00B11859"/>
    <w:rsid w:val="00B11A9B"/>
    <w:rsid w:val="00B12324"/>
    <w:rsid w:val="00B12470"/>
    <w:rsid w:val="00B124E6"/>
    <w:rsid w:val="00B129A4"/>
    <w:rsid w:val="00B12E3D"/>
    <w:rsid w:val="00B1301F"/>
    <w:rsid w:val="00B134F7"/>
    <w:rsid w:val="00B13B3F"/>
    <w:rsid w:val="00B13CC0"/>
    <w:rsid w:val="00B13EF5"/>
    <w:rsid w:val="00B14339"/>
    <w:rsid w:val="00B14471"/>
    <w:rsid w:val="00B14497"/>
    <w:rsid w:val="00B145AC"/>
    <w:rsid w:val="00B14672"/>
    <w:rsid w:val="00B14AD5"/>
    <w:rsid w:val="00B14F4D"/>
    <w:rsid w:val="00B152C1"/>
    <w:rsid w:val="00B1541C"/>
    <w:rsid w:val="00B15688"/>
    <w:rsid w:val="00B15B85"/>
    <w:rsid w:val="00B15D34"/>
    <w:rsid w:val="00B15DA5"/>
    <w:rsid w:val="00B15E08"/>
    <w:rsid w:val="00B162DF"/>
    <w:rsid w:val="00B166B6"/>
    <w:rsid w:val="00B16C93"/>
    <w:rsid w:val="00B16EA9"/>
    <w:rsid w:val="00B171C6"/>
    <w:rsid w:val="00B172D1"/>
    <w:rsid w:val="00B175B7"/>
    <w:rsid w:val="00B176DD"/>
    <w:rsid w:val="00B17E6C"/>
    <w:rsid w:val="00B201A4"/>
    <w:rsid w:val="00B201D1"/>
    <w:rsid w:val="00B2020D"/>
    <w:rsid w:val="00B20816"/>
    <w:rsid w:val="00B20831"/>
    <w:rsid w:val="00B213A6"/>
    <w:rsid w:val="00B21779"/>
    <w:rsid w:val="00B217AA"/>
    <w:rsid w:val="00B2180E"/>
    <w:rsid w:val="00B218F0"/>
    <w:rsid w:val="00B2193C"/>
    <w:rsid w:val="00B21E33"/>
    <w:rsid w:val="00B2231A"/>
    <w:rsid w:val="00B225D8"/>
    <w:rsid w:val="00B22677"/>
    <w:rsid w:val="00B22909"/>
    <w:rsid w:val="00B229A1"/>
    <w:rsid w:val="00B22CE8"/>
    <w:rsid w:val="00B22F2A"/>
    <w:rsid w:val="00B22FEF"/>
    <w:rsid w:val="00B23439"/>
    <w:rsid w:val="00B23488"/>
    <w:rsid w:val="00B235B0"/>
    <w:rsid w:val="00B238B7"/>
    <w:rsid w:val="00B23BE6"/>
    <w:rsid w:val="00B240AE"/>
    <w:rsid w:val="00B24172"/>
    <w:rsid w:val="00B241BC"/>
    <w:rsid w:val="00B241CE"/>
    <w:rsid w:val="00B247EC"/>
    <w:rsid w:val="00B24A83"/>
    <w:rsid w:val="00B24DBA"/>
    <w:rsid w:val="00B24DF6"/>
    <w:rsid w:val="00B24F5C"/>
    <w:rsid w:val="00B252F9"/>
    <w:rsid w:val="00B25342"/>
    <w:rsid w:val="00B258F7"/>
    <w:rsid w:val="00B25A2E"/>
    <w:rsid w:val="00B25BFB"/>
    <w:rsid w:val="00B25C30"/>
    <w:rsid w:val="00B25DB5"/>
    <w:rsid w:val="00B260BF"/>
    <w:rsid w:val="00B2616F"/>
    <w:rsid w:val="00B26361"/>
    <w:rsid w:val="00B26968"/>
    <w:rsid w:val="00B26B92"/>
    <w:rsid w:val="00B26FC8"/>
    <w:rsid w:val="00B27127"/>
    <w:rsid w:val="00B271BE"/>
    <w:rsid w:val="00B273C6"/>
    <w:rsid w:val="00B2763E"/>
    <w:rsid w:val="00B27A1E"/>
    <w:rsid w:val="00B27A61"/>
    <w:rsid w:val="00B27D41"/>
    <w:rsid w:val="00B27D64"/>
    <w:rsid w:val="00B27DC7"/>
    <w:rsid w:val="00B27E9F"/>
    <w:rsid w:val="00B30640"/>
    <w:rsid w:val="00B30685"/>
    <w:rsid w:val="00B306DC"/>
    <w:rsid w:val="00B3096F"/>
    <w:rsid w:val="00B30B7D"/>
    <w:rsid w:val="00B30E6E"/>
    <w:rsid w:val="00B30F10"/>
    <w:rsid w:val="00B310C2"/>
    <w:rsid w:val="00B3116F"/>
    <w:rsid w:val="00B313F5"/>
    <w:rsid w:val="00B3192A"/>
    <w:rsid w:val="00B3195C"/>
    <w:rsid w:val="00B31991"/>
    <w:rsid w:val="00B31AE8"/>
    <w:rsid w:val="00B31B5B"/>
    <w:rsid w:val="00B31C01"/>
    <w:rsid w:val="00B32422"/>
    <w:rsid w:val="00B326ED"/>
    <w:rsid w:val="00B332E3"/>
    <w:rsid w:val="00B333AD"/>
    <w:rsid w:val="00B33681"/>
    <w:rsid w:val="00B33847"/>
    <w:rsid w:val="00B33AB5"/>
    <w:rsid w:val="00B344C5"/>
    <w:rsid w:val="00B34890"/>
    <w:rsid w:val="00B34BFC"/>
    <w:rsid w:val="00B34FE2"/>
    <w:rsid w:val="00B3513A"/>
    <w:rsid w:val="00B35166"/>
    <w:rsid w:val="00B35610"/>
    <w:rsid w:val="00B35643"/>
    <w:rsid w:val="00B357D8"/>
    <w:rsid w:val="00B359DE"/>
    <w:rsid w:val="00B35A22"/>
    <w:rsid w:val="00B35C64"/>
    <w:rsid w:val="00B35DAF"/>
    <w:rsid w:val="00B360F4"/>
    <w:rsid w:val="00B36643"/>
    <w:rsid w:val="00B36741"/>
    <w:rsid w:val="00B36A00"/>
    <w:rsid w:val="00B36AA2"/>
    <w:rsid w:val="00B36B46"/>
    <w:rsid w:val="00B36EC0"/>
    <w:rsid w:val="00B371AC"/>
    <w:rsid w:val="00B374B9"/>
    <w:rsid w:val="00B374E6"/>
    <w:rsid w:val="00B3792B"/>
    <w:rsid w:val="00B37B07"/>
    <w:rsid w:val="00B37BFC"/>
    <w:rsid w:val="00B37D2D"/>
    <w:rsid w:val="00B37F22"/>
    <w:rsid w:val="00B40358"/>
    <w:rsid w:val="00B406AD"/>
    <w:rsid w:val="00B40863"/>
    <w:rsid w:val="00B41614"/>
    <w:rsid w:val="00B41CD0"/>
    <w:rsid w:val="00B41E64"/>
    <w:rsid w:val="00B42513"/>
    <w:rsid w:val="00B42558"/>
    <w:rsid w:val="00B42851"/>
    <w:rsid w:val="00B42978"/>
    <w:rsid w:val="00B42A3F"/>
    <w:rsid w:val="00B42B84"/>
    <w:rsid w:val="00B42F80"/>
    <w:rsid w:val="00B43155"/>
    <w:rsid w:val="00B4315D"/>
    <w:rsid w:val="00B43315"/>
    <w:rsid w:val="00B435CB"/>
    <w:rsid w:val="00B43BFF"/>
    <w:rsid w:val="00B4419B"/>
    <w:rsid w:val="00B44617"/>
    <w:rsid w:val="00B44B71"/>
    <w:rsid w:val="00B44F7F"/>
    <w:rsid w:val="00B45037"/>
    <w:rsid w:val="00B4532C"/>
    <w:rsid w:val="00B457F9"/>
    <w:rsid w:val="00B45AE9"/>
    <w:rsid w:val="00B45CFC"/>
    <w:rsid w:val="00B461C3"/>
    <w:rsid w:val="00B465EC"/>
    <w:rsid w:val="00B467CA"/>
    <w:rsid w:val="00B4684E"/>
    <w:rsid w:val="00B46CC1"/>
    <w:rsid w:val="00B47380"/>
    <w:rsid w:val="00B475A7"/>
    <w:rsid w:val="00B4778A"/>
    <w:rsid w:val="00B478E4"/>
    <w:rsid w:val="00B47EDD"/>
    <w:rsid w:val="00B47F57"/>
    <w:rsid w:val="00B505C8"/>
    <w:rsid w:val="00B50764"/>
    <w:rsid w:val="00B509C2"/>
    <w:rsid w:val="00B50AA7"/>
    <w:rsid w:val="00B50D3D"/>
    <w:rsid w:val="00B50D86"/>
    <w:rsid w:val="00B50DB8"/>
    <w:rsid w:val="00B50FA9"/>
    <w:rsid w:val="00B510DD"/>
    <w:rsid w:val="00B511FC"/>
    <w:rsid w:val="00B513B5"/>
    <w:rsid w:val="00B521E9"/>
    <w:rsid w:val="00B528D6"/>
    <w:rsid w:val="00B52F23"/>
    <w:rsid w:val="00B52F80"/>
    <w:rsid w:val="00B52FA4"/>
    <w:rsid w:val="00B52FB1"/>
    <w:rsid w:val="00B5342D"/>
    <w:rsid w:val="00B53477"/>
    <w:rsid w:val="00B534A6"/>
    <w:rsid w:val="00B53654"/>
    <w:rsid w:val="00B53889"/>
    <w:rsid w:val="00B53905"/>
    <w:rsid w:val="00B53ACD"/>
    <w:rsid w:val="00B53C6D"/>
    <w:rsid w:val="00B53ED5"/>
    <w:rsid w:val="00B541FB"/>
    <w:rsid w:val="00B542C0"/>
    <w:rsid w:val="00B542E8"/>
    <w:rsid w:val="00B544CA"/>
    <w:rsid w:val="00B54695"/>
    <w:rsid w:val="00B546DB"/>
    <w:rsid w:val="00B54792"/>
    <w:rsid w:val="00B54B5B"/>
    <w:rsid w:val="00B54C5C"/>
    <w:rsid w:val="00B54C72"/>
    <w:rsid w:val="00B54D54"/>
    <w:rsid w:val="00B54E4B"/>
    <w:rsid w:val="00B550CF"/>
    <w:rsid w:val="00B5562E"/>
    <w:rsid w:val="00B55862"/>
    <w:rsid w:val="00B55C8F"/>
    <w:rsid w:val="00B55D65"/>
    <w:rsid w:val="00B55FE5"/>
    <w:rsid w:val="00B56305"/>
    <w:rsid w:val="00B56AD2"/>
    <w:rsid w:val="00B56D1D"/>
    <w:rsid w:val="00B56FCB"/>
    <w:rsid w:val="00B56FF8"/>
    <w:rsid w:val="00B57000"/>
    <w:rsid w:val="00B571B4"/>
    <w:rsid w:val="00B57A9C"/>
    <w:rsid w:val="00B57CF2"/>
    <w:rsid w:val="00B57D08"/>
    <w:rsid w:val="00B60035"/>
    <w:rsid w:val="00B60939"/>
    <w:rsid w:val="00B60AE6"/>
    <w:rsid w:val="00B60AFD"/>
    <w:rsid w:val="00B6108A"/>
    <w:rsid w:val="00B6134C"/>
    <w:rsid w:val="00B6166E"/>
    <w:rsid w:val="00B6195F"/>
    <w:rsid w:val="00B61AAD"/>
    <w:rsid w:val="00B61E35"/>
    <w:rsid w:val="00B61E76"/>
    <w:rsid w:val="00B6222D"/>
    <w:rsid w:val="00B62338"/>
    <w:rsid w:val="00B62715"/>
    <w:rsid w:val="00B629BD"/>
    <w:rsid w:val="00B62A73"/>
    <w:rsid w:val="00B62B6E"/>
    <w:rsid w:val="00B63333"/>
    <w:rsid w:val="00B634C3"/>
    <w:rsid w:val="00B63754"/>
    <w:rsid w:val="00B63766"/>
    <w:rsid w:val="00B63957"/>
    <w:rsid w:val="00B63CD0"/>
    <w:rsid w:val="00B63F11"/>
    <w:rsid w:val="00B64177"/>
    <w:rsid w:val="00B6471A"/>
    <w:rsid w:val="00B6481D"/>
    <w:rsid w:val="00B653D5"/>
    <w:rsid w:val="00B65611"/>
    <w:rsid w:val="00B65947"/>
    <w:rsid w:val="00B661D0"/>
    <w:rsid w:val="00B666EA"/>
    <w:rsid w:val="00B671CD"/>
    <w:rsid w:val="00B67240"/>
    <w:rsid w:val="00B67248"/>
    <w:rsid w:val="00B6747B"/>
    <w:rsid w:val="00B678F2"/>
    <w:rsid w:val="00B6791E"/>
    <w:rsid w:val="00B67B71"/>
    <w:rsid w:val="00B67B74"/>
    <w:rsid w:val="00B67F52"/>
    <w:rsid w:val="00B700AC"/>
    <w:rsid w:val="00B7012E"/>
    <w:rsid w:val="00B7014B"/>
    <w:rsid w:val="00B70177"/>
    <w:rsid w:val="00B701A5"/>
    <w:rsid w:val="00B70250"/>
    <w:rsid w:val="00B70519"/>
    <w:rsid w:val="00B707F6"/>
    <w:rsid w:val="00B708BD"/>
    <w:rsid w:val="00B708E1"/>
    <w:rsid w:val="00B70A5B"/>
    <w:rsid w:val="00B70B10"/>
    <w:rsid w:val="00B70E8E"/>
    <w:rsid w:val="00B71289"/>
    <w:rsid w:val="00B71775"/>
    <w:rsid w:val="00B71E35"/>
    <w:rsid w:val="00B71F44"/>
    <w:rsid w:val="00B7202F"/>
    <w:rsid w:val="00B72215"/>
    <w:rsid w:val="00B72C9E"/>
    <w:rsid w:val="00B72E9C"/>
    <w:rsid w:val="00B73388"/>
    <w:rsid w:val="00B733DE"/>
    <w:rsid w:val="00B73800"/>
    <w:rsid w:val="00B7392B"/>
    <w:rsid w:val="00B73A27"/>
    <w:rsid w:val="00B742C6"/>
    <w:rsid w:val="00B74617"/>
    <w:rsid w:val="00B7471C"/>
    <w:rsid w:val="00B74A5D"/>
    <w:rsid w:val="00B74E8D"/>
    <w:rsid w:val="00B75170"/>
    <w:rsid w:val="00B75387"/>
    <w:rsid w:val="00B7546C"/>
    <w:rsid w:val="00B75965"/>
    <w:rsid w:val="00B75A0F"/>
    <w:rsid w:val="00B75C2D"/>
    <w:rsid w:val="00B75F25"/>
    <w:rsid w:val="00B761CA"/>
    <w:rsid w:val="00B7629B"/>
    <w:rsid w:val="00B763F3"/>
    <w:rsid w:val="00B76500"/>
    <w:rsid w:val="00B76B6F"/>
    <w:rsid w:val="00B76C92"/>
    <w:rsid w:val="00B76D93"/>
    <w:rsid w:val="00B76E2D"/>
    <w:rsid w:val="00B76FD9"/>
    <w:rsid w:val="00B770A6"/>
    <w:rsid w:val="00B772C8"/>
    <w:rsid w:val="00B7733B"/>
    <w:rsid w:val="00B774A2"/>
    <w:rsid w:val="00B77B2C"/>
    <w:rsid w:val="00B8025D"/>
    <w:rsid w:val="00B8058D"/>
    <w:rsid w:val="00B80860"/>
    <w:rsid w:val="00B80DFC"/>
    <w:rsid w:val="00B80EFD"/>
    <w:rsid w:val="00B80FA1"/>
    <w:rsid w:val="00B81444"/>
    <w:rsid w:val="00B814B6"/>
    <w:rsid w:val="00B81533"/>
    <w:rsid w:val="00B818A4"/>
    <w:rsid w:val="00B81BD8"/>
    <w:rsid w:val="00B81E1D"/>
    <w:rsid w:val="00B81E75"/>
    <w:rsid w:val="00B8255A"/>
    <w:rsid w:val="00B8290F"/>
    <w:rsid w:val="00B82AC3"/>
    <w:rsid w:val="00B82B24"/>
    <w:rsid w:val="00B83026"/>
    <w:rsid w:val="00B83453"/>
    <w:rsid w:val="00B83553"/>
    <w:rsid w:val="00B83739"/>
    <w:rsid w:val="00B83CD8"/>
    <w:rsid w:val="00B83FE9"/>
    <w:rsid w:val="00B840FC"/>
    <w:rsid w:val="00B84117"/>
    <w:rsid w:val="00B8458C"/>
    <w:rsid w:val="00B8478B"/>
    <w:rsid w:val="00B84A30"/>
    <w:rsid w:val="00B84E23"/>
    <w:rsid w:val="00B84F57"/>
    <w:rsid w:val="00B84F9A"/>
    <w:rsid w:val="00B8522B"/>
    <w:rsid w:val="00B854A8"/>
    <w:rsid w:val="00B85714"/>
    <w:rsid w:val="00B858F0"/>
    <w:rsid w:val="00B85AA2"/>
    <w:rsid w:val="00B85AAE"/>
    <w:rsid w:val="00B85AF2"/>
    <w:rsid w:val="00B85B77"/>
    <w:rsid w:val="00B861B3"/>
    <w:rsid w:val="00B86475"/>
    <w:rsid w:val="00B8649C"/>
    <w:rsid w:val="00B8651A"/>
    <w:rsid w:val="00B866FC"/>
    <w:rsid w:val="00B8695D"/>
    <w:rsid w:val="00B874E6"/>
    <w:rsid w:val="00B87662"/>
    <w:rsid w:val="00B87A2A"/>
    <w:rsid w:val="00B87CBA"/>
    <w:rsid w:val="00B87F0A"/>
    <w:rsid w:val="00B9050B"/>
    <w:rsid w:val="00B9088D"/>
    <w:rsid w:val="00B9113E"/>
    <w:rsid w:val="00B91564"/>
    <w:rsid w:val="00B91777"/>
    <w:rsid w:val="00B91DAE"/>
    <w:rsid w:val="00B91F6E"/>
    <w:rsid w:val="00B923B1"/>
    <w:rsid w:val="00B92783"/>
    <w:rsid w:val="00B92C83"/>
    <w:rsid w:val="00B92D0B"/>
    <w:rsid w:val="00B92D22"/>
    <w:rsid w:val="00B92D86"/>
    <w:rsid w:val="00B93636"/>
    <w:rsid w:val="00B93692"/>
    <w:rsid w:val="00B93E4F"/>
    <w:rsid w:val="00B94181"/>
    <w:rsid w:val="00B94336"/>
    <w:rsid w:val="00B9446B"/>
    <w:rsid w:val="00B944E1"/>
    <w:rsid w:val="00B94645"/>
    <w:rsid w:val="00B94945"/>
    <w:rsid w:val="00B949A5"/>
    <w:rsid w:val="00B949EF"/>
    <w:rsid w:val="00B94AAA"/>
    <w:rsid w:val="00B94DD6"/>
    <w:rsid w:val="00B95572"/>
    <w:rsid w:val="00B957CB"/>
    <w:rsid w:val="00B95887"/>
    <w:rsid w:val="00B9599A"/>
    <w:rsid w:val="00B95A1B"/>
    <w:rsid w:val="00B95A94"/>
    <w:rsid w:val="00B95F18"/>
    <w:rsid w:val="00B9614E"/>
    <w:rsid w:val="00B961EB"/>
    <w:rsid w:val="00B96383"/>
    <w:rsid w:val="00B964E9"/>
    <w:rsid w:val="00B964FD"/>
    <w:rsid w:val="00B96903"/>
    <w:rsid w:val="00B9691B"/>
    <w:rsid w:val="00B96D63"/>
    <w:rsid w:val="00B9714B"/>
    <w:rsid w:val="00B971F6"/>
    <w:rsid w:val="00B97421"/>
    <w:rsid w:val="00B975F1"/>
    <w:rsid w:val="00B977AF"/>
    <w:rsid w:val="00B97C8B"/>
    <w:rsid w:val="00BA016D"/>
    <w:rsid w:val="00BA0237"/>
    <w:rsid w:val="00BA025E"/>
    <w:rsid w:val="00BA02AB"/>
    <w:rsid w:val="00BA0DE8"/>
    <w:rsid w:val="00BA1056"/>
    <w:rsid w:val="00BA12AE"/>
    <w:rsid w:val="00BA13A2"/>
    <w:rsid w:val="00BA18E1"/>
    <w:rsid w:val="00BA227A"/>
    <w:rsid w:val="00BA23EB"/>
    <w:rsid w:val="00BA263B"/>
    <w:rsid w:val="00BA28BA"/>
    <w:rsid w:val="00BA29BE"/>
    <w:rsid w:val="00BA2B5C"/>
    <w:rsid w:val="00BA3102"/>
    <w:rsid w:val="00BA317D"/>
    <w:rsid w:val="00BA322D"/>
    <w:rsid w:val="00BA4755"/>
    <w:rsid w:val="00BA4978"/>
    <w:rsid w:val="00BA4B1F"/>
    <w:rsid w:val="00BA5058"/>
    <w:rsid w:val="00BA5359"/>
    <w:rsid w:val="00BA5406"/>
    <w:rsid w:val="00BA56EC"/>
    <w:rsid w:val="00BA5762"/>
    <w:rsid w:val="00BA59C0"/>
    <w:rsid w:val="00BA5B72"/>
    <w:rsid w:val="00BA5B76"/>
    <w:rsid w:val="00BA5FF5"/>
    <w:rsid w:val="00BA62A7"/>
    <w:rsid w:val="00BA63FA"/>
    <w:rsid w:val="00BA6D7E"/>
    <w:rsid w:val="00BA73A5"/>
    <w:rsid w:val="00BA7525"/>
    <w:rsid w:val="00BA754A"/>
    <w:rsid w:val="00BA77C9"/>
    <w:rsid w:val="00BA79AF"/>
    <w:rsid w:val="00BA7BC7"/>
    <w:rsid w:val="00BA7E44"/>
    <w:rsid w:val="00BB00B3"/>
    <w:rsid w:val="00BB0311"/>
    <w:rsid w:val="00BB05CE"/>
    <w:rsid w:val="00BB0BDA"/>
    <w:rsid w:val="00BB0BDD"/>
    <w:rsid w:val="00BB0F02"/>
    <w:rsid w:val="00BB12EB"/>
    <w:rsid w:val="00BB164F"/>
    <w:rsid w:val="00BB176C"/>
    <w:rsid w:val="00BB180A"/>
    <w:rsid w:val="00BB1BB8"/>
    <w:rsid w:val="00BB1EEA"/>
    <w:rsid w:val="00BB2070"/>
    <w:rsid w:val="00BB222E"/>
    <w:rsid w:val="00BB22E8"/>
    <w:rsid w:val="00BB24C0"/>
    <w:rsid w:val="00BB2524"/>
    <w:rsid w:val="00BB26D1"/>
    <w:rsid w:val="00BB2A73"/>
    <w:rsid w:val="00BB2C9F"/>
    <w:rsid w:val="00BB2E43"/>
    <w:rsid w:val="00BB3762"/>
    <w:rsid w:val="00BB3A45"/>
    <w:rsid w:val="00BB3A73"/>
    <w:rsid w:val="00BB426A"/>
    <w:rsid w:val="00BB42DA"/>
    <w:rsid w:val="00BB470C"/>
    <w:rsid w:val="00BB4713"/>
    <w:rsid w:val="00BB47D9"/>
    <w:rsid w:val="00BB4AC4"/>
    <w:rsid w:val="00BB4ACC"/>
    <w:rsid w:val="00BB4F24"/>
    <w:rsid w:val="00BB529E"/>
    <w:rsid w:val="00BB53F0"/>
    <w:rsid w:val="00BB557A"/>
    <w:rsid w:val="00BB5C4A"/>
    <w:rsid w:val="00BB6F98"/>
    <w:rsid w:val="00BB703E"/>
    <w:rsid w:val="00BB704D"/>
    <w:rsid w:val="00BB70D5"/>
    <w:rsid w:val="00BB732D"/>
    <w:rsid w:val="00BB7405"/>
    <w:rsid w:val="00BB7433"/>
    <w:rsid w:val="00BB78E3"/>
    <w:rsid w:val="00BB7B6D"/>
    <w:rsid w:val="00BB7CA5"/>
    <w:rsid w:val="00BC009B"/>
    <w:rsid w:val="00BC0533"/>
    <w:rsid w:val="00BC09D3"/>
    <w:rsid w:val="00BC0F41"/>
    <w:rsid w:val="00BC104B"/>
    <w:rsid w:val="00BC181C"/>
    <w:rsid w:val="00BC191F"/>
    <w:rsid w:val="00BC1B00"/>
    <w:rsid w:val="00BC1B7E"/>
    <w:rsid w:val="00BC24AB"/>
    <w:rsid w:val="00BC26AE"/>
    <w:rsid w:val="00BC3631"/>
    <w:rsid w:val="00BC42B7"/>
    <w:rsid w:val="00BC489F"/>
    <w:rsid w:val="00BC4B0E"/>
    <w:rsid w:val="00BC5002"/>
    <w:rsid w:val="00BC50EF"/>
    <w:rsid w:val="00BC526C"/>
    <w:rsid w:val="00BC5677"/>
    <w:rsid w:val="00BC591F"/>
    <w:rsid w:val="00BC59A0"/>
    <w:rsid w:val="00BC5BFC"/>
    <w:rsid w:val="00BC5EA8"/>
    <w:rsid w:val="00BC615E"/>
    <w:rsid w:val="00BC6160"/>
    <w:rsid w:val="00BC6369"/>
    <w:rsid w:val="00BC659C"/>
    <w:rsid w:val="00BC70A3"/>
    <w:rsid w:val="00BC716A"/>
    <w:rsid w:val="00BC7632"/>
    <w:rsid w:val="00BC76C9"/>
    <w:rsid w:val="00BC78A0"/>
    <w:rsid w:val="00BC7C43"/>
    <w:rsid w:val="00BC7D6D"/>
    <w:rsid w:val="00BC7DFB"/>
    <w:rsid w:val="00BD0BEF"/>
    <w:rsid w:val="00BD0CEB"/>
    <w:rsid w:val="00BD0E64"/>
    <w:rsid w:val="00BD0EEE"/>
    <w:rsid w:val="00BD1247"/>
    <w:rsid w:val="00BD124A"/>
    <w:rsid w:val="00BD1576"/>
    <w:rsid w:val="00BD15BC"/>
    <w:rsid w:val="00BD1C1F"/>
    <w:rsid w:val="00BD1D4E"/>
    <w:rsid w:val="00BD1F21"/>
    <w:rsid w:val="00BD2108"/>
    <w:rsid w:val="00BD22BA"/>
    <w:rsid w:val="00BD22D4"/>
    <w:rsid w:val="00BD2307"/>
    <w:rsid w:val="00BD2425"/>
    <w:rsid w:val="00BD2576"/>
    <w:rsid w:val="00BD25CE"/>
    <w:rsid w:val="00BD2648"/>
    <w:rsid w:val="00BD2D8C"/>
    <w:rsid w:val="00BD2EC7"/>
    <w:rsid w:val="00BD31DB"/>
    <w:rsid w:val="00BD32B9"/>
    <w:rsid w:val="00BD3A2E"/>
    <w:rsid w:val="00BD3DB5"/>
    <w:rsid w:val="00BD4140"/>
    <w:rsid w:val="00BD42B7"/>
    <w:rsid w:val="00BD4C47"/>
    <w:rsid w:val="00BD4C9A"/>
    <w:rsid w:val="00BD5069"/>
    <w:rsid w:val="00BD50F0"/>
    <w:rsid w:val="00BD61F8"/>
    <w:rsid w:val="00BD6895"/>
    <w:rsid w:val="00BD68A3"/>
    <w:rsid w:val="00BD6938"/>
    <w:rsid w:val="00BD6CF3"/>
    <w:rsid w:val="00BD6E4F"/>
    <w:rsid w:val="00BD6E68"/>
    <w:rsid w:val="00BD6E6D"/>
    <w:rsid w:val="00BD6F05"/>
    <w:rsid w:val="00BD6F68"/>
    <w:rsid w:val="00BD72C6"/>
    <w:rsid w:val="00BD75F9"/>
    <w:rsid w:val="00BD7B89"/>
    <w:rsid w:val="00BD7D77"/>
    <w:rsid w:val="00BD7F72"/>
    <w:rsid w:val="00BD7F85"/>
    <w:rsid w:val="00BD7F8C"/>
    <w:rsid w:val="00BE06F7"/>
    <w:rsid w:val="00BE0895"/>
    <w:rsid w:val="00BE0CAA"/>
    <w:rsid w:val="00BE0ECA"/>
    <w:rsid w:val="00BE100F"/>
    <w:rsid w:val="00BE1440"/>
    <w:rsid w:val="00BE1542"/>
    <w:rsid w:val="00BE175D"/>
    <w:rsid w:val="00BE176D"/>
    <w:rsid w:val="00BE1B7D"/>
    <w:rsid w:val="00BE1F30"/>
    <w:rsid w:val="00BE1FA0"/>
    <w:rsid w:val="00BE2180"/>
    <w:rsid w:val="00BE21F2"/>
    <w:rsid w:val="00BE2299"/>
    <w:rsid w:val="00BE232F"/>
    <w:rsid w:val="00BE2548"/>
    <w:rsid w:val="00BE27CD"/>
    <w:rsid w:val="00BE2A85"/>
    <w:rsid w:val="00BE2B3F"/>
    <w:rsid w:val="00BE2BBB"/>
    <w:rsid w:val="00BE362C"/>
    <w:rsid w:val="00BE3B05"/>
    <w:rsid w:val="00BE3BF5"/>
    <w:rsid w:val="00BE3C85"/>
    <w:rsid w:val="00BE3EBB"/>
    <w:rsid w:val="00BE3F1E"/>
    <w:rsid w:val="00BE3F3F"/>
    <w:rsid w:val="00BE3F7E"/>
    <w:rsid w:val="00BE4190"/>
    <w:rsid w:val="00BE4230"/>
    <w:rsid w:val="00BE4255"/>
    <w:rsid w:val="00BE4275"/>
    <w:rsid w:val="00BE4423"/>
    <w:rsid w:val="00BE45F9"/>
    <w:rsid w:val="00BE472A"/>
    <w:rsid w:val="00BE4F12"/>
    <w:rsid w:val="00BE58BA"/>
    <w:rsid w:val="00BE5C64"/>
    <w:rsid w:val="00BE60DE"/>
    <w:rsid w:val="00BE6137"/>
    <w:rsid w:val="00BE63F9"/>
    <w:rsid w:val="00BE659C"/>
    <w:rsid w:val="00BE6666"/>
    <w:rsid w:val="00BE689E"/>
    <w:rsid w:val="00BE6A6F"/>
    <w:rsid w:val="00BE6B16"/>
    <w:rsid w:val="00BE6B77"/>
    <w:rsid w:val="00BE7032"/>
    <w:rsid w:val="00BE742A"/>
    <w:rsid w:val="00BE74CF"/>
    <w:rsid w:val="00BE799D"/>
    <w:rsid w:val="00BE7B01"/>
    <w:rsid w:val="00BE7FEA"/>
    <w:rsid w:val="00BF06AE"/>
    <w:rsid w:val="00BF0ACE"/>
    <w:rsid w:val="00BF0C06"/>
    <w:rsid w:val="00BF0D25"/>
    <w:rsid w:val="00BF0D39"/>
    <w:rsid w:val="00BF0E67"/>
    <w:rsid w:val="00BF0F95"/>
    <w:rsid w:val="00BF12F3"/>
    <w:rsid w:val="00BF1737"/>
    <w:rsid w:val="00BF1988"/>
    <w:rsid w:val="00BF1EAE"/>
    <w:rsid w:val="00BF1FA5"/>
    <w:rsid w:val="00BF1FB7"/>
    <w:rsid w:val="00BF2433"/>
    <w:rsid w:val="00BF2E6E"/>
    <w:rsid w:val="00BF2F59"/>
    <w:rsid w:val="00BF3426"/>
    <w:rsid w:val="00BF3AE1"/>
    <w:rsid w:val="00BF3C04"/>
    <w:rsid w:val="00BF3FB1"/>
    <w:rsid w:val="00BF4041"/>
    <w:rsid w:val="00BF4124"/>
    <w:rsid w:val="00BF497C"/>
    <w:rsid w:val="00BF4A5C"/>
    <w:rsid w:val="00BF4CD2"/>
    <w:rsid w:val="00BF5123"/>
    <w:rsid w:val="00BF5402"/>
    <w:rsid w:val="00BF59B4"/>
    <w:rsid w:val="00BF59B6"/>
    <w:rsid w:val="00BF5E3D"/>
    <w:rsid w:val="00BF61C9"/>
    <w:rsid w:val="00BF6B8B"/>
    <w:rsid w:val="00BF6BEE"/>
    <w:rsid w:val="00BF6C94"/>
    <w:rsid w:val="00BF6F7D"/>
    <w:rsid w:val="00BF7975"/>
    <w:rsid w:val="00BF7B12"/>
    <w:rsid w:val="00BF7E42"/>
    <w:rsid w:val="00C00181"/>
    <w:rsid w:val="00C00288"/>
    <w:rsid w:val="00C00424"/>
    <w:rsid w:val="00C007F8"/>
    <w:rsid w:val="00C00B24"/>
    <w:rsid w:val="00C00BB0"/>
    <w:rsid w:val="00C00D67"/>
    <w:rsid w:val="00C00F4C"/>
    <w:rsid w:val="00C0158B"/>
    <w:rsid w:val="00C01682"/>
    <w:rsid w:val="00C016F8"/>
    <w:rsid w:val="00C017F3"/>
    <w:rsid w:val="00C018C0"/>
    <w:rsid w:val="00C01D82"/>
    <w:rsid w:val="00C0217E"/>
    <w:rsid w:val="00C02213"/>
    <w:rsid w:val="00C026E1"/>
    <w:rsid w:val="00C02863"/>
    <w:rsid w:val="00C02992"/>
    <w:rsid w:val="00C029B2"/>
    <w:rsid w:val="00C0351A"/>
    <w:rsid w:val="00C036F2"/>
    <w:rsid w:val="00C03866"/>
    <w:rsid w:val="00C039F3"/>
    <w:rsid w:val="00C03B8C"/>
    <w:rsid w:val="00C03E87"/>
    <w:rsid w:val="00C041FE"/>
    <w:rsid w:val="00C0442F"/>
    <w:rsid w:val="00C0459D"/>
    <w:rsid w:val="00C0467B"/>
    <w:rsid w:val="00C046C2"/>
    <w:rsid w:val="00C04908"/>
    <w:rsid w:val="00C04B21"/>
    <w:rsid w:val="00C04C5C"/>
    <w:rsid w:val="00C04C65"/>
    <w:rsid w:val="00C04D32"/>
    <w:rsid w:val="00C04F46"/>
    <w:rsid w:val="00C0570B"/>
    <w:rsid w:val="00C0577E"/>
    <w:rsid w:val="00C05CA1"/>
    <w:rsid w:val="00C0612C"/>
    <w:rsid w:val="00C06CFD"/>
    <w:rsid w:val="00C0715D"/>
    <w:rsid w:val="00C078A9"/>
    <w:rsid w:val="00C07B1F"/>
    <w:rsid w:val="00C07DE3"/>
    <w:rsid w:val="00C07E4A"/>
    <w:rsid w:val="00C104A3"/>
    <w:rsid w:val="00C1082F"/>
    <w:rsid w:val="00C1083A"/>
    <w:rsid w:val="00C109AB"/>
    <w:rsid w:val="00C10E57"/>
    <w:rsid w:val="00C110BE"/>
    <w:rsid w:val="00C1179F"/>
    <w:rsid w:val="00C11AB7"/>
    <w:rsid w:val="00C11EE2"/>
    <w:rsid w:val="00C11F52"/>
    <w:rsid w:val="00C11FF0"/>
    <w:rsid w:val="00C12179"/>
    <w:rsid w:val="00C12308"/>
    <w:rsid w:val="00C127B9"/>
    <w:rsid w:val="00C128FA"/>
    <w:rsid w:val="00C12C14"/>
    <w:rsid w:val="00C1386E"/>
    <w:rsid w:val="00C13C7C"/>
    <w:rsid w:val="00C14076"/>
    <w:rsid w:val="00C14559"/>
    <w:rsid w:val="00C147F6"/>
    <w:rsid w:val="00C14832"/>
    <w:rsid w:val="00C14974"/>
    <w:rsid w:val="00C14A89"/>
    <w:rsid w:val="00C14C3A"/>
    <w:rsid w:val="00C14E79"/>
    <w:rsid w:val="00C15691"/>
    <w:rsid w:val="00C156FF"/>
    <w:rsid w:val="00C15AE8"/>
    <w:rsid w:val="00C15D66"/>
    <w:rsid w:val="00C15E02"/>
    <w:rsid w:val="00C15F04"/>
    <w:rsid w:val="00C160E2"/>
    <w:rsid w:val="00C16104"/>
    <w:rsid w:val="00C1624E"/>
    <w:rsid w:val="00C1660C"/>
    <w:rsid w:val="00C16963"/>
    <w:rsid w:val="00C1698D"/>
    <w:rsid w:val="00C16A18"/>
    <w:rsid w:val="00C16A9B"/>
    <w:rsid w:val="00C16C8F"/>
    <w:rsid w:val="00C16CE5"/>
    <w:rsid w:val="00C16FAD"/>
    <w:rsid w:val="00C173AE"/>
    <w:rsid w:val="00C17433"/>
    <w:rsid w:val="00C174A3"/>
    <w:rsid w:val="00C17571"/>
    <w:rsid w:val="00C179B3"/>
    <w:rsid w:val="00C17E3F"/>
    <w:rsid w:val="00C200AA"/>
    <w:rsid w:val="00C200D7"/>
    <w:rsid w:val="00C20423"/>
    <w:rsid w:val="00C20533"/>
    <w:rsid w:val="00C2087C"/>
    <w:rsid w:val="00C214D7"/>
    <w:rsid w:val="00C21E62"/>
    <w:rsid w:val="00C21E93"/>
    <w:rsid w:val="00C21F14"/>
    <w:rsid w:val="00C22048"/>
    <w:rsid w:val="00C2215B"/>
    <w:rsid w:val="00C2274E"/>
    <w:rsid w:val="00C2299E"/>
    <w:rsid w:val="00C22E64"/>
    <w:rsid w:val="00C237ED"/>
    <w:rsid w:val="00C238C4"/>
    <w:rsid w:val="00C239A0"/>
    <w:rsid w:val="00C23D9E"/>
    <w:rsid w:val="00C23F96"/>
    <w:rsid w:val="00C24632"/>
    <w:rsid w:val="00C24A50"/>
    <w:rsid w:val="00C24AB5"/>
    <w:rsid w:val="00C24B14"/>
    <w:rsid w:val="00C24B8F"/>
    <w:rsid w:val="00C24FE6"/>
    <w:rsid w:val="00C25418"/>
    <w:rsid w:val="00C25864"/>
    <w:rsid w:val="00C25D9C"/>
    <w:rsid w:val="00C25EA2"/>
    <w:rsid w:val="00C26FFB"/>
    <w:rsid w:val="00C270F5"/>
    <w:rsid w:val="00C271DF"/>
    <w:rsid w:val="00C27404"/>
    <w:rsid w:val="00C2778B"/>
    <w:rsid w:val="00C27DDA"/>
    <w:rsid w:val="00C30063"/>
    <w:rsid w:val="00C300F0"/>
    <w:rsid w:val="00C3024E"/>
    <w:rsid w:val="00C30310"/>
    <w:rsid w:val="00C30496"/>
    <w:rsid w:val="00C304B1"/>
    <w:rsid w:val="00C30719"/>
    <w:rsid w:val="00C308AE"/>
    <w:rsid w:val="00C30DD4"/>
    <w:rsid w:val="00C30EB0"/>
    <w:rsid w:val="00C30FC0"/>
    <w:rsid w:val="00C315FD"/>
    <w:rsid w:val="00C31649"/>
    <w:rsid w:val="00C318A2"/>
    <w:rsid w:val="00C319F9"/>
    <w:rsid w:val="00C31AA1"/>
    <w:rsid w:val="00C31ACC"/>
    <w:rsid w:val="00C323E3"/>
    <w:rsid w:val="00C326AA"/>
    <w:rsid w:val="00C32E32"/>
    <w:rsid w:val="00C33A7E"/>
    <w:rsid w:val="00C33E8C"/>
    <w:rsid w:val="00C3434C"/>
    <w:rsid w:val="00C34803"/>
    <w:rsid w:val="00C349D8"/>
    <w:rsid w:val="00C34C89"/>
    <w:rsid w:val="00C353F0"/>
    <w:rsid w:val="00C35602"/>
    <w:rsid w:val="00C35DFA"/>
    <w:rsid w:val="00C35E30"/>
    <w:rsid w:val="00C363B8"/>
    <w:rsid w:val="00C364FA"/>
    <w:rsid w:val="00C36A8A"/>
    <w:rsid w:val="00C36D81"/>
    <w:rsid w:val="00C37176"/>
    <w:rsid w:val="00C37249"/>
    <w:rsid w:val="00C3734F"/>
    <w:rsid w:val="00C373B2"/>
    <w:rsid w:val="00C37C2F"/>
    <w:rsid w:val="00C40334"/>
    <w:rsid w:val="00C40385"/>
    <w:rsid w:val="00C404F3"/>
    <w:rsid w:val="00C40915"/>
    <w:rsid w:val="00C41768"/>
    <w:rsid w:val="00C41810"/>
    <w:rsid w:val="00C426AB"/>
    <w:rsid w:val="00C42A98"/>
    <w:rsid w:val="00C42C9E"/>
    <w:rsid w:val="00C43994"/>
    <w:rsid w:val="00C43E34"/>
    <w:rsid w:val="00C44725"/>
    <w:rsid w:val="00C44753"/>
    <w:rsid w:val="00C447D9"/>
    <w:rsid w:val="00C44DA7"/>
    <w:rsid w:val="00C44E36"/>
    <w:rsid w:val="00C44F08"/>
    <w:rsid w:val="00C456CD"/>
    <w:rsid w:val="00C45A19"/>
    <w:rsid w:val="00C46167"/>
    <w:rsid w:val="00C4640B"/>
    <w:rsid w:val="00C46458"/>
    <w:rsid w:val="00C4646F"/>
    <w:rsid w:val="00C4660C"/>
    <w:rsid w:val="00C46772"/>
    <w:rsid w:val="00C4685D"/>
    <w:rsid w:val="00C4696B"/>
    <w:rsid w:val="00C46F26"/>
    <w:rsid w:val="00C4703B"/>
    <w:rsid w:val="00C47294"/>
    <w:rsid w:val="00C4733B"/>
    <w:rsid w:val="00C47556"/>
    <w:rsid w:val="00C475AA"/>
    <w:rsid w:val="00C479C8"/>
    <w:rsid w:val="00C47DE3"/>
    <w:rsid w:val="00C50229"/>
    <w:rsid w:val="00C507AA"/>
    <w:rsid w:val="00C50A89"/>
    <w:rsid w:val="00C50F57"/>
    <w:rsid w:val="00C50FBD"/>
    <w:rsid w:val="00C510AA"/>
    <w:rsid w:val="00C5144D"/>
    <w:rsid w:val="00C514A8"/>
    <w:rsid w:val="00C516FC"/>
    <w:rsid w:val="00C517DA"/>
    <w:rsid w:val="00C5196D"/>
    <w:rsid w:val="00C51F98"/>
    <w:rsid w:val="00C51FF4"/>
    <w:rsid w:val="00C52186"/>
    <w:rsid w:val="00C52334"/>
    <w:rsid w:val="00C527C7"/>
    <w:rsid w:val="00C52D5B"/>
    <w:rsid w:val="00C53202"/>
    <w:rsid w:val="00C53438"/>
    <w:rsid w:val="00C5361B"/>
    <w:rsid w:val="00C5371B"/>
    <w:rsid w:val="00C53C98"/>
    <w:rsid w:val="00C53F71"/>
    <w:rsid w:val="00C541D0"/>
    <w:rsid w:val="00C54A07"/>
    <w:rsid w:val="00C54A5F"/>
    <w:rsid w:val="00C54A7B"/>
    <w:rsid w:val="00C550C4"/>
    <w:rsid w:val="00C5534F"/>
    <w:rsid w:val="00C5545C"/>
    <w:rsid w:val="00C5607A"/>
    <w:rsid w:val="00C5624C"/>
    <w:rsid w:val="00C562F6"/>
    <w:rsid w:val="00C5648A"/>
    <w:rsid w:val="00C567D0"/>
    <w:rsid w:val="00C56847"/>
    <w:rsid w:val="00C56AFA"/>
    <w:rsid w:val="00C56F35"/>
    <w:rsid w:val="00C56FCF"/>
    <w:rsid w:val="00C57002"/>
    <w:rsid w:val="00C57198"/>
    <w:rsid w:val="00C572F6"/>
    <w:rsid w:val="00C5754D"/>
    <w:rsid w:val="00C57B6C"/>
    <w:rsid w:val="00C57FE3"/>
    <w:rsid w:val="00C602EB"/>
    <w:rsid w:val="00C60430"/>
    <w:rsid w:val="00C60598"/>
    <w:rsid w:val="00C60B92"/>
    <w:rsid w:val="00C60BB7"/>
    <w:rsid w:val="00C60D26"/>
    <w:rsid w:val="00C61124"/>
    <w:rsid w:val="00C61A59"/>
    <w:rsid w:val="00C61E4E"/>
    <w:rsid w:val="00C6216D"/>
    <w:rsid w:val="00C623AB"/>
    <w:rsid w:val="00C62409"/>
    <w:rsid w:val="00C62816"/>
    <w:rsid w:val="00C628A6"/>
    <w:rsid w:val="00C62CF5"/>
    <w:rsid w:val="00C62D06"/>
    <w:rsid w:val="00C63475"/>
    <w:rsid w:val="00C6348A"/>
    <w:rsid w:val="00C634D8"/>
    <w:rsid w:val="00C6368B"/>
    <w:rsid w:val="00C63736"/>
    <w:rsid w:val="00C637DC"/>
    <w:rsid w:val="00C63A6E"/>
    <w:rsid w:val="00C63E5B"/>
    <w:rsid w:val="00C6400A"/>
    <w:rsid w:val="00C64344"/>
    <w:rsid w:val="00C645F4"/>
    <w:rsid w:val="00C64660"/>
    <w:rsid w:val="00C64C43"/>
    <w:rsid w:val="00C65108"/>
    <w:rsid w:val="00C6549E"/>
    <w:rsid w:val="00C654BD"/>
    <w:rsid w:val="00C65576"/>
    <w:rsid w:val="00C657D6"/>
    <w:rsid w:val="00C65A43"/>
    <w:rsid w:val="00C65AE3"/>
    <w:rsid w:val="00C65D84"/>
    <w:rsid w:val="00C66081"/>
    <w:rsid w:val="00C660E8"/>
    <w:rsid w:val="00C66165"/>
    <w:rsid w:val="00C6618F"/>
    <w:rsid w:val="00C66AE2"/>
    <w:rsid w:val="00C66CCB"/>
    <w:rsid w:val="00C67053"/>
    <w:rsid w:val="00C67096"/>
    <w:rsid w:val="00C676CF"/>
    <w:rsid w:val="00C67735"/>
    <w:rsid w:val="00C67767"/>
    <w:rsid w:val="00C67C8B"/>
    <w:rsid w:val="00C7060A"/>
    <w:rsid w:val="00C70B4C"/>
    <w:rsid w:val="00C70C65"/>
    <w:rsid w:val="00C70CE9"/>
    <w:rsid w:val="00C7118B"/>
    <w:rsid w:val="00C711E3"/>
    <w:rsid w:val="00C714C4"/>
    <w:rsid w:val="00C7151A"/>
    <w:rsid w:val="00C716A6"/>
    <w:rsid w:val="00C717E3"/>
    <w:rsid w:val="00C71D0A"/>
    <w:rsid w:val="00C71DBE"/>
    <w:rsid w:val="00C71F60"/>
    <w:rsid w:val="00C72240"/>
    <w:rsid w:val="00C72241"/>
    <w:rsid w:val="00C72ED3"/>
    <w:rsid w:val="00C7344E"/>
    <w:rsid w:val="00C7371E"/>
    <w:rsid w:val="00C73816"/>
    <w:rsid w:val="00C74345"/>
    <w:rsid w:val="00C74596"/>
    <w:rsid w:val="00C746DD"/>
    <w:rsid w:val="00C7476D"/>
    <w:rsid w:val="00C74C8F"/>
    <w:rsid w:val="00C74CF0"/>
    <w:rsid w:val="00C750C8"/>
    <w:rsid w:val="00C7560F"/>
    <w:rsid w:val="00C75D7E"/>
    <w:rsid w:val="00C761D2"/>
    <w:rsid w:val="00C7716E"/>
    <w:rsid w:val="00C7753E"/>
    <w:rsid w:val="00C776E4"/>
    <w:rsid w:val="00C77B8F"/>
    <w:rsid w:val="00C77E01"/>
    <w:rsid w:val="00C8012B"/>
    <w:rsid w:val="00C80154"/>
    <w:rsid w:val="00C804B5"/>
    <w:rsid w:val="00C808C4"/>
    <w:rsid w:val="00C80A0E"/>
    <w:rsid w:val="00C81590"/>
    <w:rsid w:val="00C81704"/>
    <w:rsid w:val="00C81A7E"/>
    <w:rsid w:val="00C8213F"/>
    <w:rsid w:val="00C82B0E"/>
    <w:rsid w:val="00C82B3B"/>
    <w:rsid w:val="00C82DED"/>
    <w:rsid w:val="00C8303F"/>
    <w:rsid w:val="00C83077"/>
    <w:rsid w:val="00C8310D"/>
    <w:rsid w:val="00C833E1"/>
    <w:rsid w:val="00C8344B"/>
    <w:rsid w:val="00C838B4"/>
    <w:rsid w:val="00C83B99"/>
    <w:rsid w:val="00C83D8D"/>
    <w:rsid w:val="00C83DF5"/>
    <w:rsid w:val="00C83E21"/>
    <w:rsid w:val="00C83E30"/>
    <w:rsid w:val="00C84665"/>
    <w:rsid w:val="00C84B29"/>
    <w:rsid w:val="00C85116"/>
    <w:rsid w:val="00C85153"/>
    <w:rsid w:val="00C85154"/>
    <w:rsid w:val="00C85178"/>
    <w:rsid w:val="00C852E2"/>
    <w:rsid w:val="00C85513"/>
    <w:rsid w:val="00C8557D"/>
    <w:rsid w:val="00C855E8"/>
    <w:rsid w:val="00C858BE"/>
    <w:rsid w:val="00C85A70"/>
    <w:rsid w:val="00C85A8E"/>
    <w:rsid w:val="00C85B8F"/>
    <w:rsid w:val="00C860D2"/>
    <w:rsid w:val="00C860E0"/>
    <w:rsid w:val="00C86383"/>
    <w:rsid w:val="00C86A2F"/>
    <w:rsid w:val="00C86E1A"/>
    <w:rsid w:val="00C8727F"/>
    <w:rsid w:val="00C8797A"/>
    <w:rsid w:val="00C900B8"/>
    <w:rsid w:val="00C90197"/>
    <w:rsid w:val="00C9073D"/>
    <w:rsid w:val="00C908A0"/>
    <w:rsid w:val="00C90B2E"/>
    <w:rsid w:val="00C90C71"/>
    <w:rsid w:val="00C90EFF"/>
    <w:rsid w:val="00C91B50"/>
    <w:rsid w:val="00C91FD1"/>
    <w:rsid w:val="00C9213E"/>
    <w:rsid w:val="00C924F8"/>
    <w:rsid w:val="00C92568"/>
    <w:rsid w:val="00C9294C"/>
    <w:rsid w:val="00C92A18"/>
    <w:rsid w:val="00C92C99"/>
    <w:rsid w:val="00C931CF"/>
    <w:rsid w:val="00C9321A"/>
    <w:rsid w:val="00C935B3"/>
    <w:rsid w:val="00C938A4"/>
    <w:rsid w:val="00C938CF"/>
    <w:rsid w:val="00C93D11"/>
    <w:rsid w:val="00C94053"/>
    <w:rsid w:val="00C9405C"/>
    <w:rsid w:val="00C94292"/>
    <w:rsid w:val="00C9495E"/>
    <w:rsid w:val="00C94B55"/>
    <w:rsid w:val="00C94E69"/>
    <w:rsid w:val="00C95169"/>
    <w:rsid w:val="00C9536E"/>
    <w:rsid w:val="00C9563A"/>
    <w:rsid w:val="00C95E5A"/>
    <w:rsid w:val="00C95F91"/>
    <w:rsid w:val="00C96096"/>
    <w:rsid w:val="00C9612F"/>
    <w:rsid w:val="00C9624D"/>
    <w:rsid w:val="00C964E6"/>
    <w:rsid w:val="00C965A1"/>
    <w:rsid w:val="00C967BF"/>
    <w:rsid w:val="00C969DA"/>
    <w:rsid w:val="00C96C2D"/>
    <w:rsid w:val="00C971C5"/>
    <w:rsid w:val="00C97323"/>
    <w:rsid w:val="00C97612"/>
    <w:rsid w:val="00C97979"/>
    <w:rsid w:val="00C97D23"/>
    <w:rsid w:val="00C97DB1"/>
    <w:rsid w:val="00C97E66"/>
    <w:rsid w:val="00CA0259"/>
    <w:rsid w:val="00CA039E"/>
    <w:rsid w:val="00CA042F"/>
    <w:rsid w:val="00CA0A5F"/>
    <w:rsid w:val="00CA0FEE"/>
    <w:rsid w:val="00CA1031"/>
    <w:rsid w:val="00CA12AD"/>
    <w:rsid w:val="00CA1833"/>
    <w:rsid w:val="00CA1A05"/>
    <w:rsid w:val="00CA1BD3"/>
    <w:rsid w:val="00CA1FE4"/>
    <w:rsid w:val="00CA2351"/>
    <w:rsid w:val="00CA2360"/>
    <w:rsid w:val="00CA23B3"/>
    <w:rsid w:val="00CA24D8"/>
    <w:rsid w:val="00CA2887"/>
    <w:rsid w:val="00CA29E2"/>
    <w:rsid w:val="00CA29F8"/>
    <w:rsid w:val="00CA2A43"/>
    <w:rsid w:val="00CA2C77"/>
    <w:rsid w:val="00CA2CB9"/>
    <w:rsid w:val="00CA2CDF"/>
    <w:rsid w:val="00CA2E3A"/>
    <w:rsid w:val="00CA336D"/>
    <w:rsid w:val="00CA3FA8"/>
    <w:rsid w:val="00CA4270"/>
    <w:rsid w:val="00CA444F"/>
    <w:rsid w:val="00CA4A02"/>
    <w:rsid w:val="00CA4C65"/>
    <w:rsid w:val="00CA512C"/>
    <w:rsid w:val="00CA5245"/>
    <w:rsid w:val="00CA535B"/>
    <w:rsid w:val="00CA53AA"/>
    <w:rsid w:val="00CA5615"/>
    <w:rsid w:val="00CA59B2"/>
    <w:rsid w:val="00CA66B0"/>
    <w:rsid w:val="00CA6CA1"/>
    <w:rsid w:val="00CA710F"/>
    <w:rsid w:val="00CA71F4"/>
    <w:rsid w:val="00CA786C"/>
    <w:rsid w:val="00CA7872"/>
    <w:rsid w:val="00CA7985"/>
    <w:rsid w:val="00CA7B09"/>
    <w:rsid w:val="00CA7BF4"/>
    <w:rsid w:val="00CA7D4C"/>
    <w:rsid w:val="00CB021E"/>
    <w:rsid w:val="00CB02E6"/>
    <w:rsid w:val="00CB06CF"/>
    <w:rsid w:val="00CB094D"/>
    <w:rsid w:val="00CB0AF4"/>
    <w:rsid w:val="00CB0BAC"/>
    <w:rsid w:val="00CB0D87"/>
    <w:rsid w:val="00CB0F8A"/>
    <w:rsid w:val="00CB1059"/>
    <w:rsid w:val="00CB12A5"/>
    <w:rsid w:val="00CB1613"/>
    <w:rsid w:val="00CB1653"/>
    <w:rsid w:val="00CB16F1"/>
    <w:rsid w:val="00CB1A9E"/>
    <w:rsid w:val="00CB1B30"/>
    <w:rsid w:val="00CB1CAC"/>
    <w:rsid w:val="00CB232F"/>
    <w:rsid w:val="00CB24CF"/>
    <w:rsid w:val="00CB2610"/>
    <w:rsid w:val="00CB262A"/>
    <w:rsid w:val="00CB270E"/>
    <w:rsid w:val="00CB2876"/>
    <w:rsid w:val="00CB29A9"/>
    <w:rsid w:val="00CB2C9B"/>
    <w:rsid w:val="00CB2E5B"/>
    <w:rsid w:val="00CB2F2A"/>
    <w:rsid w:val="00CB30A1"/>
    <w:rsid w:val="00CB3563"/>
    <w:rsid w:val="00CB3712"/>
    <w:rsid w:val="00CB37B4"/>
    <w:rsid w:val="00CB3966"/>
    <w:rsid w:val="00CB39DB"/>
    <w:rsid w:val="00CB3C3C"/>
    <w:rsid w:val="00CB3CD9"/>
    <w:rsid w:val="00CB3D30"/>
    <w:rsid w:val="00CB3E05"/>
    <w:rsid w:val="00CB3F42"/>
    <w:rsid w:val="00CB3FEC"/>
    <w:rsid w:val="00CB445A"/>
    <w:rsid w:val="00CB454F"/>
    <w:rsid w:val="00CB45B6"/>
    <w:rsid w:val="00CB4729"/>
    <w:rsid w:val="00CB4A86"/>
    <w:rsid w:val="00CB4BCB"/>
    <w:rsid w:val="00CB4C03"/>
    <w:rsid w:val="00CB5094"/>
    <w:rsid w:val="00CB5096"/>
    <w:rsid w:val="00CB50A3"/>
    <w:rsid w:val="00CB533E"/>
    <w:rsid w:val="00CB552C"/>
    <w:rsid w:val="00CB5908"/>
    <w:rsid w:val="00CB5940"/>
    <w:rsid w:val="00CB5965"/>
    <w:rsid w:val="00CB59F6"/>
    <w:rsid w:val="00CB5A38"/>
    <w:rsid w:val="00CB5B1A"/>
    <w:rsid w:val="00CB5DCC"/>
    <w:rsid w:val="00CB5F98"/>
    <w:rsid w:val="00CB616A"/>
    <w:rsid w:val="00CB6444"/>
    <w:rsid w:val="00CB6698"/>
    <w:rsid w:val="00CB6B22"/>
    <w:rsid w:val="00CB6CD1"/>
    <w:rsid w:val="00CB6DAF"/>
    <w:rsid w:val="00CB71D1"/>
    <w:rsid w:val="00CB737E"/>
    <w:rsid w:val="00CB7545"/>
    <w:rsid w:val="00CB772F"/>
    <w:rsid w:val="00CB7898"/>
    <w:rsid w:val="00CB7C7E"/>
    <w:rsid w:val="00CB7F5F"/>
    <w:rsid w:val="00CC015E"/>
    <w:rsid w:val="00CC0680"/>
    <w:rsid w:val="00CC0A1C"/>
    <w:rsid w:val="00CC0B85"/>
    <w:rsid w:val="00CC0C39"/>
    <w:rsid w:val="00CC0E54"/>
    <w:rsid w:val="00CC1046"/>
    <w:rsid w:val="00CC1279"/>
    <w:rsid w:val="00CC15F4"/>
    <w:rsid w:val="00CC17CD"/>
    <w:rsid w:val="00CC181F"/>
    <w:rsid w:val="00CC1B39"/>
    <w:rsid w:val="00CC1BFA"/>
    <w:rsid w:val="00CC1C78"/>
    <w:rsid w:val="00CC1CE1"/>
    <w:rsid w:val="00CC1EC1"/>
    <w:rsid w:val="00CC1FF5"/>
    <w:rsid w:val="00CC2363"/>
    <w:rsid w:val="00CC23E9"/>
    <w:rsid w:val="00CC25A7"/>
    <w:rsid w:val="00CC2CE9"/>
    <w:rsid w:val="00CC2D15"/>
    <w:rsid w:val="00CC2E9F"/>
    <w:rsid w:val="00CC2ED0"/>
    <w:rsid w:val="00CC30A6"/>
    <w:rsid w:val="00CC3161"/>
    <w:rsid w:val="00CC35EA"/>
    <w:rsid w:val="00CC3848"/>
    <w:rsid w:val="00CC3874"/>
    <w:rsid w:val="00CC3929"/>
    <w:rsid w:val="00CC3ABF"/>
    <w:rsid w:val="00CC3E60"/>
    <w:rsid w:val="00CC3F13"/>
    <w:rsid w:val="00CC4578"/>
    <w:rsid w:val="00CC4932"/>
    <w:rsid w:val="00CC49CC"/>
    <w:rsid w:val="00CC4F99"/>
    <w:rsid w:val="00CC5505"/>
    <w:rsid w:val="00CC5D2C"/>
    <w:rsid w:val="00CC606E"/>
    <w:rsid w:val="00CC65F5"/>
    <w:rsid w:val="00CC679D"/>
    <w:rsid w:val="00CC6D5E"/>
    <w:rsid w:val="00CC6EFD"/>
    <w:rsid w:val="00CC72AC"/>
    <w:rsid w:val="00CC7612"/>
    <w:rsid w:val="00CC79FE"/>
    <w:rsid w:val="00CD009A"/>
    <w:rsid w:val="00CD00D2"/>
    <w:rsid w:val="00CD0200"/>
    <w:rsid w:val="00CD04A2"/>
    <w:rsid w:val="00CD0925"/>
    <w:rsid w:val="00CD0B80"/>
    <w:rsid w:val="00CD1207"/>
    <w:rsid w:val="00CD1225"/>
    <w:rsid w:val="00CD1BF0"/>
    <w:rsid w:val="00CD202B"/>
    <w:rsid w:val="00CD22AC"/>
    <w:rsid w:val="00CD22C4"/>
    <w:rsid w:val="00CD25BE"/>
    <w:rsid w:val="00CD2785"/>
    <w:rsid w:val="00CD281F"/>
    <w:rsid w:val="00CD285F"/>
    <w:rsid w:val="00CD2C4F"/>
    <w:rsid w:val="00CD2CB6"/>
    <w:rsid w:val="00CD3600"/>
    <w:rsid w:val="00CD3D41"/>
    <w:rsid w:val="00CD3D6A"/>
    <w:rsid w:val="00CD3F77"/>
    <w:rsid w:val="00CD4D5B"/>
    <w:rsid w:val="00CD4EA7"/>
    <w:rsid w:val="00CD4ECC"/>
    <w:rsid w:val="00CD5037"/>
    <w:rsid w:val="00CD5070"/>
    <w:rsid w:val="00CD5564"/>
    <w:rsid w:val="00CD55F3"/>
    <w:rsid w:val="00CD58E1"/>
    <w:rsid w:val="00CD5B63"/>
    <w:rsid w:val="00CD624B"/>
    <w:rsid w:val="00CD66A1"/>
    <w:rsid w:val="00CD67B9"/>
    <w:rsid w:val="00CD6949"/>
    <w:rsid w:val="00CD6ADC"/>
    <w:rsid w:val="00CD6C1D"/>
    <w:rsid w:val="00CD6E17"/>
    <w:rsid w:val="00CD6EB9"/>
    <w:rsid w:val="00CD7193"/>
    <w:rsid w:val="00CD7AE2"/>
    <w:rsid w:val="00CD7E75"/>
    <w:rsid w:val="00CE0985"/>
    <w:rsid w:val="00CE09D1"/>
    <w:rsid w:val="00CE0A8C"/>
    <w:rsid w:val="00CE116B"/>
    <w:rsid w:val="00CE12BF"/>
    <w:rsid w:val="00CE1884"/>
    <w:rsid w:val="00CE1D37"/>
    <w:rsid w:val="00CE2202"/>
    <w:rsid w:val="00CE25F7"/>
    <w:rsid w:val="00CE2A8A"/>
    <w:rsid w:val="00CE2BE7"/>
    <w:rsid w:val="00CE2DDB"/>
    <w:rsid w:val="00CE3200"/>
    <w:rsid w:val="00CE3631"/>
    <w:rsid w:val="00CE3772"/>
    <w:rsid w:val="00CE382F"/>
    <w:rsid w:val="00CE38C8"/>
    <w:rsid w:val="00CE3956"/>
    <w:rsid w:val="00CE3C28"/>
    <w:rsid w:val="00CE409C"/>
    <w:rsid w:val="00CE40BF"/>
    <w:rsid w:val="00CE4A0D"/>
    <w:rsid w:val="00CE4CEE"/>
    <w:rsid w:val="00CE4F55"/>
    <w:rsid w:val="00CE5104"/>
    <w:rsid w:val="00CE524F"/>
    <w:rsid w:val="00CE5414"/>
    <w:rsid w:val="00CE56E8"/>
    <w:rsid w:val="00CE58CC"/>
    <w:rsid w:val="00CE5B4B"/>
    <w:rsid w:val="00CE5D51"/>
    <w:rsid w:val="00CE5D9C"/>
    <w:rsid w:val="00CE5F5E"/>
    <w:rsid w:val="00CE5F68"/>
    <w:rsid w:val="00CE6274"/>
    <w:rsid w:val="00CE651C"/>
    <w:rsid w:val="00CE6918"/>
    <w:rsid w:val="00CE6D1F"/>
    <w:rsid w:val="00CE6E27"/>
    <w:rsid w:val="00CE6FBB"/>
    <w:rsid w:val="00CE710C"/>
    <w:rsid w:val="00CE72FC"/>
    <w:rsid w:val="00CE76AD"/>
    <w:rsid w:val="00CE77B6"/>
    <w:rsid w:val="00CF0274"/>
    <w:rsid w:val="00CF034E"/>
    <w:rsid w:val="00CF0959"/>
    <w:rsid w:val="00CF0D19"/>
    <w:rsid w:val="00CF0F66"/>
    <w:rsid w:val="00CF12BB"/>
    <w:rsid w:val="00CF176F"/>
    <w:rsid w:val="00CF178C"/>
    <w:rsid w:val="00CF1815"/>
    <w:rsid w:val="00CF2225"/>
    <w:rsid w:val="00CF277D"/>
    <w:rsid w:val="00CF2B8D"/>
    <w:rsid w:val="00CF30BF"/>
    <w:rsid w:val="00CF3A1B"/>
    <w:rsid w:val="00CF3AA6"/>
    <w:rsid w:val="00CF3B04"/>
    <w:rsid w:val="00CF3B1D"/>
    <w:rsid w:val="00CF3C2E"/>
    <w:rsid w:val="00CF3D5C"/>
    <w:rsid w:val="00CF3FAE"/>
    <w:rsid w:val="00CF40AD"/>
    <w:rsid w:val="00CF4306"/>
    <w:rsid w:val="00CF440F"/>
    <w:rsid w:val="00CF445F"/>
    <w:rsid w:val="00CF456B"/>
    <w:rsid w:val="00CF459A"/>
    <w:rsid w:val="00CF4858"/>
    <w:rsid w:val="00CF4AE7"/>
    <w:rsid w:val="00CF4F31"/>
    <w:rsid w:val="00CF5A22"/>
    <w:rsid w:val="00CF5EBF"/>
    <w:rsid w:val="00CF6179"/>
    <w:rsid w:val="00CF6542"/>
    <w:rsid w:val="00CF6B84"/>
    <w:rsid w:val="00CF6C12"/>
    <w:rsid w:val="00CF6D5E"/>
    <w:rsid w:val="00CF6F1C"/>
    <w:rsid w:val="00CF6FCF"/>
    <w:rsid w:val="00CF71A2"/>
    <w:rsid w:val="00CF71C9"/>
    <w:rsid w:val="00CF72ED"/>
    <w:rsid w:val="00CF7B43"/>
    <w:rsid w:val="00CF7FF5"/>
    <w:rsid w:val="00D0044E"/>
    <w:rsid w:val="00D008EC"/>
    <w:rsid w:val="00D00E36"/>
    <w:rsid w:val="00D013C1"/>
    <w:rsid w:val="00D0156A"/>
    <w:rsid w:val="00D017DA"/>
    <w:rsid w:val="00D0183B"/>
    <w:rsid w:val="00D01AD2"/>
    <w:rsid w:val="00D01CB4"/>
    <w:rsid w:val="00D01EBB"/>
    <w:rsid w:val="00D02001"/>
    <w:rsid w:val="00D02149"/>
    <w:rsid w:val="00D02517"/>
    <w:rsid w:val="00D0262E"/>
    <w:rsid w:val="00D02841"/>
    <w:rsid w:val="00D0294D"/>
    <w:rsid w:val="00D029B5"/>
    <w:rsid w:val="00D02DCC"/>
    <w:rsid w:val="00D0311F"/>
    <w:rsid w:val="00D03679"/>
    <w:rsid w:val="00D03862"/>
    <w:rsid w:val="00D03A4F"/>
    <w:rsid w:val="00D03AA2"/>
    <w:rsid w:val="00D04240"/>
    <w:rsid w:val="00D043A4"/>
    <w:rsid w:val="00D04406"/>
    <w:rsid w:val="00D0463B"/>
    <w:rsid w:val="00D04810"/>
    <w:rsid w:val="00D04ADD"/>
    <w:rsid w:val="00D04B8A"/>
    <w:rsid w:val="00D04E11"/>
    <w:rsid w:val="00D04F7A"/>
    <w:rsid w:val="00D05266"/>
    <w:rsid w:val="00D05267"/>
    <w:rsid w:val="00D059B0"/>
    <w:rsid w:val="00D05E14"/>
    <w:rsid w:val="00D05E3D"/>
    <w:rsid w:val="00D05F03"/>
    <w:rsid w:val="00D06084"/>
    <w:rsid w:val="00D06139"/>
    <w:rsid w:val="00D0620E"/>
    <w:rsid w:val="00D06605"/>
    <w:rsid w:val="00D073DB"/>
    <w:rsid w:val="00D075A0"/>
    <w:rsid w:val="00D07677"/>
    <w:rsid w:val="00D07BFF"/>
    <w:rsid w:val="00D07C25"/>
    <w:rsid w:val="00D10638"/>
    <w:rsid w:val="00D106E0"/>
    <w:rsid w:val="00D1088C"/>
    <w:rsid w:val="00D1094C"/>
    <w:rsid w:val="00D10F43"/>
    <w:rsid w:val="00D110BD"/>
    <w:rsid w:val="00D112DF"/>
    <w:rsid w:val="00D114CD"/>
    <w:rsid w:val="00D119B0"/>
    <w:rsid w:val="00D11FAD"/>
    <w:rsid w:val="00D125AD"/>
    <w:rsid w:val="00D130BB"/>
    <w:rsid w:val="00D13675"/>
    <w:rsid w:val="00D13D12"/>
    <w:rsid w:val="00D13DC8"/>
    <w:rsid w:val="00D141E1"/>
    <w:rsid w:val="00D14295"/>
    <w:rsid w:val="00D1470E"/>
    <w:rsid w:val="00D149CC"/>
    <w:rsid w:val="00D14A13"/>
    <w:rsid w:val="00D14CF2"/>
    <w:rsid w:val="00D14DF4"/>
    <w:rsid w:val="00D152A8"/>
    <w:rsid w:val="00D15314"/>
    <w:rsid w:val="00D154D4"/>
    <w:rsid w:val="00D156AE"/>
    <w:rsid w:val="00D157E6"/>
    <w:rsid w:val="00D15829"/>
    <w:rsid w:val="00D15B48"/>
    <w:rsid w:val="00D15BE4"/>
    <w:rsid w:val="00D15C0A"/>
    <w:rsid w:val="00D15CD3"/>
    <w:rsid w:val="00D15E3E"/>
    <w:rsid w:val="00D16068"/>
    <w:rsid w:val="00D16BCA"/>
    <w:rsid w:val="00D16C86"/>
    <w:rsid w:val="00D16DCE"/>
    <w:rsid w:val="00D17366"/>
    <w:rsid w:val="00D17635"/>
    <w:rsid w:val="00D17722"/>
    <w:rsid w:val="00D178A8"/>
    <w:rsid w:val="00D17C7E"/>
    <w:rsid w:val="00D17D1D"/>
    <w:rsid w:val="00D17D6C"/>
    <w:rsid w:val="00D17F57"/>
    <w:rsid w:val="00D2022A"/>
    <w:rsid w:val="00D20584"/>
    <w:rsid w:val="00D20756"/>
    <w:rsid w:val="00D20932"/>
    <w:rsid w:val="00D20CCB"/>
    <w:rsid w:val="00D2124B"/>
    <w:rsid w:val="00D21383"/>
    <w:rsid w:val="00D2155B"/>
    <w:rsid w:val="00D215AF"/>
    <w:rsid w:val="00D21627"/>
    <w:rsid w:val="00D21711"/>
    <w:rsid w:val="00D21888"/>
    <w:rsid w:val="00D21A3B"/>
    <w:rsid w:val="00D223EA"/>
    <w:rsid w:val="00D22A58"/>
    <w:rsid w:val="00D22AD4"/>
    <w:rsid w:val="00D22B22"/>
    <w:rsid w:val="00D22C04"/>
    <w:rsid w:val="00D2300A"/>
    <w:rsid w:val="00D230A4"/>
    <w:rsid w:val="00D23C3F"/>
    <w:rsid w:val="00D23D11"/>
    <w:rsid w:val="00D23E44"/>
    <w:rsid w:val="00D2415A"/>
    <w:rsid w:val="00D244B6"/>
    <w:rsid w:val="00D2462B"/>
    <w:rsid w:val="00D24B18"/>
    <w:rsid w:val="00D24B33"/>
    <w:rsid w:val="00D24BB7"/>
    <w:rsid w:val="00D25566"/>
    <w:rsid w:val="00D25709"/>
    <w:rsid w:val="00D25B8C"/>
    <w:rsid w:val="00D25CF4"/>
    <w:rsid w:val="00D25DAD"/>
    <w:rsid w:val="00D25EA4"/>
    <w:rsid w:val="00D25EF4"/>
    <w:rsid w:val="00D25F79"/>
    <w:rsid w:val="00D265DE"/>
    <w:rsid w:val="00D26BDD"/>
    <w:rsid w:val="00D26D87"/>
    <w:rsid w:val="00D26DF5"/>
    <w:rsid w:val="00D27244"/>
    <w:rsid w:val="00D2730E"/>
    <w:rsid w:val="00D274EB"/>
    <w:rsid w:val="00D2754D"/>
    <w:rsid w:val="00D2760B"/>
    <w:rsid w:val="00D2765B"/>
    <w:rsid w:val="00D27B27"/>
    <w:rsid w:val="00D30015"/>
    <w:rsid w:val="00D30058"/>
    <w:rsid w:val="00D302C6"/>
    <w:rsid w:val="00D304F5"/>
    <w:rsid w:val="00D3067A"/>
    <w:rsid w:val="00D306A0"/>
    <w:rsid w:val="00D30C5F"/>
    <w:rsid w:val="00D30D5B"/>
    <w:rsid w:val="00D31045"/>
    <w:rsid w:val="00D3174D"/>
    <w:rsid w:val="00D317F5"/>
    <w:rsid w:val="00D31855"/>
    <w:rsid w:val="00D31C11"/>
    <w:rsid w:val="00D31D82"/>
    <w:rsid w:val="00D31F72"/>
    <w:rsid w:val="00D31F76"/>
    <w:rsid w:val="00D321C2"/>
    <w:rsid w:val="00D32238"/>
    <w:rsid w:val="00D32331"/>
    <w:rsid w:val="00D3235F"/>
    <w:rsid w:val="00D3239B"/>
    <w:rsid w:val="00D32504"/>
    <w:rsid w:val="00D32ABF"/>
    <w:rsid w:val="00D32E6A"/>
    <w:rsid w:val="00D3394D"/>
    <w:rsid w:val="00D33BE9"/>
    <w:rsid w:val="00D33C49"/>
    <w:rsid w:val="00D33F93"/>
    <w:rsid w:val="00D340F7"/>
    <w:rsid w:val="00D34189"/>
    <w:rsid w:val="00D341EC"/>
    <w:rsid w:val="00D343C3"/>
    <w:rsid w:val="00D34646"/>
    <w:rsid w:val="00D34BEB"/>
    <w:rsid w:val="00D35158"/>
    <w:rsid w:val="00D357FF"/>
    <w:rsid w:val="00D35E37"/>
    <w:rsid w:val="00D35E6A"/>
    <w:rsid w:val="00D35E77"/>
    <w:rsid w:val="00D3604F"/>
    <w:rsid w:val="00D36542"/>
    <w:rsid w:val="00D36837"/>
    <w:rsid w:val="00D36886"/>
    <w:rsid w:val="00D36BFC"/>
    <w:rsid w:val="00D36CC7"/>
    <w:rsid w:val="00D36EC1"/>
    <w:rsid w:val="00D36F85"/>
    <w:rsid w:val="00D37728"/>
    <w:rsid w:val="00D37A86"/>
    <w:rsid w:val="00D37BD6"/>
    <w:rsid w:val="00D40137"/>
    <w:rsid w:val="00D40543"/>
    <w:rsid w:val="00D4072E"/>
    <w:rsid w:val="00D40D08"/>
    <w:rsid w:val="00D41C16"/>
    <w:rsid w:val="00D424C7"/>
    <w:rsid w:val="00D4255E"/>
    <w:rsid w:val="00D42BCD"/>
    <w:rsid w:val="00D43065"/>
    <w:rsid w:val="00D43143"/>
    <w:rsid w:val="00D433F2"/>
    <w:rsid w:val="00D434BF"/>
    <w:rsid w:val="00D43581"/>
    <w:rsid w:val="00D437E8"/>
    <w:rsid w:val="00D4381B"/>
    <w:rsid w:val="00D438AC"/>
    <w:rsid w:val="00D43939"/>
    <w:rsid w:val="00D43B2A"/>
    <w:rsid w:val="00D43B6A"/>
    <w:rsid w:val="00D43CF1"/>
    <w:rsid w:val="00D43D83"/>
    <w:rsid w:val="00D43E07"/>
    <w:rsid w:val="00D43E24"/>
    <w:rsid w:val="00D43EC2"/>
    <w:rsid w:val="00D441E3"/>
    <w:rsid w:val="00D44454"/>
    <w:rsid w:val="00D44501"/>
    <w:rsid w:val="00D445F6"/>
    <w:rsid w:val="00D446FA"/>
    <w:rsid w:val="00D44814"/>
    <w:rsid w:val="00D45484"/>
    <w:rsid w:val="00D454B1"/>
    <w:rsid w:val="00D45842"/>
    <w:rsid w:val="00D45B75"/>
    <w:rsid w:val="00D46017"/>
    <w:rsid w:val="00D46180"/>
    <w:rsid w:val="00D46418"/>
    <w:rsid w:val="00D46485"/>
    <w:rsid w:val="00D46611"/>
    <w:rsid w:val="00D468F0"/>
    <w:rsid w:val="00D46B57"/>
    <w:rsid w:val="00D46E02"/>
    <w:rsid w:val="00D4711C"/>
    <w:rsid w:val="00D474DD"/>
    <w:rsid w:val="00D47575"/>
    <w:rsid w:val="00D47588"/>
    <w:rsid w:val="00D4790E"/>
    <w:rsid w:val="00D47CEF"/>
    <w:rsid w:val="00D502BD"/>
    <w:rsid w:val="00D50687"/>
    <w:rsid w:val="00D50741"/>
    <w:rsid w:val="00D5085C"/>
    <w:rsid w:val="00D50A10"/>
    <w:rsid w:val="00D50D32"/>
    <w:rsid w:val="00D50F7E"/>
    <w:rsid w:val="00D510B6"/>
    <w:rsid w:val="00D513C0"/>
    <w:rsid w:val="00D516AF"/>
    <w:rsid w:val="00D5196C"/>
    <w:rsid w:val="00D51B23"/>
    <w:rsid w:val="00D51FB7"/>
    <w:rsid w:val="00D52107"/>
    <w:rsid w:val="00D5226A"/>
    <w:rsid w:val="00D5235E"/>
    <w:rsid w:val="00D5243B"/>
    <w:rsid w:val="00D524B4"/>
    <w:rsid w:val="00D5260F"/>
    <w:rsid w:val="00D5261F"/>
    <w:rsid w:val="00D53072"/>
    <w:rsid w:val="00D53383"/>
    <w:rsid w:val="00D533EC"/>
    <w:rsid w:val="00D5346A"/>
    <w:rsid w:val="00D534F2"/>
    <w:rsid w:val="00D534F6"/>
    <w:rsid w:val="00D53503"/>
    <w:rsid w:val="00D535EB"/>
    <w:rsid w:val="00D53D1E"/>
    <w:rsid w:val="00D5401B"/>
    <w:rsid w:val="00D542A9"/>
    <w:rsid w:val="00D54371"/>
    <w:rsid w:val="00D54406"/>
    <w:rsid w:val="00D54509"/>
    <w:rsid w:val="00D54637"/>
    <w:rsid w:val="00D5484F"/>
    <w:rsid w:val="00D54BB2"/>
    <w:rsid w:val="00D54F0D"/>
    <w:rsid w:val="00D551EB"/>
    <w:rsid w:val="00D55352"/>
    <w:rsid w:val="00D553C3"/>
    <w:rsid w:val="00D55507"/>
    <w:rsid w:val="00D558FD"/>
    <w:rsid w:val="00D5597B"/>
    <w:rsid w:val="00D55D8E"/>
    <w:rsid w:val="00D56030"/>
    <w:rsid w:val="00D56909"/>
    <w:rsid w:val="00D56A55"/>
    <w:rsid w:val="00D56A95"/>
    <w:rsid w:val="00D575EC"/>
    <w:rsid w:val="00D57A2F"/>
    <w:rsid w:val="00D57A42"/>
    <w:rsid w:val="00D57AF7"/>
    <w:rsid w:val="00D60455"/>
    <w:rsid w:val="00D6076E"/>
    <w:rsid w:val="00D60782"/>
    <w:rsid w:val="00D60F0C"/>
    <w:rsid w:val="00D616E3"/>
    <w:rsid w:val="00D61948"/>
    <w:rsid w:val="00D62111"/>
    <w:rsid w:val="00D6250B"/>
    <w:rsid w:val="00D62733"/>
    <w:rsid w:val="00D62D2B"/>
    <w:rsid w:val="00D62E39"/>
    <w:rsid w:val="00D631D8"/>
    <w:rsid w:val="00D63292"/>
    <w:rsid w:val="00D63583"/>
    <w:rsid w:val="00D63EE4"/>
    <w:rsid w:val="00D6418E"/>
    <w:rsid w:val="00D64216"/>
    <w:rsid w:val="00D643AE"/>
    <w:rsid w:val="00D64A48"/>
    <w:rsid w:val="00D64C6C"/>
    <w:rsid w:val="00D659B7"/>
    <w:rsid w:val="00D65A13"/>
    <w:rsid w:val="00D65AEC"/>
    <w:rsid w:val="00D65E79"/>
    <w:rsid w:val="00D65FC8"/>
    <w:rsid w:val="00D66431"/>
    <w:rsid w:val="00D6653F"/>
    <w:rsid w:val="00D6670A"/>
    <w:rsid w:val="00D66D87"/>
    <w:rsid w:val="00D66DF2"/>
    <w:rsid w:val="00D67155"/>
    <w:rsid w:val="00D671D0"/>
    <w:rsid w:val="00D6727A"/>
    <w:rsid w:val="00D6728F"/>
    <w:rsid w:val="00D6750C"/>
    <w:rsid w:val="00D675BA"/>
    <w:rsid w:val="00D67693"/>
    <w:rsid w:val="00D676DA"/>
    <w:rsid w:val="00D67A4D"/>
    <w:rsid w:val="00D67B36"/>
    <w:rsid w:val="00D67B76"/>
    <w:rsid w:val="00D67F47"/>
    <w:rsid w:val="00D700F2"/>
    <w:rsid w:val="00D70437"/>
    <w:rsid w:val="00D70781"/>
    <w:rsid w:val="00D70896"/>
    <w:rsid w:val="00D70938"/>
    <w:rsid w:val="00D70E72"/>
    <w:rsid w:val="00D70E80"/>
    <w:rsid w:val="00D70F16"/>
    <w:rsid w:val="00D710F7"/>
    <w:rsid w:val="00D7110B"/>
    <w:rsid w:val="00D713CC"/>
    <w:rsid w:val="00D713CD"/>
    <w:rsid w:val="00D714FD"/>
    <w:rsid w:val="00D715C7"/>
    <w:rsid w:val="00D715D6"/>
    <w:rsid w:val="00D71604"/>
    <w:rsid w:val="00D71CE4"/>
    <w:rsid w:val="00D71E5A"/>
    <w:rsid w:val="00D720DB"/>
    <w:rsid w:val="00D72617"/>
    <w:rsid w:val="00D72ED8"/>
    <w:rsid w:val="00D72EFC"/>
    <w:rsid w:val="00D72F57"/>
    <w:rsid w:val="00D7302C"/>
    <w:rsid w:val="00D7329E"/>
    <w:rsid w:val="00D7351D"/>
    <w:rsid w:val="00D73783"/>
    <w:rsid w:val="00D742BA"/>
    <w:rsid w:val="00D74301"/>
    <w:rsid w:val="00D745A8"/>
    <w:rsid w:val="00D74701"/>
    <w:rsid w:val="00D74750"/>
    <w:rsid w:val="00D74B34"/>
    <w:rsid w:val="00D74E89"/>
    <w:rsid w:val="00D7517F"/>
    <w:rsid w:val="00D752A0"/>
    <w:rsid w:val="00D75AC1"/>
    <w:rsid w:val="00D75D06"/>
    <w:rsid w:val="00D76006"/>
    <w:rsid w:val="00D7629F"/>
    <w:rsid w:val="00D76A44"/>
    <w:rsid w:val="00D76A90"/>
    <w:rsid w:val="00D76E51"/>
    <w:rsid w:val="00D76F9F"/>
    <w:rsid w:val="00D7746D"/>
    <w:rsid w:val="00D77CF8"/>
    <w:rsid w:val="00D77E0E"/>
    <w:rsid w:val="00D80053"/>
    <w:rsid w:val="00D80208"/>
    <w:rsid w:val="00D802B0"/>
    <w:rsid w:val="00D802D2"/>
    <w:rsid w:val="00D80517"/>
    <w:rsid w:val="00D80723"/>
    <w:rsid w:val="00D807F6"/>
    <w:rsid w:val="00D80982"/>
    <w:rsid w:val="00D80B2E"/>
    <w:rsid w:val="00D80F55"/>
    <w:rsid w:val="00D811BE"/>
    <w:rsid w:val="00D813EE"/>
    <w:rsid w:val="00D814DA"/>
    <w:rsid w:val="00D815EF"/>
    <w:rsid w:val="00D81949"/>
    <w:rsid w:val="00D81F26"/>
    <w:rsid w:val="00D822E2"/>
    <w:rsid w:val="00D82661"/>
    <w:rsid w:val="00D82718"/>
    <w:rsid w:val="00D82BED"/>
    <w:rsid w:val="00D82C8B"/>
    <w:rsid w:val="00D834C7"/>
    <w:rsid w:val="00D836A4"/>
    <w:rsid w:val="00D836E1"/>
    <w:rsid w:val="00D839A4"/>
    <w:rsid w:val="00D83A4D"/>
    <w:rsid w:val="00D83C1F"/>
    <w:rsid w:val="00D83C58"/>
    <w:rsid w:val="00D83C69"/>
    <w:rsid w:val="00D83E28"/>
    <w:rsid w:val="00D8429E"/>
    <w:rsid w:val="00D843F2"/>
    <w:rsid w:val="00D85310"/>
    <w:rsid w:val="00D8597A"/>
    <w:rsid w:val="00D85FA1"/>
    <w:rsid w:val="00D86029"/>
    <w:rsid w:val="00D86231"/>
    <w:rsid w:val="00D8626F"/>
    <w:rsid w:val="00D8628E"/>
    <w:rsid w:val="00D863C7"/>
    <w:rsid w:val="00D86855"/>
    <w:rsid w:val="00D86B0D"/>
    <w:rsid w:val="00D86B63"/>
    <w:rsid w:val="00D86C9A"/>
    <w:rsid w:val="00D86D6B"/>
    <w:rsid w:val="00D86DA1"/>
    <w:rsid w:val="00D86F7D"/>
    <w:rsid w:val="00D8723A"/>
    <w:rsid w:val="00D874BC"/>
    <w:rsid w:val="00D87644"/>
    <w:rsid w:val="00D87787"/>
    <w:rsid w:val="00D87BBD"/>
    <w:rsid w:val="00D90396"/>
    <w:rsid w:val="00D9039D"/>
    <w:rsid w:val="00D9047D"/>
    <w:rsid w:val="00D90595"/>
    <w:rsid w:val="00D905B9"/>
    <w:rsid w:val="00D906B5"/>
    <w:rsid w:val="00D91088"/>
    <w:rsid w:val="00D912AB"/>
    <w:rsid w:val="00D91384"/>
    <w:rsid w:val="00D9156F"/>
    <w:rsid w:val="00D91923"/>
    <w:rsid w:val="00D91ACB"/>
    <w:rsid w:val="00D91CE3"/>
    <w:rsid w:val="00D91FC9"/>
    <w:rsid w:val="00D920C1"/>
    <w:rsid w:val="00D92507"/>
    <w:rsid w:val="00D92629"/>
    <w:rsid w:val="00D92A5C"/>
    <w:rsid w:val="00D92D19"/>
    <w:rsid w:val="00D92D9D"/>
    <w:rsid w:val="00D93221"/>
    <w:rsid w:val="00D93753"/>
    <w:rsid w:val="00D93843"/>
    <w:rsid w:val="00D9386C"/>
    <w:rsid w:val="00D938B8"/>
    <w:rsid w:val="00D93B2D"/>
    <w:rsid w:val="00D93B8A"/>
    <w:rsid w:val="00D93D52"/>
    <w:rsid w:val="00D93DBD"/>
    <w:rsid w:val="00D9407B"/>
    <w:rsid w:val="00D94B49"/>
    <w:rsid w:val="00D95087"/>
    <w:rsid w:val="00D95353"/>
    <w:rsid w:val="00D95448"/>
    <w:rsid w:val="00D9548E"/>
    <w:rsid w:val="00D95A17"/>
    <w:rsid w:val="00D95AB7"/>
    <w:rsid w:val="00D9612D"/>
    <w:rsid w:val="00D96507"/>
    <w:rsid w:val="00D96BCD"/>
    <w:rsid w:val="00D96EDA"/>
    <w:rsid w:val="00D979C5"/>
    <w:rsid w:val="00DA0255"/>
    <w:rsid w:val="00DA032A"/>
    <w:rsid w:val="00DA041C"/>
    <w:rsid w:val="00DA04D1"/>
    <w:rsid w:val="00DA0724"/>
    <w:rsid w:val="00DA0781"/>
    <w:rsid w:val="00DA09D3"/>
    <w:rsid w:val="00DA09D4"/>
    <w:rsid w:val="00DA0FE8"/>
    <w:rsid w:val="00DA126D"/>
    <w:rsid w:val="00DA1717"/>
    <w:rsid w:val="00DA17E5"/>
    <w:rsid w:val="00DA1967"/>
    <w:rsid w:val="00DA1970"/>
    <w:rsid w:val="00DA1E76"/>
    <w:rsid w:val="00DA1F67"/>
    <w:rsid w:val="00DA247E"/>
    <w:rsid w:val="00DA2563"/>
    <w:rsid w:val="00DA25AB"/>
    <w:rsid w:val="00DA27DB"/>
    <w:rsid w:val="00DA2990"/>
    <w:rsid w:val="00DA2A21"/>
    <w:rsid w:val="00DA2BBB"/>
    <w:rsid w:val="00DA2DC2"/>
    <w:rsid w:val="00DA2E8F"/>
    <w:rsid w:val="00DA2F78"/>
    <w:rsid w:val="00DA3066"/>
    <w:rsid w:val="00DA3167"/>
    <w:rsid w:val="00DA33A1"/>
    <w:rsid w:val="00DA3486"/>
    <w:rsid w:val="00DA371A"/>
    <w:rsid w:val="00DA375E"/>
    <w:rsid w:val="00DA402C"/>
    <w:rsid w:val="00DA4839"/>
    <w:rsid w:val="00DA485C"/>
    <w:rsid w:val="00DA4DC3"/>
    <w:rsid w:val="00DA4DE9"/>
    <w:rsid w:val="00DA4E6E"/>
    <w:rsid w:val="00DA4F13"/>
    <w:rsid w:val="00DA5075"/>
    <w:rsid w:val="00DA57BF"/>
    <w:rsid w:val="00DA5946"/>
    <w:rsid w:val="00DA5F00"/>
    <w:rsid w:val="00DA5FDD"/>
    <w:rsid w:val="00DA6091"/>
    <w:rsid w:val="00DA6A62"/>
    <w:rsid w:val="00DA6CDE"/>
    <w:rsid w:val="00DA74E5"/>
    <w:rsid w:val="00DA75FE"/>
    <w:rsid w:val="00DA7618"/>
    <w:rsid w:val="00DA77A5"/>
    <w:rsid w:val="00DA7DD8"/>
    <w:rsid w:val="00DB0083"/>
    <w:rsid w:val="00DB00E3"/>
    <w:rsid w:val="00DB018C"/>
    <w:rsid w:val="00DB0364"/>
    <w:rsid w:val="00DB0393"/>
    <w:rsid w:val="00DB04D3"/>
    <w:rsid w:val="00DB050A"/>
    <w:rsid w:val="00DB068C"/>
    <w:rsid w:val="00DB0690"/>
    <w:rsid w:val="00DB077C"/>
    <w:rsid w:val="00DB0900"/>
    <w:rsid w:val="00DB098A"/>
    <w:rsid w:val="00DB0E36"/>
    <w:rsid w:val="00DB0EF7"/>
    <w:rsid w:val="00DB1088"/>
    <w:rsid w:val="00DB13F4"/>
    <w:rsid w:val="00DB15B4"/>
    <w:rsid w:val="00DB16C4"/>
    <w:rsid w:val="00DB16D7"/>
    <w:rsid w:val="00DB1DE6"/>
    <w:rsid w:val="00DB1E7A"/>
    <w:rsid w:val="00DB1E9C"/>
    <w:rsid w:val="00DB1FFE"/>
    <w:rsid w:val="00DB250C"/>
    <w:rsid w:val="00DB2723"/>
    <w:rsid w:val="00DB2FD1"/>
    <w:rsid w:val="00DB30BF"/>
    <w:rsid w:val="00DB33BD"/>
    <w:rsid w:val="00DB34B0"/>
    <w:rsid w:val="00DB3D39"/>
    <w:rsid w:val="00DB3DBF"/>
    <w:rsid w:val="00DB448D"/>
    <w:rsid w:val="00DB4849"/>
    <w:rsid w:val="00DB484F"/>
    <w:rsid w:val="00DB4CC0"/>
    <w:rsid w:val="00DB5059"/>
    <w:rsid w:val="00DB51B5"/>
    <w:rsid w:val="00DB526E"/>
    <w:rsid w:val="00DB52F9"/>
    <w:rsid w:val="00DB538D"/>
    <w:rsid w:val="00DB5A71"/>
    <w:rsid w:val="00DB5B9F"/>
    <w:rsid w:val="00DB5F35"/>
    <w:rsid w:val="00DB647D"/>
    <w:rsid w:val="00DB65F6"/>
    <w:rsid w:val="00DB67D9"/>
    <w:rsid w:val="00DB692D"/>
    <w:rsid w:val="00DB6A27"/>
    <w:rsid w:val="00DB6A6C"/>
    <w:rsid w:val="00DB6F9F"/>
    <w:rsid w:val="00DB7096"/>
    <w:rsid w:val="00DB71CD"/>
    <w:rsid w:val="00DB75DD"/>
    <w:rsid w:val="00DB7692"/>
    <w:rsid w:val="00DB76EF"/>
    <w:rsid w:val="00DB7815"/>
    <w:rsid w:val="00DB78E8"/>
    <w:rsid w:val="00DB796B"/>
    <w:rsid w:val="00DB7F75"/>
    <w:rsid w:val="00DC007A"/>
    <w:rsid w:val="00DC016D"/>
    <w:rsid w:val="00DC0357"/>
    <w:rsid w:val="00DC04F6"/>
    <w:rsid w:val="00DC0690"/>
    <w:rsid w:val="00DC0C1F"/>
    <w:rsid w:val="00DC0D51"/>
    <w:rsid w:val="00DC0D55"/>
    <w:rsid w:val="00DC14C8"/>
    <w:rsid w:val="00DC14EC"/>
    <w:rsid w:val="00DC1527"/>
    <w:rsid w:val="00DC16A1"/>
    <w:rsid w:val="00DC16E4"/>
    <w:rsid w:val="00DC17C1"/>
    <w:rsid w:val="00DC1D65"/>
    <w:rsid w:val="00DC1D90"/>
    <w:rsid w:val="00DC1F5E"/>
    <w:rsid w:val="00DC22EE"/>
    <w:rsid w:val="00DC239F"/>
    <w:rsid w:val="00DC26C0"/>
    <w:rsid w:val="00DC29C9"/>
    <w:rsid w:val="00DC2CC4"/>
    <w:rsid w:val="00DC2CDD"/>
    <w:rsid w:val="00DC33D5"/>
    <w:rsid w:val="00DC3516"/>
    <w:rsid w:val="00DC357A"/>
    <w:rsid w:val="00DC374E"/>
    <w:rsid w:val="00DC3860"/>
    <w:rsid w:val="00DC3933"/>
    <w:rsid w:val="00DC3B0B"/>
    <w:rsid w:val="00DC3C4D"/>
    <w:rsid w:val="00DC3C57"/>
    <w:rsid w:val="00DC3F1B"/>
    <w:rsid w:val="00DC3F6E"/>
    <w:rsid w:val="00DC4084"/>
    <w:rsid w:val="00DC416D"/>
    <w:rsid w:val="00DC42DF"/>
    <w:rsid w:val="00DC452E"/>
    <w:rsid w:val="00DC4613"/>
    <w:rsid w:val="00DC5501"/>
    <w:rsid w:val="00DC556F"/>
    <w:rsid w:val="00DC5DE4"/>
    <w:rsid w:val="00DC5F71"/>
    <w:rsid w:val="00DC63F4"/>
    <w:rsid w:val="00DC65B2"/>
    <w:rsid w:val="00DC65E5"/>
    <w:rsid w:val="00DC65F2"/>
    <w:rsid w:val="00DC6604"/>
    <w:rsid w:val="00DC6682"/>
    <w:rsid w:val="00DC6DD2"/>
    <w:rsid w:val="00DC7154"/>
    <w:rsid w:val="00DC747C"/>
    <w:rsid w:val="00DC7B27"/>
    <w:rsid w:val="00DC7C1A"/>
    <w:rsid w:val="00DC7E8A"/>
    <w:rsid w:val="00DD0121"/>
    <w:rsid w:val="00DD0993"/>
    <w:rsid w:val="00DD0B71"/>
    <w:rsid w:val="00DD0F78"/>
    <w:rsid w:val="00DD0F98"/>
    <w:rsid w:val="00DD1402"/>
    <w:rsid w:val="00DD140F"/>
    <w:rsid w:val="00DD161B"/>
    <w:rsid w:val="00DD1CD5"/>
    <w:rsid w:val="00DD1E9F"/>
    <w:rsid w:val="00DD231C"/>
    <w:rsid w:val="00DD23DC"/>
    <w:rsid w:val="00DD273C"/>
    <w:rsid w:val="00DD2A12"/>
    <w:rsid w:val="00DD2AA1"/>
    <w:rsid w:val="00DD2DC9"/>
    <w:rsid w:val="00DD30DB"/>
    <w:rsid w:val="00DD34F7"/>
    <w:rsid w:val="00DD37D4"/>
    <w:rsid w:val="00DD380F"/>
    <w:rsid w:val="00DD3BBA"/>
    <w:rsid w:val="00DD3F28"/>
    <w:rsid w:val="00DD3FAE"/>
    <w:rsid w:val="00DD3FAF"/>
    <w:rsid w:val="00DD3FE1"/>
    <w:rsid w:val="00DD443E"/>
    <w:rsid w:val="00DD4446"/>
    <w:rsid w:val="00DD44A1"/>
    <w:rsid w:val="00DD4537"/>
    <w:rsid w:val="00DD47DF"/>
    <w:rsid w:val="00DD4A59"/>
    <w:rsid w:val="00DD4E15"/>
    <w:rsid w:val="00DD4E9D"/>
    <w:rsid w:val="00DD4F3C"/>
    <w:rsid w:val="00DD4F4C"/>
    <w:rsid w:val="00DD53C5"/>
    <w:rsid w:val="00DD5960"/>
    <w:rsid w:val="00DD5C5E"/>
    <w:rsid w:val="00DD6011"/>
    <w:rsid w:val="00DD64B4"/>
    <w:rsid w:val="00DD6ADD"/>
    <w:rsid w:val="00DD6ADF"/>
    <w:rsid w:val="00DD6F63"/>
    <w:rsid w:val="00DD6F95"/>
    <w:rsid w:val="00DD70A5"/>
    <w:rsid w:val="00DD72CE"/>
    <w:rsid w:val="00DD784E"/>
    <w:rsid w:val="00DD7FE8"/>
    <w:rsid w:val="00DD7FE9"/>
    <w:rsid w:val="00DE0135"/>
    <w:rsid w:val="00DE0373"/>
    <w:rsid w:val="00DE0490"/>
    <w:rsid w:val="00DE0635"/>
    <w:rsid w:val="00DE0A16"/>
    <w:rsid w:val="00DE0B48"/>
    <w:rsid w:val="00DE0B4A"/>
    <w:rsid w:val="00DE0C39"/>
    <w:rsid w:val="00DE0E26"/>
    <w:rsid w:val="00DE100D"/>
    <w:rsid w:val="00DE107C"/>
    <w:rsid w:val="00DE1509"/>
    <w:rsid w:val="00DE198E"/>
    <w:rsid w:val="00DE2304"/>
    <w:rsid w:val="00DE24C6"/>
    <w:rsid w:val="00DE2537"/>
    <w:rsid w:val="00DE2988"/>
    <w:rsid w:val="00DE29B9"/>
    <w:rsid w:val="00DE2ED1"/>
    <w:rsid w:val="00DE3138"/>
    <w:rsid w:val="00DE36C4"/>
    <w:rsid w:val="00DE37F8"/>
    <w:rsid w:val="00DE394A"/>
    <w:rsid w:val="00DE3A5C"/>
    <w:rsid w:val="00DE3ADD"/>
    <w:rsid w:val="00DE3BE4"/>
    <w:rsid w:val="00DE4273"/>
    <w:rsid w:val="00DE43BE"/>
    <w:rsid w:val="00DE4403"/>
    <w:rsid w:val="00DE4806"/>
    <w:rsid w:val="00DE4FCB"/>
    <w:rsid w:val="00DE5045"/>
    <w:rsid w:val="00DE51C6"/>
    <w:rsid w:val="00DE5331"/>
    <w:rsid w:val="00DE5B17"/>
    <w:rsid w:val="00DE5B6A"/>
    <w:rsid w:val="00DE5B7A"/>
    <w:rsid w:val="00DE5D07"/>
    <w:rsid w:val="00DE5E0C"/>
    <w:rsid w:val="00DE5E76"/>
    <w:rsid w:val="00DE6444"/>
    <w:rsid w:val="00DE6638"/>
    <w:rsid w:val="00DE69F2"/>
    <w:rsid w:val="00DE6C0F"/>
    <w:rsid w:val="00DE6CF9"/>
    <w:rsid w:val="00DE6E22"/>
    <w:rsid w:val="00DE6EBC"/>
    <w:rsid w:val="00DE7038"/>
    <w:rsid w:val="00DE72A7"/>
    <w:rsid w:val="00DE754D"/>
    <w:rsid w:val="00DE7561"/>
    <w:rsid w:val="00DE7832"/>
    <w:rsid w:val="00DE7B1F"/>
    <w:rsid w:val="00DE7F15"/>
    <w:rsid w:val="00DF0059"/>
    <w:rsid w:val="00DF0730"/>
    <w:rsid w:val="00DF10DA"/>
    <w:rsid w:val="00DF1260"/>
    <w:rsid w:val="00DF13B2"/>
    <w:rsid w:val="00DF1859"/>
    <w:rsid w:val="00DF18FC"/>
    <w:rsid w:val="00DF194A"/>
    <w:rsid w:val="00DF19E0"/>
    <w:rsid w:val="00DF1C0B"/>
    <w:rsid w:val="00DF1CAA"/>
    <w:rsid w:val="00DF1F95"/>
    <w:rsid w:val="00DF2190"/>
    <w:rsid w:val="00DF2406"/>
    <w:rsid w:val="00DF255C"/>
    <w:rsid w:val="00DF2843"/>
    <w:rsid w:val="00DF2A56"/>
    <w:rsid w:val="00DF2E2F"/>
    <w:rsid w:val="00DF2FFD"/>
    <w:rsid w:val="00DF3980"/>
    <w:rsid w:val="00DF39AA"/>
    <w:rsid w:val="00DF3D3D"/>
    <w:rsid w:val="00DF4023"/>
    <w:rsid w:val="00DF4830"/>
    <w:rsid w:val="00DF4BA9"/>
    <w:rsid w:val="00DF4C16"/>
    <w:rsid w:val="00DF511F"/>
    <w:rsid w:val="00DF5664"/>
    <w:rsid w:val="00DF5B74"/>
    <w:rsid w:val="00DF5D2B"/>
    <w:rsid w:val="00DF5FC3"/>
    <w:rsid w:val="00DF6341"/>
    <w:rsid w:val="00DF638E"/>
    <w:rsid w:val="00DF6466"/>
    <w:rsid w:val="00DF69EA"/>
    <w:rsid w:val="00DF72F5"/>
    <w:rsid w:val="00DF7306"/>
    <w:rsid w:val="00DF73E1"/>
    <w:rsid w:val="00DF7665"/>
    <w:rsid w:val="00DF78B6"/>
    <w:rsid w:val="00DF7B38"/>
    <w:rsid w:val="00DF7F05"/>
    <w:rsid w:val="00E005BD"/>
    <w:rsid w:val="00E0085F"/>
    <w:rsid w:val="00E00D57"/>
    <w:rsid w:val="00E00E8E"/>
    <w:rsid w:val="00E01072"/>
    <w:rsid w:val="00E01217"/>
    <w:rsid w:val="00E0148B"/>
    <w:rsid w:val="00E01616"/>
    <w:rsid w:val="00E016FA"/>
    <w:rsid w:val="00E01990"/>
    <w:rsid w:val="00E01CAB"/>
    <w:rsid w:val="00E021D6"/>
    <w:rsid w:val="00E022BA"/>
    <w:rsid w:val="00E025B8"/>
    <w:rsid w:val="00E0265F"/>
    <w:rsid w:val="00E02681"/>
    <w:rsid w:val="00E02C66"/>
    <w:rsid w:val="00E02E65"/>
    <w:rsid w:val="00E03019"/>
    <w:rsid w:val="00E03356"/>
    <w:rsid w:val="00E0363E"/>
    <w:rsid w:val="00E0378B"/>
    <w:rsid w:val="00E037C9"/>
    <w:rsid w:val="00E039EA"/>
    <w:rsid w:val="00E03B3A"/>
    <w:rsid w:val="00E03C96"/>
    <w:rsid w:val="00E03D9A"/>
    <w:rsid w:val="00E0434E"/>
    <w:rsid w:val="00E04448"/>
    <w:rsid w:val="00E0489F"/>
    <w:rsid w:val="00E0496D"/>
    <w:rsid w:val="00E04A14"/>
    <w:rsid w:val="00E04C7B"/>
    <w:rsid w:val="00E04D42"/>
    <w:rsid w:val="00E05630"/>
    <w:rsid w:val="00E05AE5"/>
    <w:rsid w:val="00E061A7"/>
    <w:rsid w:val="00E06883"/>
    <w:rsid w:val="00E06BB5"/>
    <w:rsid w:val="00E06DBB"/>
    <w:rsid w:val="00E07132"/>
    <w:rsid w:val="00E075B5"/>
    <w:rsid w:val="00E07895"/>
    <w:rsid w:val="00E079D6"/>
    <w:rsid w:val="00E07AFB"/>
    <w:rsid w:val="00E10137"/>
    <w:rsid w:val="00E10149"/>
    <w:rsid w:val="00E109F2"/>
    <w:rsid w:val="00E10E4A"/>
    <w:rsid w:val="00E11340"/>
    <w:rsid w:val="00E116D8"/>
    <w:rsid w:val="00E11736"/>
    <w:rsid w:val="00E11973"/>
    <w:rsid w:val="00E11AF0"/>
    <w:rsid w:val="00E122A1"/>
    <w:rsid w:val="00E128B3"/>
    <w:rsid w:val="00E12951"/>
    <w:rsid w:val="00E129A5"/>
    <w:rsid w:val="00E12BDB"/>
    <w:rsid w:val="00E12F38"/>
    <w:rsid w:val="00E12FDB"/>
    <w:rsid w:val="00E13171"/>
    <w:rsid w:val="00E13342"/>
    <w:rsid w:val="00E13452"/>
    <w:rsid w:val="00E13CF6"/>
    <w:rsid w:val="00E13D2F"/>
    <w:rsid w:val="00E14790"/>
    <w:rsid w:val="00E152C2"/>
    <w:rsid w:val="00E154D3"/>
    <w:rsid w:val="00E15720"/>
    <w:rsid w:val="00E15A6C"/>
    <w:rsid w:val="00E15CA0"/>
    <w:rsid w:val="00E161E7"/>
    <w:rsid w:val="00E16372"/>
    <w:rsid w:val="00E164AD"/>
    <w:rsid w:val="00E164BD"/>
    <w:rsid w:val="00E16932"/>
    <w:rsid w:val="00E16AD8"/>
    <w:rsid w:val="00E16F1B"/>
    <w:rsid w:val="00E1707F"/>
    <w:rsid w:val="00E1723F"/>
    <w:rsid w:val="00E1742F"/>
    <w:rsid w:val="00E17A0C"/>
    <w:rsid w:val="00E17CBB"/>
    <w:rsid w:val="00E17FFA"/>
    <w:rsid w:val="00E202AC"/>
    <w:rsid w:val="00E2031C"/>
    <w:rsid w:val="00E2036C"/>
    <w:rsid w:val="00E209D8"/>
    <w:rsid w:val="00E20DC4"/>
    <w:rsid w:val="00E20E4D"/>
    <w:rsid w:val="00E20EB9"/>
    <w:rsid w:val="00E20ED6"/>
    <w:rsid w:val="00E21358"/>
    <w:rsid w:val="00E215AE"/>
    <w:rsid w:val="00E21678"/>
    <w:rsid w:val="00E219F7"/>
    <w:rsid w:val="00E21FFC"/>
    <w:rsid w:val="00E22115"/>
    <w:rsid w:val="00E2249B"/>
    <w:rsid w:val="00E226FB"/>
    <w:rsid w:val="00E22980"/>
    <w:rsid w:val="00E22A0D"/>
    <w:rsid w:val="00E22C34"/>
    <w:rsid w:val="00E22CD9"/>
    <w:rsid w:val="00E22F6E"/>
    <w:rsid w:val="00E2347B"/>
    <w:rsid w:val="00E23506"/>
    <w:rsid w:val="00E23584"/>
    <w:rsid w:val="00E2359B"/>
    <w:rsid w:val="00E23B0C"/>
    <w:rsid w:val="00E23E5C"/>
    <w:rsid w:val="00E244F6"/>
    <w:rsid w:val="00E24551"/>
    <w:rsid w:val="00E24601"/>
    <w:rsid w:val="00E24627"/>
    <w:rsid w:val="00E24723"/>
    <w:rsid w:val="00E24E2A"/>
    <w:rsid w:val="00E251CB"/>
    <w:rsid w:val="00E2584D"/>
    <w:rsid w:val="00E258DB"/>
    <w:rsid w:val="00E259BF"/>
    <w:rsid w:val="00E25D3B"/>
    <w:rsid w:val="00E25E66"/>
    <w:rsid w:val="00E25FB8"/>
    <w:rsid w:val="00E26231"/>
    <w:rsid w:val="00E2656D"/>
    <w:rsid w:val="00E266EC"/>
    <w:rsid w:val="00E267B7"/>
    <w:rsid w:val="00E26844"/>
    <w:rsid w:val="00E2688D"/>
    <w:rsid w:val="00E26906"/>
    <w:rsid w:val="00E26BFD"/>
    <w:rsid w:val="00E26C81"/>
    <w:rsid w:val="00E26FBC"/>
    <w:rsid w:val="00E276EF"/>
    <w:rsid w:val="00E2771E"/>
    <w:rsid w:val="00E27A06"/>
    <w:rsid w:val="00E27B34"/>
    <w:rsid w:val="00E3031D"/>
    <w:rsid w:val="00E30AFC"/>
    <w:rsid w:val="00E30E20"/>
    <w:rsid w:val="00E311EF"/>
    <w:rsid w:val="00E31291"/>
    <w:rsid w:val="00E31484"/>
    <w:rsid w:val="00E314DE"/>
    <w:rsid w:val="00E317BF"/>
    <w:rsid w:val="00E32180"/>
    <w:rsid w:val="00E322EC"/>
    <w:rsid w:val="00E3258B"/>
    <w:rsid w:val="00E326C3"/>
    <w:rsid w:val="00E32820"/>
    <w:rsid w:val="00E32D06"/>
    <w:rsid w:val="00E32FB5"/>
    <w:rsid w:val="00E3304E"/>
    <w:rsid w:val="00E3328A"/>
    <w:rsid w:val="00E3470D"/>
    <w:rsid w:val="00E347A9"/>
    <w:rsid w:val="00E347EC"/>
    <w:rsid w:val="00E34948"/>
    <w:rsid w:val="00E3499D"/>
    <w:rsid w:val="00E34D72"/>
    <w:rsid w:val="00E3509D"/>
    <w:rsid w:val="00E356D9"/>
    <w:rsid w:val="00E35D21"/>
    <w:rsid w:val="00E3603E"/>
    <w:rsid w:val="00E36243"/>
    <w:rsid w:val="00E36953"/>
    <w:rsid w:val="00E37094"/>
    <w:rsid w:val="00E37569"/>
    <w:rsid w:val="00E3774E"/>
    <w:rsid w:val="00E37764"/>
    <w:rsid w:val="00E377BD"/>
    <w:rsid w:val="00E378A8"/>
    <w:rsid w:val="00E3794A"/>
    <w:rsid w:val="00E40148"/>
    <w:rsid w:val="00E401B2"/>
    <w:rsid w:val="00E4036D"/>
    <w:rsid w:val="00E4049B"/>
    <w:rsid w:val="00E408B9"/>
    <w:rsid w:val="00E41159"/>
    <w:rsid w:val="00E41606"/>
    <w:rsid w:val="00E41A0A"/>
    <w:rsid w:val="00E41BAF"/>
    <w:rsid w:val="00E41E30"/>
    <w:rsid w:val="00E41F1D"/>
    <w:rsid w:val="00E420BD"/>
    <w:rsid w:val="00E421D8"/>
    <w:rsid w:val="00E42685"/>
    <w:rsid w:val="00E42CC1"/>
    <w:rsid w:val="00E42F73"/>
    <w:rsid w:val="00E4340B"/>
    <w:rsid w:val="00E43544"/>
    <w:rsid w:val="00E436B7"/>
    <w:rsid w:val="00E43D70"/>
    <w:rsid w:val="00E43D8A"/>
    <w:rsid w:val="00E43FD2"/>
    <w:rsid w:val="00E440ED"/>
    <w:rsid w:val="00E447F1"/>
    <w:rsid w:val="00E44C4A"/>
    <w:rsid w:val="00E44DB8"/>
    <w:rsid w:val="00E44F58"/>
    <w:rsid w:val="00E45337"/>
    <w:rsid w:val="00E457E2"/>
    <w:rsid w:val="00E45805"/>
    <w:rsid w:val="00E45AE7"/>
    <w:rsid w:val="00E45DB3"/>
    <w:rsid w:val="00E461EC"/>
    <w:rsid w:val="00E4622A"/>
    <w:rsid w:val="00E462AB"/>
    <w:rsid w:val="00E466D6"/>
    <w:rsid w:val="00E466F3"/>
    <w:rsid w:val="00E466FA"/>
    <w:rsid w:val="00E46FF5"/>
    <w:rsid w:val="00E476AB"/>
    <w:rsid w:val="00E47A9A"/>
    <w:rsid w:val="00E47B2C"/>
    <w:rsid w:val="00E47B61"/>
    <w:rsid w:val="00E47CF4"/>
    <w:rsid w:val="00E47E11"/>
    <w:rsid w:val="00E47FDF"/>
    <w:rsid w:val="00E50180"/>
    <w:rsid w:val="00E50250"/>
    <w:rsid w:val="00E50655"/>
    <w:rsid w:val="00E50731"/>
    <w:rsid w:val="00E509D9"/>
    <w:rsid w:val="00E509EE"/>
    <w:rsid w:val="00E50CCC"/>
    <w:rsid w:val="00E512AB"/>
    <w:rsid w:val="00E5155B"/>
    <w:rsid w:val="00E51560"/>
    <w:rsid w:val="00E51821"/>
    <w:rsid w:val="00E518B9"/>
    <w:rsid w:val="00E519A6"/>
    <w:rsid w:val="00E521FD"/>
    <w:rsid w:val="00E52222"/>
    <w:rsid w:val="00E52CA2"/>
    <w:rsid w:val="00E52D46"/>
    <w:rsid w:val="00E52EED"/>
    <w:rsid w:val="00E53223"/>
    <w:rsid w:val="00E534D9"/>
    <w:rsid w:val="00E5368B"/>
    <w:rsid w:val="00E53FC8"/>
    <w:rsid w:val="00E541ED"/>
    <w:rsid w:val="00E54251"/>
    <w:rsid w:val="00E54347"/>
    <w:rsid w:val="00E54671"/>
    <w:rsid w:val="00E54C8F"/>
    <w:rsid w:val="00E54D28"/>
    <w:rsid w:val="00E55216"/>
    <w:rsid w:val="00E55271"/>
    <w:rsid w:val="00E55424"/>
    <w:rsid w:val="00E55502"/>
    <w:rsid w:val="00E55915"/>
    <w:rsid w:val="00E5599D"/>
    <w:rsid w:val="00E55BB5"/>
    <w:rsid w:val="00E56252"/>
    <w:rsid w:val="00E56268"/>
    <w:rsid w:val="00E562C8"/>
    <w:rsid w:val="00E5648D"/>
    <w:rsid w:val="00E5649D"/>
    <w:rsid w:val="00E56E96"/>
    <w:rsid w:val="00E571E8"/>
    <w:rsid w:val="00E5760B"/>
    <w:rsid w:val="00E5792F"/>
    <w:rsid w:val="00E57A31"/>
    <w:rsid w:val="00E57C9A"/>
    <w:rsid w:val="00E57DC6"/>
    <w:rsid w:val="00E57F8E"/>
    <w:rsid w:val="00E603B3"/>
    <w:rsid w:val="00E60763"/>
    <w:rsid w:val="00E61074"/>
    <w:rsid w:val="00E611DF"/>
    <w:rsid w:val="00E615DD"/>
    <w:rsid w:val="00E61A0B"/>
    <w:rsid w:val="00E61A6C"/>
    <w:rsid w:val="00E61A91"/>
    <w:rsid w:val="00E61AB4"/>
    <w:rsid w:val="00E61B17"/>
    <w:rsid w:val="00E61C7A"/>
    <w:rsid w:val="00E61DB2"/>
    <w:rsid w:val="00E61EF4"/>
    <w:rsid w:val="00E62295"/>
    <w:rsid w:val="00E6277B"/>
    <w:rsid w:val="00E63ED6"/>
    <w:rsid w:val="00E63FDB"/>
    <w:rsid w:val="00E6426E"/>
    <w:rsid w:val="00E64492"/>
    <w:rsid w:val="00E64627"/>
    <w:rsid w:val="00E64897"/>
    <w:rsid w:val="00E64B9A"/>
    <w:rsid w:val="00E64C5F"/>
    <w:rsid w:val="00E64D6E"/>
    <w:rsid w:val="00E6500F"/>
    <w:rsid w:val="00E65069"/>
    <w:rsid w:val="00E655A0"/>
    <w:rsid w:val="00E655F5"/>
    <w:rsid w:val="00E656CA"/>
    <w:rsid w:val="00E65B5A"/>
    <w:rsid w:val="00E65E79"/>
    <w:rsid w:val="00E66455"/>
    <w:rsid w:val="00E66A47"/>
    <w:rsid w:val="00E66BA2"/>
    <w:rsid w:val="00E66BB3"/>
    <w:rsid w:val="00E66C0E"/>
    <w:rsid w:val="00E673E7"/>
    <w:rsid w:val="00E67416"/>
    <w:rsid w:val="00E674BD"/>
    <w:rsid w:val="00E67709"/>
    <w:rsid w:val="00E67C7C"/>
    <w:rsid w:val="00E67E8C"/>
    <w:rsid w:val="00E67EBF"/>
    <w:rsid w:val="00E67F64"/>
    <w:rsid w:val="00E702C1"/>
    <w:rsid w:val="00E70867"/>
    <w:rsid w:val="00E70D32"/>
    <w:rsid w:val="00E71084"/>
    <w:rsid w:val="00E713DB"/>
    <w:rsid w:val="00E71463"/>
    <w:rsid w:val="00E716F3"/>
    <w:rsid w:val="00E71850"/>
    <w:rsid w:val="00E718B6"/>
    <w:rsid w:val="00E71908"/>
    <w:rsid w:val="00E71C4C"/>
    <w:rsid w:val="00E71DCD"/>
    <w:rsid w:val="00E7227F"/>
    <w:rsid w:val="00E722A6"/>
    <w:rsid w:val="00E72385"/>
    <w:rsid w:val="00E723BA"/>
    <w:rsid w:val="00E727A0"/>
    <w:rsid w:val="00E7297F"/>
    <w:rsid w:val="00E73058"/>
    <w:rsid w:val="00E73581"/>
    <w:rsid w:val="00E73836"/>
    <w:rsid w:val="00E73DC7"/>
    <w:rsid w:val="00E744BB"/>
    <w:rsid w:val="00E746C1"/>
    <w:rsid w:val="00E746E6"/>
    <w:rsid w:val="00E74CF2"/>
    <w:rsid w:val="00E74D3F"/>
    <w:rsid w:val="00E752C9"/>
    <w:rsid w:val="00E7530F"/>
    <w:rsid w:val="00E754DD"/>
    <w:rsid w:val="00E75A33"/>
    <w:rsid w:val="00E75BAA"/>
    <w:rsid w:val="00E75E61"/>
    <w:rsid w:val="00E760B2"/>
    <w:rsid w:val="00E761F6"/>
    <w:rsid w:val="00E7620D"/>
    <w:rsid w:val="00E76270"/>
    <w:rsid w:val="00E764C7"/>
    <w:rsid w:val="00E76635"/>
    <w:rsid w:val="00E76730"/>
    <w:rsid w:val="00E7679C"/>
    <w:rsid w:val="00E76826"/>
    <w:rsid w:val="00E7684A"/>
    <w:rsid w:val="00E76A3F"/>
    <w:rsid w:val="00E76C71"/>
    <w:rsid w:val="00E76D8E"/>
    <w:rsid w:val="00E76F4C"/>
    <w:rsid w:val="00E76F89"/>
    <w:rsid w:val="00E771DE"/>
    <w:rsid w:val="00E77218"/>
    <w:rsid w:val="00E77317"/>
    <w:rsid w:val="00E7769D"/>
    <w:rsid w:val="00E77BCB"/>
    <w:rsid w:val="00E805F1"/>
    <w:rsid w:val="00E8065D"/>
    <w:rsid w:val="00E80738"/>
    <w:rsid w:val="00E80877"/>
    <w:rsid w:val="00E80B46"/>
    <w:rsid w:val="00E814E7"/>
    <w:rsid w:val="00E81774"/>
    <w:rsid w:val="00E8189A"/>
    <w:rsid w:val="00E818F9"/>
    <w:rsid w:val="00E81CBF"/>
    <w:rsid w:val="00E81DBB"/>
    <w:rsid w:val="00E81DDD"/>
    <w:rsid w:val="00E8262C"/>
    <w:rsid w:val="00E82A43"/>
    <w:rsid w:val="00E82AC6"/>
    <w:rsid w:val="00E82C69"/>
    <w:rsid w:val="00E82EB0"/>
    <w:rsid w:val="00E83349"/>
    <w:rsid w:val="00E833F7"/>
    <w:rsid w:val="00E839BB"/>
    <w:rsid w:val="00E83B6C"/>
    <w:rsid w:val="00E83BDF"/>
    <w:rsid w:val="00E83FCF"/>
    <w:rsid w:val="00E84351"/>
    <w:rsid w:val="00E8450A"/>
    <w:rsid w:val="00E847B7"/>
    <w:rsid w:val="00E84B38"/>
    <w:rsid w:val="00E84CBF"/>
    <w:rsid w:val="00E84E96"/>
    <w:rsid w:val="00E84F1E"/>
    <w:rsid w:val="00E8525C"/>
    <w:rsid w:val="00E852B6"/>
    <w:rsid w:val="00E853BA"/>
    <w:rsid w:val="00E85828"/>
    <w:rsid w:val="00E85AE1"/>
    <w:rsid w:val="00E85C8E"/>
    <w:rsid w:val="00E86127"/>
    <w:rsid w:val="00E86238"/>
    <w:rsid w:val="00E863B0"/>
    <w:rsid w:val="00E865D9"/>
    <w:rsid w:val="00E86960"/>
    <w:rsid w:val="00E86FCC"/>
    <w:rsid w:val="00E8719D"/>
    <w:rsid w:val="00E87450"/>
    <w:rsid w:val="00E87589"/>
    <w:rsid w:val="00E87A1D"/>
    <w:rsid w:val="00E87C40"/>
    <w:rsid w:val="00E902CA"/>
    <w:rsid w:val="00E9033B"/>
    <w:rsid w:val="00E904B8"/>
    <w:rsid w:val="00E90587"/>
    <w:rsid w:val="00E90627"/>
    <w:rsid w:val="00E90830"/>
    <w:rsid w:val="00E9094A"/>
    <w:rsid w:val="00E90C07"/>
    <w:rsid w:val="00E91068"/>
    <w:rsid w:val="00E910E8"/>
    <w:rsid w:val="00E912C5"/>
    <w:rsid w:val="00E9156C"/>
    <w:rsid w:val="00E91845"/>
    <w:rsid w:val="00E918BC"/>
    <w:rsid w:val="00E91AC7"/>
    <w:rsid w:val="00E91D03"/>
    <w:rsid w:val="00E91D35"/>
    <w:rsid w:val="00E91DED"/>
    <w:rsid w:val="00E91E85"/>
    <w:rsid w:val="00E9218C"/>
    <w:rsid w:val="00E9225A"/>
    <w:rsid w:val="00E92440"/>
    <w:rsid w:val="00E926A5"/>
    <w:rsid w:val="00E9274F"/>
    <w:rsid w:val="00E927B0"/>
    <w:rsid w:val="00E934C0"/>
    <w:rsid w:val="00E93687"/>
    <w:rsid w:val="00E937C0"/>
    <w:rsid w:val="00E94B3D"/>
    <w:rsid w:val="00E94C6F"/>
    <w:rsid w:val="00E94F51"/>
    <w:rsid w:val="00E957A1"/>
    <w:rsid w:val="00E95993"/>
    <w:rsid w:val="00E962CC"/>
    <w:rsid w:val="00E963BA"/>
    <w:rsid w:val="00E96541"/>
    <w:rsid w:val="00E96EF9"/>
    <w:rsid w:val="00E96F24"/>
    <w:rsid w:val="00E9719D"/>
    <w:rsid w:val="00E975CA"/>
    <w:rsid w:val="00E97BC7"/>
    <w:rsid w:val="00E97FD9"/>
    <w:rsid w:val="00EA00AC"/>
    <w:rsid w:val="00EA013A"/>
    <w:rsid w:val="00EA08D9"/>
    <w:rsid w:val="00EA0DF8"/>
    <w:rsid w:val="00EA101A"/>
    <w:rsid w:val="00EA1124"/>
    <w:rsid w:val="00EA15FA"/>
    <w:rsid w:val="00EA1757"/>
    <w:rsid w:val="00EA17C3"/>
    <w:rsid w:val="00EA19F7"/>
    <w:rsid w:val="00EA1AD8"/>
    <w:rsid w:val="00EA1F98"/>
    <w:rsid w:val="00EA202F"/>
    <w:rsid w:val="00EA23F5"/>
    <w:rsid w:val="00EA2657"/>
    <w:rsid w:val="00EA2856"/>
    <w:rsid w:val="00EA2CAA"/>
    <w:rsid w:val="00EA32AA"/>
    <w:rsid w:val="00EA32D7"/>
    <w:rsid w:val="00EA350B"/>
    <w:rsid w:val="00EA3671"/>
    <w:rsid w:val="00EA3864"/>
    <w:rsid w:val="00EA3A40"/>
    <w:rsid w:val="00EA3C44"/>
    <w:rsid w:val="00EA4131"/>
    <w:rsid w:val="00EA42E9"/>
    <w:rsid w:val="00EA48D9"/>
    <w:rsid w:val="00EA4A63"/>
    <w:rsid w:val="00EA4BCC"/>
    <w:rsid w:val="00EA4D1E"/>
    <w:rsid w:val="00EA547B"/>
    <w:rsid w:val="00EA5541"/>
    <w:rsid w:val="00EA55C2"/>
    <w:rsid w:val="00EA5BD7"/>
    <w:rsid w:val="00EA5E16"/>
    <w:rsid w:val="00EA5EF3"/>
    <w:rsid w:val="00EA6759"/>
    <w:rsid w:val="00EA6858"/>
    <w:rsid w:val="00EA6ACF"/>
    <w:rsid w:val="00EA73DF"/>
    <w:rsid w:val="00EA73FF"/>
    <w:rsid w:val="00EA76CE"/>
    <w:rsid w:val="00EA7785"/>
    <w:rsid w:val="00EA77DE"/>
    <w:rsid w:val="00EA7853"/>
    <w:rsid w:val="00EA7AEF"/>
    <w:rsid w:val="00EA7C8E"/>
    <w:rsid w:val="00EA7E60"/>
    <w:rsid w:val="00EA7F1C"/>
    <w:rsid w:val="00EB0287"/>
    <w:rsid w:val="00EB03A7"/>
    <w:rsid w:val="00EB04E9"/>
    <w:rsid w:val="00EB0B2D"/>
    <w:rsid w:val="00EB0E2D"/>
    <w:rsid w:val="00EB1487"/>
    <w:rsid w:val="00EB15B6"/>
    <w:rsid w:val="00EB1613"/>
    <w:rsid w:val="00EB1691"/>
    <w:rsid w:val="00EB173B"/>
    <w:rsid w:val="00EB19D7"/>
    <w:rsid w:val="00EB1D5E"/>
    <w:rsid w:val="00EB2396"/>
    <w:rsid w:val="00EB2827"/>
    <w:rsid w:val="00EB2987"/>
    <w:rsid w:val="00EB2988"/>
    <w:rsid w:val="00EB2C57"/>
    <w:rsid w:val="00EB2C66"/>
    <w:rsid w:val="00EB2E4F"/>
    <w:rsid w:val="00EB3235"/>
    <w:rsid w:val="00EB35B9"/>
    <w:rsid w:val="00EB35C3"/>
    <w:rsid w:val="00EB37BE"/>
    <w:rsid w:val="00EB3D06"/>
    <w:rsid w:val="00EB3F32"/>
    <w:rsid w:val="00EB3FBD"/>
    <w:rsid w:val="00EB4286"/>
    <w:rsid w:val="00EB42E3"/>
    <w:rsid w:val="00EB471A"/>
    <w:rsid w:val="00EB4887"/>
    <w:rsid w:val="00EB4916"/>
    <w:rsid w:val="00EB4958"/>
    <w:rsid w:val="00EB495A"/>
    <w:rsid w:val="00EB4A8B"/>
    <w:rsid w:val="00EB4ABD"/>
    <w:rsid w:val="00EB4B17"/>
    <w:rsid w:val="00EB4F0C"/>
    <w:rsid w:val="00EB5175"/>
    <w:rsid w:val="00EB5238"/>
    <w:rsid w:val="00EB5368"/>
    <w:rsid w:val="00EB567F"/>
    <w:rsid w:val="00EB58F0"/>
    <w:rsid w:val="00EB5B54"/>
    <w:rsid w:val="00EB5FF6"/>
    <w:rsid w:val="00EB64B6"/>
    <w:rsid w:val="00EB6EDF"/>
    <w:rsid w:val="00EB6F3D"/>
    <w:rsid w:val="00EB6F5B"/>
    <w:rsid w:val="00EB780A"/>
    <w:rsid w:val="00EB7892"/>
    <w:rsid w:val="00EC00C9"/>
    <w:rsid w:val="00EC039D"/>
    <w:rsid w:val="00EC04AA"/>
    <w:rsid w:val="00EC050D"/>
    <w:rsid w:val="00EC0605"/>
    <w:rsid w:val="00EC069B"/>
    <w:rsid w:val="00EC087C"/>
    <w:rsid w:val="00EC0DD9"/>
    <w:rsid w:val="00EC0F81"/>
    <w:rsid w:val="00EC1338"/>
    <w:rsid w:val="00EC13BC"/>
    <w:rsid w:val="00EC1E27"/>
    <w:rsid w:val="00EC1EE6"/>
    <w:rsid w:val="00EC1F24"/>
    <w:rsid w:val="00EC2051"/>
    <w:rsid w:val="00EC21CD"/>
    <w:rsid w:val="00EC257B"/>
    <w:rsid w:val="00EC2649"/>
    <w:rsid w:val="00EC2779"/>
    <w:rsid w:val="00EC2829"/>
    <w:rsid w:val="00EC2CAD"/>
    <w:rsid w:val="00EC31ED"/>
    <w:rsid w:val="00EC339B"/>
    <w:rsid w:val="00EC3612"/>
    <w:rsid w:val="00EC3647"/>
    <w:rsid w:val="00EC3701"/>
    <w:rsid w:val="00EC3B90"/>
    <w:rsid w:val="00EC3F6F"/>
    <w:rsid w:val="00EC3FE5"/>
    <w:rsid w:val="00EC4083"/>
    <w:rsid w:val="00EC4383"/>
    <w:rsid w:val="00EC4421"/>
    <w:rsid w:val="00EC4605"/>
    <w:rsid w:val="00EC4697"/>
    <w:rsid w:val="00EC4ACF"/>
    <w:rsid w:val="00EC4BDD"/>
    <w:rsid w:val="00EC53F6"/>
    <w:rsid w:val="00EC558E"/>
    <w:rsid w:val="00EC57B9"/>
    <w:rsid w:val="00EC5803"/>
    <w:rsid w:val="00EC5836"/>
    <w:rsid w:val="00EC58C1"/>
    <w:rsid w:val="00EC5A0C"/>
    <w:rsid w:val="00EC5B1E"/>
    <w:rsid w:val="00EC5F02"/>
    <w:rsid w:val="00EC635D"/>
    <w:rsid w:val="00EC6732"/>
    <w:rsid w:val="00EC688C"/>
    <w:rsid w:val="00EC6DB1"/>
    <w:rsid w:val="00EC6FD5"/>
    <w:rsid w:val="00EC76C4"/>
    <w:rsid w:val="00EC7932"/>
    <w:rsid w:val="00EC7BD3"/>
    <w:rsid w:val="00EC7DF5"/>
    <w:rsid w:val="00EC7E8D"/>
    <w:rsid w:val="00EC7F55"/>
    <w:rsid w:val="00ED044E"/>
    <w:rsid w:val="00ED0457"/>
    <w:rsid w:val="00ED064D"/>
    <w:rsid w:val="00ED0CBB"/>
    <w:rsid w:val="00ED0D53"/>
    <w:rsid w:val="00ED0F10"/>
    <w:rsid w:val="00ED12C8"/>
    <w:rsid w:val="00ED12E3"/>
    <w:rsid w:val="00ED1363"/>
    <w:rsid w:val="00ED1951"/>
    <w:rsid w:val="00ED1B10"/>
    <w:rsid w:val="00ED1C10"/>
    <w:rsid w:val="00ED1CAD"/>
    <w:rsid w:val="00ED1D07"/>
    <w:rsid w:val="00ED1E02"/>
    <w:rsid w:val="00ED21E8"/>
    <w:rsid w:val="00ED2250"/>
    <w:rsid w:val="00ED2485"/>
    <w:rsid w:val="00ED258F"/>
    <w:rsid w:val="00ED293E"/>
    <w:rsid w:val="00ED2DE0"/>
    <w:rsid w:val="00ED2ED3"/>
    <w:rsid w:val="00ED33B2"/>
    <w:rsid w:val="00ED3707"/>
    <w:rsid w:val="00ED3AEB"/>
    <w:rsid w:val="00ED4050"/>
    <w:rsid w:val="00ED411B"/>
    <w:rsid w:val="00ED412B"/>
    <w:rsid w:val="00ED4205"/>
    <w:rsid w:val="00ED4307"/>
    <w:rsid w:val="00ED4423"/>
    <w:rsid w:val="00ED4A57"/>
    <w:rsid w:val="00ED4B04"/>
    <w:rsid w:val="00ED4C6B"/>
    <w:rsid w:val="00ED5040"/>
    <w:rsid w:val="00ED5063"/>
    <w:rsid w:val="00ED5247"/>
    <w:rsid w:val="00ED57EA"/>
    <w:rsid w:val="00ED5928"/>
    <w:rsid w:val="00ED5B1A"/>
    <w:rsid w:val="00ED5BCC"/>
    <w:rsid w:val="00ED5BD4"/>
    <w:rsid w:val="00ED5F58"/>
    <w:rsid w:val="00ED6123"/>
    <w:rsid w:val="00ED6225"/>
    <w:rsid w:val="00ED6DC2"/>
    <w:rsid w:val="00ED7444"/>
    <w:rsid w:val="00ED7624"/>
    <w:rsid w:val="00ED78C3"/>
    <w:rsid w:val="00EE07D3"/>
    <w:rsid w:val="00EE0FE5"/>
    <w:rsid w:val="00EE17D6"/>
    <w:rsid w:val="00EE1996"/>
    <w:rsid w:val="00EE1C01"/>
    <w:rsid w:val="00EE1C51"/>
    <w:rsid w:val="00EE1F23"/>
    <w:rsid w:val="00EE2140"/>
    <w:rsid w:val="00EE22AF"/>
    <w:rsid w:val="00EE2546"/>
    <w:rsid w:val="00EE2934"/>
    <w:rsid w:val="00EE2BAF"/>
    <w:rsid w:val="00EE304F"/>
    <w:rsid w:val="00EE315B"/>
    <w:rsid w:val="00EE3696"/>
    <w:rsid w:val="00EE4363"/>
    <w:rsid w:val="00EE43DC"/>
    <w:rsid w:val="00EE44C8"/>
    <w:rsid w:val="00EE489F"/>
    <w:rsid w:val="00EE4C5A"/>
    <w:rsid w:val="00EE4E16"/>
    <w:rsid w:val="00EE50B4"/>
    <w:rsid w:val="00EE530C"/>
    <w:rsid w:val="00EE53C0"/>
    <w:rsid w:val="00EE542E"/>
    <w:rsid w:val="00EE5B4A"/>
    <w:rsid w:val="00EE5FEF"/>
    <w:rsid w:val="00EE6111"/>
    <w:rsid w:val="00EE6138"/>
    <w:rsid w:val="00EE6177"/>
    <w:rsid w:val="00EE6601"/>
    <w:rsid w:val="00EE6623"/>
    <w:rsid w:val="00EE705F"/>
    <w:rsid w:val="00EE71F1"/>
    <w:rsid w:val="00EE73F5"/>
    <w:rsid w:val="00EE75A1"/>
    <w:rsid w:val="00EE75CA"/>
    <w:rsid w:val="00EE7DB9"/>
    <w:rsid w:val="00EF0171"/>
    <w:rsid w:val="00EF02DF"/>
    <w:rsid w:val="00EF0402"/>
    <w:rsid w:val="00EF043E"/>
    <w:rsid w:val="00EF09B6"/>
    <w:rsid w:val="00EF0BBE"/>
    <w:rsid w:val="00EF0FF7"/>
    <w:rsid w:val="00EF1345"/>
    <w:rsid w:val="00EF13BB"/>
    <w:rsid w:val="00EF1B25"/>
    <w:rsid w:val="00EF1DA0"/>
    <w:rsid w:val="00EF1EDD"/>
    <w:rsid w:val="00EF2084"/>
    <w:rsid w:val="00EF27C6"/>
    <w:rsid w:val="00EF282D"/>
    <w:rsid w:val="00EF2D5A"/>
    <w:rsid w:val="00EF3226"/>
    <w:rsid w:val="00EF341A"/>
    <w:rsid w:val="00EF345A"/>
    <w:rsid w:val="00EF3882"/>
    <w:rsid w:val="00EF39E7"/>
    <w:rsid w:val="00EF3B91"/>
    <w:rsid w:val="00EF3E0A"/>
    <w:rsid w:val="00EF3E12"/>
    <w:rsid w:val="00EF3E9B"/>
    <w:rsid w:val="00EF3FBB"/>
    <w:rsid w:val="00EF4338"/>
    <w:rsid w:val="00EF4747"/>
    <w:rsid w:val="00EF49B4"/>
    <w:rsid w:val="00EF4BF8"/>
    <w:rsid w:val="00EF4DD0"/>
    <w:rsid w:val="00EF5524"/>
    <w:rsid w:val="00EF5E82"/>
    <w:rsid w:val="00EF5F47"/>
    <w:rsid w:val="00EF602C"/>
    <w:rsid w:val="00EF6BDF"/>
    <w:rsid w:val="00EF6F70"/>
    <w:rsid w:val="00EF71D2"/>
    <w:rsid w:val="00EF72F2"/>
    <w:rsid w:val="00EF7362"/>
    <w:rsid w:val="00EF7418"/>
    <w:rsid w:val="00EF7BA8"/>
    <w:rsid w:val="00F0049C"/>
    <w:rsid w:val="00F004FE"/>
    <w:rsid w:val="00F0086C"/>
    <w:rsid w:val="00F00A4C"/>
    <w:rsid w:val="00F00D8C"/>
    <w:rsid w:val="00F01895"/>
    <w:rsid w:val="00F01B5E"/>
    <w:rsid w:val="00F01D30"/>
    <w:rsid w:val="00F01E39"/>
    <w:rsid w:val="00F02253"/>
    <w:rsid w:val="00F0229A"/>
    <w:rsid w:val="00F0236D"/>
    <w:rsid w:val="00F024D0"/>
    <w:rsid w:val="00F02978"/>
    <w:rsid w:val="00F02C08"/>
    <w:rsid w:val="00F03B8F"/>
    <w:rsid w:val="00F03C2E"/>
    <w:rsid w:val="00F03C6A"/>
    <w:rsid w:val="00F03ECE"/>
    <w:rsid w:val="00F04883"/>
    <w:rsid w:val="00F04892"/>
    <w:rsid w:val="00F04A66"/>
    <w:rsid w:val="00F04B4B"/>
    <w:rsid w:val="00F04BA5"/>
    <w:rsid w:val="00F0516C"/>
    <w:rsid w:val="00F054EE"/>
    <w:rsid w:val="00F05BC2"/>
    <w:rsid w:val="00F06172"/>
    <w:rsid w:val="00F06326"/>
    <w:rsid w:val="00F067A2"/>
    <w:rsid w:val="00F06B61"/>
    <w:rsid w:val="00F0710E"/>
    <w:rsid w:val="00F0716B"/>
    <w:rsid w:val="00F0768C"/>
    <w:rsid w:val="00F07B9E"/>
    <w:rsid w:val="00F07C73"/>
    <w:rsid w:val="00F07D01"/>
    <w:rsid w:val="00F07D42"/>
    <w:rsid w:val="00F07FCA"/>
    <w:rsid w:val="00F10013"/>
    <w:rsid w:val="00F10078"/>
    <w:rsid w:val="00F1039B"/>
    <w:rsid w:val="00F10B31"/>
    <w:rsid w:val="00F10C91"/>
    <w:rsid w:val="00F10DC5"/>
    <w:rsid w:val="00F110E0"/>
    <w:rsid w:val="00F1116F"/>
    <w:rsid w:val="00F1125C"/>
    <w:rsid w:val="00F112C9"/>
    <w:rsid w:val="00F114D0"/>
    <w:rsid w:val="00F11660"/>
    <w:rsid w:val="00F11B3D"/>
    <w:rsid w:val="00F11D5D"/>
    <w:rsid w:val="00F1205C"/>
    <w:rsid w:val="00F12342"/>
    <w:rsid w:val="00F1263A"/>
    <w:rsid w:val="00F126DF"/>
    <w:rsid w:val="00F12CD0"/>
    <w:rsid w:val="00F130A0"/>
    <w:rsid w:val="00F1317B"/>
    <w:rsid w:val="00F13965"/>
    <w:rsid w:val="00F139A7"/>
    <w:rsid w:val="00F139C5"/>
    <w:rsid w:val="00F13AEC"/>
    <w:rsid w:val="00F13D06"/>
    <w:rsid w:val="00F142CD"/>
    <w:rsid w:val="00F14836"/>
    <w:rsid w:val="00F14CBA"/>
    <w:rsid w:val="00F14EC8"/>
    <w:rsid w:val="00F153AE"/>
    <w:rsid w:val="00F15B77"/>
    <w:rsid w:val="00F1622E"/>
    <w:rsid w:val="00F16264"/>
    <w:rsid w:val="00F165FD"/>
    <w:rsid w:val="00F169EE"/>
    <w:rsid w:val="00F16C10"/>
    <w:rsid w:val="00F16C66"/>
    <w:rsid w:val="00F16DD6"/>
    <w:rsid w:val="00F16EC1"/>
    <w:rsid w:val="00F1700D"/>
    <w:rsid w:val="00F177E0"/>
    <w:rsid w:val="00F179D8"/>
    <w:rsid w:val="00F17F08"/>
    <w:rsid w:val="00F20197"/>
    <w:rsid w:val="00F204BB"/>
    <w:rsid w:val="00F207B4"/>
    <w:rsid w:val="00F21236"/>
    <w:rsid w:val="00F2160E"/>
    <w:rsid w:val="00F21899"/>
    <w:rsid w:val="00F219DA"/>
    <w:rsid w:val="00F21A13"/>
    <w:rsid w:val="00F21A3A"/>
    <w:rsid w:val="00F21F60"/>
    <w:rsid w:val="00F22961"/>
    <w:rsid w:val="00F22CB7"/>
    <w:rsid w:val="00F233A0"/>
    <w:rsid w:val="00F23460"/>
    <w:rsid w:val="00F23598"/>
    <w:rsid w:val="00F23733"/>
    <w:rsid w:val="00F23759"/>
    <w:rsid w:val="00F238C9"/>
    <w:rsid w:val="00F239DF"/>
    <w:rsid w:val="00F24082"/>
    <w:rsid w:val="00F24295"/>
    <w:rsid w:val="00F244AB"/>
    <w:rsid w:val="00F244C4"/>
    <w:rsid w:val="00F24677"/>
    <w:rsid w:val="00F247A2"/>
    <w:rsid w:val="00F247D5"/>
    <w:rsid w:val="00F24837"/>
    <w:rsid w:val="00F24A23"/>
    <w:rsid w:val="00F250B8"/>
    <w:rsid w:val="00F2568A"/>
    <w:rsid w:val="00F2575F"/>
    <w:rsid w:val="00F257A6"/>
    <w:rsid w:val="00F257B1"/>
    <w:rsid w:val="00F2624E"/>
    <w:rsid w:val="00F2637B"/>
    <w:rsid w:val="00F266AE"/>
    <w:rsid w:val="00F267AC"/>
    <w:rsid w:val="00F26970"/>
    <w:rsid w:val="00F26C04"/>
    <w:rsid w:val="00F26C82"/>
    <w:rsid w:val="00F27195"/>
    <w:rsid w:val="00F27380"/>
    <w:rsid w:val="00F27565"/>
    <w:rsid w:val="00F2792B"/>
    <w:rsid w:val="00F27ABF"/>
    <w:rsid w:val="00F27B86"/>
    <w:rsid w:val="00F27BA6"/>
    <w:rsid w:val="00F27BED"/>
    <w:rsid w:val="00F3097D"/>
    <w:rsid w:val="00F30C97"/>
    <w:rsid w:val="00F30D18"/>
    <w:rsid w:val="00F310D4"/>
    <w:rsid w:val="00F312A1"/>
    <w:rsid w:val="00F3131C"/>
    <w:rsid w:val="00F314C8"/>
    <w:rsid w:val="00F31552"/>
    <w:rsid w:val="00F315B6"/>
    <w:rsid w:val="00F316B6"/>
    <w:rsid w:val="00F31958"/>
    <w:rsid w:val="00F31B93"/>
    <w:rsid w:val="00F31BA5"/>
    <w:rsid w:val="00F31D5A"/>
    <w:rsid w:val="00F31F23"/>
    <w:rsid w:val="00F32106"/>
    <w:rsid w:val="00F32A8E"/>
    <w:rsid w:val="00F32B1A"/>
    <w:rsid w:val="00F32BB7"/>
    <w:rsid w:val="00F32BFD"/>
    <w:rsid w:val="00F32E30"/>
    <w:rsid w:val="00F33048"/>
    <w:rsid w:val="00F330A3"/>
    <w:rsid w:val="00F33369"/>
    <w:rsid w:val="00F3337D"/>
    <w:rsid w:val="00F33459"/>
    <w:rsid w:val="00F3347A"/>
    <w:rsid w:val="00F334D7"/>
    <w:rsid w:val="00F33513"/>
    <w:rsid w:val="00F33639"/>
    <w:rsid w:val="00F337C8"/>
    <w:rsid w:val="00F33975"/>
    <w:rsid w:val="00F33AA9"/>
    <w:rsid w:val="00F33B9D"/>
    <w:rsid w:val="00F33DE9"/>
    <w:rsid w:val="00F3435F"/>
    <w:rsid w:val="00F34E46"/>
    <w:rsid w:val="00F35497"/>
    <w:rsid w:val="00F35596"/>
    <w:rsid w:val="00F3562A"/>
    <w:rsid w:val="00F35B7E"/>
    <w:rsid w:val="00F35E6D"/>
    <w:rsid w:val="00F3619A"/>
    <w:rsid w:val="00F36273"/>
    <w:rsid w:val="00F36768"/>
    <w:rsid w:val="00F36C54"/>
    <w:rsid w:val="00F36CA8"/>
    <w:rsid w:val="00F36F7D"/>
    <w:rsid w:val="00F36FA3"/>
    <w:rsid w:val="00F37247"/>
    <w:rsid w:val="00F374B6"/>
    <w:rsid w:val="00F37776"/>
    <w:rsid w:val="00F377E0"/>
    <w:rsid w:val="00F37E92"/>
    <w:rsid w:val="00F37FF3"/>
    <w:rsid w:val="00F400E2"/>
    <w:rsid w:val="00F40AAA"/>
    <w:rsid w:val="00F40BA7"/>
    <w:rsid w:val="00F40F9D"/>
    <w:rsid w:val="00F411E9"/>
    <w:rsid w:val="00F419E0"/>
    <w:rsid w:val="00F41ACD"/>
    <w:rsid w:val="00F41EE0"/>
    <w:rsid w:val="00F41F6F"/>
    <w:rsid w:val="00F4220F"/>
    <w:rsid w:val="00F42238"/>
    <w:rsid w:val="00F42464"/>
    <w:rsid w:val="00F42B40"/>
    <w:rsid w:val="00F42C87"/>
    <w:rsid w:val="00F42D3F"/>
    <w:rsid w:val="00F42EC0"/>
    <w:rsid w:val="00F4328B"/>
    <w:rsid w:val="00F434AE"/>
    <w:rsid w:val="00F437EF"/>
    <w:rsid w:val="00F438EC"/>
    <w:rsid w:val="00F43B37"/>
    <w:rsid w:val="00F43C8C"/>
    <w:rsid w:val="00F43CD3"/>
    <w:rsid w:val="00F43D91"/>
    <w:rsid w:val="00F44521"/>
    <w:rsid w:val="00F44A58"/>
    <w:rsid w:val="00F44C70"/>
    <w:rsid w:val="00F456FF"/>
    <w:rsid w:val="00F457D2"/>
    <w:rsid w:val="00F45A52"/>
    <w:rsid w:val="00F45AE6"/>
    <w:rsid w:val="00F460DB"/>
    <w:rsid w:val="00F460E5"/>
    <w:rsid w:val="00F461E0"/>
    <w:rsid w:val="00F463D9"/>
    <w:rsid w:val="00F46B2F"/>
    <w:rsid w:val="00F46B67"/>
    <w:rsid w:val="00F46CAD"/>
    <w:rsid w:val="00F46CB6"/>
    <w:rsid w:val="00F470BD"/>
    <w:rsid w:val="00F4756D"/>
    <w:rsid w:val="00F4767E"/>
    <w:rsid w:val="00F4776A"/>
    <w:rsid w:val="00F47949"/>
    <w:rsid w:val="00F479F7"/>
    <w:rsid w:val="00F47A0F"/>
    <w:rsid w:val="00F47A68"/>
    <w:rsid w:val="00F47CF9"/>
    <w:rsid w:val="00F47DE8"/>
    <w:rsid w:val="00F47F8D"/>
    <w:rsid w:val="00F47FA2"/>
    <w:rsid w:val="00F4DFB1"/>
    <w:rsid w:val="00F50378"/>
    <w:rsid w:val="00F506AC"/>
    <w:rsid w:val="00F50D6E"/>
    <w:rsid w:val="00F5126C"/>
    <w:rsid w:val="00F514A4"/>
    <w:rsid w:val="00F514D9"/>
    <w:rsid w:val="00F515DF"/>
    <w:rsid w:val="00F51A2F"/>
    <w:rsid w:val="00F51AC4"/>
    <w:rsid w:val="00F51CDB"/>
    <w:rsid w:val="00F52AE9"/>
    <w:rsid w:val="00F52D4E"/>
    <w:rsid w:val="00F5304C"/>
    <w:rsid w:val="00F532F9"/>
    <w:rsid w:val="00F53325"/>
    <w:rsid w:val="00F535ED"/>
    <w:rsid w:val="00F53C56"/>
    <w:rsid w:val="00F53EB9"/>
    <w:rsid w:val="00F542C1"/>
    <w:rsid w:val="00F550E3"/>
    <w:rsid w:val="00F55210"/>
    <w:rsid w:val="00F557D3"/>
    <w:rsid w:val="00F55C7E"/>
    <w:rsid w:val="00F55D57"/>
    <w:rsid w:val="00F55E73"/>
    <w:rsid w:val="00F55EDA"/>
    <w:rsid w:val="00F5614F"/>
    <w:rsid w:val="00F5659E"/>
    <w:rsid w:val="00F56C80"/>
    <w:rsid w:val="00F56DA3"/>
    <w:rsid w:val="00F56E08"/>
    <w:rsid w:val="00F56F4F"/>
    <w:rsid w:val="00F5700F"/>
    <w:rsid w:val="00F57487"/>
    <w:rsid w:val="00F576B5"/>
    <w:rsid w:val="00F5774E"/>
    <w:rsid w:val="00F57A0E"/>
    <w:rsid w:val="00F57B29"/>
    <w:rsid w:val="00F57D00"/>
    <w:rsid w:val="00F57DAA"/>
    <w:rsid w:val="00F57E56"/>
    <w:rsid w:val="00F60092"/>
    <w:rsid w:val="00F601B8"/>
    <w:rsid w:val="00F603E5"/>
    <w:rsid w:val="00F609AE"/>
    <w:rsid w:val="00F60B1E"/>
    <w:rsid w:val="00F6105F"/>
    <w:rsid w:val="00F6186E"/>
    <w:rsid w:val="00F61C18"/>
    <w:rsid w:val="00F61E87"/>
    <w:rsid w:val="00F624C2"/>
    <w:rsid w:val="00F62563"/>
    <w:rsid w:val="00F6265F"/>
    <w:rsid w:val="00F62A3E"/>
    <w:rsid w:val="00F62E42"/>
    <w:rsid w:val="00F62E6A"/>
    <w:rsid w:val="00F63006"/>
    <w:rsid w:val="00F6314B"/>
    <w:rsid w:val="00F6349B"/>
    <w:rsid w:val="00F637B2"/>
    <w:rsid w:val="00F63CCA"/>
    <w:rsid w:val="00F645BA"/>
    <w:rsid w:val="00F6464C"/>
    <w:rsid w:val="00F6470B"/>
    <w:rsid w:val="00F647E8"/>
    <w:rsid w:val="00F64891"/>
    <w:rsid w:val="00F64991"/>
    <w:rsid w:val="00F64CB2"/>
    <w:rsid w:val="00F65173"/>
    <w:rsid w:val="00F65174"/>
    <w:rsid w:val="00F65857"/>
    <w:rsid w:val="00F65992"/>
    <w:rsid w:val="00F65A2F"/>
    <w:rsid w:val="00F65F4B"/>
    <w:rsid w:val="00F660AB"/>
    <w:rsid w:val="00F661F2"/>
    <w:rsid w:val="00F6629D"/>
    <w:rsid w:val="00F662A0"/>
    <w:rsid w:val="00F668B8"/>
    <w:rsid w:val="00F66CA6"/>
    <w:rsid w:val="00F675E4"/>
    <w:rsid w:val="00F67966"/>
    <w:rsid w:val="00F67A69"/>
    <w:rsid w:val="00F67A7D"/>
    <w:rsid w:val="00F67BB4"/>
    <w:rsid w:val="00F7020A"/>
    <w:rsid w:val="00F70711"/>
    <w:rsid w:val="00F7082B"/>
    <w:rsid w:val="00F70AF8"/>
    <w:rsid w:val="00F70BFF"/>
    <w:rsid w:val="00F70C9D"/>
    <w:rsid w:val="00F71385"/>
    <w:rsid w:val="00F714B9"/>
    <w:rsid w:val="00F7164A"/>
    <w:rsid w:val="00F716AF"/>
    <w:rsid w:val="00F71965"/>
    <w:rsid w:val="00F71F7B"/>
    <w:rsid w:val="00F720F1"/>
    <w:rsid w:val="00F72217"/>
    <w:rsid w:val="00F7228B"/>
    <w:rsid w:val="00F727B3"/>
    <w:rsid w:val="00F72C11"/>
    <w:rsid w:val="00F72EC6"/>
    <w:rsid w:val="00F73555"/>
    <w:rsid w:val="00F73882"/>
    <w:rsid w:val="00F738F8"/>
    <w:rsid w:val="00F73E08"/>
    <w:rsid w:val="00F73F68"/>
    <w:rsid w:val="00F7410A"/>
    <w:rsid w:val="00F7449F"/>
    <w:rsid w:val="00F74742"/>
    <w:rsid w:val="00F74789"/>
    <w:rsid w:val="00F74973"/>
    <w:rsid w:val="00F74CD9"/>
    <w:rsid w:val="00F74DA1"/>
    <w:rsid w:val="00F74EC2"/>
    <w:rsid w:val="00F74F73"/>
    <w:rsid w:val="00F75039"/>
    <w:rsid w:val="00F75667"/>
    <w:rsid w:val="00F756AD"/>
    <w:rsid w:val="00F75D51"/>
    <w:rsid w:val="00F75D82"/>
    <w:rsid w:val="00F7639F"/>
    <w:rsid w:val="00F763F6"/>
    <w:rsid w:val="00F766BF"/>
    <w:rsid w:val="00F76E05"/>
    <w:rsid w:val="00F76E3A"/>
    <w:rsid w:val="00F76E54"/>
    <w:rsid w:val="00F773A6"/>
    <w:rsid w:val="00F77481"/>
    <w:rsid w:val="00F7757E"/>
    <w:rsid w:val="00F77B16"/>
    <w:rsid w:val="00F77C05"/>
    <w:rsid w:val="00F77E29"/>
    <w:rsid w:val="00F77EA4"/>
    <w:rsid w:val="00F800A7"/>
    <w:rsid w:val="00F80A29"/>
    <w:rsid w:val="00F80A7B"/>
    <w:rsid w:val="00F80C13"/>
    <w:rsid w:val="00F80E5D"/>
    <w:rsid w:val="00F80F76"/>
    <w:rsid w:val="00F8168E"/>
    <w:rsid w:val="00F8170A"/>
    <w:rsid w:val="00F817D7"/>
    <w:rsid w:val="00F818FD"/>
    <w:rsid w:val="00F81D8F"/>
    <w:rsid w:val="00F81E78"/>
    <w:rsid w:val="00F82010"/>
    <w:rsid w:val="00F82084"/>
    <w:rsid w:val="00F82CFB"/>
    <w:rsid w:val="00F82E7F"/>
    <w:rsid w:val="00F8310B"/>
    <w:rsid w:val="00F8331D"/>
    <w:rsid w:val="00F8333E"/>
    <w:rsid w:val="00F83438"/>
    <w:rsid w:val="00F837EF"/>
    <w:rsid w:val="00F838A1"/>
    <w:rsid w:val="00F83916"/>
    <w:rsid w:val="00F83E72"/>
    <w:rsid w:val="00F8448E"/>
    <w:rsid w:val="00F848BB"/>
    <w:rsid w:val="00F848D7"/>
    <w:rsid w:val="00F848DD"/>
    <w:rsid w:val="00F84AAF"/>
    <w:rsid w:val="00F851CE"/>
    <w:rsid w:val="00F853E7"/>
    <w:rsid w:val="00F85529"/>
    <w:rsid w:val="00F8558A"/>
    <w:rsid w:val="00F85D51"/>
    <w:rsid w:val="00F8601B"/>
    <w:rsid w:val="00F864D0"/>
    <w:rsid w:val="00F864D7"/>
    <w:rsid w:val="00F868CE"/>
    <w:rsid w:val="00F87383"/>
    <w:rsid w:val="00F875D1"/>
    <w:rsid w:val="00F878E5"/>
    <w:rsid w:val="00F87BB4"/>
    <w:rsid w:val="00F87C5E"/>
    <w:rsid w:val="00F907AB"/>
    <w:rsid w:val="00F90985"/>
    <w:rsid w:val="00F91219"/>
    <w:rsid w:val="00F91656"/>
    <w:rsid w:val="00F917C2"/>
    <w:rsid w:val="00F91F5D"/>
    <w:rsid w:val="00F92349"/>
    <w:rsid w:val="00F92444"/>
    <w:rsid w:val="00F92A12"/>
    <w:rsid w:val="00F92D8F"/>
    <w:rsid w:val="00F92F4B"/>
    <w:rsid w:val="00F930CB"/>
    <w:rsid w:val="00F93123"/>
    <w:rsid w:val="00F93654"/>
    <w:rsid w:val="00F9393E"/>
    <w:rsid w:val="00F93ACC"/>
    <w:rsid w:val="00F93B38"/>
    <w:rsid w:val="00F93DB5"/>
    <w:rsid w:val="00F944C0"/>
    <w:rsid w:val="00F9478B"/>
    <w:rsid w:val="00F94B4E"/>
    <w:rsid w:val="00F94BDD"/>
    <w:rsid w:val="00F94BF6"/>
    <w:rsid w:val="00F94F4C"/>
    <w:rsid w:val="00F94FC6"/>
    <w:rsid w:val="00F95369"/>
    <w:rsid w:val="00F953C1"/>
    <w:rsid w:val="00F955B6"/>
    <w:rsid w:val="00F955D1"/>
    <w:rsid w:val="00F95705"/>
    <w:rsid w:val="00F9585E"/>
    <w:rsid w:val="00F95AA5"/>
    <w:rsid w:val="00F95DD4"/>
    <w:rsid w:val="00F96091"/>
    <w:rsid w:val="00F9646E"/>
    <w:rsid w:val="00F968CD"/>
    <w:rsid w:val="00F96D77"/>
    <w:rsid w:val="00F96FD0"/>
    <w:rsid w:val="00F9759E"/>
    <w:rsid w:val="00F97A78"/>
    <w:rsid w:val="00F97CA4"/>
    <w:rsid w:val="00F97DD8"/>
    <w:rsid w:val="00F97F65"/>
    <w:rsid w:val="00FA07C3"/>
    <w:rsid w:val="00FA0AD5"/>
    <w:rsid w:val="00FA0B20"/>
    <w:rsid w:val="00FA0D28"/>
    <w:rsid w:val="00FA0D62"/>
    <w:rsid w:val="00FA0D99"/>
    <w:rsid w:val="00FA1387"/>
    <w:rsid w:val="00FA142A"/>
    <w:rsid w:val="00FA14D7"/>
    <w:rsid w:val="00FA1696"/>
    <w:rsid w:val="00FA185B"/>
    <w:rsid w:val="00FA1A7E"/>
    <w:rsid w:val="00FA23A1"/>
    <w:rsid w:val="00FA24E7"/>
    <w:rsid w:val="00FA29A2"/>
    <w:rsid w:val="00FA2A55"/>
    <w:rsid w:val="00FA2D5B"/>
    <w:rsid w:val="00FA303F"/>
    <w:rsid w:val="00FA345D"/>
    <w:rsid w:val="00FA3639"/>
    <w:rsid w:val="00FA377F"/>
    <w:rsid w:val="00FA3BC5"/>
    <w:rsid w:val="00FA41F5"/>
    <w:rsid w:val="00FA4305"/>
    <w:rsid w:val="00FA43DD"/>
    <w:rsid w:val="00FA46B3"/>
    <w:rsid w:val="00FA48C0"/>
    <w:rsid w:val="00FA4C12"/>
    <w:rsid w:val="00FA4E98"/>
    <w:rsid w:val="00FA4EA8"/>
    <w:rsid w:val="00FA5231"/>
    <w:rsid w:val="00FA59C9"/>
    <w:rsid w:val="00FA5ED7"/>
    <w:rsid w:val="00FA5EE6"/>
    <w:rsid w:val="00FA61C1"/>
    <w:rsid w:val="00FA61D5"/>
    <w:rsid w:val="00FA67C8"/>
    <w:rsid w:val="00FA68C6"/>
    <w:rsid w:val="00FA73DE"/>
    <w:rsid w:val="00FA73FB"/>
    <w:rsid w:val="00FA7956"/>
    <w:rsid w:val="00FA7EB9"/>
    <w:rsid w:val="00FB022E"/>
    <w:rsid w:val="00FB0526"/>
    <w:rsid w:val="00FB0708"/>
    <w:rsid w:val="00FB0824"/>
    <w:rsid w:val="00FB0AF1"/>
    <w:rsid w:val="00FB0D0E"/>
    <w:rsid w:val="00FB0E39"/>
    <w:rsid w:val="00FB0ED2"/>
    <w:rsid w:val="00FB106B"/>
    <w:rsid w:val="00FB12C3"/>
    <w:rsid w:val="00FB17B4"/>
    <w:rsid w:val="00FB1B32"/>
    <w:rsid w:val="00FB1DD3"/>
    <w:rsid w:val="00FB1DF7"/>
    <w:rsid w:val="00FB1FFE"/>
    <w:rsid w:val="00FB204F"/>
    <w:rsid w:val="00FB228C"/>
    <w:rsid w:val="00FB2D66"/>
    <w:rsid w:val="00FB2F9F"/>
    <w:rsid w:val="00FB2FCB"/>
    <w:rsid w:val="00FB3167"/>
    <w:rsid w:val="00FB3390"/>
    <w:rsid w:val="00FB378B"/>
    <w:rsid w:val="00FB3BE4"/>
    <w:rsid w:val="00FB3DE3"/>
    <w:rsid w:val="00FB3EEE"/>
    <w:rsid w:val="00FB3FA3"/>
    <w:rsid w:val="00FB4C9C"/>
    <w:rsid w:val="00FB4E18"/>
    <w:rsid w:val="00FB509B"/>
    <w:rsid w:val="00FB55C2"/>
    <w:rsid w:val="00FB586C"/>
    <w:rsid w:val="00FB5FE9"/>
    <w:rsid w:val="00FB64CC"/>
    <w:rsid w:val="00FB6541"/>
    <w:rsid w:val="00FB6633"/>
    <w:rsid w:val="00FB6814"/>
    <w:rsid w:val="00FB6AB7"/>
    <w:rsid w:val="00FB6CE1"/>
    <w:rsid w:val="00FB6FEB"/>
    <w:rsid w:val="00FB7B5B"/>
    <w:rsid w:val="00FB7C55"/>
    <w:rsid w:val="00FB7E35"/>
    <w:rsid w:val="00FC014C"/>
    <w:rsid w:val="00FC01A5"/>
    <w:rsid w:val="00FC041B"/>
    <w:rsid w:val="00FC05AE"/>
    <w:rsid w:val="00FC100E"/>
    <w:rsid w:val="00FC1074"/>
    <w:rsid w:val="00FC14F4"/>
    <w:rsid w:val="00FC1884"/>
    <w:rsid w:val="00FC1A4D"/>
    <w:rsid w:val="00FC1FC6"/>
    <w:rsid w:val="00FC207B"/>
    <w:rsid w:val="00FC223D"/>
    <w:rsid w:val="00FC23B3"/>
    <w:rsid w:val="00FC23C6"/>
    <w:rsid w:val="00FC25EF"/>
    <w:rsid w:val="00FC284D"/>
    <w:rsid w:val="00FC2F27"/>
    <w:rsid w:val="00FC370E"/>
    <w:rsid w:val="00FC371D"/>
    <w:rsid w:val="00FC3CEB"/>
    <w:rsid w:val="00FC3D13"/>
    <w:rsid w:val="00FC40A4"/>
    <w:rsid w:val="00FC440F"/>
    <w:rsid w:val="00FC4519"/>
    <w:rsid w:val="00FC4664"/>
    <w:rsid w:val="00FC4816"/>
    <w:rsid w:val="00FC4CF5"/>
    <w:rsid w:val="00FC4D50"/>
    <w:rsid w:val="00FC4D94"/>
    <w:rsid w:val="00FC52D1"/>
    <w:rsid w:val="00FC55F4"/>
    <w:rsid w:val="00FC56CE"/>
    <w:rsid w:val="00FC5797"/>
    <w:rsid w:val="00FC5940"/>
    <w:rsid w:val="00FC5EED"/>
    <w:rsid w:val="00FC5F0B"/>
    <w:rsid w:val="00FC6ADC"/>
    <w:rsid w:val="00FC6B89"/>
    <w:rsid w:val="00FC6D24"/>
    <w:rsid w:val="00FC7605"/>
    <w:rsid w:val="00FC7607"/>
    <w:rsid w:val="00FC783C"/>
    <w:rsid w:val="00FC785D"/>
    <w:rsid w:val="00FC78D4"/>
    <w:rsid w:val="00FC797F"/>
    <w:rsid w:val="00FC7C98"/>
    <w:rsid w:val="00FC7DC8"/>
    <w:rsid w:val="00FD013E"/>
    <w:rsid w:val="00FD0242"/>
    <w:rsid w:val="00FD0261"/>
    <w:rsid w:val="00FD0469"/>
    <w:rsid w:val="00FD04B4"/>
    <w:rsid w:val="00FD0B36"/>
    <w:rsid w:val="00FD0B5A"/>
    <w:rsid w:val="00FD0DE1"/>
    <w:rsid w:val="00FD1278"/>
    <w:rsid w:val="00FD1760"/>
    <w:rsid w:val="00FD1A20"/>
    <w:rsid w:val="00FD1AA3"/>
    <w:rsid w:val="00FD2100"/>
    <w:rsid w:val="00FD2233"/>
    <w:rsid w:val="00FD276F"/>
    <w:rsid w:val="00FD2988"/>
    <w:rsid w:val="00FD2D9A"/>
    <w:rsid w:val="00FD310D"/>
    <w:rsid w:val="00FD365F"/>
    <w:rsid w:val="00FD3EBE"/>
    <w:rsid w:val="00FD436C"/>
    <w:rsid w:val="00FD446D"/>
    <w:rsid w:val="00FD467C"/>
    <w:rsid w:val="00FD49CB"/>
    <w:rsid w:val="00FD4F04"/>
    <w:rsid w:val="00FD4F2C"/>
    <w:rsid w:val="00FD50B4"/>
    <w:rsid w:val="00FD51BB"/>
    <w:rsid w:val="00FD53E9"/>
    <w:rsid w:val="00FD55EB"/>
    <w:rsid w:val="00FD581B"/>
    <w:rsid w:val="00FD5840"/>
    <w:rsid w:val="00FD58A8"/>
    <w:rsid w:val="00FD58CC"/>
    <w:rsid w:val="00FD59FB"/>
    <w:rsid w:val="00FD6394"/>
    <w:rsid w:val="00FD656A"/>
    <w:rsid w:val="00FD65B1"/>
    <w:rsid w:val="00FD6625"/>
    <w:rsid w:val="00FD66D2"/>
    <w:rsid w:val="00FD70B2"/>
    <w:rsid w:val="00FD70C8"/>
    <w:rsid w:val="00FD75FE"/>
    <w:rsid w:val="00FD78EA"/>
    <w:rsid w:val="00FD7C2D"/>
    <w:rsid w:val="00FD7DFD"/>
    <w:rsid w:val="00FD7F16"/>
    <w:rsid w:val="00FE0770"/>
    <w:rsid w:val="00FE0790"/>
    <w:rsid w:val="00FE0927"/>
    <w:rsid w:val="00FE0E6C"/>
    <w:rsid w:val="00FE124E"/>
    <w:rsid w:val="00FE1561"/>
    <w:rsid w:val="00FE1CDC"/>
    <w:rsid w:val="00FE1D94"/>
    <w:rsid w:val="00FE1E58"/>
    <w:rsid w:val="00FE1E8C"/>
    <w:rsid w:val="00FE21E7"/>
    <w:rsid w:val="00FE2439"/>
    <w:rsid w:val="00FE28C8"/>
    <w:rsid w:val="00FE30B5"/>
    <w:rsid w:val="00FE3287"/>
    <w:rsid w:val="00FE3E5F"/>
    <w:rsid w:val="00FE4775"/>
    <w:rsid w:val="00FE4E62"/>
    <w:rsid w:val="00FE5148"/>
    <w:rsid w:val="00FE5202"/>
    <w:rsid w:val="00FE53D1"/>
    <w:rsid w:val="00FE5A01"/>
    <w:rsid w:val="00FE623A"/>
    <w:rsid w:val="00FE6655"/>
    <w:rsid w:val="00FE6905"/>
    <w:rsid w:val="00FE696B"/>
    <w:rsid w:val="00FE69CB"/>
    <w:rsid w:val="00FE6F51"/>
    <w:rsid w:val="00FE7080"/>
    <w:rsid w:val="00FE70C3"/>
    <w:rsid w:val="00FE71A4"/>
    <w:rsid w:val="00FE77A1"/>
    <w:rsid w:val="00FE7C2E"/>
    <w:rsid w:val="00FE7EFC"/>
    <w:rsid w:val="00FF0629"/>
    <w:rsid w:val="00FF0648"/>
    <w:rsid w:val="00FF07B3"/>
    <w:rsid w:val="00FF07F6"/>
    <w:rsid w:val="00FF083B"/>
    <w:rsid w:val="00FF0888"/>
    <w:rsid w:val="00FF0B70"/>
    <w:rsid w:val="00FF0D2B"/>
    <w:rsid w:val="00FF0F74"/>
    <w:rsid w:val="00FF1543"/>
    <w:rsid w:val="00FF1665"/>
    <w:rsid w:val="00FF1817"/>
    <w:rsid w:val="00FF1875"/>
    <w:rsid w:val="00FF1881"/>
    <w:rsid w:val="00FF1A8B"/>
    <w:rsid w:val="00FF1BFC"/>
    <w:rsid w:val="00FF229A"/>
    <w:rsid w:val="00FF2A1C"/>
    <w:rsid w:val="00FF2AD9"/>
    <w:rsid w:val="00FF2EE5"/>
    <w:rsid w:val="00FF340B"/>
    <w:rsid w:val="00FF359F"/>
    <w:rsid w:val="00FF3AD8"/>
    <w:rsid w:val="00FF3C18"/>
    <w:rsid w:val="00FF3DCF"/>
    <w:rsid w:val="00FF40FF"/>
    <w:rsid w:val="00FF42E8"/>
    <w:rsid w:val="00FF42F4"/>
    <w:rsid w:val="00FF43BE"/>
    <w:rsid w:val="00FF44E1"/>
    <w:rsid w:val="00FF492C"/>
    <w:rsid w:val="00FF49F5"/>
    <w:rsid w:val="00FF4A21"/>
    <w:rsid w:val="00FF5231"/>
    <w:rsid w:val="00FF54D7"/>
    <w:rsid w:val="00FF552D"/>
    <w:rsid w:val="00FF562F"/>
    <w:rsid w:val="00FF5956"/>
    <w:rsid w:val="00FF5991"/>
    <w:rsid w:val="00FF5A59"/>
    <w:rsid w:val="00FF5AA3"/>
    <w:rsid w:val="00FF5AD8"/>
    <w:rsid w:val="00FF5B41"/>
    <w:rsid w:val="00FF5BBC"/>
    <w:rsid w:val="00FF5C02"/>
    <w:rsid w:val="00FF5E9C"/>
    <w:rsid w:val="00FF66F9"/>
    <w:rsid w:val="00FF6940"/>
    <w:rsid w:val="00FF6BD3"/>
    <w:rsid w:val="00FF6D9D"/>
    <w:rsid w:val="00FF7143"/>
    <w:rsid w:val="00FF7301"/>
    <w:rsid w:val="00FF7A7C"/>
    <w:rsid w:val="00FF7BCA"/>
    <w:rsid w:val="0298268A"/>
    <w:rsid w:val="044CC9D7"/>
    <w:rsid w:val="04F3190C"/>
    <w:rsid w:val="05FBB920"/>
    <w:rsid w:val="0B2B12EA"/>
    <w:rsid w:val="0DE70EF9"/>
    <w:rsid w:val="0E895D96"/>
    <w:rsid w:val="1040D72C"/>
    <w:rsid w:val="233D5BD9"/>
    <w:rsid w:val="2435C24F"/>
    <w:rsid w:val="281A6C30"/>
    <w:rsid w:val="2D45A1B2"/>
    <w:rsid w:val="303712A6"/>
    <w:rsid w:val="303C6F43"/>
    <w:rsid w:val="30958F15"/>
    <w:rsid w:val="30C645B7"/>
    <w:rsid w:val="323CFFA5"/>
    <w:rsid w:val="33DE6DC0"/>
    <w:rsid w:val="34CF7BBD"/>
    <w:rsid w:val="354256F6"/>
    <w:rsid w:val="369B0CEA"/>
    <w:rsid w:val="46444B49"/>
    <w:rsid w:val="489024B0"/>
    <w:rsid w:val="4BD98012"/>
    <w:rsid w:val="4D5DF6A3"/>
    <w:rsid w:val="4E047921"/>
    <w:rsid w:val="4FCC593E"/>
    <w:rsid w:val="512F6D66"/>
    <w:rsid w:val="5488D62B"/>
    <w:rsid w:val="55A14555"/>
    <w:rsid w:val="59E54EE8"/>
    <w:rsid w:val="63BAC379"/>
    <w:rsid w:val="64E207A1"/>
    <w:rsid w:val="6EEA606F"/>
    <w:rsid w:val="6F646E10"/>
    <w:rsid w:val="71D53D42"/>
    <w:rsid w:val="749506AA"/>
    <w:rsid w:val="75EAD986"/>
    <w:rsid w:val="7B7DD5D6"/>
    <w:rsid w:val="7F0C557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7"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6752"/>
    <w:pPr>
      <w:jc w:val="both"/>
    </w:pPr>
    <w:rPr>
      <w:rFonts w:ascii="Calibri" w:hAnsi="Calibri" w:cs="Arial"/>
      <w:sz w:val="24"/>
      <w:szCs w:val="24"/>
    </w:rPr>
  </w:style>
  <w:style w:type="paragraph" w:styleId="Heading1">
    <w:name w:val="heading 1"/>
    <w:basedOn w:val="Normal"/>
    <w:next w:val="Normal"/>
    <w:link w:val="Heading1Char"/>
    <w:uiPriority w:val="1"/>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link w:val="Heading4Char"/>
    <w:qFormat/>
    <w:rsid w:val="00124A51"/>
    <w:pPr>
      <w:keepNext/>
      <w:spacing w:before="240" w:after="60"/>
      <w:outlineLvl w:val="3"/>
    </w:pPr>
    <w:rPr>
      <w:b/>
      <w:bCs/>
      <w:i/>
      <w:sz w:val="26"/>
      <w:szCs w:val="28"/>
    </w:rPr>
  </w:style>
  <w:style w:type="paragraph" w:styleId="Heading5">
    <w:name w:val="heading 5"/>
    <w:basedOn w:val="Normal"/>
    <w:next w:val="Normal"/>
    <w:link w:val="Heading5Char"/>
    <w:qFormat/>
    <w:rsid w:val="00124A51"/>
    <w:pPr>
      <w:spacing w:before="240" w:after="60"/>
      <w:outlineLvl w:val="4"/>
    </w:pPr>
    <w:rPr>
      <w:b/>
      <w:bCs/>
      <w:iCs/>
      <w:sz w:val="26"/>
      <w:szCs w:val="26"/>
    </w:rPr>
  </w:style>
  <w:style w:type="paragraph" w:styleId="Heading6">
    <w:name w:val="heading 6"/>
    <w:basedOn w:val="Normal"/>
    <w:next w:val="Normal"/>
    <w:link w:val="Heading6Char"/>
    <w:qFormat/>
    <w:rsid w:val="00124A51"/>
    <w:pPr>
      <w:spacing w:before="240" w:after="60"/>
      <w:outlineLvl w:val="5"/>
    </w:pPr>
    <w:rPr>
      <w:b/>
      <w:bCs/>
      <w:i/>
    </w:rPr>
  </w:style>
  <w:style w:type="paragraph" w:styleId="Heading7">
    <w:name w:val="heading 7"/>
    <w:basedOn w:val="Normal"/>
    <w:next w:val="Normal"/>
    <w:link w:val="Heading7Char"/>
    <w:qFormat/>
    <w:rsid w:val="00124A51"/>
    <w:pPr>
      <w:keepNext/>
      <w:jc w:val="center"/>
      <w:outlineLvl w:val="6"/>
    </w:pPr>
    <w:rPr>
      <w:b/>
      <w:sz w:val="20"/>
    </w:rPr>
  </w:style>
  <w:style w:type="paragraph" w:styleId="Heading8">
    <w:name w:val="heading 8"/>
    <w:basedOn w:val="Normal"/>
    <w:next w:val="Normal"/>
    <w:link w:val="Heading8Char"/>
    <w:uiPriority w:val="7"/>
    <w:qFormat/>
    <w:rsid w:val="00124A51"/>
    <w:pPr>
      <w:keepNext/>
      <w:jc w:val="right"/>
      <w:outlineLvl w:val="7"/>
    </w:pPr>
    <w:rPr>
      <w:b/>
    </w:rPr>
  </w:style>
  <w:style w:type="paragraph" w:styleId="Heading9">
    <w:name w:val="heading 9"/>
    <w:basedOn w:val="Normal"/>
    <w:next w:val="Normal"/>
    <w:link w:val="Heading9Char"/>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uiPriority w:val="4"/>
    <w:qFormat/>
    <w:rsid w:val="00E2771E"/>
    <w:rPr>
      <w:rFonts w:ascii="Arial Narrow" w:hAnsi="Arial Narrow"/>
      <w:sz w:val="18"/>
    </w:rPr>
  </w:style>
  <w:style w:type="character" w:customStyle="1" w:styleId="TableFooterChar">
    <w:name w:val="Table Footer Char"/>
    <w:link w:val="TableFooter"/>
    <w:uiPriority w:val="4"/>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PRIMA,Caption SYNEVi,Bayer Caption,IB Caption,Medical Caption,Char,CSR Caption,Caption Char1,Caption Char Char,Char Char Char,Char Char1,Char1,Table caption,Caption 3,c,appendix,Figure caption,Figure caption1 Char Char,Bayer,- H17,Bayer1"/>
    <w:basedOn w:val="Normal"/>
    <w:next w:val="Normal"/>
    <w:link w:val="CaptionChar"/>
    <w:uiPriority w:val="35"/>
    <w:unhideWhenUsed/>
    <w:qFormat/>
    <w:rsid w:val="00E16AD8"/>
    <w:pPr>
      <w:keepNext/>
      <w:keepLines/>
    </w:pPr>
    <w:rPr>
      <w:rFonts w:ascii="Arial Narrow" w:hAnsi="Arial Narrow"/>
      <w:b/>
      <w:bCs/>
      <w:sz w:val="20"/>
      <w:szCs w:val="18"/>
    </w:rPr>
  </w:style>
  <w:style w:type="character" w:customStyle="1" w:styleId="CaptionChar">
    <w:name w:val="Caption Char"/>
    <w:aliases w:val="Caption PRIMA Char,Caption SYNEVi Char,Bayer Caption Char,IB Caption Char,Medical Caption Char,Char Char,CSR Caption Char,Caption Char1 Char,Caption Char Char Char,Char Char Char Char,Char Char1 Char,Char1 Char,Table caption Char,c Char"/>
    <w:link w:val="Caption"/>
    <w:uiPriority w:val="35"/>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Figure_name,Numbered Indented Text,Bullet- First level,List NUmber,Listenabsatz1,lp1,Style 2,TOC styl"/>
    <w:basedOn w:val="BodyText"/>
    <w:link w:val="ListParagraphChar"/>
    <w:uiPriority w:val="34"/>
    <w:qFormat/>
    <w:rsid w:val="00F43B37"/>
    <w:pPr>
      <w:numPr>
        <w:numId w:val="16"/>
      </w:numPr>
      <w:spacing w:after="120"/>
      <w:jc w:val="both"/>
    </w:pPr>
    <w:rPr>
      <w:rFonts w:eastAsia="Calibri"/>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Figure_name Char,Numbered Indented Text Char"/>
    <w:basedOn w:val="DefaultParagraphFont"/>
    <w:link w:val="ListParagraph"/>
    <w:uiPriority w:val="34"/>
    <w:qFormat/>
    <w:locked/>
    <w:rsid w:val="00F43B37"/>
    <w:rPr>
      <w:rFonts w:ascii="Calibri" w:eastAsia="Calibri" w:hAnsi="Calibri" w:cs="Arial"/>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4C3B02"/>
    <w:pPr>
      <w:keepNext/>
      <w:tabs>
        <w:tab w:val="center" w:pos="4513"/>
        <w:tab w:val="right" w:pos="9026"/>
      </w:tabs>
      <w:jc w:val="center"/>
    </w:pPr>
    <w:rPr>
      <w:i/>
      <w:iCs/>
    </w:rPr>
  </w:style>
  <w:style w:type="character" w:customStyle="1" w:styleId="HeaderChar">
    <w:name w:val="Header Char"/>
    <w:aliases w:val="Page Header Char,Header title Char,he=header Char,cntr/bld Char"/>
    <w:basedOn w:val="DefaultParagraphFont"/>
    <w:link w:val="Header"/>
    <w:rsid w:val="004C3B02"/>
    <w:rPr>
      <w:rFonts w:ascii="Calibri" w:hAnsi="Calibri" w:cs="Arial"/>
      <w:i/>
      <w:iCs/>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Tabellengitternetz 9pt,PBAC table,HTAtableplain,new style,Dossier table,Section 3- footnotes,Summary Table,MSD 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D1088C"/>
    <w:rPr>
      <w:rFonts w:eastAsiaTheme="majorEastAsia" w:cstheme="majorBidi"/>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 H19"/>
    <w:basedOn w:val="Normal"/>
    <w:link w:val="CommentTextChar"/>
    <w:rsid w:val="00FD2100"/>
    <w:rPr>
      <w:rFonts w:ascii="Times New Roman" w:hAnsi="Times New Roman" w:cs="Times New Roman"/>
      <w:sz w:val="20"/>
    </w:rPr>
  </w:style>
  <w:style w:type="character" w:customStyle="1" w:styleId="CommentTextChar">
    <w:name w:val="Comment Text Char"/>
    <w:aliases w:val="- H19 Char"/>
    <w:basedOn w:val="DefaultParagraphFont"/>
    <w:link w:val="CommentText"/>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59213F"/>
    <w:pPr>
      <w:keepNext/>
      <w:keepLines/>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4C3B02"/>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864EEA"/>
    <w:pPr>
      <w:keepNext/>
      <w:keepLines/>
    </w:pPr>
    <w:rPr>
      <w:rFonts w:ascii="Arial Narrow" w:eastAsiaTheme="majorEastAsia" w:hAnsi="Arial Narrow"/>
      <w:b/>
      <w:szCs w:val="24"/>
      <w:lang w:val="en-US"/>
    </w:rPr>
  </w:style>
  <w:style w:type="paragraph" w:customStyle="1" w:styleId="2-SectionHeading">
    <w:name w:val="2-Section Heading"/>
    <w:next w:val="3-BodyText"/>
    <w:qFormat/>
    <w:rsid w:val="004C3B02"/>
    <w:pPr>
      <w:keepNext/>
      <w:numPr>
        <w:numId w:val="12"/>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4C3B02"/>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C3B02"/>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C3B02"/>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C3B02"/>
    <w:rPr>
      <w:rFonts w:ascii="Arial Narrow" w:eastAsiaTheme="majorEastAsia" w:hAnsi="Arial Narrow" w:cstheme="majorBidi"/>
      <w:b/>
      <w:bCs/>
      <w:szCs w:val="24"/>
    </w:rPr>
  </w:style>
  <w:style w:type="paragraph" w:customStyle="1" w:styleId="3-BodyText">
    <w:name w:val="3-Body Text"/>
    <w:link w:val="3-BodyTextChar"/>
    <w:qFormat/>
    <w:rsid w:val="007C073C"/>
    <w:pPr>
      <w:numPr>
        <w:ilvl w:val="1"/>
        <w:numId w:val="12"/>
      </w:numPr>
      <w:spacing w:after="120"/>
      <w:ind w:left="7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7C073C"/>
    <w:rPr>
      <w:rFonts w:ascii="Calibri" w:eastAsiaTheme="minorHAnsi" w:hAnsi="Calibri" w:cstheme="minorBidi"/>
      <w:snapToGrid w:val="0"/>
      <w:sz w:val="24"/>
      <w:szCs w:val="22"/>
    </w:rPr>
  </w:style>
  <w:style w:type="paragraph" w:customStyle="1" w:styleId="PageFooter">
    <w:name w:val="Page Footer"/>
    <w:basedOn w:val="Normal"/>
    <w:link w:val="PageFooterChar"/>
    <w:qFormat/>
    <w:rsid w:val="004C3B02"/>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4C3B02"/>
    <w:rPr>
      <w:rFonts w:ascii="Calibri" w:hAnsi="Calibri" w:cs="Arial"/>
      <w:b/>
      <w:sz w:val="24"/>
      <w:szCs w:val="24"/>
    </w:rPr>
  </w:style>
  <w:style w:type="paragraph" w:customStyle="1" w:styleId="FooterTableFigure">
    <w:name w:val="Footer Table/Figure"/>
    <w:basedOn w:val="Normal"/>
    <w:link w:val="FooterTableFigureChar"/>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C3B02"/>
    <w:pPr>
      <w:keepNext/>
      <w:spacing w:before="120" w:after="120"/>
    </w:pPr>
    <w:rPr>
      <w:rFonts w:asciiTheme="minorHAnsi" w:eastAsiaTheme="majorEastAsia" w:hAnsiTheme="minorHAnsi" w:cstheme="majorBidi"/>
      <w:spacing w:val="5"/>
      <w:kern w:val="28"/>
      <w:szCs w:val="36"/>
      <w:lang w:eastAsia="en-US"/>
    </w:rPr>
  </w:style>
  <w:style w:type="character" w:customStyle="1" w:styleId="4-SubsectionHeadingChar">
    <w:name w:val="4-Subsection Heading Char"/>
    <w:basedOn w:val="Heading2Char"/>
    <w:link w:val="4-SubsectionHeading"/>
    <w:rsid w:val="004C3B02"/>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31AB0"/>
    <w:pPr>
      <w:keepNext/>
      <w:keepLines/>
      <w:spacing w:after="120"/>
    </w:pPr>
    <w:rPr>
      <w:rFonts w:asciiTheme="minorHAnsi" w:eastAsiaTheme="majorEastAsia" w:hAnsiTheme="minorHAnsi" w:cstheme="majorBidi"/>
      <w:b/>
      <w:color w:val="000000" w:themeColor="text1"/>
      <w:u w:val="none"/>
      <w:lang w:eastAsia="en-US"/>
    </w:rPr>
  </w:style>
  <w:style w:type="character" w:customStyle="1" w:styleId="5-SubsectionSubheadingChar">
    <w:name w:val="5-Subsection Subheading Char"/>
    <w:basedOn w:val="DefaultParagraphFont"/>
    <w:link w:val="5-SubsectionSubheading"/>
    <w:rsid w:val="00431AB0"/>
    <w:rPr>
      <w:rFonts w:asciiTheme="minorHAnsi" w:eastAsiaTheme="majorEastAsia" w:hAnsiTheme="minorHAnsi" w:cstheme="majorBidi"/>
      <w:b/>
      <w:color w:val="000000" w:themeColor="text1"/>
      <w:sz w:val="24"/>
      <w:szCs w:val="24"/>
      <w:lang w:eastAsia="en-US"/>
    </w:rPr>
  </w:style>
  <w:style w:type="paragraph" w:styleId="ListBullet">
    <w:name w:val="List Bullet"/>
    <w:basedOn w:val="Normal"/>
    <w:unhideWhenUsed/>
    <w:rsid w:val="00EE1996"/>
    <w:pPr>
      <w:numPr>
        <w:numId w:val="5"/>
      </w:numPr>
      <w:contextualSpacing/>
    </w:pPr>
  </w:style>
  <w:style w:type="character" w:customStyle="1" w:styleId="TableTextChar0">
    <w:name w:val="Table Text Char"/>
    <w:basedOn w:val="DefaultParagraphFont"/>
    <w:link w:val="TableText0"/>
    <w:rsid w:val="0059213F"/>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6"/>
      </w:numPr>
    </w:pPr>
    <w:rPr>
      <w:rFonts w:cstheme="minorBidi"/>
      <w:i/>
      <w:snapToGrid w:val="0"/>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next w:val="3-BodyText"/>
    <w:link w:val="TableFigureFooterChar"/>
    <w:qFormat/>
    <w:rsid w:val="00C572F6"/>
    <w:pPr>
      <w:keepLines/>
      <w:spacing w:after="120"/>
      <w:contextualSpacing/>
      <w:jc w:val="left"/>
    </w:pPr>
    <w:rPr>
      <w:rFonts w:ascii="Arial Narrow" w:hAnsi="Arial Narrow"/>
      <w:snapToGrid w:val="0"/>
      <w:sz w:val="18"/>
      <w:szCs w:val="22"/>
    </w:rPr>
  </w:style>
  <w:style w:type="character" w:customStyle="1" w:styleId="TableFigureFooterChar">
    <w:name w:val="Table/Figure Footer Char"/>
    <w:link w:val="TableFigureFooter"/>
    <w:rsid w:val="00C572F6"/>
    <w:rPr>
      <w:rFonts w:ascii="Arial Narrow" w:hAnsi="Arial Narrow" w:cs="Arial"/>
      <w:snapToGrid w:val="0"/>
      <w:sz w:val="18"/>
      <w:szCs w:val="22"/>
    </w:rPr>
  </w:style>
  <w:style w:type="paragraph" w:customStyle="1" w:styleId="V50Instructions">
    <w:name w:val="V5.0 Instructions"/>
    <w:basedOn w:val="Normal"/>
    <w:link w:val="V50InstructionsChar"/>
    <w:qFormat/>
    <w:rsid w:val="00544F82"/>
    <w:pPr>
      <w:spacing w:before="120" w:after="160"/>
      <w:jc w:val="left"/>
    </w:pPr>
    <w:rPr>
      <w:rFonts w:asciiTheme="minorHAnsi" w:eastAsiaTheme="minorHAnsi" w:hAnsiTheme="minorHAnsi" w:cstheme="minorBidi"/>
      <w:szCs w:val="22"/>
      <w:lang w:eastAsia="en-US"/>
    </w:rPr>
  </w:style>
  <w:style w:type="character" w:customStyle="1" w:styleId="V50InstructionsChar">
    <w:name w:val="V5.0 Instructions Char"/>
    <w:basedOn w:val="DefaultParagraphFont"/>
    <w:link w:val="V50Instructions"/>
    <w:rsid w:val="00544F82"/>
    <w:rPr>
      <w:rFonts w:asciiTheme="minorHAnsi" w:eastAsiaTheme="minorHAnsi" w:hAnsiTheme="minorHAnsi" w:cstheme="minorBidi"/>
      <w:sz w:val="24"/>
      <w:szCs w:val="22"/>
      <w:lang w:eastAsia="en-US"/>
    </w:rPr>
  </w:style>
  <w:style w:type="table" w:customStyle="1" w:styleId="MSDTableGrid1">
    <w:name w:val="MSD Table Grid1"/>
    <w:basedOn w:val="TableNormal"/>
    <w:next w:val="TableGrid"/>
    <w:uiPriority w:val="59"/>
    <w:rsid w:val="000C1C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SDTableGrid2">
    <w:name w:val="MSD Table Grid2"/>
    <w:basedOn w:val="TableNormal"/>
    <w:next w:val="TableGrid"/>
    <w:uiPriority w:val="59"/>
    <w:rsid w:val="00CB3C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SDTableGrid3">
    <w:name w:val="MSD Table Grid3"/>
    <w:basedOn w:val="TableNormal"/>
    <w:next w:val="TableGrid"/>
    <w:uiPriority w:val="59"/>
    <w:rsid w:val="00EF345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yneviNormal">
    <w:name w:val="Synevi Normal"/>
    <w:basedOn w:val="Normal"/>
    <w:link w:val="SyneviNormalChar"/>
    <w:qFormat/>
    <w:rsid w:val="003C79EB"/>
    <w:pPr>
      <w:spacing w:line="360" w:lineRule="auto"/>
    </w:pPr>
    <w:rPr>
      <w:rFonts w:asciiTheme="minorHAnsi" w:hAnsiTheme="minorHAnsi" w:cs="Times New Roman"/>
      <w:sz w:val="22"/>
      <w:szCs w:val="20"/>
      <w:lang w:val="en-US" w:eastAsia="en-US"/>
    </w:rPr>
  </w:style>
  <w:style w:type="character" w:customStyle="1" w:styleId="SyneviNormalChar">
    <w:name w:val="Synevi Normal Char"/>
    <w:basedOn w:val="DefaultParagraphFont"/>
    <w:link w:val="SyneviNormal"/>
    <w:rsid w:val="003C79EB"/>
    <w:rPr>
      <w:rFonts w:asciiTheme="minorHAnsi" w:hAnsiTheme="minorHAnsi"/>
      <w:sz w:val="22"/>
      <w:lang w:val="en-US" w:eastAsia="en-US"/>
    </w:rPr>
  </w:style>
  <w:style w:type="table" w:customStyle="1" w:styleId="MSDTableGrid4">
    <w:name w:val="MSD Table Grid4"/>
    <w:basedOn w:val="TableNormal"/>
    <w:next w:val="TableGrid"/>
    <w:uiPriority w:val="59"/>
    <w:rsid w:val="006E1DA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647C7"/>
  </w:style>
  <w:style w:type="character" w:customStyle="1" w:styleId="Heading1Char">
    <w:name w:val="Heading 1 Char"/>
    <w:basedOn w:val="DefaultParagraphFont"/>
    <w:link w:val="Heading1"/>
    <w:uiPriority w:val="9"/>
    <w:rsid w:val="006647C7"/>
    <w:rPr>
      <w:rFonts w:ascii="Calibri" w:hAnsi="Calibri" w:cs="Arial"/>
      <w:b/>
      <w:caps/>
      <w:sz w:val="32"/>
      <w:szCs w:val="24"/>
    </w:rPr>
  </w:style>
  <w:style w:type="character" w:customStyle="1" w:styleId="Heading3Char">
    <w:name w:val="Heading 3 Char"/>
    <w:basedOn w:val="DefaultParagraphFont"/>
    <w:link w:val="Heading3"/>
    <w:rsid w:val="006647C7"/>
    <w:rPr>
      <w:rFonts w:ascii="Calibri" w:hAnsi="Calibri" w:cs="Arial"/>
      <w:sz w:val="24"/>
      <w:szCs w:val="24"/>
      <w:u w:val="single"/>
    </w:rPr>
  </w:style>
  <w:style w:type="character" w:customStyle="1" w:styleId="Heading4Char">
    <w:name w:val="Heading 4 Char"/>
    <w:basedOn w:val="DefaultParagraphFont"/>
    <w:link w:val="Heading4"/>
    <w:uiPriority w:val="9"/>
    <w:rsid w:val="006647C7"/>
    <w:rPr>
      <w:rFonts w:ascii="Calibri" w:hAnsi="Calibri" w:cs="Arial"/>
      <w:b/>
      <w:bCs/>
      <w:i/>
      <w:sz w:val="26"/>
      <w:szCs w:val="28"/>
    </w:rPr>
  </w:style>
  <w:style w:type="character" w:customStyle="1" w:styleId="Heading5Char">
    <w:name w:val="Heading 5 Char"/>
    <w:basedOn w:val="DefaultParagraphFont"/>
    <w:link w:val="Heading5"/>
    <w:uiPriority w:val="9"/>
    <w:rsid w:val="006647C7"/>
    <w:rPr>
      <w:rFonts w:ascii="Calibri" w:hAnsi="Calibri" w:cs="Arial"/>
      <w:b/>
      <w:bCs/>
      <w:iCs/>
      <w:sz w:val="26"/>
      <w:szCs w:val="26"/>
    </w:rPr>
  </w:style>
  <w:style w:type="character" w:customStyle="1" w:styleId="Heading6Char">
    <w:name w:val="Heading 6 Char"/>
    <w:basedOn w:val="DefaultParagraphFont"/>
    <w:link w:val="Heading6"/>
    <w:uiPriority w:val="9"/>
    <w:rsid w:val="006647C7"/>
    <w:rPr>
      <w:rFonts w:ascii="Calibri" w:hAnsi="Calibri" w:cs="Arial"/>
      <w:b/>
      <w:bCs/>
      <w:i/>
      <w:sz w:val="24"/>
      <w:szCs w:val="24"/>
    </w:rPr>
  </w:style>
  <w:style w:type="numbering" w:customStyle="1" w:styleId="Style1">
    <w:name w:val="Style1"/>
    <w:uiPriority w:val="99"/>
    <w:rsid w:val="006647C7"/>
    <w:pPr>
      <w:numPr>
        <w:numId w:val="9"/>
      </w:numPr>
    </w:pPr>
  </w:style>
  <w:style w:type="numbering" w:customStyle="1" w:styleId="SectionBii">
    <w:name w:val="Section Bii"/>
    <w:uiPriority w:val="99"/>
    <w:rsid w:val="006647C7"/>
    <w:pPr>
      <w:numPr>
        <w:numId w:val="10"/>
      </w:numPr>
    </w:pPr>
  </w:style>
  <w:style w:type="table" w:styleId="LightShading">
    <w:name w:val="Light Shading"/>
    <w:basedOn w:val="TableNormal"/>
    <w:uiPriority w:val="60"/>
    <w:rsid w:val="006647C7"/>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unhideWhenUsed/>
    <w:rsid w:val="006647C7"/>
    <w:pPr>
      <w:tabs>
        <w:tab w:val="right" w:leader="dot" w:pos="9016"/>
      </w:tabs>
      <w:spacing w:before="40"/>
    </w:pPr>
    <w:rPr>
      <w:rFonts w:eastAsiaTheme="minorHAnsi" w:cstheme="minorBidi"/>
      <w:noProof/>
      <w:sz w:val="20"/>
      <w:szCs w:val="22"/>
      <w:lang w:eastAsia="en-US"/>
    </w:rPr>
  </w:style>
  <w:style w:type="table" w:customStyle="1" w:styleId="MSDTableGrid5">
    <w:name w:val="MSD Table Grid5"/>
    <w:basedOn w:val="TableNormal"/>
    <w:next w:val="TableGrid"/>
    <w:uiPriority w:val="59"/>
    <w:rsid w:val="006647C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6647C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647C7"/>
    <w:pPr>
      <w:tabs>
        <w:tab w:val="left" w:pos="416"/>
        <w:tab w:val="left" w:pos="582"/>
      </w:tabs>
      <w:spacing w:line="360" w:lineRule="auto"/>
      <w:jc w:val="both"/>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6647C7"/>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style>
  <w:style w:type="table" w:customStyle="1" w:styleId="TableGrid15">
    <w:name w:val="Table Grid15"/>
    <w:basedOn w:val="TableNormal"/>
    <w:next w:val="TableGrid"/>
    <w:rsid w:val="006647C7"/>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style>
  <w:style w:type="table" w:customStyle="1" w:styleId="TableGrid16">
    <w:name w:val="Table Grid16"/>
    <w:basedOn w:val="TableNormal"/>
    <w:next w:val="TableGrid"/>
    <w:rsid w:val="006647C7"/>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style>
  <w:style w:type="table" w:customStyle="1" w:styleId="TableGrid5">
    <w:name w:val="Table Grid5"/>
    <w:basedOn w:val="TableNormal"/>
    <w:next w:val="TableGrid"/>
    <w:rsid w:val="006647C7"/>
    <w:pPr>
      <w:tabs>
        <w:tab w:val="left" w:pos="416"/>
        <w:tab w:val="left" w:pos="582"/>
      </w:tabs>
      <w:spacing w:line="360" w:lineRule="auto"/>
      <w:jc w:val="both"/>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6647C7"/>
    <w:pPr>
      <w:tabs>
        <w:tab w:val="left" w:pos="416"/>
        <w:tab w:val="left" w:pos="582"/>
      </w:tabs>
      <w:spacing w:line="360" w:lineRule="auto"/>
      <w:jc w:val="both"/>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647C7"/>
    <w:rPr>
      <w:color w:val="808080"/>
    </w:rPr>
  </w:style>
  <w:style w:type="table" w:customStyle="1" w:styleId="TableGrid6">
    <w:name w:val="Table Grid6"/>
    <w:basedOn w:val="TableNormal"/>
    <w:rsid w:val="006647C7"/>
    <w:pPr>
      <w:tabs>
        <w:tab w:val="left" w:pos="416"/>
        <w:tab w:val="left" w:pos="582"/>
      </w:tabs>
      <w:spacing w:line="360" w:lineRule="auto"/>
      <w:jc w:val="both"/>
    </w:pPr>
    <w:rPr>
      <w:rFonts w:ascii="Times" w:hAnsi="Times"/>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647C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next w:val="TableGrid"/>
    <w:uiPriority w:val="59"/>
    <w:rsid w:val="006647C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6647C7"/>
    <w:pPr>
      <w:spacing w:line="360" w:lineRule="auto"/>
      <w:jc w:val="center"/>
    </w:pPr>
    <w:rPr>
      <w:rFonts w:ascii="Arial" w:eastAsiaTheme="minorHAnsi" w:hAnsi="Arial"/>
      <w:noProof/>
      <w:sz w:val="22"/>
      <w:szCs w:val="22"/>
      <w:lang w:val="en-US" w:eastAsia="en-US"/>
    </w:rPr>
  </w:style>
  <w:style w:type="character" w:customStyle="1" w:styleId="EndNoteBibliographyTitleChar">
    <w:name w:val="EndNote Bibliography Title Char"/>
    <w:basedOn w:val="DefaultParagraphFont"/>
    <w:link w:val="EndNoteBibliographyTitle"/>
    <w:rsid w:val="006647C7"/>
    <w:rPr>
      <w:rFonts w:ascii="Arial" w:eastAsiaTheme="minorHAnsi" w:hAnsi="Arial" w:cs="Arial"/>
      <w:noProof/>
      <w:sz w:val="22"/>
      <w:szCs w:val="22"/>
      <w:lang w:val="en-US" w:eastAsia="en-US"/>
    </w:rPr>
  </w:style>
  <w:style w:type="paragraph" w:customStyle="1" w:styleId="EndNoteBibliography">
    <w:name w:val="EndNote Bibliography"/>
    <w:basedOn w:val="Normal"/>
    <w:link w:val="EndNoteBibliographyChar"/>
    <w:rsid w:val="006647C7"/>
    <w:rPr>
      <w:rFonts w:ascii="Arial" w:eastAsiaTheme="minorHAnsi" w:hAnsi="Arial"/>
      <w:noProof/>
      <w:sz w:val="22"/>
      <w:szCs w:val="22"/>
      <w:lang w:val="en-US" w:eastAsia="en-US"/>
    </w:rPr>
  </w:style>
  <w:style w:type="character" w:customStyle="1" w:styleId="EndNoteBibliographyChar">
    <w:name w:val="EndNote Bibliography Char"/>
    <w:basedOn w:val="DefaultParagraphFont"/>
    <w:link w:val="EndNoteBibliography"/>
    <w:rsid w:val="006647C7"/>
    <w:rPr>
      <w:rFonts w:ascii="Arial" w:eastAsiaTheme="minorHAnsi" w:hAnsi="Arial" w:cs="Arial"/>
      <w:noProof/>
      <w:sz w:val="22"/>
      <w:szCs w:val="22"/>
      <w:lang w:val="en-US" w:eastAsia="en-US"/>
    </w:rPr>
  </w:style>
  <w:style w:type="table" w:customStyle="1" w:styleId="TableGrid482">
    <w:name w:val="Table Grid482"/>
    <w:basedOn w:val="TableNormal"/>
    <w:next w:val="TableGrid"/>
    <w:rsid w:val="006647C7"/>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2">
    <w:name w:val="Table Grid402"/>
    <w:basedOn w:val="TableNormal"/>
    <w:next w:val="TableGrid"/>
    <w:uiPriority w:val="59"/>
    <w:rsid w:val="006647C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strength">
    <w:name w:val="form-strength"/>
    <w:basedOn w:val="DefaultParagraphFont"/>
    <w:rsid w:val="006647C7"/>
  </w:style>
  <w:style w:type="character" w:customStyle="1" w:styleId="apple-converted-space">
    <w:name w:val="apple-converted-space"/>
    <w:basedOn w:val="DefaultParagraphFont"/>
    <w:rsid w:val="006647C7"/>
  </w:style>
  <w:style w:type="table" w:customStyle="1" w:styleId="TableGrid28">
    <w:name w:val="Table Grid28"/>
    <w:basedOn w:val="TableNormal"/>
    <w:next w:val="TableGrid"/>
    <w:uiPriority w:val="59"/>
    <w:rsid w:val="006647C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6647C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6647C7"/>
    <w:rPr>
      <w:rFonts w:eastAsiaTheme="minorHAnsi" w:cstheme="minorBidi"/>
      <w:sz w:val="20"/>
      <w:szCs w:val="20"/>
      <w:lang w:eastAsia="en-US"/>
    </w:rPr>
  </w:style>
  <w:style w:type="character" w:customStyle="1" w:styleId="EndnoteTextChar">
    <w:name w:val="Endnote Text Char"/>
    <w:basedOn w:val="DefaultParagraphFont"/>
    <w:link w:val="EndnoteText"/>
    <w:uiPriority w:val="99"/>
    <w:semiHidden/>
    <w:rsid w:val="006647C7"/>
    <w:rPr>
      <w:rFonts w:ascii="Calibri" w:eastAsiaTheme="minorHAnsi" w:hAnsi="Calibri" w:cstheme="minorBidi"/>
      <w:lang w:eastAsia="en-US"/>
    </w:rPr>
  </w:style>
  <w:style w:type="character" w:styleId="EndnoteReference">
    <w:name w:val="endnote reference"/>
    <w:basedOn w:val="DefaultParagraphFont"/>
    <w:uiPriority w:val="99"/>
    <w:semiHidden/>
    <w:unhideWhenUsed/>
    <w:rsid w:val="006647C7"/>
    <w:rPr>
      <w:vertAlign w:val="superscript"/>
    </w:rPr>
  </w:style>
  <w:style w:type="numbering" w:customStyle="1" w:styleId="SectionBi">
    <w:name w:val="Section Bi"/>
    <w:uiPriority w:val="99"/>
    <w:rsid w:val="006647C7"/>
    <w:pPr>
      <w:numPr>
        <w:numId w:val="11"/>
      </w:numPr>
    </w:pPr>
  </w:style>
  <w:style w:type="numbering" w:customStyle="1" w:styleId="NoList11">
    <w:name w:val="No List11"/>
    <w:next w:val="NoList"/>
    <w:uiPriority w:val="99"/>
    <w:semiHidden/>
    <w:unhideWhenUsed/>
    <w:rsid w:val="006647C7"/>
  </w:style>
  <w:style w:type="numbering" w:customStyle="1" w:styleId="SectionBi1">
    <w:name w:val="Section Bi1"/>
    <w:uiPriority w:val="99"/>
    <w:rsid w:val="006647C7"/>
  </w:style>
  <w:style w:type="numbering" w:customStyle="1" w:styleId="Style11">
    <w:name w:val="Style11"/>
    <w:uiPriority w:val="99"/>
    <w:rsid w:val="006647C7"/>
  </w:style>
  <w:style w:type="table" w:customStyle="1" w:styleId="TableGrid11">
    <w:name w:val="Table Grid11"/>
    <w:basedOn w:val="TableNormal"/>
    <w:next w:val="TableGrid"/>
    <w:uiPriority w:val="59"/>
    <w:rsid w:val="006647C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647C7"/>
  </w:style>
  <w:style w:type="numbering" w:customStyle="1" w:styleId="SectionBi2">
    <w:name w:val="Section Bi2"/>
    <w:uiPriority w:val="99"/>
    <w:rsid w:val="006647C7"/>
  </w:style>
  <w:style w:type="numbering" w:customStyle="1" w:styleId="Style12">
    <w:name w:val="Style12"/>
    <w:uiPriority w:val="99"/>
    <w:rsid w:val="006647C7"/>
  </w:style>
  <w:style w:type="paragraph" w:customStyle="1" w:styleId="Btable">
    <w:name w:val="B table"/>
    <w:basedOn w:val="Tabletext"/>
    <w:qFormat/>
    <w:rsid w:val="006647C7"/>
    <w:pPr>
      <w:jc w:val="both"/>
    </w:pPr>
    <w:rPr>
      <w:rFonts w:asciiTheme="minorHAnsi" w:eastAsiaTheme="minorHAnsi" w:hAnsiTheme="minorHAnsi" w:cstheme="minorBidi"/>
      <w:b/>
      <w:bCs/>
      <w:snapToGrid/>
      <w:szCs w:val="20"/>
      <w:lang w:eastAsia="en-US"/>
    </w:rPr>
  </w:style>
  <w:style w:type="character" w:styleId="UnresolvedMention">
    <w:name w:val="Unresolved Mention"/>
    <w:basedOn w:val="DefaultParagraphFont"/>
    <w:uiPriority w:val="99"/>
    <w:semiHidden/>
    <w:unhideWhenUsed/>
    <w:rsid w:val="006647C7"/>
    <w:rPr>
      <w:color w:val="605E5C"/>
      <w:shd w:val="clear" w:color="auto" w:fill="E1DFDD"/>
    </w:rPr>
  </w:style>
  <w:style w:type="character" w:styleId="Mention">
    <w:name w:val="Mention"/>
    <w:basedOn w:val="DefaultParagraphFont"/>
    <w:uiPriority w:val="99"/>
    <w:unhideWhenUsed/>
    <w:rsid w:val="006647C7"/>
    <w:rPr>
      <w:color w:val="2B579A"/>
      <w:shd w:val="clear" w:color="auto" w:fill="E1DFDD"/>
    </w:rPr>
  </w:style>
  <w:style w:type="table" w:customStyle="1" w:styleId="Summarybox3">
    <w:name w:val="Summary box3"/>
    <w:basedOn w:val="TableNormal"/>
    <w:next w:val="TableGrid"/>
    <w:uiPriority w:val="59"/>
    <w:rsid w:val="006647C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6">
    <w:name w:val="Summary box6"/>
    <w:basedOn w:val="TableNormal"/>
    <w:next w:val="TableGrid"/>
    <w:uiPriority w:val="59"/>
    <w:rsid w:val="006647C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1">
    <w:name w:val="Summary box1"/>
    <w:basedOn w:val="TableNormal"/>
    <w:next w:val="TableGrid"/>
    <w:uiPriority w:val="59"/>
    <w:rsid w:val="006647C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6647C7"/>
  </w:style>
  <w:style w:type="paragraph" w:customStyle="1" w:styleId="Sources">
    <w:name w:val="Sources"/>
    <w:basedOn w:val="Normal"/>
    <w:qFormat/>
    <w:rsid w:val="006647C7"/>
    <w:rPr>
      <w:rFonts w:eastAsiaTheme="minorHAnsi" w:cstheme="minorBidi"/>
      <w:sz w:val="18"/>
      <w:szCs w:val="22"/>
      <w:lang w:eastAsia="en-US"/>
    </w:rPr>
  </w:style>
  <w:style w:type="character" w:styleId="FootnoteReference">
    <w:name w:val="footnote reference"/>
    <w:semiHidden/>
    <w:rsid w:val="006647C7"/>
    <w:rPr>
      <w:rFonts w:ascii="Arial" w:hAnsi="Arial"/>
      <w:sz w:val="17"/>
      <w:vertAlign w:val="superscript"/>
    </w:rPr>
  </w:style>
  <w:style w:type="paragraph" w:styleId="FootnoteText">
    <w:name w:val="footnote text"/>
    <w:basedOn w:val="Normal"/>
    <w:link w:val="FootnoteTextChar"/>
    <w:semiHidden/>
    <w:rsid w:val="006647C7"/>
    <w:pPr>
      <w:spacing w:after="200"/>
      <w:jc w:val="left"/>
    </w:pPr>
    <w:rPr>
      <w:rFonts w:ascii="Arial" w:hAnsi="Arial" w:cs="Times New Roman"/>
      <w:sz w:val="18"/>
      <w:szCs w:val="20"/>
      <w:lang w:eastAsia="en-US"/>
    </w:rPr>
  </w:style>
  <w:style w:type="character" w:customStyle="1" w:styleId="FootnoteTextChar">
    <w:name w:val="Footnote Text Char"/>
    <w:basedOn w:val="DefaultParagraphFont"/>
    <w:link w:val="FootnoteText"/>
    <w:semiHidden/>
    <w:rsid w:val="006647C7"/>
    <w:rPr>
      <w:rFonts w:ascii="Arial" w:hAnsi="Arial"/>
      <w:sz w:val="18"/>
      <w:lang w:eastAsia="en-US"/>
    </w:rPr>
  </w:style>
  <w:style w:type="table" w:customStyle="1" w:styleId="AZTable">
    <w:name w:val="AZ Table"/>
    <w:basedOn w:val="TableNormal"/>
    <w:uiPriority w:val="99"/>
    <w:rsid w:val="006647C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b w:val="0"/>
      </w:rPr>
      <w:tblPr/>
      <w:tcPr>
        <w:vAlign w:val="center"/>
      </w:tcPr>
    </w:tblStylePr>
  </w:style>
  <w:style w:type="character" w:styleId="SubtleEmphasis">
    <w:name w:val="Subtle Emphasis"/>
    <w:basedOn w:val="DefaultParagraphFont"/>
    <w:uiPriority w:val="19"/>
    <w:qFormat/>
    <w:rsid w:val="006647C7"/>
    <w:rPr>
      <w:i/>
      <w:iCs/>
      <w:color w:val="404040" w:themeColor="text1" w:themeTint="BF"/>
    </w:rPr>
  </w:style>
  <w:style w:type="numbering" w:customStyle="1" w:styleId="NoList3">
    <w:name w:val="No List3"/>
    <w:next w:val="NoList"/>
    <w:uiPriority w:val="99"/>
    <w:semiHidden/>
    <w:unhideWhenUsed/>
    <w:rsid w:val="00B44617"/>
  </w:style>
  <w:style w:type="numbering" w:customStyle="1" w:styleId="Style13">
    <w:name w:val="Style13"/>
    <w:uiPriority w:val="99"/>
    <w:rsid w:val="00B44617"/>
    <w:pPr>
      <w:numPr>
        <w:numId w:val="2"/>
      </w:numPr>
    </w:pPr>
  </w:style>
  <w:style w:type="numbering" w:customStyle="1" w:styleId="SectionBii1">
    <w:name w:val="Section Bii1"/>
    <w:uiPriority w:val="99"/>
    <w:rsid w:val="00B44617"/>
    <w:pPr>
      <w:numPr>
        <w:numId w:val="3"/>
      </w:numPr>
    </w:pPr>
  </w:style>
  <w:style w:type="table" w:customStyle="1" w:styleId="MSDTableGrid6">
    <w:name w:val="MSD Table Grid6"/>
    <w:basedOn w:val="TableNormal"/>
    <w:next w:val="TableGrid"/>
    <w:uiPriority w:val="59"/>
    <w:rsid w:val="00B4461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ctionBi3">
    <w:name w:val="Section Bi3"/>
    <w:uiPriority w:val="99"/>
    <w:rsid w:val="00B44617"/>
    <w:pPr>
      <w:numPr>
        <w:numId w:val="4"/>
      </w:numPr>
    </w:pPr>
  </w:style>
  <w:style w:type="numbering" w:customStyle="1" w:styleId="NoList12">
    <w:name w:val="No List12"/>
    <w:next w:val="NoList"/>
    <w:uiPriority w:val="99"/>
    <w:semiHidden/>
    <w:unhideWhenUsed/>
    <w:rsid w:val="00B44617"/>
  </w:style>
  <w:style w:type="numbering" w:customStyle="1" w:styleId="SectionBi11">
    <w:name w:val="Section Bi11"/>
    <w:uiPriority w:val="99"/>
    <w:rsid w:val="00B44617"/>
  </w:style>
  <w:style w:type="numbering" w:customStyle="1" w:styleId="Style111">
    <w:name w:val="Style111"/>
    <w:uiPriority w:val="99"/>
    <w:rsid w:val="00B44617"/>
  </w:style>
  <w:style w:type="numbering" w:customStyle="1" w:styleId="NoList21">
    <w:name w:val="No List21"/>
    <w:next w:val="NoList"/>
    <w:uiPriority w:val="99"/>
    <w:semiHidden/>
    <w:unhideWhenUsed/>
    <w:rsid w:val="00B44617"/>
  </w:style>
  <w:style w:type="numbering" w:customStyle="1" w:styleId="SectionBi21">
    <w:name w:val="Section Bi21"/>
    <w:uiPriority w:val="99"/>
    <w:rsid w:val="00B44617"/>
  </w:style>
  <w:style w:type="numbering" w:customStyle="1" w:styleId="Style121">
    <w:name w:val="Style121"/>
    <w:uiPriority w:val="99"/>
    <w:rsid w:val="00B44617"/>
  </w:style>
  <w:style w:type="table" w:customStyle="1" w:styleId="MSDTableGrid7">
    <w:name w:val="MSD Table Grid7"/>
    <w:basedOn w:val="TableNormal"/>
    <w:next w:val="TableGrid"/>
    <w:uiPriority w:val="59"/>
    <w:rsid w:val="000F6D1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SDTableGrid8">
    <w:name w:val="MSD Table Grid8"/>
    <w:basedOn w:val="TableNormal"/>
    <w:next w:val="TableGrid"/>
    <w:uiPriority w:val="59"/>
    <w:rsid w:val="000F6D1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SDTableGrid9">
    <w:name w:val="MSD Table Grid9"/>
    <w:basedOn w:val="TableNormal"/>
    <w:next w:val="TableGrid"/>
    <w:uiPriority w:val="59"/>
    <w:rsid w:val="002D291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DA57BF"/>
    <w:pPr>
      <w:spacing w:before="100" w:beforeAutospacing="1" w:after="100" w:afterAutospacing="1"/>
      <w:jc w:val="left"/>
    </w:pPr>
    <w:rPr>
      <w:rFonts w:ascii="Times New Roman" w:hAnsi="Times New Roman" w:cs="Times New Roman"/>
      <w:lang w:val="en-US" w:eastAsia="en-US"/>
    </w:rPr>
  </w:style>
  <w:style w:type="character" w:customStyle="1" w:styleId="cf01">
    <w:name w:val="cf01"/>
    <w:basedOn w:val="DefaultParagraphFont"/>
    <w:rsid w:val="00DA57BF"/>
    <w:rPr>
      <w:rFonts w:ascii="Segoe UI" w:hAnsi="Segoe UI" w:cs="Segoe UI" w:hint="default"/>
      <w:sz w:val="18"/>
      <w:szCs w:val="18"/>
    </w:rPr>
  </w:style>
  <w:style w:type="character" w:styleId="Strong">
    <w:name w:val="Strong"/>
    <w:basedOn w:val="DefaultParagraphFont"/>
    <w:uiPriority w:val="22"/>
    <w:qFormat/>
    <w:rsid w:val="007F0061"/>
    <w:rPr>
      <w:b/>
      <w:bCs/>
    </w:rPr>
  </w:style>
  <w:style w:type="character" w:customStyle="1" w:styleId="ui-provider">
    <w:name w:val="ui-provider"/>
    <w:basedOn w:val="DefaultParagraphFont"/>
    <w:rsid w:val="00B461C3"/>
  </w:style>
  <w:style w:type="paragraph" w:customStyle="1" w:styleId="PBACTableText">
    <w:name w:val="PBAC Table Text"/>
    <w:basedOn w:val="Normal"/>
    <w:link w:val="PBACTableTextChar"/>
    <w:qFormat/>
    <w:rsid w:val="00743749"/>
    <w:pPr>
      <w:spacing w:before="40" w:after="40"/>
      <w:jc w:val="left"/>
    </w:pPr>
    <w:rPr>
      <w:rFonts w:ascii="Arial Narrow" w:hAnsi="Arial Narrow" w:cs="Times New Roman"/>
      <w:sz w:val="20"/>
      <w:szCs w:val="20"/>
      <w:lang w:eastAsia="en-US"/>
    </w:rPr>
  </w:style>
  <w:style w:type="character" w:customStyle="1" w:styleId="PBACTableTextChar">
    <w:name w:val="PBAC Table Text Char"/>
    <w:link w:val="PBACTableText"/>
    <w:rsid w:val="00743749"/>
    <w:rPr>
      <w:rFonts w:ascii="Arial Narrow" w:hAnsi="Arial Narrow"/>
      <w:lang w:eastAsia="en-US"/>
    </w:rPr>
  </w:style>
  <w:style w:type="paragraph" w:customStyle="1" w:styleId="3-SubsectionHeading">
    <w:name w:val="3-Subsection Heading"/>
    <w:basedOn w:val="Heading2"/>
    <w:next w:val="Normal"/>
    <w:link w:val="3-SubsectionHeadingChar"/>
    <w:qFormat/>
    <w:rsid w:val="00792DA6"/>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792DA6"/>
    <w:rPr>
      <w:rFonts w:asciiTheme="minorHAnsi" w:eastAsiaTheme="majorEastAsia" w:hAnsiTheme="minorHAnsi" w:cstheme="majorBidi"/>
      <w:b/>
      <w:i/>
      <w:snapToGrid/>
      <w:spacing w:val="5"/>
      <w:kern w:val="28"/>
      <w:sz w:val="28"/>
      <w:szCs w:val="36"/>
      <w:lang w:eastAsia="en-US"/>
    </w:rPr>
  </w:style>
  <w:style w:type="character" w:customStyle="1" w:styleId="null1">
    <w:name w:val="null1"/>
    <w:basedOn w:val="DefaultParagraphFont"/>
    <w:rsid w:val="00003C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31279">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93277729">
      <w:bodyDiv w:val="1"/>
      <w:marLeft w:val="0"/>
      <w:marRight w:val="0"/>
      <w:marTop w:val="0"/>
      <w:marBottom w:val="0"/>
      <w:divBdr>
        <w:top w:val="none" w:sz="0" w:space="0" w:color="auto"/>
        <w:left w:val="none" w:sz="0" w:space="0" w:color="auto"/>
        <w:bottom w:val="none" w:sz="0" w:space="0" w:color="auto"/>
        <w:right w:val="none" w:sz="0" w:space="0" w:color="auto"/>
      </w:divBdr>
    </w:div>
    <w:div w:id="24091866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68645413">
      <w:bodyDiv w:val="1"/>
      <w:marLeft w:val="0"/>
      <w:marRight w:val="0"/>
      <w:marTop w:val="0"/>
      <w:marBottom w:val="0"/>
      <w:divBdr>
        <w:top w:val="none" w:sz="0" w:space="0" w:color="auto"/>
        <w:left w:val="none" w:sz="0" w:space="0" w:color="auto"/>
        <w:bottom w:val="none" w:sz="0" w:space="0" w:color="auto"/>
        <w:right w:val="none" w:sz="0" w:space="0" w:color="auto"/>
      </w:divBdr>
    </w:div>
    <w:div w:id="551041299">
      <w:bodyDiv w:val="1"/>
      <w:marLeft w:val="0"/>
      <w:marRight w:val="0"/>
      <w:marTop w:val="0"/>
      <w:marBottom w:val="0"/>
      <w:divBdr>
        <w:top w:val="none" w:sz="0" w:space="0" w:color="auto"/>
        <w:left w:val="none" w:sz="0" w:space="0" w:color="auto"/>
        <w:bottom w:val="none" w:sz="0" w:space="0" w:color="auto"/>
        <w:right w:val="none" w:sz="0" w:space="0" w:color="auto"/>
      </w:divBdr>
    </w:div>
    <w:div w:id="618806911">
      <w:bodyDiv w:val="1"/>
      <w:marLeft w:val="0"/>
      <w:marRight w:val="0"/>
      <w:marTop w:val="0"/>
      <w:marBottom w:val="0"/>
      <w:divBdr>
        <w:top w:val="none" w:sz="0" w:space="0" w:color="auto"/>
        <w:left w:val="none" w:sz="0" w:space="0" w:color="auto"/>
        <w:bottom w:val="none" w:sz="0" w:space="0" w:color="auto"/>
        <w:right w:val="none" w:sz="0" w:space="0" w:color="auto"/>
      </w:divBdr>
    </w:div>
    <w:div w:id="627392632">
      <w:bodyDiv w:val="1"/>
      <w:marLeft w:val="0"/>
      <w:marRight w:val="0"/>
      <w:marTop w:val="0"/>
      <w:marBottom w:val="0"/>
      <w:divBdr>
        <w:top w:val="none" w:sz="0" w:space="0" w:color="auto"/>
        <w:left w:val="none" w:sz="0" w:space="0" w:color="auto"/>
        <w:bottom w:val="none" w:sz="0" w:space="0" w:color="auto"/>
        <w:right w:val="none" w:sz="0" w:space="0" w:color="auto"/>
      </w:divBdr>
    </w:div>
    <w:div w:id="727650311">
      <w:bodyDiv w:val="1"/>
      <w:marLeft w:val="0"/>
      <w:marRight w:val="0"/>
      <w:marTop w:val="0"/>
      <w:marBottom w:val="0"/>
      <w:divBdr>
        <w:top w:val="none" w:sz="0" w:space="0" w:color="auto"/>
        <w:left w:val="none" w:sz="0" w:space="0" w:color="auto"/>
        <w:bottom w:val="none" w:sz="0" w:space="0" w:color="auto"/>
        <w:right w:val="none" w:sz="0" w:space="0" w:color="auto"/>
      </w:divBdr>
    </w:div>
    <w:div w:id="732655255">
      <w:bodyDiv w:val="1"/>
      <w:marLeft w:val="0"/>
      <w:marRight w:val="0"/>
      <w:marTop w:val="0"/>
      <w:marBottom w:val="0"/>
      <w:divBdr>
        <w:top w:val="none" w:sz="0" w:space="0" w:color="auto"/>
        <w:left w:val="none" w:sz="0" w:space="0" w:color="auto"/>
        <w:bottom w:val="none" w:sz="0" w:space="0" w:color="auto"/>
        <w:right w:val="none" w:sz="0" w:space="0" w:color="auto"/>
      </w:divBdr>
    </w:div>
    <w:div w:id="773019028">
      <w:bodyDiv w:val="1"/>
      <w:marLeft w:val="0"/>
      <w:marRight w:val="0"/>
      <w:marTop w:val="0"/>
      <w:marBottom w:val="0"/>
      <w:divBdr>
        <w:top w:val="none" w:sz="0" w:space="0" w:color="auto"/>
        <w:left w:val="none" w:sz="0" w:space="0" w:color="auto"/>
        <w:bottom w:val="none" w:sz="0" w:space="0" w:color="auto"/>
        <w:right w:val="none" w:sz="0" w:space="0" w:color="auto"/>
      </w:divBdr>
      <w:divsChild>
        <w:div w:id="362025002">
          <w:marLeft w:val="1267"/>
          <w:marRight w:val="173"/>
          <w:marTop w:val="100"/>
          <w:marBottom w:val="120"/>
          <w:divBdr>
            <w:top w:val="none" w:sz="0" w:space="0" w:color="auto"/>
            <w:left w:val="none" w:sz="0" w:space="0" w:color="auto"/>
            <w:bottom w:val="none" w:sz="0" w:space="0" w:color="auto"/>
            <w:right w:val="none" w:sz="0" w:space="0" w:color="auto"/>
          </w:divBdr>
        </w:div>
      </w:divsChild>
    </w:div>
    <w:div w:id="830946237">
      <w:bodyDiv w:val="1"/>
      <w:marLeft w:val="0"/>
      <w:marRight w:val="0"/>
      <w:marTop w:val="0"/>
      <w:marBottom w:val="0"/>
      <w:divBdr>
        <w:top w:val="none" w:sz="0" w:space="0" w:color="auto"/>
        <w:left w:val="none" w:sz="0" w:space="0" w:color="auto"/>
        <w:bottom w:val="none" w:sz="0" w:space="0" w:color="auto"/>
        <w:right w:val="none" w:sz="0" w:space="0" w:color="auto"/>
      </w:divBdr>
      <w:divsChild>
        <w:div w:id="580994401">
          <w:marLeft w:val="360"/>
          <w:marRight w:val="0"/>
          <w:marTop w:val="200"/>
          <w:marBottom w:val="0"/>
          <w:divBdr>
            <w:top w:val="none" w:sz="0" w:space="0" w:color="auto"/>
            <w:left w:val="none" w:sz="0" w:space="0" w:color="auto"/>
            <w:bottom w:val="none" w:sz="0" w:space="0" w:color="auto"/>
            <w:right w:val="none" w:sz="0" w:space="0" w:color="auto"/>
          </w:divBdr>
        </w:div>
      </w:divsChild>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834148677">
      <w:bodyDiv w:val="1"/>
      <w:marLeft w:val="0"/>
      <w:marRight w:val="0"/>
      <w:marTop w:val="0"/>
      <w:marBottom w:val="0"/>
      <w:divBdr>
        <w:top w:val="none" w:sz="0" w:space="0" w:color="auto"/>
        <w:left w:val="none" w:sz="0" w:space="0" w:color="auto"/>
        <w:bottom w:val="none" w:sz="0" w:space="0" w:color="auto"/>
        <w:right w:val="none" w:sz="0" w:space="0" w:color="auto"/>
      </w:divBdr>
    </w:div>
    <w:div w:id="917832769">
      <w:bodyDiv w:val="1"/>
      <w:marLeft w:val="0"/>
      <w:marRight w:val="0"/>
      <w:marTop w:val="0"/>
      <w:marBottom w:val="0"/>
      <w:divBdr>
        <w:top w:val="none" w:sz="0" w:space="0" w:color="auto"/>
        <w:left w:val="none" w:sz="0" w:space="0" w:color="auto"/>
        <w:bottom w:val="none" w:sz="0" w:space="0" w:color="auto"/>
        <w:right w:val="none" w:sz="0" w:space="0" w:color="auto"/>
      </w:divBdr>
    </w:div>
    <w:div w:id="952902007">
      <w:bodyDiv w:val="1"/>
      <w:marLeft w:val="0"/>
      <w:marRight w:val="0"/>
      <w:marTop w:val="0"/>
      <w:marBottom w:val="0"/>
      <w:divBdr>
        <w:top w:val="none" w:sz="0" w:space="0" w:color="auto"/>
        <w:left w:val="none" w:sz="0" w:space="0" w:color="auto"/>
        <w:bottom w:val="none" w:sz="0" w:space="0" w:color="auto"/>
        <w:right w:val="none" w:sz="0" w:space="0" w:color="auto"/>
      </w:divBdr>
    </w:div>
    <w:div w:id="1051032404">
      <w:bodyDiv w:val="1"/>
      <w:marLeft w:val="0"/>
      <w:marRight w:val="0"/>
      <w:marTop w:val="0"/>
      <w:marBottom w:val="0"/>
      <w:divBdr>
        <w:top w:val="none" w:sz="0" w:space="0" w:color="auto"/>
        <w:left w:val="none" w:sz="0" w:space="0" w:color="auto"/>
        <w:bottom w:val="none" w:sz="0" w:space="0" w:color="auto"/>
        <w:right w:val="none" w:sz="0" w:space="0" w:color="auto"/>
      </w:divBdr>
    </w:div>
    <w:div w:id="1059011396">
      <w:bodyDiv w:val="1"/>
      <w:marLeft w:val="0"/>
      <w:marRight w:val="0"/>
      <w:marTop w:val="0"/>
      <w:marBottom w:val="0"/>
      <w:divBdr>
        <w:top w:val="none" w:sz="0" w:space="0" w:color="auto"/>
        <w:left w:val="none" w:sz="0" w:space="0" w:color="auto"/>
        <w:bottom w:val="none" w:sz="0" w:space="0" w:color="auto"/>
        <w:right w:val="none" w:sz="0" w:space="0" w:color="auto"/>
      </w:divBdr>
    </w:div>
    <w:div w:id="1131284056">
      <w:bodyDiv w:val="1"/>
      <w:marLeft w:val="0"/>
      <w:marRight w:val="0"/>
      <w:marTop w:val="0"/>
      <w:marBottom w:val="0"/>
      <w:divBdr>
        <w:top w:val="none" w:sz="0" w:space="0" w:color="auto"/>
        <w:left w:val="none" w:sz="0" w:space="0" w:color="auto"/>
        <w:bottom w:val="none" w:sz="0" w:space="0" w:color="auto"/>
        <w:right w:val="none" w:sz="0" w:space="0" w:color="auto"/>
      </w:divBdr>
    </w:div>
    <w:div w:id="1170607912">
      <w:bodyDiv w:val="1"/>
      <w:marLeft w:val="0"/>
      <w:marRight w:val="0"/>
      <w:marTop w:val="0"/>
      <w:marBottom w:val="0"/>
      <w:divBdr>
        <w:top w:val="none" w:sz="0" w:space="0" w:color="auto"/>
        <w:left w:val="none" w:sz="0" w:space="0" w:color="auto"/>
        <w:bottom w:val="none" w:sz="0" w:space="0" w:color="auto"/>
        <w:right w:val="none" w:sz="0" w:space="0" w:color="auto"/>
      </w:divBdr>
      <w:divsChild>
        <w:div w:id="829517135">
          <w:marLeft w:val="0"/>
          <w:marRight w:val="0"/>
          <w:marTop w:val="0"/>
          <w:marBottom w:val="0"/>
          <w:divBdr>
            <w:top w:val="none" w:sz="0" w:space="0" w:color="auto"/>
            <w:left w:val="none" w:sz="0" w:space="0" w:color="auto"/>
            <w:bottom w:val="none" w:sz="0" w:space="0" w:color="auto"/>
            <w:right w:val="none" w:sz="0" w:space="0" w:color="auto"/>
          </w:divBdr>
          <w:divsChild>
            <w:div w:id="1821727470">
              <w:marLeft w:val="0"/>
              <w:marRight w:val="0"/>
              <w:marTop w:val="0"/>
              <w:marBottom w:val="0"/>
              <w:divBdr>
                <w:top w:val="none" w:sz="0" w:space="0" w:color="auto"/>
                <w:left w:val="none" w:sz="0" w:space="0" w:color="auto"/>
                <w:bottom w:val="none" w:sz="0" w:space="0" w:color="auto"/>
                <w:right w:val="none" w:sz="0" w:space="0" w:color="auto"/>
              </w:divBdr>
            </w:div>
            <w:div w:id="1826781496">
              <w:marLeft w:val="0"/>
              <w:marRight w:val="0"/>
              <w:marTop w:val="0"/>
              <w:marBottom w:val="0"/>
              <w:divBdr>
                <w:top w:val="none" w:sz="0" w:space="0" w:color="auto"/>
                <w:left w:val="none" w:sz="0" w:space="0" w:color="auto"/>
                <w:bottom w:val="none" w:sz="0" w:space="0" w:color="auto"/>
                <w:right w:val="none" w:sz="0" w:space="0" w:color="auto"/>
              </w:divBdr>
            </w:div>
            <w:div w:id="277488358">
              <w:marLeft w:val="0"/>
              <w:marRight w:val="0"/>
              <w:marTop w:val="0"/>
              <w:marBottom w:val="0"/>
              <w:divBdr>
                <w:top w:val="none" w:sz="0" w:space="0" w:color="auto"/>
                <w:left w:val="none" w:sz="0" w:space="0" w:color="auto"/>
                <w:bottom w:val="none" w:sz="0" w:space="0" w:color="auto"/>
                <w:right w:val="none" w:sz="0" w:space="0" w:color="auto"/>
              </w:divBdr>
            </w:div>
            <w:div w:id="2001494704">
              <w:marLeft w:val="0"/>
              <w:marRight w:val="0"/>
              <w:marTop w:val="0"/>
              <w:marBottom w:val="0"/>
              <w:divBdr>
                <w:top w:val="none" w:sz="0" w:space="0" w:color="auto"/>
                <w:left w:val="none" w:sz="0" w:space="0" w:color="auto"/>
                <w:bottom w:val="none" w:sz="0" w:space="0" w:color="auto"/>
                <w:right w:val="none" w:sz="0" w:space="0" w:color="auto"/>
              </w:divBdr>
            </w:div>
          </w:divsChild>
        </w:div>
        <w:div w:id="2049572981">
          <w:marLeft w:val="0"/>
          <w:marRight w:val="0"/>
          <w:marTop w:val="0"/>
          <w:marBottom w:val="0"/>
          <w:divBdr>
            <w:top w:val="none" w:sz="0" w:space="0" w:color="auto"/>
            <w:left w:val="none" w:sz="0" w:space="0" w:color="auto"/>
            <w:bottom w:val="none" w:sz="0" w:space="0" w:color="auto"/>
            <w:right w:val="none" w:sz="0" w:space="0" w:color="auto"/>
          </w:divBdr>
          <w:divsChild>
            <w:div w:id="748430365">
              <w:marLeft w:val="0"/>
              <w:marRight w:val="0"/>
              <w:marTop w:val="30"/>
              <w:marBottom w:val="30"/>
              <w:divBdr>
                <w:top w:val="none" w:sz="0" w:space="0" w:color="auto"/>
                <w:left w:val="none" w:sz="0" w:space="0" w:color="auto"/>
                <w:bottom w:val="none" w:sz="0" w:space="0" w:color="auto"/>
                <w:right w:val="none" w:sz="0" w:space="0" w:color="auto"/>
              </w:divBdr>
              <w:divsChild>
                <w:div w:id="4676307">
                  <w:marLeft w:val="0"/>
                  <w:marRight w:val="0"/>
                  <w:marTop w:val="0"/>
                  <w:marBottom w:val="0"/>
                  <w:divBdr>
                    <w:top w:val="none" w:sz="0" w:space="0" w:color="auto"/>
                    <w:left w:val="none" w:sz="0" w:space="0" w:color="auto"/>
                    <w:bottom w:val="none" w:sz="0" w:space="0" w:color="auto"/>
                    <w:right w:val="none" w:sz="0" w:space="0" w:color="auto"/>
                  </w:divBdr>
                  <w:divsChild>
                    <w:div w:id="157115305">
                      <w:marLeft w:val="0"/>
                      <w:marRight w:val="0"/>
                      <w:marTop w:val="0"/>
                      <w:marBottom w:val="0"/>
                      <w:divBdr>
                        <w:top w:val="none" w:sz="0" w:space="0" w:color="auto"/>
                        <w:left w:val="none" w:sz="0" w:space="0" w:color="auto"/>
                        <w:bottom w:val="none" w:sz="0" w:space="0" w:color="auto"/>
                        <w:right w:val="none" w:sz="0" w:space="0" w:color="auto"/>
                      </w:divBdr>
                    </w:div>
                  </w:divsChild>
                </w:div>
                <w:div w:id="1974479695">
                  <w:marLeft w:val="0"/>
                  <w:marRight w:val="0"/>
                  <w:marTop w:val="0"/>
                  <w:marBottom w:val="0"/>
                  <w:divBdr>
                    <w:top w:val="none" w:sz="0" w:space="0" w:color="auto"/>
                    <w:left w:val="none" w:sz="0" w:space="0" w:color="auto"/>
                    <w:bottom w:val="none" w:sz="0" w:space="0" w:color="auto"/>
                    <w:right w:val="none" w:sz="0" w:space="0" w:color="auto"/>
                  </w:divBdr>
                  <w:divsChild>
                    <w:div w:id="172143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43105">
          <w:marLeft w:val="0"/>
          <w:marRight w:val="0"/>
          <w:marTop w:val="0"/>
          <w:marBottom w:val="0"/>
          <w:divBdr>
            <w:top w:val="none" w:sz="0" w:space="0" w:color="auto"/>
            <w:left w:val="none" w:sz="0" w:space="0" w:color="auto"/>
            <w:bottom w:val="none" w:sz="0" w:space="0" w:color="auto"/>
            <w:right w:val="none" w:sz="0" w:space="0" w:color="auto"/>
          </w:divBdr>
          <w:divsChild>
            <w:div w:id="523632945">
              <w:marLeft w:val="0"/>
              <w:marRight w:val="0"/>
              <w:marTop w:val="0"/>
              <w:marBottom w:val="0"/>
              <w:divBdr>
                <w:top w:val="none" w:sz="0" w:space="0" w:color="auto"/>
                <w:left w:val="none" w:sz="0" w:space="0" w:color="auto"/>
                <w:bottom w:val="none" w:sz="0" w:space="0" w:color="auto"/>
                <w:right w:val="none" w:sz="0" w:space="0" w:color="auto"/>
              </w:divBdr>
            </w:div>
            <w:div w:id="132870002">
              <w:marLeft w:val="0"/>
              <w:marRight w:val="0"/>
              <w:marTop w:val="0"/>
              <w:marBottom w:val="0"/>
              <w:divBdr>
                <w:top w:val="none" w:sz="0" w:space="0" w:color="auto"/>
                <w:left w:val="none" w:sz="0" w:space="0" w:color="auto"/>
                <w:bottom w:val="none" w:sz="0" w:space="0" w:color="auto"/>
                <w:right w:val="none" w:sz="0" w:space="0" w:color="auto"/>
              </w:divBdr>
            </w:div>
          </w:divsChild>
        </w:div>
        <w:div w:id="1086652741">
          <w:marLeft w:val="0"/>
          <w:marRight w:val="0"/>
          <w:marTop w:val="0"/>
          <w:marBottom w:val="0"/>
          <w:divBdr>
            <w:top w:val="none" w:sz="0" w:space="0" w:color="auto"/>
            <w:left w:val="none" w:sz="0" w:space="0" w:color="auto"/>
            <w:bottom w:val="none" w:sz="0" w:space="0" w:color="auto"/>
            <w:right w:val="none" w:sz="0" w:space="0" w:color="auto"/>
          </w:divBdr>
          <w:divsChild>
            <w:div w:id="484930249">
              <w:marLeft w:val="0"/>
              <w:marRight w:val="0"/>
              <w:marTop w:val="30"/>
              <w:marBottom w:val="30"/>
              <w:divBdr>
                <w:top w:val="none" w:sz="0" w:space="0" w:color="auto"/>
                <w:left w:val="none" w:sz="0" w:space="0" w:color="auto"/>
                <w:bottom w:val="none" w:sz="0" w:space="0" w:color="auto"/>
                <w:right w:val="none" w:sz="0" w:space="0" w:color="auto"/>
              </w:divBdr>
              <w:divsChild>
                <w:div w:id="1070425126">
                  <w:marLeft w:val="0"/>
                  <w:marRight w:val="0"/>
                  <w:marTop w:val="0"/>
                  <w:marBottom w:val="0"/>
                  <w:divBdr>
                    <w:top w:val="none" w:sz="0" w:space="0" w:color="auto"/>
                    <w:left w:val="none" w:sz="0" w:space="0" w:color="auto"/>
                    <w:bottom w:val="none" w:sz="0" w:space="0" w:color="auto"/>
                    <w:right w:val="none" w:sz="0" w:space="0" w:color="auto"/>
                  </w:divBdr>
                  <w:divsChild>
                    <w:div w:id="1536963649">
                      <w:marLeft w:val="0"/>
                      <w:marRight w:val="0"/>
                      <w:marTop w:val="0"/>
                      <w:marBottom w:val="0"/>
                      <w:divBdr>
                        <w:top w:val="none" w:sz="0" w:space="0" w:color="auto"/>
                        <w:left w:val="none" w:sz="0" w:space="0" w:color="auto"/>
                        <w:bottom w:val="none" w:sz="0" w:space="0" w:color="auto"/>
                        <w:right w:val="none" w:sz="0" w:space="0" w:color="auto"/>
                      </w:divBdr>
                    </w:div>
                  </w:divsChild>
                </w:div>
                <w:div w:id="2056544542">
                  <w:marLeft w:val="0"/>
                  <w:marRight w:val="0"/>
                  <w:marTop w:val="0"/>
                  <w:marBottom w:val="0"/>
                  <w:divBdr>
                    <w:top w:val="none" w:sz="0" w:space="0" w:color="auto"/>
                    <w:left w:val="none" w:sz="0" w:space="0" w:color="auto"/>
                    <w:bottom w:val="none" w:sz="0" w:space="0" w:color="auto"/>
                    <w:right w:val="none" w:sz="0" w:space="0" w:color="auto"/>
                  </w:divBdr>
                  <w:divsChild>
                    <w:div w:id="859974632">
                      <w:marLeft w:val="0"/>
                      <w:marRight w:val="0"/>
                      <w:marTop w:val="0"/>
                      <w:marBottom w:val="0"/>
                      <w:divBdr>
                        <w:top w:val="none" w:sz="0" w:space="0" w:color="auto"/>
                        <w:left w:val="none" w:sz="0" w:space="0" w:color="auto"/>
                        <w:bottom w:val="none" w:sz="0" w:space="0" w:color="auto"/>
                        <w:right w:val="none" w:sz="0" w:space="0" w:color="auto"/>
                      </w:divBdr>
                    </w:div>
                    <w:div w:id="2053380006">
                      <w:marLeft w:val="0"/>
                      <w:marRight w:val="0"/>
                      <w:marTop w:val="0"/>
                      <w:marBottom w:val="0"/>
                      <w:divBdr>
                        <w:top w:val="none" w:sz="0" w:space="0" w:color="auto"/>
                        <w:left w:val="none" w:sz="0" w:space="0" w:color="auto"/>
                        <w:bottom w:val="none" w:sz="0" w:space="0" w:color="auto"/>
                        <w:right w:val="none" w:sz="0" w:space="0" w:color="auto"/>
                      </w:divBdr>
                    </w:div>
                    <w:div w:id="1300383671">
                      <w:marLeft w:val="0"/>
                      <w:marRight w:val="0"/>
                      <w:marTop w:val="0"/>
                      <w:marBottom w:val="0"/>
                      <w:divBdr>
                        <w:top w:val="none" w:sz="0" w:space="0" w:color="auto"/>
                        <w:left w:val="none" w:sz="0" w:space="0" w:color="auto"/>
                        <w:bottom w:val="none" w:sz="0" w:space="0" w:color="auto"/>
                        <w:right w:val="none" w:sz="0" w:space="0" w:color="auto"/>
                      </w:divBdr>
                    </w:div>
                    <w:div w:id="16761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236866300">
      <w:bodyDiv w:val="1"/>
      <w:marLeft w:val="0"/>
      <w:marRight w:val="0"/>
      <w:marTop w:val="0"/>
      <w:marBottom w:val="0"/>
      <w:divBdr>
        <w:top w:val="none" w:sz="0" w:space="0" w:color="auto"/>
        <w:left w:val="none" w:sz="0" w:space="0" w:color="auto"/>
        <w:bottom w:val="none" w:sz="0" w:space="0" w:color="auto"/>
        <w:right w:val="none" w:sz="0" w:space="0" w:color="auto"/>
      </w:divBdr>
    </w:div>
    <w:div w:id="1249659706">
      <w:bodyDiv w:val="1"/>
      <w:marLeft w:val="0"/>
      <w:marRight w:val="0"/>
      <w:marTop w:val="0"/>
      <w:marBottom w:val="0"/>
      <w:divBdr>
        <w:top w:val="none" w:sz="0" w:space="0" w:color="auto"/>
        <w:left w:val="none" w:sz="0" w:space="0" w:color="auto"/>
        <w:bottom w:val="none" w:sz="0" w:space="0" w:color="auto"/>
        <w:right w:val="none" w:sz="0" w:space="0" w:color="auto"/>
      </w:divBdr>
    </w:div>
    <w:div w:id="1267346608">
      <w:bodyDiv w:val="1"/>
      <w:marLeft w:val="0"/>
      <w:marRight w:val="0"/>
      <w:marTop w:val="0"/>
      <w:marBottom w:val="0"/>
      <w:divBdr>
        <w:top w:val="none" w:sz="0" w:space="0" w:color="auto"/>
        <w:left w:val="none" w:sz="0" w:space="0" w:color="auto"/>
        <w:bottom w:val="none" w:sz="0" w:space="0" w:color="auto"/>
        <w:right w:val="none" w:sz="0" w:space="0" w:color="auto"/>
      </w:divBdr>
    </w:div>
    <w:div w:id="1299187249">
      <w:bodyDiv w:val="1"/>
      <w:marLeft w:val="0"/>
      <w:marRight w:val="0"/>
      <w:marTop w:val="0"/>
      <w:marBottom w:val="0"/>
      <w:divBdr>
        <w:top w:val="none" w:sz="0" w:space="0" w:color="auto"/>
        <w:left w:val="none" w:sz="0" w:space="0" w:color="auto"/>
        <w:bottom w:val="none" w:sz="0" w:space="0" w:color="auto"/>
        <w:right w:val="none" w:sz="0" w:space="0" w:color="auto"/>
      </w:divBdr>
    </w:div>
    <w:div w:id="1836145322">
      <w:bodyDiv w:val="1"/>
      <w:marLeft w:val="0"/>
      <w:marRight w:val="0"/>
      <w:marTop w:val="0"/>
      <w:marBottom w:val="0"/>
      <w:divBdr>
        <w:top w:val="none" w:sz="0" w:space="0" w:color="auto"/>
        <w:left w:val="none" w:sz="0" w:space="0" w:color="auto"/>
        <w:bottom w:val="none" w:sz="0" w:space="0" w:color="auto"/>
        <w:right w:val="none" w:sz="0" w:space="0" w:color="auto"/>
      </w:divBdr>
    </w:div>
    <w:div w:id="1857424419">
      <w:bodyDiv w:val="1"/>
      <w:marLeft w:val="0"/>
      <w:marRight w:val="0"/>
      <w:marTop w:val="0"/>
      <w:marBottom w:val="0"/>
      <w:divBdr>
        <w:top w:val="none" w:sz="0" w:space="0" w:color="auto"/>
        <w:left w:val="none" w:sz="0" w:space="0" w:color="auto"/>
        <w:bottom w:val="none" w:sz="0" w:space="0" w:color="auto"/>
        <w:right w:val="none" w:sz="0" w:space="0" w:color="auto"/>
      </w:divBdr>
    </w:div>
    <w:div w:id="1923559123">
      <w:bodyDiv w:val="1"/>
      <w:marLeft w:val="0"/>
      <w:marRight w:val="0"/>
      <w:marTop w:val="0"/>
      <w:marBottom w:val="0"/>
      <w:divBdr>
        <w:top w:val="none" w:sz="0" w:space="0" w:color="auto"/>
        <w:left w:val="none" w:sz="0" w:space="0" w:color="auto"/>
        <w:bottom w:val="none" w:sz="0" w:space="0" w:color="auto"/>
        <w:right w:val="none" w:sz="0" w:space="0" w:color="auto"/>
      </w:divBdr>
    </w:div>
    <w:div w:id="1938054029">
      <w:bodyDiv w:val="1"/>
      <w:marLeft w:val="0"/>
      <w:marRight w:val="0"/>
      <w:marTop w:val="0"/>
      <w:marBottom w:val="0"/>
      <w:divBdr>
        <w:top w:val="none" w:sz="0" w:space="0" w:color="auto"/>
        <w:left w:val="none" w:sz="0" w:space="0" w:color="auto"/>
        <w:bottom w:val="none" w:sz="0" w:space="0" w:color="auto"/>
        <w:right w:val="none" w:sz="0" w:space="0" w:color="auto"/>
      </w:divBdr>
      <w:divsChild>
        <w:div w:id="890267457">
          <w:marLeft w:val="0"/>
          <w:marRight w:val="0"/>
          <w:marTop w:val="0"/>
          <w:marBottom w:val="0"/>
          <w:divBdr>
            <w:top w:val="none" w:sz="0" w:space="0" w:color="auto"/>
            <w:left w:val="none" w:sz="0" w:space="0" w:color="auto"/>
            <w:bottom w:val="none" w:sz="0" w:space="0" w:color="auto"/>
            <w:right w:val="none" w:sz="0" w:space="0" w:color="auto"/>
          </w:divBdr>
          <w:divsChild>
            <w:div w:id="456602650">
              <w:marLeft w:val="0"/>
              <w:marRight w:val="0"/>
              <w:marTop w:val="0"/>
              <w:marBottom w:val="0"/>
              <w:divBdr>
                <w:top w:val="none" w:sz="0" w:space="0" w:color="auto"/>
                <w:left w:val="none" w:sz="0" w:space="0" w:color="auto"/>
                <w:bottom w:val="none" w:sz="0" w:space="0" w:color="auto"/>
                <w:right w:val="none" w:sz="0" w:space="0" w:color="auto"/>
              </w:divBdr>
            </w:div>
            <w:div w:id="1315914872">
              <w:marLeft w:val="0"/>
              <w:marRight w:val="0"/>
              <w:marTop w:val="0"/>
              <w:marBottom w:val="0"/>
              <w:divBdr>
                <w:top w:val="none" w:sz="0" w:space="0" w:color="auto"/>
                <w:left w:val="none" w:sz="0" w:space="0" w:color="auto"/>
                <w:bottom w:val="none" w:sz="0" w:space="0" w:color="auto"/>
                <w:right w:val="none" w:sz="0" w:space="0" w:color="auto"/>
              </w:divBdr>
            </w:div>
            <w:div w:id="1542283034">
              <w:marLeft w:val="0"/>
              <w:marRight w:val="0"/>
              <w:marTop w:val="0"/>
              <w:marBottom w:val="0"/>
              <w:divBdr>
                <w:top w:val="none" w:sz="0" w:space="0" w:color="auto"/>
                <w:left w:val="none" w:sz="0" w:space="0" w:color="auto"/>
                <w:bottom w:val="none" w:sz="0" w:space="0" w:color="auto"/>
                <w:right w:val="none" w:sz="0" w:space="0" w:color="auto"/>
              </w:divBdr>
            </w:div>
            <w:div w:id="1015575615">
              <w:marLeft w:val="0"/>
              <w:marRight w:val="0"/>
              <w:marTop w:val="0"/>
              <w:marBottom w:val="0"/>
              <w:divBdr>
                <w:top w:val="none" w:sz="0" w:space="0" w:color="auto"/>
                <w:left w:val="none" w:sz="0" w:space="0" w:color="auto"/>
                <w:bottom w:val="none" w:sz="0" w:space="0" w:color="auto"/>
                <w:right w:val="none" w:sz="0" w:space="0" w:color="auto"/>
              </w:divBdr>
            </w:div>
          </w:divsChild>
        </w:div>
        <w:div w:id="1434085951">
          <w:marLeft w:val="0"/>
          <w:marRight w:val="0"/>
          <w:marTop w:val="0"/>
          <w:marBottom w:val="0"/>
          <w:divBdr>
            <w:top w:val="none" w:sz="0" w:space="0" w:color="auto"/>
            <w:left w:val="none" w:sz="0" w:space="0" w:color="auto"/>
            <w:bottom w:val="none" w:sz="0" w:space="0" w:color="auto"/>
            <w:right w:val="none" w:sz="0" w:space="0" w:color="auto"/>
          </w:divBdr>
          <w:divsChild>
            <w:div w:id="528183436">
              <w:marLeft w:val="0"/>
              <w:marRight w:val="0"/>
              <w:marTop w:val="30"/>
              <w:marBottom w:val="30"/>
              <w:divBdr>
                <w:top w:val="none" w:sz="0" w:space="0" w:color="auto"/>
                <w:left w:val="none" w:sz="0" w:space="0" w:color="auto"/>
                <w:bottom w:val="none" w:sz="0" w:space="0" w:color="auto"/>
                <w:right w:val="none" w:sz="0" w:space="0" w:color="auto"/>
              </w:divBdr>
              <w:divsChild>
                <w:div w:id="1312323732">
                  <w:marLeft w:val="0"/>
                  <w:marRight w:val="0"/>
                  <w:marTop w:val="0"/>
                  <w:marBottom w:val="0"/>
                  <w:divBdr>
                    <w:top w:val="none" w:sz="0" w:space="0" w:color="auto"/>
                    <w:left w:val="none" w:sz="0" w:space="0" w:color="auto"/>
                    <w:bottom w:val="none" w:sz="0" w:space="0" w:color="auto"/>
                    <w:right w:val="none" w:sz="0" w:space="0" w:color="auto"/>
                  </w:divBdr>
                  <w:divsChild>
                    <w:div w:id="1167593962">
                      <w:marLeft w:val="0"/>
                      <w:marRight w:val="0"/>
                      <w:marTop w:val="0"/>
                      <w:marBottom w:val="0"/>
                      <w:divBdr>
                        <w:top w:val="none" w:sz="0" w:space="0" w:color="auto"/>
                        <w:left w:val="none" w:sz="0" w:space="0" w:color="auto"/>
                        <w:bottom w:val="none" w:sz="0" w:space="0" w:color="auto"/>
                        <w:right w:val="none" w:sz="0" w:space="0" w:color="auto"/>
                      </w:divBdr>
                    </w:div>
                  </w:divsChild>
                </w:div>
                <w:div w:id="482350962">
                  <w:marLeft w:val="0"/>
                  <w:marRight w:val="0"/>
                  <w:marTop w:val="0"/>
                  <w:marBottom w:val="0"/>
                  <w:divBdr>
                    <w:top w:val="none" w:sz="0" w:space="0" w:color="auto"/>
                    <w:left w:val="none" w:sz="0" w:space="0" w:color="auto"/>
                    <w:bottom w:val="none" w:sz="0" w:space="0" w:color="auto"/>
                    <w:right w:val="none" w:sz="0" w:space="0" w:color="auto"/>
                  </w:divBdr>
                  <w:divsChild>
                    <w:div w:id="197297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981954">
          <w:marLeft w:val="0"/>
          <w:marRight w:val="0"/>
          <w:marTop w:val="0"/>
          <w:marBottom w:val="0"/>
          <w:divBdr>
            <w:top w:val="none" w:sz="0" w:space="0" w:color="auto"/>
            <w:left w:val="none" w:sz="0" w:space="0" w:color="auto"/>
            <w:bottom w:val="none" w:sz="0" w:space="0" w:color="auto"/>
            <w:right w:val="none" w:sz="0" w:space="0" w:color="auto"/>
          </w:divBdr>
          <w:divsChild>
            <w:div w:id="518935967">
              <w:marLeft w:val="0"/>
              <w:marRight w:val="0"/>
              <w:marTop w:val="0"/>
              <w:marBottom w:val="0"/>
              <w:divBdr>
                <w:top w:val="none" w:sz="0" w:space="0" w:color="auto"/>
                <w:left w:val="none" w:sz="0" w:space="0" w:color="auto"/>
                <w:bottom w:val="none" w:sz="0" w:space="0" w:color="auto"/>
                <w:right w:val="none" w:sz="0" w:space="0" w:color="auto"/>
              </w:divBdr>
            </w:div>
            <w:div w:id="1288269956">
              <w:marLeft w:val="0"/>
              <w:marRight w:val="0"/>
              <w:marTop w:val="0"/>
              <w:marBottom w:val="0"/>
              <w:divBdr>
                <w:top w:val="none" w:sz="0" w:space="0" w:color="auto"/>
                <w:left w:val="none" w:sz="0" w:space="0" w:color="auto"/>
                <w:bottom w:val="none" w:sz="0" w:space="0" w:color="auto"/>
                <w:right w:val="none" w:sz="0" w:space="0" w:color="auto"/>
              </w:divBdr>
            </w:div>
          </w:divsChild>
        </w:div>
        <w:div w:id="1493136472">
          <w:marLeft w:val="0"/>
          <w:marRight w:val="0"/>
          <w:marTop w:val="0"/>
          <w:marBottom w:val="0"/>
          <w:divBdr>
            <w:top w:val="none" w:sz="0" w:space="0" w:color="auto"/>
            <w:left w:val="none" w:sz="0" w:space="0" w:color="auto"/>
            <w:bottom w:val="none" w:sz="0" w:space="0" w:color="auto"/>
            <w:right w:val="none" w:sz="0" w:space="0" w:color="auto"/>
          </w:divBdr>
          <w:divsChild>
            <w:div w:id="1782148436">
              <w:marLeft w:val="0"/>
              <w:marRight w:val="0"/>
              <w:marTop w:val="30"/>
              <w:marBottom w:val="30"/>
              <w:divBdr>
                <w:top w:val="none" w:sz="0" w:space="0" w:color="auto"/>
                <w:left w:val="none" w:sz="0" w:space="0" w:color="auto"/>
                <w:bottom w:val="none" w:sz="0" w:space="0" w:color="auto"/>
                <w:right w:val="none" w:sz="0" w:space="0" w:color="auto"/>
              </w:divBdr>
              <w:divsChild>
                <w:div w:id="2002466549">
                  <w:marLeft w:val="0"/>
                  <w:marRight w:val="0"/>
                  <w:marTop w:val="0"/>
                  <w:marBottom w:val="0"/>
                  <w:divBdr>
                    <w:top w:val="none" w:sz="0" w:space="0" w:color="auto"/>
                    <w:left w:val="none" w:sz="0" w:space="0" w:color="auto"/>
                    <w:bottom w:val="none" w:sz="0" w:space="0" w:color="auto"/>
                    <w:right w:val="none" w:sz="0" w:space="0" w:color="auto"/>
                  </w:divBdr>
                  <w:divsChild>
                    <w:div w:id="1266378268">
                      <w:marLeft w:val="0"/>
                      <w:marRight w:val="0"/>
                      <w:marTop w:val="0"/>
                      <w:marBottom w:val="0"/>
                      <w:divBdr>
                        <w:top w:val="none" w:sz="0" w:space="0" w:color="auto"/>
                        <w:left w:val="none" w:sz="0" w:space="0" w:color="auto"/>
                        <w:bottom w:val="none" w:sz="0" w:space="0" w:color="auto"/>
                        <w:right w:val="none" w:sz="0" w:space="0" w:color="auto"/>
                      </w:divBdr>
                    </w:div>
                  </w:divsChild>
                </w:div>
                <w:div w:id="2121489971">
                  <w:marLeft w:val="0"/>
                  <w:marRight w:val="0"/>
                  <w:marTop w:val="0"/>
                  <w:marBottom w:val="0"/>
                  <w:divBdr>
                    <w:top w:val="none" w:sz="0" w:space="0" w:color="auto"/>
                    <w:left w:val="none" w:sz="0" w:space="0" w:color="auto"/>
                    <w:bottom w:val="none" w:sz="0" w:space="0" w:color="auto"/>
                    <w:right w:val="none" w:sz="0" w:space="0" w:color="auto"/>
                  </w:divBdr>
                  <w:divsChild>
                    <w:div w:id="699548800">
                      <w:marLeft w:val="0"/>
                      <w:marRight w:val="0"/>
                      <w:marTop w:val="0"/>
                      <w:marBottom w:val="0"/>
                      <w:divBdr>
                        <w:top w:val="none" w:sz="0" w:space="0" w:color="auto"/>
                        <w:left w:val="none" w:sz="0" w:space="0" w:color="auto"/>
                        <w:bottom w:val="none" w:sz="0" w:space="0" w:color="auto"/>
                        <w:right w:val="none" w:sz="0" w:space="0" w:color="auto"/>
                      </w:divBdr>
                    </w:div>
                    <w:div w:id="1508977129">
                      <w:marLeft w:val="0"/>
                      <w:marRight w:val="0"/>
                      <w:marTop w:val="0"/>
                      <w:marBottom w:val="0"/>
                      <w:divBdr>
                        <w:top w:val="none" w:sz="0" w:space="0" w:color="auto"/>
                        <w:left w:val="none" w:sz="0" w:space="0" w:color="auto"/>
                        <w:bottom w:val="none" w:sz="0" w:space="0" w:color="auto"/>
                        <w:right w:val="none" w:sz="0" w:space="0" w:color="auto"/>
                      </w:divBdr>
                    </w:div>
                    <w:div w:id="1572931107">
                      <w:marLeft w:val="0"/>
                      <w:marRight w:val="0"/>
                      <w:marTop w:val="0"/>
                      <w:marBottom w:val="0"/>
                      <w:divBdr>
                        <w:top w:val="none" w:sz="0" w:space="0" w:color="auto"/>
                        <w:left w:val="none" w:sz="0" w:space="0" w:color="auto"/>
                        <w:bottom w:val="none" w:sz="0" w:space="0" w:color="auto"/>
                        <w:right w:val="none" w:sz="0" w:space="0" w:color="auto"/>
                      </w:divBdr>
                    </w:div>
                    <w:div w:id="197656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95452067">
      <w:bodyDiv w:val="1"/>
      <w:marLeft w:val="0"/>
      <w:marRight w:val="0"/>
      <w:marTop w:val="0"/>
      <w:marBottom w:val="0"/>
      <w:divBdr>
        <w:top w:val="none" w:sz="0" w:space="0" w:color="auto"/>
        <w:left w:val="none" w:sz="0" w:space="0" w:color="auto"/>
        <w:bottom w:val="none" w:sz="0" w:space="0" w:color="auto"/>
        <w:right w:val="none" w:sz="0" w:space="0" w:color="auto"/>
      </w:divBdr>
    </w:div>
    <w:div w:id="2056732271">
      <w:bodyDiv w:val="1"/>
      <w:marLeft w:val="0"/>
      <w:marRight w:val="0"/>
      <w:marTop w:val="0"/>
      <w:marBottom w:val="0"/>
      <w:divBdr>
        <w:top w:val="none" w:sz="0" w:space="0" w:color="auto"/>
        <w:left w:val="none" w:sz="0" w:space="0" w:color="auto"/>
        <w:bottom w:val="none" w:sz="0" w:space="0" w:color="auto"/>
        <w:right w:val="none" w:sz="0" w:space="0" w:color="auto"/>
      </w:divBdr>
    </w:div>
    <w:div w:id="2070029351">
      <w:bodyDiv w:val="1"/>
      <w:marLeft w:val="0"/>
      <w:marRight w:val="0"/>
      <w:marTop w:val="0"/>
      <w:marBottom w:val="0"/>
      <w:divBdr>
        <w:top w:val="none" w:sz="0" w:space="0" w:color="auto"/>
        <w:left w:val="none" w:sz="0" w:space="0" w:color="auto"/>
        <w:bottom w:val="none" w:sz="0" w:space="0" w:color="auto"/>
        <w:right w:val="none" w:sz="0" w:space="0" w:color="auto"/>
      </w:divBdr>
    </w:div>
    <w:div w:id="2077509388">
      <w:bodyDiv w:val="1"/>
      <w:marLeft w:val="0"/>
      <w:marRight w:val="0"/>
      <w:marTop w:val="0"/>
      <w:marBottom w:val="0"/>
      <w:divBdr>
        <w:top w:val="none" w:sz="0" w:space="0" w:color="auto"/>
        <w:left w:val="none" w:sz="0" w:space="0" w:color="auto"/>
        <w:bottom w:val="none" w:sz="0" w:space="0" w:color="auto"/>
        <w:right w:val="none" w:sz="0" w:space="0" w:color="auto"/>
      </w:divBdr>
    </w:div>
    <w:div w:id="2115663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2" ma:contentTypeDescription="Create a new document." ma:contentTypeScope="" ma:versionID="d8bc8e23389a3f098476a638d3e9dd9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f7a7ed6552211f961a0f9484ffbf2dd5"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Props1.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customXml/itemProps2.xml><?xml version="1.0" encoding="utf-8"?>
<ds:datastoreItem xmlns:ds="http://schemas.openxmlformats.org/officeDocument/2006/customXml" ds:itemID="{83CB6134-5EA7-4CA7-A047-038851445549}"/>
</file>

<file path=customXml/itemProps3.xml><?xml version="1.0" encoding="utf-8"?>
<ds:datastoreItem xmlns:ds="http://schemas.openxmlformats.org/officeDocument/2006/customXml" ds:itemID="{33BE2C5B-1E7C-440A-B68A-E3117EE4D854}"/>
</file>

<file path=customXml/itemProps4.xml><?xml version="1.0" encoding="utf-8"?>
<ds:datastoreItem xmlns:ds="http://schemas.openxmlformats.org/officeDocument/2006/customXml" ds:itemID="{A3B988CC-2E61-482E-B314-68984126834D}"/>
</file>

<file path=docProps/app.xml><?xml version="1.0" encoding="utf-8"?>
<Properties xmlns="http://schemas.openxmlformats.org/officeDocument/2006/extended-properties" xmlns:vt="http://schemas.openxmlformats.org/officeDocument/2006/docPropsVTypes">
  <Template>Normal.dotm</Template>
  <TotalTime>0</TotalTime>
  <Pages>40</Pages>
  <Words>15970</Words>
  <Characters>91030</Characters>
  <Application>Microsoft Office Word</Application>
  <DocSecurity>0</DocSecurity>
  <Lines>758</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106787</CharactersWithSpaces>
  <SharedDoc>false</SharedDoc>
  <HLinks>
    <vt:vector size="444" baseType="variant">
      <vt:variant>
        <vt:i4>4325387</vt:i4>
      </vt:variant>
      <vt:variant>
        <vt:i4>582</vt:i4>
      </vt:variant>
      <vt:variant>
        <vt:i4>0</vt:i4>
      </vt:variant>
      <vt:variant>
        <vt:i4>5</vt:i4>
      </vt:variant>
      <vt:variant>
        <vt:lpwstr/>
      </vt:variant>
      <vt:variant>
        <vt:lpwstr>_ENREF_30</vt:lpwstr>
      </vt:variant>
      <vt:variant>
        <vt:i4>1507380</vt:i4>
      </vt:variant>
      <vt:variant>
        <vt:i4>416</vt:i4>
      </vt:variant>
      <vt:variant>
        <vt:i4>0</vt:i4>
      </vt:variant>
      <vt:variant>
        <vt:i4>5</vt:i4>
      </vt:variant>
      <vt:variant>
        <vt:lpwstr/>
      </vt:variant>
      <vt:variant>
        <vt:lpwstr>_Toc176859667</vt:lpwstr>
      </vt:variant>
      <vt:variant>
        <vt:i4>1507380</vt:i4>
      </vt:variant>
      <vt:variant>
        <vt:i4>410</vt:i4>
      </vt:variant>
      <vt:variant>
        <vt:i4>0</vt:i4>
      </vt:variant>
      <vt:variant>
        <vt:i4>5</vt:i4>
      </vt:variant>
      <vt:variant>
        <vt:lpwstr/>
      </vt:variant>
      <vt:variant>
        <vt:lpwstr>_Toc176859666</vt:lpwstr>
      </vt:variant>
      <vt:variant>
        <vt:i4>1507380</vt:i4>
      </vt:variant>
      <vt:variant>
        <vt:i4>404</vt:i4>
      </vt:variant>
      <vt:variant>
        <vt:i4>0</vt:i4>
      </vt:variant>
      <vt:variant>
        <vt:i4>5</vt:i4>
      </vt:variant>
      <vt:variant>
        <vt:lpwstr/>
      </vt:variant>
      <vt:variant>
        <vt:lpwstr>_Toc176859665</vt:lpwstr>
      </vt:variant>
      <vt:variant>
        <vt:i4>1507380</vt:i4>
      </vt:variant>
      <vt:variant>
        <vt:i4>398</vt:i4>
      </vt:variant>
      <vt:variant>
        <vt:i4>0</vt:i4>
      </vt:variant>
      <vt:variant>
        <vt:i4>5</vt:i4>
      </vt:variant>
      <vt:variant>
        <vt:lpwstr/>
      </vt:variant>
      <vt:variant>
        <vt:lpwstr>_Toc176859664</vt:lpwstr>
      </vt:variant>
      <vt:variant>
        <vt:i4>1507380</vt:i4>
      </vt:variant>
      <vt:variant>
        <vt:i4>392</vt:i4>
      </vt:variant>
      <vt:variant>
        <vt:i4>0</vt:i4>
      </vt:variant>
      <vt:variant>
        <vt:i4>5</vt:i4>
      </vt:variant>
      <vt:variant>
        <vt:lpwstr/>
      </vt:variant>
      <vt:variant>
        <vt:lpwstr>_Toc176859663</vt:lpwstr>
      </vt:variant>
      <vt:variant>
        <vt:i4>1507380</vt:i4>
      </vt:variant>
      <vt:variant>
        <vt:i4>386</vt:i4>
      </vt:variant>
      <vt:variant>
        <vt:i4>0</vt:i4>
      </vt:variant>
      <vt:variant>
        <vt:i4>5</vt:i4>
      </vt:variant>
      <vt:variant>
        <vt:lpwstr/>
      </vt:variant>
      <vt:variant>
        <vt:lpwstr>_Toc176859662</vt:lpwstr>
      </vt:variant>
      <vt:variant>
        <vt:i4>1507380</vt:i4>
      </vt:variant>
      <vt:variant>
        <vt:i4>380</vt:i4>
      </vt:variant>
      <vt:variant>
        <vt:i4>0</vt:i4>
      </vt:variant>
      <vt:variant>
        <vt:i4>5</vt:i4>
      </vt:variant>
      <vt:variant>
        <vt:lpwstr/>
      </vt:variant>
      <vt:variant>
        <vt:lpwstr>_Toc176859661</vt:lpwstr>
      </vt:variant>
      <vt:variant>
        <vt:i4>1507380</vt:i4>
      </vt:variant>
      <vt:variant>
        <vt:i4>374</vt:i4>
      </vt:variant>
      <vt:variant>
        <vt:i4>0</vt:i4>
      </vt:variant>
      <vt:variant>
        <vt:i4>5</vt:i4>
      </vt:variant>
      <vt:variant>
        <vt:lpwstr/>
      </vt:variant>
      <vt:variant>
        <vt:lpwstr>_Toc176859660</vt:lpwstr>
      </vt:variant>
      <vt:variant>
        <vt:i4>1310772</vt:i4>
      </vt:variant>
      <vt:variant>
        <vt:i4>368</vt:i4>
      </vt:variant>
      <vt:variant>
        <vt:i4>0</vt:i4>
      </vt:variant>
      <vt:variant>
        <vt:i4>5</vt:i4>
      </vt:variant>
      <vt:variant>
        <vt:lpwstr/>
      </vt:variant>
      <vt:variant>
        <vt:lpwstr>_Toc176859659</vt:lpwstr>
      </vt:variant>
      <vt:variant>
        <vt:i4>1310772</vt:i4>
      </vt:variant>
      <vt:variant>
        <vt:i4>362</vt:i4>
      </vt:variant>
      <vt:variant>
        <vt:i4>0</vt:i4>
      </vt:variant>
      <vt:variant>
        <vt:i4>5</vt:i4>
      </vt:variant>
      <vt:variant>
        <vt:lpwstr/>
      </vt:variant>
      <vt:variant>
        <vt:lpwstr>_Toc176859658</vt:lpwstr>
      </vt:variant>
      <vt:variant>
        <vt:i4>1310772</vt:i4>
      </vt:variant>
      <vt:variant>
        <vt:i4>356</vt:i4>
      </vt:variant>
      <vt:variant>
        <vt:i4>0</vt:i4>
      </vt:variant>
      <vt:variant>
        <vt:i4>5</vt:i4>
      </vt:variant>
      <vt:variant>
        <vt:lpwstr/>
      </vt:variant>
      <vt:variant>
        <vt:lpwstr>_Toc176859657</vt:lpwstr>
      </vt:variant>
      <vt:variant>
        <vt:i4>1310772</vt:i4>
      </vt:variant>
      <vt:variant>
        <vt:i4>350</vt:i4>
      </vt:variant>
      <vt:variant>
        <vt:i4>0</vt:i4>
      </vt:variant>
      <vt:variant>
        <vt:i4>5</vt:i4>
      </vt:variant>
      <vt:variant>
        <vt:lpwstr/>
      </vt:variant>
      <vt:variant>
        <vt:lpwstr>_Toc176859656</vt:lpwstr>
      </vt:variant>
      <vt:variant>
        <vt:i4>1310772</vt:i4>
      </vt:variant>
      <vt:variant>
        <vt:i4>344</vt:i4>
      </vt:variant>
      <vt:variant>
        <vt:i4>0</vt:i4>
      </vt:variant>
      <vt:variant>
        <vt:i4>5</vt:i4>
      </vt:variant>
      <vt:variant>
        <vt:lpwstr/>
      </vt:variant>
      <vt:variant>
        <vt:lpwstr>_Toc176859655</vt:lpwstr>
      </vt:variant>
      <vt:variant>
        <vt:i4>1310772</vt:i4>
      </vt:variant>
      <vt:variant>
        <vt:i4>338</vt:i4>
      </vt:variant>
      <vt:variant>
        <vt:i4>0</vt:i4>
      </vt:variant>
      <vt:variant>
        <vt:i4>5</vt:i4>
      </vt:variant>
      <vt:variant>
        <vt:lpwstr/>
      </vt:variant>
      <vt:variant>
        <vt:lpwstr>_Toc176859654</vt:lpwstr>
      </vt:variant>
      <vt:variant>
        <vt:i4>1310772</vt:i4>
      </vt:variant>
      <vt:variant>
        <vt:i4>332</vt:i4>
      </vt:variant>
      <vt:variant>
        <vt:i4>0</vt:i4>
      </vt:variant>
      <vt:variant>
        <vt:i4>5</vt:i4>
      </vt:variant>
      <vt:variant>
        <vt:lpwstr/>
      </vt:variant>
      <vt:variant>
        <vt:lpwstr>_Toc176859653</vt:lpwstr>
      </vt:variant>
      <vt:variant>
        <vt:i4>1310772</vt:i4>
      </vt:variant>
      <vt:variant>
        <vt:i4>326</vt:i4>
      </vt:variant>
      <vt:variant>
        <vt:i4>0</vt:i4>
      </vt:variant>
      <vt:variant>
        <vt:i4>5</vt:i4>
      </vt:variant>
      <vt:variant>
        <vt:lpwstr/>
      </vt:variant>
      <vt:variant>
        <vt:lpwstr>_Toc176859652</vt:lpwstr>
      </vt:variant>
      <vt:variant>
        <vt:i4>1310772</vt:i4>
      </vt:variant>
      <vt:variant>
        <vt:i4>320</vt:i4>
      </vt:variant>
      <vt:variant>
        <vt:i4>0</vt:i4>
      </vt:variant>
      <vt:variant>
        <vt:i4>5</vt:i4>
      </vt:variant>
      <vt:variant>
        <vt:lpwstr/>
      </vt:variant>
      <vt:variant>
        <vt:lpwstr>_Toc176859651</vt:lpwstr>
      </vt:variant>
      <vt:variant>
        <vt:i4>1310772</vt:i4>
      </vt:variant>
      <vt:variant>
        <vt:i4>314</vt:i4>
      </vt:variant>
      <vt:variant>
        <vt:i4>0</vt:i4>
      </vt:variant>
      <vt:variant>
        <vt:i4>5</vt:i4>
      </vt:variant>
      <vt:variant>
        <vt:lpwstr/>
      </vt:variant>
      <vt:variant>
        <vt:lpwstr>_Toc176859650</vt:lpwstr>
      </vt:variant>
      <vt:variant>
        <vt:i4>1376308</vt:i4>
      </vt:variant>
      <vt:variant>
        <vt:i4>308</vt:i4>
      </vt:variant>
      <vt:variant>
        <vt:i4>0</vt:i4>
      </vt:variant>
      <vt:variant>
        <vt:i4>5</vt:i4>
      </vt:variant>
      <vt:variant>
        <vt:lpwstr/>
      </vt:variant>
      <vt:variant>
        <vt:lpwstr>_Toc176859649</vt:lpwstr>
      </vt:variant>
      <vt:variant>
        <vt:i4>1376308</vt:i4>
      </vt:variant>
      <vt:variant>
        <vt:i4>302</vt:i4>
      </vt:variant>
      <vt:variant>
        <vt:i4>0</vt:i4>
      </vt:variant>
      <vt:variant>
        <vt:i4>5</vt:i4>
      </vt:variant>
      <vt:variant>
        <vt:lpwstr/>
      </vt:variant>
      <vt:variant>
        <vt:lpwstr>_Toc176859648</vt:lpwstr>
      </vt:variant>
      <vt:variant>
        <vt:i4>1376308</vt:i4>
      </vt:variant>
      <vt:variant>
        <vt:i4>296</vt:i4>
      </vt:variant>
      <vt:variant>
        <vt:i4>0</vt:i4>
      </vt:variant>
      <vt:variant>
        <vt:i4>5</vt:i4>
      </vt:variant>
      <vt:variant>
        <vt:lpwstr/>
      </vt:variant>
      <vt:variant>
        <vt:lpwstr>_Toc176859647</vt:lpwstr>
      </vt:variant>
      <vt:variant>
        <vt:i4>1376308</vt:i4>
      </vt:variant>
      <vt:variant>
        <vt:i4>290</vt:i4>
      </vt:variant>
      <vt:variant>
        <vt:i4>0</vt:i4>
      </vt:variant>
      <vt:variant>
        <vt:i4>5</vt:i4>
      </vt:variant>
      <vt:variant>
        <vt:lpwstr/>
      </vt:variant>
      <vt:variant>
        <vt:lpwstr>_Toc176859646</vt:lpwstr>
      </vt:variant>
      <vt:variant>
        <vt:i4>1376308</vt:i4>
      </vt:variant>
      <vt:variant>
        <vt:i4>284</vt:i4>
      </vt:variant>
      <vt:variant>
        <vt:i4>0</vt:i4>
      </vt:variant>
      <vt:variant>
        <vt:i4>5</vt:i4>
      </vt:variant>
      <vt:variant>
        <vt:lpwstr/>
      </vt:variant>
      <vt:variant>
        <vt:lpwstr>_Toc176859645</vt:lpwstr>
      </vt:variant>
      <vt:variant>
        <vt:i4>1376308</vt:i4>
      </vt:variant>
      <vt:variant>
        <vt:i4>278</vt:i4>
      </vt:variant>
      <vt:variant>
        <vt:i4>0</vt:i4>
      </vt:variant>
      <vt:variant>
        <vt:i4>5</vt:i4>
      </vt:variant>
      <vt:variant>
        <vt:lpwstr/>
      </vt:variant>
      <vt:variant>
        <vt:lpwstr>_Toc176859644</vt:lpwstr>
      </vt:variant>
      <vt:variant>
        <vt:i4>1376308</vt:i4>
      </vt:variant>
      <vt:variant>
        <vt:i4>272</vt:i4>
      </vt:variant>
      <vt:variant>
        <vt:i4>0</vt:i4>
      </vt:variant>
      <vt:variant>
        <vt:i4>5</vt:i4>
      </vt:variant>
      <vt:variant>
        <vt:lpwstr/>
      </vt:variant>
      <vt:variant>
        <vt:lpwstr>_Toc176859643</vt:lpwstr>
      </vt:variant>
      <vt:variant>
        <vt:i4>1376308</vt:i4>
      </vt:variant>
      <vt:variant>
        <vt:i4>266</vt:i4>
      </vt:variant>
      <vt:variant>
        <vt:i4>0</vt:i4>
      </vt:variant>
      <vt:variant>
        <vt:i4>5</vt:i4>
      </vt:variant>
      <vt:variant>
        <vt:lpwstr/>
      </vt:variant>
      <vt:variant>
        <vt:lpwstr>_Toc176859642</vt:lpwstr>
      </vt:variant>
      <vt:variant>
        <vt:i4>1376308</vt:i4>
      </vt:variant>
      <vt:variant>
        <vt:i4>260</vt:i4>
      </vt:variant>
      <vt:variant>
        <vt:i4>0</vt:i4>
      </vt:variant>
      <vt:variant>
        <vt:i4>5</vt:i4>
      </vt:variant>
      <vt:variant>
        <vt:lpwstr/>
      </vt:variant>
      <vt:variant>
        <vt:lpwstr>_Toc176859641</vt:lpwstr>
      </vt:variant>
      <vt:variant>
        <vt:i4>1376308</vt:i4>
      </vt:variant>
      <vt:variant>
        <vt:i4>254</vt:i4>
      </vt:variant>
      <vt:variant>
        <vt:i4>0</vt:i4>
      </vt:variant>
      <vt:variant>
        <vt:i4>5</vt:i4>
      </vt:variant>
      <vt:variant>
        <vt:lpwstr/>
      </vt:variant>
      <vt:variant>
        <vt:lpwstr>_Toc176859640</vt:lpwstr>
      </vt:variant>
      <vt:variant>
        <vt:i4>1179700</vt:i4>
      </vt:variant>
      <vt:variant>
        <vt:i4>248</vt:i4>
      </vt:variant>
      <vt:variant>
        <vt:i4>0</vt:i4>
      </vt:variant>
      <vt:variant>
        <vt:i4>5</vt:i4>
      </vt:variant>
      <vt:variant>
        <vt:lpwstr/>
      </vt:variant>
      <vt:variant>
        <vt:lpwstr>_Toc176859639</vt:lpwstr>
      </vt:variant>
      <vt:variant>
        <vt:i4>1179700</vt:i4>
      </vt:variant>
      <vt:variant>
        <vt:i4>242</vt:i4>
      </vt:variant>
      <vt:variant>
        <vt:i4>0</vt:i4>
      </vt:variant>
      <vt:variant>
        <vt:i4>5</vt:i4>
      </vt:variant>
      <vt:variant>
        <vt:lpwstr/>
      </vt:variant>
      <vt:variant>
        <vt:lpwstr>_Toc176859638</vt:lpwstr>
      </vt:variant>
      <vt:variant>
        <vt:i4>1179700</vt:i4>
      </vt:variant>
      <vt:variant>
        <vt:i4>236</vt:i4>
      </vt:variant>
      <vt:variant>
        <vt:i4>0</vt:i4>
      </vt:variant>
      <vt:variant>
        <vt:i4>5</vt:i4>
      </vt:variant>
      <vt:variant>
        <vt:lpwstr/>
      </vt:variant>
      <vt:variant>
        <vt:lpwstr>_Toc176859637</vt:lpwstr>
      </vt:variant>
      <vt:variant>
        <vt:i4>1179700</vt:i4>
      </vt:variant>
      <vt:variant>
        <vt:i4>230</vt:i4>
      </vt:variant>
      <vt:variant>
        <vt:i4>0</vt:i4>
      </vt:variant>
      <vt:variant>
        <vt:i4>5</vt:i4>
      </vt:variant>
      <vt:variant>
        <vt:lpwstr/>
      </vt:variant>
      <vt:variant>
        <vt:lpwstr>_Toc176859636</vt:lpwstr>
      </vt:variant>
      <vt:variant>
        <vt:i4>1179700</vt:i4>
      </vt:variant>
      <vt:variant>
        <vt:i4>224</vt:i4>
      </vt:variant>
      <vt:variant>
        <vt:i4>0</vt:i4>
      </vt:variant>
      <vt:variant>
        <vt:i4>5</vt:i4>
      </vt:variant>
      <vt:variant>
        <vt:lpwstr/>
      </vt:variant>
      <vt:variant>
        <vt:lpwstr>_Toc176859635</vt:lpwstr>
      </vt:variant>
      <vt:variant>
        <vt:i4>1179700</vt:i4>
      </vt:variant>
      <vt:variant>
        <vt:i4>218</vt:i4>
      </vt:variant>
      <vt:variant>
        <vt:i4>0</vt:i4>
      </vt:variant>
      <vt:variant>
        <vt:i4>5</vt:i4>
      </vt:variant>
      <vt:variant>
        <vt:lpwstr/>
      </vt:variant>
      <vt:variant>
        <vt:lpwstr>_Toc176859634</vt:lpwstr>
      </vt:variant>
      <vt:variant>
        <vt:i4>1179700</vt:i4>
      </vt:variant>
      <vt:variant>
        <vt:i4>212</vt:i4>
      </vt:variant>
      <vt:variant>
        <vt:i4>0</vt:i4>
      </vt:variant>
      <vt:variant>
        <vt:i4>5</vt:i4>
      </vt:variant>
      <vt:variant>
        <vt:lpwstr/>
      </vt:variant>
      <vt:variant>
        <vt:lpwstr>_Toc176859633</vt:lpwstr>
      </vt:variant>
      <vt:variant>
        <vt:i4>1179700</vt:i4>
      </vt:variant>
      <vt:variant>
        <vt:i4>206</vt:i4>
      </vt:variant>
      <vt:variant>
        <vt:i4>0</vt:i4>
      </vt:variant>
      <vt:variant>
        <vt:i4>5</vt:i4>
      </vt:variant>
      <vt:variant>
        <vt:lpwstr/>
      </vt:variant>
      <vt:variant>
        <vt:lpwstr>_Toc176859632</vt:lpwstr>
      </vt:variant>
      <vt:variant>
        <vt:i4>1179700</vt:i4>
      </vt:variant>
      <vt:variant>
        <vt:i4>200</vt:i4>
      </vt:variant>
      <vt:variant>
        <vt:i4>0</vt:i4>
      </vt:variant>
      <vt:variant>
        <vt:i4>5</vt:i4>
      </vt:variant>
      <vt:variant>
        <vt:lpwstr/>
      </vt:variant>
      <vt:variant>
        <vt:lpwstr>_Toc176859631</vt:lpwstr>
      </vt:variant>
      <vt:variant>
        <vt:i4>1179700</vt:i4>
      </vt:variant>
      <vt:variant>
        <vt:i4>194</vt:i4>
      </vt:variant>
      <vt:variant>
        <vt:i4>0</vt:i4>
      </vt:variant>
      <vt:variant>
        <vt:i4>5</vt:i4>
      </vt:variant>
      <vt:variant>
        <vt:lpwstr/>
      </vt:variant>
      <vt:variant>
        <vt:lpwstr>_Toc176859630</vt:lpwstr>
      </vt:variant>
      <vt:variant>
        <vt:i4>1245236</vt:i4>
      </vt:variant>
      <vt:variant>
        <vt:i4>188</vt:i4>
      </vt:variant>
      <vt:variant>
        <vt:i4>0</vt:i4>
      </vt:variant>
      <vt:variant>
        <vt:i4>5</vt:i4>
      </vt:variant>
      <vt:variant>
        <vt:lpwstr/>
      </vt:variant>
      <vt:variant>
        <vt:lpwstr>_Toc176859629</vt:lpwstr>
      </vt:variant>
      <vt:variant>
        <vt:i4>1245236</vt:i4>
      </vt:variant>
      <vt:variant>
        <vt:i4>182</vt:i4>
      </vt:variant>
      <vt:variant>
        <vt:i4>0</vt:i4>
      </vt:variant>
      <vt:variant>
        <vt:i4>5</vt:i4>
      </vt:variant>
      <vt:variant>
        <vt:lpwstr/>
      </vt:variant>
      <vt:variant>
        <vt:lpwstr>_Toc176859628</vt:lpwstr>
      </vt:variant>
      <vt:variant>
        <vt:i4>1245236</vt:i4>
      </vt:variant>
      <vt:variant>
        <vt:i4>176</vt:i4>
      </vt:variant>
      <vt:variant>
        <vt:i4>0</vt:i4>
      </vt:variant>
      <vt:variant>
        <vt:i4>5</vt:i4>
      </vt:variant>
      <vt:variant>
        <vt:lpwstr/>
      </vt:variant>
      <vt:variant>
        <vt:lpwstr>_Toc176859627</vt:lpwstr>
      </vt:variant>
      <vt:variant>
        <vt:i4>1245236</vt:i4>
      </vt:variant>
      <vt:variant>
        <vt:i4>170</vt:i4>
      </vt:variant>
      <vt:variant>
        <vt:i4>0</vt:i4>
      </vt:variant>
      <vt:variant>
        <vt:i4>5</vt:i4>
      </vt:variant>
      <vt:variant>
        <vt:lpwstr/>
      </vt:variant>
      <vt:variant>
        <vt:lpwstr>_Toc176859626</vt:lpwstr>
      </vt:variant>
      <vt:variant>
        <vt:i4>1245236</vt:i4>
      </vt:variant>
      <vt:variant>
        <vt:i4>164</vt:i4>
      </vt:variant>
      <vt:variant>
        <vt:i4>0</vt:i4>
      </vt:variant>
      <vt:variant>
        <vt:i4>5</vt:i4>
      </vt:variant>
      <vt:variant>
        <vt:lpwstr/>
      </vt:variant>
      <vt:variant>
        <vt:lpwstr>_Toc176859625</vt:lpwstr>
      </vt:variant>
      <vt:variant>
        <vt:i4>1245236</vt:i4>
      </vt:variant>
      <vt:variant>
        <vt:i4>158</vt:i4>
      </vt:variant>
      <vt:variant>
        <vt:i4>0</vt:i4>
      </vt:variant>
      <vt:variant>
        <vt:i4>5</vt:i4>
      </vt:variant>
      <vt:variant>
        <vt:lpwstr/>
      </vt:variant>
      <vt:variant>
        <vt:lpwstr>_Toc176859624</vt:lpwstr>
      </vt:variant>
      <vt:variant>
        <vt:i4>1245236</vt:i4>
      </vt:variant>
      <vt:variant>
        <vt:i4>152</vt:i4>
      </vt:variant>
      <vt:variant>
        <vt:i4>0</vt:i4>
      </vt:variant>
      <vt:variant>
        <vt:i4>5</vt:i4>
      </vt:variant>
      <vt:variant>
        <vt:lpwstr/>
      </vt:variant>
      <vt:variant>
        <vt:lpwstr>_Toc176859623</vt:lpwstr>
      </vt:variant>
      <vt:variant>
        <vt:i4>1245236</vt:i4>
      </vt:variant>
      <vt:variant>
        <vt:i4>146</vt:i4>
      </vt:variant>
      <vt:variant>
        <vt:i4>0</vt:i4>
      </vt:variant>
      <vt:variant>
        <vt:i4>5</vt:i4>
      </vt:variant>
      <vt:variant>
        <vt:lpwstr/>
      </vt:variant>
      <vt:variant>
        <vt:lpwstr>_Toc176859622</vt:lpwstr>
      </vt:variant>
      <vt:variant>
        <vt:i4>1245236</vt:i4>
      </vt:variant>
      <vt:variant>
        <vt:i4>140</vt:i4>
      </vt:variant>
      <vt:variant>
        <vt:i4>0</vt:i4>
      </vt:variant>
      <vt:variant>
        <vt:i4>5</vt:i4>
      </vt:variant>
      <vt:variant>
        <vt:lpwstr/>
      </vt:variant>
      <vt:variant>
        <vt:lpwstr>_Toc176859621</vt:lpwstr>
      </vt:variant>
      <vt:variant>
        <vt:i4>1245236</vt:i4>
      </vt:variant>
      <vt:variant>
        <vt:i4>134</vt:i4>
      </vt:variant>
      <vt:variant>
        <vt:i4>0</vt:i4>
      </vt:variant>
      <vt:variant>
        <vt:i4>5</vt:i4>
      </vt:variant>
      <vt:variant>
        <vt:lpwstr/>
      </vt:variant>
      <vt:variant>
        <vt:lpwstr>_Toc176859620</vt:lpwstr>
      </vt:variant>
      <vt:variant>
        <vt:i4>1048628</vt:i4>
      </vt:variant>
      <vt:variant>
        <vt:i4>128</vt:i4>
      </vt:variant>
      <vt:variant>
        <vt:i4>0</vt:i4>
      </vt:variant>
      <vt:variant>
        <vt:i4>5</vt:i4>
      </vt:variant>
      <vt:variant>
        <vt:lpwstr/>
      </vt:variant>
      <vt:variant>
        <vt:lpwstr>_Toc176859619</vt:lpwstr>
      </vt:variant>
      <vt:variant>
        <vt:i4>1048628</vt:i4>
      </vt:variant>
      <vt:variant>
        <vt:i4>122</vt:i4>
      </vt:variant>
      <vt:variant>
        <vt:i4>0</vt:i4>
      </vt:variant>
      <vt:variant>
        <vt:i4>5</vt:i4>
      </vt:variant>
      <vt:variant>
        <vt:lpwstr/>
      </vt:variant>
      <vt:variant>
        <vt:lpwstr>_Toc176859618</vt:lpwstr>
      </vt:variant>
      <vt:variant>
        <vt:i4>1048628</vt:i4>
      </vt:variant>
      <vt:variant>
        <vt:i4>116</vt:i4>
      </vt:variant>
      <vt:variant>
        <vt:i4>0</vt:i4>
      </vt:variant>
      <vt:variant>
        <vt:i4>5</vt:i4>
      </vt:variant>
      <vt:variant>
        <vt:lpwstr/>
      </vt:variant>
      <vt:variant>
        <vt:lpwstr>_Toc176859617</vt:lpwstr>
      </vt:variant>
      <vt:variant>
        <vt:i4>1048628</vt:i4>
      </vt:variant>
      <vt:variant>
        <vt:i4>110</vt:i4>
      </vt:variant>
      <vt:variant>
        <vt:i4>0</vt:i4>
      </vt:variant>
      <vt:variant>
        <vt:i4>5</vt:i4>
      </vt:variant>
      <vt:variant>
        <vt:lpwstr/>
      </vt:variant>
      <vt:variant>
        <vt:lpwstr>_Toc176859616</vt:lpwstr>
      </vt:variant>
      <vt:variant>
        <vt:i4>1048628</vt:i4>
      </vt:variant>
      <vt:variant>
        <vt:i4>104</vt:i4>
      </vt:variant>
      <vt:variant>
        <vt:i4>0</vt:i4>
      </vt:variant>
      <vt:variant>
        <vt:i4>5</vt:i4>
      </vt:variant>
      <vt:variant>
        <vt:lpwstr/>
      </vt:variant>
      <vt:variant>
        <vt:lpwstr>_Toc176859615</vt:lpwstr>
      </vt:variant>
      <vt:variant>
        <vt:i4>1048628</vt:i4>
      </vt:variant>
      <vt:variant>
        <vt:i4>98</vt:i4>
      </vt:variant>
      <vt:variant>
        <vt:i4>0</vt:i4>
      </vt:variant>
      <vt:variant>
        <vt:i4>5</vt:i4>
      </vt:variant>
      <vt:variant>
        <vt:lpwstr/>
      </vt:variant>
      <vt:variant>
        <vt:lpwstr>_Toc176859614</vt:lpwstr>
      </vt:variant>
      <vt:variant>
        <vt:i4>1048628</vt:i4>
      </vt:variant>
      <vt:variant>
        <vt:i4>92</vt:i4>
      </vt:variant>
      <vt:variant>
        <vt:i4>0</vt:i4>
      </vt:variant>
      <vt:variant>
        <vt:i4>5</vt:i4>
      </vt:variant>
      <vt:variant>
        <vt:lpwstr/>
      </vt:variant>
      <vt:variant>
        <vt:lpwstr>_Toc176859613</vt:lpwstr>
      </vt:variant>
      <vt:variant>
        <vt:i4>1048628</vt:i4>
      </vt:variant>
      <vt:variant>
        <vt:i4>86</vt:i4>
      </vt:variant>
      <vt:variant>
        <vt:i4>0</vt:i4>
      </vt:variant>
      <vt:variant>
        <vt:i4>5</vt:i4>
      </vt:variant>
      <vt:variant>
        <vt:lpwstr/>
      </vt:variant>
      <vt:variant>
        <vt:lpwstr>_Toc176859612</vt:lpwstr>
      </vt:variant>
      <vt:variant>
        <vt:i4>1048628</vt:i4>
      </vt:variant>
      <vt:variant>
        <vt:i4>80</vt:i4>
      </vt:variant>
      <vt:variant>
        <vt:i4>0</vt:i4>
      </vt:variant>
      <vt:variant>
        <vt:i4>5</vt:i4>
      </vt:variant>
      <vt:variant>
        <vt:lpwstr/>
      </vt:variant>
      <vt:variant>
        <vt:lpwstr>_Toc176859611</vt:lpwstr>
      </vt:variant>
      <vt:variant>
        <vt:i4>1048628</vt:i4>
      </vt:variant>
      <vt:variant>
        <vt:i4>74</vt:i4>
      </vt:variant>
      <vt:variant>
        <vt:i4>0</vt:i4>
      </vt:variant>
      <vt:variant>
        <vt:i4>5</vt:i4>
      </vt:variant>
      <vt:variant>
        <vt:lpwstr/>
      </vt:variant>
      <vt:variant>
        <vt:lpwstr>_Toc176859610</vt:lpwstr>
      </vt:variant>
      <vt:variant>
        <vt:i4>1114164</vt:i4>
      </vt:variant>
      <vt:variant>
        <vt:i4>68</vt:i4>
      </vt:variant>
      <vt:variant>
        <vt:i4>0</vt:i4>
      </vt:variant>
      <vt:variant>
        <vt:i4>5</vt:i4>
      </vt:variant>
      <vt:variant>
        <vt:lpwstr/>
      </vt:variant>
      <vt:variant>
        <vt:lpwstr>_Toc176859609</vt:lpwstr>
      </vt:variant>
      <vt:variant>
        <vt:i4>1114164</vt:i4>
      </vt:variant>
      <vt:variant>
        <vt:i4>62</vt:i4>
      </vt:variant>
      <vt:variant>
        <vt:i4>0</vt:i4>
      </vt:variant>
      <vt:variant>
        <vt:i4>5</vt:i4>
      </vt:variant>
      <vt:variant>
        <vt:lpwstr/>
      </vt:variant>
      <vt:variant>
        <vt:lpwstr>_Toc176859608</vt:lpwstr>
      </vt:variant>
      <vt:variant>
        <vt:i4>1114164</vt:i4>
      </vt:variant>
      <vt:variant>
        <vt:i4>56</vt:i4>
      </vt:variant>
      <vt:variant>
        <vt:i4>0</vt:i4>
      </vt:variant>
      <vt:variant>
        <vt:i4>5</vt:i4>
      </vt:variant>
      <vt:variant>
        <vt:lpwstr/>
      </vt:variant>
      <vt:variant>
        <vt:lpwstr>_Toc176859607</vt:lpwstr>
      </vt:variant>
      <vt:variant>
        <vt:i4>1114164</vt:i4>
      </vt:variant>
      <vt:variant>
        <vt:i4>50</vt:i4>
      </vt:variant>
      <vt:variant>
        <vt:i4>0</vt:i4>
      </vt:variant>
      <vt:variant>
        <vt:i4>5</vt:i4>
      </vt:variant>
      <vt:variant>
        <vt:lpwstr/>
      </vt:variant>
      <vt:variant>
        <vt:lpwstr>_Toc176859606</vt:lpwstr>
      </vt:variant>
      <vt:variant>
        <vt:i4>1114164</vt:i4>
      </vt:variant>
      <vt:variant>
        <vt:i4>44</vt:i4>
      </vt:variant>
      <vt:variant>
        <vt:i4>0</vt:i4>
      </vt:variant>
      <vt:variant>
        <vt:i4>5</vt:i4>
      </vt:variant>
      <vt:variant>
        <vt:lpwstr/>
      </vt:variant>
      <vt:variant>
        <vt:lpwstr>_Toc176859605</vt:lpwstr>
      </vt:variant>
      <vt:variant>
        <vt:i4>1114164</vt:i4>
      </vt:variant>
      <vt:variant>
        <vt:i4>38</vt:i4>
      </vt:variant>
      <vt:variant>
        <vt:i4>0</vt:i4>
      </vt:variant>
      <vt:variant>
        <vt:i4>5</vt:i4>
      </vt:variant>
      <vt:variant>
        <vt:lpwstr/>
      </vt:variant>
      <vt:variant>
        <vt:lpwstr>_Toc176859604</vt:lpwstr>
      </vt:variant>
      <vt:variant>
        <vt:i4>1114164</vt:i4>
      </vt:variant>
      <vt:variant>
        <vt:i4>32</vt:i4>
      </vt:variant>
      <vt:variant>
        <vt:i4>0</vt:i4>
      </vt:variant>
      <vt:variant>
        <vt:i4>5</vt:i4>
      </vt:variant>
      <vt:variant>
        <vt:lpwstr/>
      </vt:variant>
      <vt:variant>
        <vt:lpwstr>_Toc176859603</vt:lpwstr>
      </vt:variant>
      <vt:variant>
        <vt:i4>1114164</vt:i4>
      </vt:variant>
      <vt:variant>
        <vt:i4>26</vt:i4>
      </vt:variant>
      <vt:variant>
        <vt:i4>0</vt:i4>
      </vt:variant>
      <vt:variant>
        <vt:i4>5</vt:i4>
      </vt:variant>
      <vt:variant>
        <vt:lpwstr/>
      </vt:variant>
      <vt:variant>
        <vt:lpwstr>_Toc176859602</vt:lpwstr>
      </vt:variant>
      <vt:variant>
        <vt:i4>1114164</vt:i4>
      </vt:variant>
      <vt:variant>
        <vt:i4>20</vt:i4>
      </vt:variant>
      <vt:variant>
        <vt:i4>0</vt:i4>
      </vt:variant>
      <vt:variant>
        <vt:i4>5</vt:i4>
      </vt:variant>
      <vt:variant>
        <vt:lpwstr/>
      </vt:variant>
      <vt:variant>
        <vt:lpwstr>_Toc176859601</vt:lpwstr>
      </vt:variant>
      <vt:variant>
        <vt:i4>1114164</vt:i4>
      </vt:variant>
      <vt:variant>
        <vt:i4>14</vt:i4>
      </vt:variant>
      <vt:variant>
        <vt:i4>0</vt:i4>
      </vt:variant>
      <vt:variant>
        <vt:i4>5</vt:i4>
      </vt:variant>
      <vt:variant>
        <vt:lpwstr/>
      </vt:variant>
      <vt:variant>
        <vt:lpwstr>_Toc176859600</vt:lpwstr>
      </vt:variant>
      <vt:variant>
        <vt:i4>1572919</vt:i4>
      </vt:variant>
      <vt:variant>
        <vt:i4>8</vt:i4>
      </vt:variant>
      <vt:variant>
        <vt:i4>0</vt:i4>
      </vt:variant>
      <vt:variant>
        <vt:i4>5</vt:i4>
      </vt:variant>
      <vt:variant>
        <vt:lpwstr/>
      </vt:variant>
      <vt:variant>
        <vt:lpwstr>_Toc176859599</vt:lpwstr>
      </vt:variant>
      <vt:variant>
        <vt:i4>1572919</vt:i4>
      </vt:variant>
      <vt:variant>
        <vt:i4>2</vt:i4>
      </vt:variant>
      <vt:variant>
        <vt:i4>0</vt:i4>
      </vt:variant>
      <vt:variant>
        <vt:i4>5</vt:i4>
      </vt:variant>
      <vt:variant>
        <vt:lpwstr/>
      </vt:variant>
      <vt:variant>
        <vt:lpwstr>_Toc176859598</vt:lpwstr>
      </vt:variant>
      <vt:variant>
        <vt:i4>3276922</vt:i4>
      </vt:variant>
      <vt:variant>
        <vt:i4>0</vt:i4>
      </vt:variant>
      <vt:variant>
        <vt:i4>0</vt:i4>
      </vt:variant>
      <vt:variant>
        <vt:i4>5</vt:i4>
      </vt:variant>
      <vt:variant>
        <vt:lpwstr>https://www.abs.gov.au/statistics/people/population/population-projections-australia/sort</vt:lpwstr>
      </vt:variant>
      <vt:variant>
        <vt:lpwstr>:~:text=Australia's%20population%20in%202022%20(26,between%2043.8%20and%2047.6%20years</vt:lpwstr>
      </vt:variant>
      <vt:variant>
        <vt:i4>2293773</vt:i4>
      </vt:variant>
      <vt:variant>
        <vt:i4>3</vt:i4>
      </vt:variant>
      <vt:variant>
        <vt:i4>0</vt:i4>
      </vt:variant>
      <vt:variant>
        <vt:i4>5</vt:i4>
      </vt:variant>
      <vt:variant>
        <vt:lpwstr>mailto:PavanKumar.Allani@uts.edu.au</vt:lpwstr>
      </vt:variant>
      <vt:variant>
        <vt:lpwstr/>
      </vt:variant>
      <vt:variant>
        <vt:i4>5505121</vt:i4>
      </vt:variant>
      <vt:variant>
        <vt:i4>0</vt:i4>
      </vt:variant>
      <vt:variant>
        <vt:i4>0</vt:i4>
      </vt:variant>
      <vt:variant>
        <vt:i4>5</vt:i4>
      </vt:variant>
      <vt:variant>
        <vt:lpwstr>mailto:Constanza.Vargas@uts.edu.au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2025-03-05T00:21:00Z</dcterms:created>
  <dcterms:modified xsi:type="dcterms:W3CDTF">2025-03-05T00:27:00Z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413600</vt:r8>
  </property>
  <property fmtid="{D5CDD505-2E9C-101B-9397-08002B2CF9AE}" pid="3" name="MSIP_Label_3c9bec58-8084-492e-8360-0e1cfe36408c_ContentBits">
    <vt:lpwstr>0</vt:lpwstr>
  </property>
  <property fmtid="{D5CDD505-2E9C-101B-9397-08002B2CF9AE}" pid="4" name="xd_ProgID">
    <vt:lpwstr/>
  </property>
  <property fmtid="{D5CDD505-2E9C-101B-9397-08002B2CF9AE}" pid="5" name="MediaServiceImageTags">
    <vt:lpwstr/>
  </property>
  <property fmtid="{D5CDD505-2E9C-101B-9397-08002B2CF9AE}" pid="6" name="ContentTypeId">
    <vt:lpwstr>0x0101007FED174C5281F747A8037A05221D6DBD</vt:lpwstr>
  </property>
  <property fmtid="{D5CDD505-2E9C-101B-9397-08002B2CF9AE}" pid="7" name="MSIP_Label_3c9bec58-8084-492e-8360-0e1cfe36408c_Enabled">
    <vt:lpwstr>true</vt:lpwstr>
  </property>
  <property fmtid="{D5CDD505-2E9C-101B-9397-08002B2CF9AE}" pid="8" name="MSIP_Label_3c9bec58-8084-492e-8360-0e1cfe36408c_SiteId">
    <vt:lpwstr>f35a6974-607f-47d4-82d7-ff31d7dc53a5</vt:lpwstr>
  </property>
  <property fmtid="{D5CDD505-2E9C-101B-9397-08002B2CF9AE}" pid="9" name="MSIP_Label_3c9bec58-8084-492e-8360-0e1cfe36408c_Method">
    <vt:lpwstr>Standard</vt:lpwstr>
  </property>
  <property fmtid="{D5CDD505-2E9C-101B-9397-08002B2CF9AE}" pid="10" name="ComplianceAssetId">
    <vt:lpwstr/>
  </property>
  <property fmtid="{D5CDD505-2E9C-101B-9397-08002B2CF9AE}" pid="11" name="TemplateUrl">
    <vt:lpwstr/>
  </property>
  <property fmtid="{D5CDD505-2E9C-101B-9397-08002B2CF9AE}" pid="12" name="MSIP_Label_3c9bec58-8084-492e-8360-0e1cfe36408c_ActionId">
    <vt:lpwstr>3f873056-e7aa-4544-843d-1fbb36fcb7e5</vt:lpwstr>
  </property>
  <property fmtid="{D5CDD505-2E9C-101B-9397-08002B2CF9AE}" pid="13" name="MSIP_Label_3c9bec58-8084-492e-8360-0e1cfe36408c_SetDate">
    <vt:lpwstr>2025-01-28T02:45:59Z</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y fmtid="{D5CDD505-2E9C-101B-9397-08002B2CF9AE}" pid="17" name="MSIP_Label_3c9bec58-8084-492e-8360-0e1cfe36408c_Name">
    <vt:lpwstr>Not Protected -Pilot</vt:lpwstr>
  </property>
</Properties>
</file>