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2F41F71D" w:rsidR="00B60939" w:rsidRPr="0098262F" w:rsidRDefault="004A5F3B" w:rsidP="00B4742B">
      <w:pPr>
        <w:pStyle w:val="1-MainHeading"/>
      </w:pPr>
      <w:bookmarkStart w:id="0" w:name="_Toc177553025"/>
      <w:r>
        <w:t>5.19</w:t>
      </w:r>
      <w:r w:rsidR="00163F66" w:rsidRPr="0098262F">
        <w:tab/>
      </w:r>
      <w:bookmarkStart w:id="1" w:name="_Hlk184906339"/>
      <w:r w:rsidRPr="004A5F3B">
        <w:t>RELUGOLIX WITH ESTRADIOL AND WITH NORETHISTERONE ACETATE</w:t>
      </w:r>
      <w:bookmarkEnd w:id="1"/>
      <w:r w:rsidR="00163F66" w:rsidRPr="0098262F">
        <w:t>,</w:t>
      </w:r>
      <w:r w:rsidR="00163F66" w:rsidRPr="0098262F">
        <w:br/>
      </w:r>
      <w:r w:rsidR="00B02507" w:rsidRPr="00B02507">
        <w:t>Tablet containing relugolix 40 mg with estradiol (as hemihydrate) 1 mg and with norethisterone acetate 0.5 mg</w:t>
      </w:r>
      <w:r w:rsidR="00163F66" w:rsidRPr="0098262F">
        <w:t>,</w:t>
      </w:r>
      <w:r w:rsidR="00163F66" w:rsidRPr="0098262F">
        <w:br/>
      </w:r>
      <w:r w:rsidR="00B4742B" w:rsidRPr="00B4742B">
        <w:t>Ryeqo</w:t>
      </w:r>
      <w:r w:rsidR="00B60939" w:rsidRPr="0098262F">
        <w:rPr>
          <w:vertAlign w:val="superscript"/>
        </w:rPr>
        <w:t>®</w:t>
      </w:r>
      <w:r w:rsidR="004A6040" w:rsidRPr="0098262F">
        <w:t>,</w:t>
      </w:r>
      <w:r w:rsidR="004A6040" w:rsidRPr="0098262F">
        <w:br/>
      </w:r>
      <w:r w:rsidR="00DF49F2" w:rsidRPr="00DF49F2">
        <w:t>Gedeon Richter Australia Pty Ltd</w:t>
      </w:r>
      <w:r w:rsidR="00B60939" w:rsidRPr="0098262F">
        <w:t>.</w:t>
      </w:r>
      <w:bookmarkEnd w:id="0"/>
      <w:r w:rsidR="00F73E08" w:rsidRPr="0098262F">
        <w:t xml:space="preserve"> </w:t>
      </w:r>
    </w:p>
    <w:p w14:paraId="11C00795" w14:textId="3DFB6D23" w:rsidR="00B50DB8" w:rsidRPr="0098262F" w:rsidRDefault="00B50DB8" w:rsidP="004A6040">
      <w:pPr>
        <w:pStyle w:val="2-SectionHeading"/>
      </w:pPr>
      <w:bookmarkStart w:id="2" w:name="_Toc177553027"/>
      <w:r w:rsidRPr="0098262F">
        <w:t xml:space="preserve">Purpose of </w:t>
      </w:r>
      <w:r w:rsidR="00CD7193" w:rsidRPr="0098262F">
        <w:t>s</w:t>
      </w:r>
      <w:r w:rsidR="00BB3A45" w:rsidRPr="0098262F">
        <w:t>ubmission</w:t>
      </w:r>
      <w:bookmarkEnd w:id="2"/>
    </w:p>
    <w:p w14:paraId="19414AA1" w14:textId="7B068787" w:rsidR="002C2775" w:rsidRDefault="007170DA" w:rsidP="006A48A1">
      <w:pPr>
        <w:pStyle w:val="3-BodyText"/>
      </w:pPr>
      <w:r w:rsidRPr="0098262F">
        <w:t xml:space="preserve">The </w:t>
      </w:r>
      <w:r w:rsidR="00D67E24">
        <w:t xml:space="preserve">Category 2 </w:t>
      </w:r>
      <w:r w:rsidRPr="0098262F">
        <w:t xml:space="preserve">submission requested </w:t>
      </w:r>
      <w:r w:rsidR="00416A74">
        <w:t>reconsideration of the utilisation and financial estimates of the General Schedule Authority Required (STREAMLINED) listing for the treatment of moderate to severe pain associated with endometriosis.</w:t>
      </w:r>
    </w:p>
    <w:p w14:paraId="0E73CB37" w14:textId="7C2FDA4C" w:rsidR="004C0C4B" w:rsidRDefault="00FD0529" w:rsidP="006A48A1">
      <w:pPr>
        <w:pStyle w:val="3-BodyText"/>
      </w:pPr>
      <w:r w:rsidRPr="00FD0529">
        <w:t xml:space="preserve">At its March 2024 meeting, the PBAC recommended listing of </w:t>
      </w:r>
      <w:r w:rsidR="00A00F3E" w:rsidRPr="00A00F3E">
        <w:t xml:space="preserve">relugolix with estradiol and with norethisterone acetate </w:t>
      </w:r>
      <w:r w:rsidR="004A3E94">
        <w:t xml:space="preserve">(Ryeqo) </w:t>
      </w:r>
      <w:r w:rsidRPr="00FD0529">
        <w:t>for the treatment of moderate to severe pain associated with endometriosis in women who have failed to gain adequate pain relief from hormonal treatments and analgesics.</w:t>
      </w:r>
    </w:p>
    <w:p w14:paraId="2081A199" w14:textId="2AC19130" w:rsidR="002A256C" w:rsidRPr="0098262F" w:rsidRDefault="002A256C" w:rsidP="006A48A1">
      <w:pPr>
        <w:pStyle w:val="3-BodyText"/>
      </w:pPr>
      <w:r>
        <w:t xml:space="preserve">The submission </w:t>
      </w:r>
      <w:r w:rsidR="0049283F">
        <w:t xml:space="preserve">stated that the </w:t>
      </w:r>
      <w:r w:rsidR="00FA23A5">
        <w:t>risk sharing arrangement (</w:t>
      </w:r>
      <w:r w:rsidR="0049283F">
        <w:t>RSA</w:t>
      </w:r>
      <w:r w:rsidR="00FA23A5">
        <w:t>)</w:t>
      </w:r>
      <w:r w:rsidR="0049283F">
        <w:t xml:space="preserve"> recommended by the PBAC</w:t>
      </w:r>
      <w:r w:rsidR="004532C5">
        <w:t>,</w:t>
      </w:r>
      <w:r w:rsidR="0049283F">
        <w:t xml:space="preserve"> </w:t>
      </w:r>
      <w:r w:rsidR="00243192">
        <w:t xml:space="preserve">with </w:t>
      </w:r>
      <w:r w:rsidR="000E282F" w:rsidRPr="000E282F">
        <w:t xml:space="preserve">a </w:t>
      </w:r>
      <w:r w:rsidR="009B407F" w:rsidRPr="00D87A8D">
        <w:rPr>
          <w:color w:val="000000"/>
          <w:w w:val="15"/>
          <w:shd w:val="solid" w:color="000000" w:fill="000000"/>
          <w:fitText w:val="-20" w:id="-762061824"/>
          <w14:textFill>
            <w14:solidFill>
              <w14:srgbClr w14:val="000000">
                <w14:alpha w14:val="100000"/>
              </w14:srgbClr>
            </w14:solidFill>
          </w14:textFill>
        </w:rPr>
        <w:t xml:space="preserve">|  </w:t>
      </w:r>
      <w:r w:rsidR="009B407F" w:rsidRPr="00D87A8D">
        <w:rPr>
          <w:color w:val="000000"/>
          <w:spacing w:val="-69"/>
          <w:w w:val="15"/>
          <w:shd w:val="solid" w:color="000000" w:fill="000000"/>
          <w:fitText w:val="-20" w:id="-762061824"/>
          <w14:textFill>
            <w14:solidFill>
              <w14:srgbClr w14:val="000000">
                <w14:alpha w14:val="100000"/>
              </w14:srgbClr>
            </w14:solidFill>
          </w14:textFill>
        </w:rPr>
        <w:t>|</w:t>
      </w:r>
      <w:r w:rsidR="000E282F" w:rsidRPr="000E282F">
        <w:t xml:space="preserve">% rebate for use over the </w:t>
      </w:r>
      <w:r w:rsidR="00700236">
        <w:t xml:space="preserve">subsidisation </w:t>
      </w:r>
      <w:r w:rsidR="000E282F" w:rsidRPr="000E282F">
        <w:t>caps based on the estimates outlined in the Ratified Minutes (</w:t>
      </w:r>
      <w:r w:rsidR="00BA1C43">
        <w:t>March 2024</w:t>
      </w:r>
      <w:r w:rsidR="002316D7">
        <w:t xml:space="preserve"> Public Summary Document</w:t>
      </w:r>
      <w:r w:rsidR="00BA1C43">
        <w:t xml:space="preserve"> </w:t>
      </w:r>
      <w:r w:rsidR="002316D7">
        <w:t>[</w:t>
      </w:r>
      <w:r w:rsidR="00E97BCC" w:rsidRPr="00E97BCC">
        <w:t>PSD</w:t>
      </w:r>
      <w:r w:rsidR="002316D7">
        <w:t>]</w:t>
      </w:r>
      <w:r w:rsidR="00E97BCC" w:rsidRPr="00E97BCC">
        <w:t xml:space="preserve">, </w:t>
      </w:r>
      <w:r w:rsidR="000E282F" w:rsidRPr="00E97BCC">
        <w:t>Table 13)</w:t>
      </w:r>
      <w:r w:rsidR="004532C5">
        <w:t>,</w:t>
      </w:r>
      <w:r w:rsidR="000E282F" w:rsidRPr="00E97BCC">
        <w:t xml:space="preserve"> w</w:t>
      </w:r>
      <w:r w:rsidR="004532C5">
        <w:t>as</w:t>
      </w:r>
      <w:r w:rsidR="000E282F" w:rsidRPr="000E282F">
        <w:t xml:space="preserve"> significantly underestimated and pose</w:t>
      </w:r>
      <w:r w:rsidR="004532C5">
        <w:t>s</w:t>
      </w:r>
      <w:r w:rsidR="000E282F" w:rsidRPr="000E282F">
        <w:t xml:space="preserve"> an unreasonable financial risk. </w:t>
      </w:r>
      <w:r w:rsidR="00776F7C">
        <w:t>The</w:t>
      </w:r>
      <w:r w:rsidR="000E282F" w:rsidRPr="000E282F">
        <w:t xml:space="preserve"> submission </w:t>
      </w:r>
      <w:r w:rsidR="004532C5">
        <w:t xml:space="preserve">presented re-estimates informed by a new clinician survey, and </w:t>
      </w:r>
      <w:r w:rsidR="000E282F" w:rsidRPr="000E282F">
        <w:t>request</w:t>
      </w:r>
      <w:r w:rsidR="00776F7C">
        <w:t>ed</w:t>
      </w:r>
      <w:r w:rsidR="000E282F" w:rsidRPr="000E282F">
        <w:t xml:space="preserve"> that the PBAC reconsider the annual expenditure caps </w:t>
      </w:r>
      <w:r w:rsidR="006D69B4">
        <w:t xml:space="preserve">and </w:t>
      </w:r>
      <w:r w:rsidR="000E282F" w:rsidRPr="000E282F">
        <w:t>the percent rebate for all use beyond the caps.</w:t>
      </w:r>
    </w:p>
    <w:p w14:paraId="6B4AB6C2" w14:textId="7F01D731" w:rsidR="005C25FF" w:rsidRPr="0098262F" w:rsidRDefault="005C25FF" w:rsidP="004A6040">
      <w:pPr>
        <w:pStyle w:val="2-SectionHeading"/>
      </w:pPr>
      <w:bookmarkStart w:id="3" w:name="_Toc177553028"/>
      <w:r w:rsidRPr="0098262F">
        <w:t>Background</w:t>
      </w:r>
      <w:bookmarkEnd w:id="3"/>
    </w:p>
    <w:p w14:paraId="2C521D6D" w14:textId="78CF03EE" w:rsidR="005C25FF" w:rsidRPr="0098262F" w:rsidRDefault="005C25FF" w:rsidP="004A6040">
      <w:pPr>
        <w:pStyle w:val="4-SubsectionHeading"/>
      </w:pPr>
      <w:bookmarkStart w:id="4" w:name="_Toc22897638"/>
      <w:bookmarkStart w:id="5" w:name="_Toc177553029"/>
      <w:r w:rsidRPr="0098262F">
        <w:t>Registration status</w:t>
      </w:r>
      <w:bookmarkEnd w:id="4"/>
      <w:bookmarkEnd w:id="5"/>
    </w:p>
    <w:p w14:paraId="1B9AF63C" w14:textId="15732454" w:rsidR="006E78B3" w:rsidRPr="0067594B" w:rsidRDefault="006E78B3" w:rsidP="006E78B3">
      <w:pPr>
        <w:pStyle w:val="3-BodyText"/>
      </w:pPr>
      <w:r w:rsidRPr="0067594B">
        <w:t xml:space="preserve">Ryeqo was TGA registered for this indication on 31 January 2024. The indication in the approved </w:t>
      </w:r>
      <w:r w:rsidR="00034B4A">
        <w:t>Product Information (</w:t>
      </w:r>
      <w:r w:rsidRPr="0067594B">
        <w:t>PI</w:t>
      </w:r>
      <w:r w:rsidR="00034B4A">
        <w:t>)</w:t>
      </w:r>
      <w:r w:rsidRPr="0067594B">
        <w:t xml:space="preserve"> was:</w:t>
      </w:r>
    </w:p>
    <w:p w14:paraId="22E5290D" w14:textId="46349559" w:rsidR="006E78B3" w:rsidRPr="0067594B" w:rsidRDefault="00B02507" w:rsidP="006E78B3">
      <w:pPr>
        <w:pStyle w:val="3-BodyText"/>
        <w:numPr>
          <w:ilvl w:val="0"/>
          <w:numId w:val="0"/>
        </w:numPr>
        <w:ind w:left="1134"/>
      </w:pPr>
      <w:r>
        <w:t>‘</w:t>
      </w:r>
      <w:r w:rsidR="006E78B3" w:rsidRPr="0067594B">
        <w:t>Ryeqo is indicated in adult women of reproductive age for:</w:t>
      </w:r>
    </w:p>
    <w:p w14:paraId="4C64959D" w14:textId="147AD27D" w:rsidR="006E78B3" w:rsidRPr="0067594B" w:rsidRDefault="006E78B3" w:rsidP="006E78B3">
      <w:pPr>
        <w:pStyle w:val="3-BodyText"/>
        <w:numPr>
          <w:ilvl w:val="0"/>
          <w:numId w:val="0"/>
        </w:numPr>
        <w:ind w:left="1134"/>
      </w:pPr>
      <w:r w:rsidRPr="0067594B">
        <w:t>Symptomatic treatment of endometriosis in women with a history of previous medical or surgical treatment for their endometriosis</w:t>
      </w:r>
      <w:r w:rsidR="00B02507">
        <w:t>’</w:t>
      </w:r>
    </w:p>
    <w:p w14:paraId="49CC8339" w14:textId="77777777" w:rsidR="006E78B3" w:rsidRPr="0067594B" w:rsidRDefault="006E78B3" w:rsidP="006E78B3">
      <w:pPr>
        <w:pStyle w:val="3-BodyText"/>
      </w:pPr>
      <w:r w:rsidRPr="0067594B">
        <w:t xml:space="preserve">The approved PI also includes the following advice regarding bone mineral density (BMD) loss: </w:t>
      </w:r>
    </w:p>
    <w:p w14:paraId="45D2FDB8" w14:textId="137A9B06" w:rsidR="006E78B3" w:rsidRPr="0067594B" w:rsidRDefault="00B02507" w:rsidP="00453177">
      <w:pPr>
        <w:pStyle w:val="3-BodyText"/>
        <w:numPr>
          <w:ilvl w:val="0"/>
          <w:numId w:val="0"/>
        </w:numPr>
        <w:ind w:left="1134"/>
      </w:pPr>
      <w:r>
        <w:t>‘</w:t>
      </w:r>
      <w:r w:rsidR="006E78B3" w:rsidRPr="0067594B">
        <w:t>Assessment of BMD by dual-energy X-ray absorptiometry (DXA) is recommended at baseline and after one year of treatment.</w:t>
      </w:r>
    </w:p>
    <w:p w14:paraId="4A5C57C8" w14:textId="77777777" w:rsidR="006E78B3" w:rsidRPr="0067594B" w:rsidRDefault="006E78B3" w:rsidP="00453177">
      <w:pPr>
        <w:pStyle w:val="3-BodyText"/>
        <w:numPr>
          <w:ilvl w:val="0"/>
          <w:numId w:val="0"/>
        </w:numPr>
        <w:ind w:left="1134"/>
      </w:pPr>
      <w:r w:rsidRPr="0067594B">
        <w:lastRenderedPageBreak/>
        <w:t>Use is recommended to be limited to 24 months, with extension of therapy conditional on stability of DXA and reassessment of risk/benefit in the individual patient by the treating physician.</w:t>
      </w:r>
    </w:p>
    <w:p w14:paraId="5374AD55" w14:textId="2BE0E054" w:rsidR="005C25FF" w:rsidRPr="0098262F" w:rsidRDefault="006E78B3" w:rsidP="004A3E94">
      <w:pPr>
        <w:pStyle w:val="3-BodyText"/>
        <w:numPr>
          <w:ilvl w:val="0"/>
          <w:numId w:val="0"/>
        </w:numPr>
        <w:ind w:left="1134"/>
      </w:pPr>
      <w:r w:rsidRPr="0067594B">
        <w:t>Annual DXA is recommended while taking Ryeqo</w:t>
      </w:r>
      <w:r w:rsidR="00B02507">
        <w:t>’</w:t>
      </w:r>
    </w:p>
    <w:p w14:paraId="3E2A6EAB" w14:textId="469C8C0C" w:rsidR="005C25FF" w:rsidRPr="0098262F" w:rsidRDefault="005C25FF" w:rsidP="004E18E9">
      <w:pPr>
        <w:pStyle w:val="4-SubsectionHeading"/>
      </w:pPr>
      <w:bookmarkStart w:id="6" w:name="_Toc22897639"/>
      <w:bookmarkStart w:id="7" w:name="_Toc177553030"/>
      <w:r w:rsidRPr="0098262F">
        <w:t>Previous PBAC consideration</w:t>
      </w:r>
      <w:bookmarkEnd w:id="6"/>
      <w:bookmarkEnd w:id="7"/>
    </w:p>
    <w:p w14:paraId="27105E2F" w14:textId="1302655C" w:rsidR="00ED4B04" w:rsidRDefault="0067594B" w:rsidP="00105434">
      <w:pPr>
        <w:pStyle w:val="3-BodyText"/>
      </w:pPr>
      <w:r w:rsidRPr="0067594B">
        <w:t>At its March 2024 meeting,</w:t>
      </w:r>
      <w:r w:rsidR="00E27C53" w:rsidRPr="0067594B">
        <w:t xml:space="preserve"> PBAC recommended the listing of Ryeqo, on the basis that it should be available as a General Schedule Authority Required (STREAMLINED) listing for the treatment of moderate to severe pain associated with endometriosis in women who have failed to gain adequate pain relief from hormonal treatments and analgesics. The PBAC’s recommendation for listing was based on its assessment that the cost-effectiveness of Ryeqo would be acceptable if it were no more costly over a 12-month period than 12 months of </w:t>
      </w:r>
      <w:r w:rsidR="00371746">
        <w:t>g</w:t>
      </w:r>
      <w:r w:rsidR="00BD5E25" w:rsidRPr="00BD5E25">
        <w:t>onadotropin-releasing</w:t>
      </w:r>
      <w:r w:rsidR="00BD5E25" w:rsidRPr="00BD5E25">
        <w:rPr>
          <w:b/>
          <w:bCs/>
        </w:rPr>
        <w:t xml:space="preserve"> </w:t>
      </w:r>
      <w:r w:rsidR="00BD5E25" w:rsidRPr="00BD5E25">
        <w:t>hormone</w:t>
      </w:r>
      <w:r w:rsidR="00BD5E25">
        <w:t xml:space="preserve"> (</w:t>
      </w:r>
      <w:r w:rsidR="00E27C53" w:rsidRPr="0067594B">
        <w:t>GnRH</w:t>
      </w:r>
      <w:r w:rsidR="00BD5E25">
        <w:t>)</w:t>
      </w:r>
      <w:r w:rsidR="00E27C53" w:rsidRPr="0067594B">
        <w:t xml:space="preserve"> therapy (plus add-back therapy) as currently supplied through the PBS. The PBAC noted based on current PBS restrictions that GnRH therapy is available as 6 months of goserelin and 6 months of nafarelin. The PBAC acknowledged that Ryeqo would be used on average for more than 12 months and considered the cost calculated for the first 12</w:t>
      </w:r>
      <w:r w:rsidR="00B661E3">
        <w:t> </w:t>
      </w:r>
      <w:r w:rsidR="00E27C53" w:rsidRPr="0067594B">
        <w:t>months of therapy provides an appropriate frame of reference for the cost of therapy beyond 12 months. The PBAC noted that based on the proposed price, the cost of Ryeqo</w:t>
      </w:r>
      <w:r w:rsidR="001D2DCF">
        <w:rPr>
          <w:rFonts w:cstheme="minorHAnsi"/>
        </w:rPr>
        <w:t>®</w:t>
      </w:r>
      <w:r w:rsidR="00E27C53" w:rsidRPr="0067594B">
        <w:t>, including BMD monitoring and goserelin implantation costs, was lower over 12 months than the comparator costs and was therefore considered cost-effective (</w:t>
      </w:r>
      <w:r w:rsidR="004532C5" w:rsidRPr="004532C5">
        <w:t xml:space="preserve">paragraph </w:t>
      </w:r>
      <w:r w:rsidR="004532C5">
        <w:t>7.1</w:t>
      </w:r>
      <w:r w:rsidR="004532C5" w:rsidRPr="004532C5">
        <w:t xml:space="preserve">, </w:t>
      </w:r>
      <w:r w:rsidR="004532C5">
        <w:t>relugolix with estradiol and with norethisterone acetate</w:t>
      </w:r>
      <w:r w:rsidR="004532C5" w:rsidRPr="004532C5">
        <w:t xml:space="preserve">, </w:t>
      </w:r>
      <w:r w:rsidR="002316D7">
        <w:t>PSD</w:t>
      </w:r>
      <w:r w:rsidR="004532C5" w:rsidRPr="004532C5">
        <w:t xml:space="preserve">, </w:t>
      </w:r>
      <w:r w:rsidR="004532C5">
        <w:t>March 2024</w:t>
      </w:r>
      <w:r w:rsidR="004532C5" w:rsidRPr="004532C5">
        <w:t xml:space="preserve"> PBAC meeting</w:t>
      </w:r>
      <w:r w:rsidR="00E27C53" w:rsidRPr="0067594B">
        <w:t>).</w:t>
      </w:r>
    </w:p>
    <w:p w14:paraId="3AC4C76E" w14:textId="0626D877" w:rsidR="005C25FF" w:rsidRPr="00B02507" w:rsidRDefault="00523CAE" w:rsidP="00B02507">
      <w:pPr>
        <w:pStyle w:val="3-BodyText"/>
        <w:rPr>
          <w:snapToGrid w:val="0"/>
        </w:rPr>
      </w:pPr>
      <w:r w:rsidRPr="00421615">
        <w:t xml:space="preserve">The PBAC considered that the listing of Ryeqo, as a fixed dose combination (FDC), with the potential for ongoing treatment for 2 years or longer, is likely to result in a substantial net cost to the PBS as it would be used for longer than the existing therapies. The PBAC considered that the financial estimates had a high level of uncertainty due to uncertain prevalence and uptake estimates but considered that the revised estimates presented in the pre-PBAC response were substantially overestimated. The PBAC advised that additional revisions to prevalence and uptake were required as well as a risk sharing arrangement (RSA) with </w:t>
      </w:r>
      <w:r w:rsidR="009B407F" w:rsidRPr="00D87A8D">
        <w:rPr>
          <w:color w:val="000000"/>
          <w:w w:val="15"/>
          <w:shd w:val="solid" w:color="000000" w:fill="000000"/>
          <w:fitText w:val="-20" w:id="-762061823"/>
          <w14:textFill>
            <w14:solidFill>
              <w14:srgbClr w14:val="000000">
                <w14:alpha w14:val="100000"/>
              </w14:srgbClr>
            </w14:solidFill>
          </w14:textFill>
        </w:rPr>
        <w:t xml:space="preserve">|  </w:t>
      </w:r>
      <w:r w:rsidR="009B407F" w:rsidRPr="00D87A8D">
        <w:rPr>
          <w:color w:val="000000"/>
          <w:spacing w:val="-69"/>
          <w:w w:val="15"/>
          <w:shd w:val="solid" w:color="000000" w:fill="000000"/>
          <w:fitText w:val="-20" w:id="-762061823"/>
          <w14:textFill>
            <w14:solidFill>
              <w14:srgbClr w14:val="000000">
                <w14:alpha w14:val="100000"/>
              </w14:srgbClr>
            </w14:solidFill>
          </w14:textFill>
        </w:rPr>
        <w:t>|</w:t>
      </w:r>
      <w:r w:rsidRPr="00421615">
        <w:t>% caps to manage the uncertainties in the financial estimates</w:t>
      </w:r>
      <w:r w:rsidR="004532C5">
        <w:t xml:space="preserve"> (</w:t>
      </w:r>
      <w:r w:rsidR="004532C5" w:rsidRPr="004532C5">
        <w:t xml:space="preserve">paragraph </w:t>
      </w:r>
      <w:r w:rsidR="004532C5">
        <w:t>7.2</w:t>
      </w:r>
      <w:r w:rsidR="004532C5" w:rsidRPr="004532C5">
        <w:t>, relugolix with estradiol and with norethisterone acetate</w:t>
      </w:r>
      <w:r w:rsidR="002316D7">
        <w:t xml:space="preserve"> PSD</w:t>
      </w:r>
      <w:r w:rsidR="004532C5" w:rsidRPr="004532C5">
        <w:t xml:space="preserve">, </w:t>
      </w:r>
      <w:r w:rsidR="004532C5">
        <w:t>March 2024</w:t>
      </w:r>
      <w:r w:rsidR="004532C5" w:rsidRPr="004532C5">
        <w:t xml:space="preserve"> PBAC meeting</w:t>
      </w:r>
      <w:r w:rsidR="004532C5">
        <w:t>)</w:t>
      </w:r>
      <w:r w:rsidRPr="00421615">
        <w:t>.</w:t>
      </w:r>
    </w:p>
    <w:p w14:paraId="2A23A49F" w14:textId="60D07F56" w:rsidR="005C25FF" w:rsidRPr="00F604CA" w:rsidRDefault="00696EF9" w:rsidP="002E4F02">
      <w:pPr>
        <w:pStyle w:val="TableFigureHeading"/>
        <w:rPr>
          <w:rStyle w:val="CommentReference"/>
          <w:b/>
          <w:szCs w:val="24"/>
        </w:rPr>
      </w:pPr>
      <w:r w:rsidRPr="00F604CA">
        <w:t xml:space="preserve">Table </w:t>
      </w:r>
      <w:r w:rsidR="00B02507">
        <w:fldChar w:fldCharType="begin" w:fldLock="1"/>
      </w:r>
      <w:r w:rsidR="00B02507">
        <w:instrText xml:space="preserve"> SEQ Table \* ARABIC </w:instrText>
      </w:r>
      <w:r w:rsidR="00B02507">
        <w:fldChar w:fldCharType="separate"/>
      </w:r>
      <w:r w:rsidR="00B02507">
        <w:rPr>
          <w:noProof/>
        </w:rPr>
        <w:t>1</w:t>
      </w:r>
      <w:r w:rsidR="00B02507">
        <w:rPr>
          <w:noProof/>
        </w:rPr>
        <w:fldChar w:fldCharType="end"/>
      </w:r>
      <w:r w:rsidRPr="00F604CA">
        <w:t>:</w:t>
      </w:r>
      <w:r w:rsidR="005C25FF" w:rsidRPr="00F604CA">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00"/>
        <w:gridCol w:w="3028"/>
      </w:tblGrid>
      <w:tr w:rsidR="005C25FF" w:rsidRPr="0098262F" w14:paraId="6747F8E1" w14:textId="77777777" w:rsidTr="005F1307">
        <w:trPr>
          <w:cantSplit/>
          <w:tblHeader/>
        </w:trPr>
        <w:tc>
          <w:tcPr>
            <w:tcW w:w="1491" w:type="pct"/>
            <w:vAlign w:val="center"/>
          </w:tcPr>
          <w:p w14:paraId="346F438D" w14:textId="77777777" w:rsidR="005C25FF" w:rsidRPr="00F604CA" w:rsidRDefault="005C25FF" w:rsidP="004E18E9">
            <w:pPr>
              <w:pStyle w:val="In-tableHeading"/>
              <w:rPr>
                <w:lang w:val="en-AU"/>
              </w:rPr>
            </w:pPr>
            <w:r w:rsidRPr="00F604CA">
              <w:rPr>
                <w:lang w:val="en-AU"/>
              </w:rPr>
              <w:t>Component</w:t>
            </w:r>
          </w:p>
        </w:tc>
        <w:tc>
          <w:tcPr>
            <w:tcW w:w="1830" w:type="pct"/>
            <w:vAlign w:val="center"/>
          </w:tcPr>
          <w:p w14:paraId="2B7F3F42" w14:textId="77777777" w:rsidR="005C25FF" w:rsidRPr="00F604CA" w:rsidRDefault="005C25FF" w:rsidP="004E18E9">
            <w:pPr>
              <w:pStyle w:val="In-tableHeading"/>
              <w:rPr>
                <w:lang w:val="en-AU"/>
              </w:rPr>
            </w:pPr>
            <w:r w:rsidRPr="00F604CA">
              <w:rPr>
                <w:lang w:val="en-AU"/>
              </w:rPr>
              <w:t>Matter of concern</w:t>
            </w:r>
          </w:p>
        </w:tc>
        <w:tc>
          <w:tcPr>
            <w:tcW w:w="1679" w:type="pct"/>
            <w:vAlign w:val="center"/>
          </w:tcPr>
          <w:p w14:paraId="4BAA81F2" w14:textId="5E8EFB9A" w:rsidR="005C25FF" w:rsidRPr="00F604CA" w:rsidRDefault="005C25FF" w:rsidP="004E18E9">
            <w:pPr>
              <w:pStyle w:val="In-tableHeading"/>
              <w:rPr>
                <w:lang w:val="en-AU"/>
              </w:rPr>
            </w:pPr>
            <w:r w:rsidRPr="00F604CA">
              <w:rPr>
                <w:lang w:val="en-AU"/>
              </w:rPr>
              <w:t xml:space="preserve">How </w:t>
            </w:r>
            <w:r w:rsidR="00526158">
              <w:rPr>
                <w:lang w:val="en-AU"/>
              </w:rPr>
              <w:t>this submission</w:t>
            </w:r>
            <w:r w:rsidRPr="00F604CA">
              <w:rPr>
                <w:lang w:val="en-AU"/>
              </w:rPr>
              <w:t xml:space="preserve"> addresses it</w:t>
            </w:r>
          </w:p>
        </w:tc>
      </w:tr>
      <w:tr w:rsidR="0073038E" w:rsidRPr="0098262F" w14:paraId="76D2FCA9" w14:textId="77777777" w:rsidTr="005F1307">
        <w:trPr>
          <w:cantSplit/>
        </w:trPr>
        <w:tc>
          <w:tcPr>
            <w:tcW w:w="1491" w:type="pct"/>
            <w:vAlign w:val="center"/>
          </w:tcPr>
          <w:p w14:paraId="19654886" w14:textId="2A8BA911" w:rsidR="0073038E" w:rsidRPr="00B35FFD" w:rsidRDefault="00595300" w:rsidP="00835552">
            <w:pPr>
              <w:pStyle w:val="TableText0"/>
            </w:pPr>
            <w:r w:rsidRPr="00B35FFD">
              <w:t xml:space="preserve">Number of treated patients and </w:t>
            </w:r>
            <w:r w:rsidR="00E136A9" w:rsidRPr="00B35FFD">
              <w:t>utilisation of Ryeqo</w:t>
            </w:r>
          </w:p>
        </w:tc>
        <w:tc>
          <w:tcPr>
            <w:tcW w:w="1830" w:type="pct"/>
            <w:vAlign w:val="center"/>
          </w:tcPr>
          <w:p w14:paraId="5D9C0057" w14:textId="082DA4A3" w:rsidR="0073038E" w:rsidRPr="00B35FFD" w:rsidRDefault="0023385A" w:rsidP="00835552">
            <w:pPr>
              <w:pStyle w:val="TableText0"/>
              <w:rPr>
                <w:snapToGrid w:val="0"/>
              </w:rPr>
            </w:pPr>
            <w:r w:rsidRPr="00B35FFD">
              <w:t>The PBAC recommended revisions to prevalence and uptake were required</w:t>
            </w:r>
            <w:r w:rsidR="00B35FFD" w:rsidRPr="00B35FFD">
              <w:t>.</w:t>
            </w:r>
          </w:p>
        </w:tc>
        <w:tc>
          <w:tcPr>
            <w:tcW w:w="1679" w:type="pct"/>
            <w:vAlign w:val="center"/>
          </w:tcPr>
          <w:p w14:paraId="44C5E445" w14:textId="631CDB5B" w:rsidR="0073038E" w:rsidRPr="00B35FFD" w:rsidRDefault="0023385A" w:rsidP="00835552">
            <w:pPr>
              <w:pStyle w:val="TableText0"/>
              <w:rPr>
                <w:snapToGrid w:val="0"/>
              </w:rPr>
            </w:pPr>
            <w:r w:rsidRPr="00B35FFD">
              <w:rPr>
                <w:snapToGrid w:val="0"/>
              </w:rPr>
              <w:t xml:space="preserve">The submission </w:t>
            </w:r>
            <w:r w:rsidR="00A8625D">
              <w:rPr>
                <w:snapToGrid w:val="0"/>
              </w:rPr>
              <w:t xml:space="preserve">re-estimated the PBS utilisation based on the </w:t>
            </w:r>
            <w:r w:rsidR="00BA1588" w:rsidRPr="00B35FFD">
              <w:rPr>
                <w:snapToGrid w:val="0"/>
              </w:rPr>
              <w:t xml:space="preserve">results of a new survey </w:t>
            </w:r>
            <w:r w:rsidR="00BD06B4" w:rsidRPr="00B35FFD">
              <w:rPr>
                <w:snapToGrid w:val="0"/>
              </w:rPr>
              <w:t xml:space="preserve">of 87 medical practitioners experienced in the treatment of endometriosis, </w:t>
            </w:r>
            <w:r w:rsidR="00735BAD" w:rsidRPr="00B35FFD">
              <w:rPr>
                <w:snapToGrid w:val="0"/>
              </w:rPr>
              <w:t>with 55 responders.</w:t>
            </w:r>
            <w:r w:rsidR="00A9774A" w:rsidRPr="00B35FFD">
              <w:rPr>
                <w:snapToGrid w:val="0"/>
              </w:rPr>
              <w:t xml:space="preserve"> </w:t>
            </w:r>
          </w:p>
        </w:tc>
      </w:tr>
      <w:tr w:rsidR="0073038E" w:rsidRPr="0098262F" w14:paraId="400C5C49" w14:textId="77777777" w:rsidTr="005F1307">
        <w:trPr>
          <w:cantSplit/>
        </w:trPr>
        <w:tc>
          <w:tcPr>
            <w:tcW w:w="1491" w:type="pct"/>
            <w:vAlign w:val="center"/>
          </w:tcPr>
          <w:p w14:paraId="2C04364A" w14:textId="46D83D4C" w:rsidR="0073038E" w:rsidRPr="0097552D" w:rsidRDefault="0097552D" w:rsidP="00835552">
            <w:pPr>
              <w:pStyle w:val="TableText0"/>
            </w:pPr>
            <w:r w:rsidRPr="0097552D">
              <w:lastRenderedPageBreak/>
              <w:t>Duration of treatment</w:t>
            </w:r>
          </w:p>
        </w:tc>
        <w:tc>
          <w:tcPr>
            <w:tcW w:w="1830" w:type="pct"/>
            <w:vAlign w:val="center"/>
          </w:tcPr>
          <w:p w14:paraId="38A36FC7" w14:textId="6F8D0735" w:rsidR="0073038E" w:rsidRPr="0097552D" w:rsidRDefault="00C82C6F" w:rsidP="00835552">
            <w:pPr>
              <w:pStyle w:val="TableText0"/>
              <w:rPr>
                <w:snapToGrid w:val="0"/>
              </w:rPr>
            </w:pPr>
            <w:r w:rsidRPr="0097552D">
              <w:rPr>
                <w:snapToGrid w:val="0"/>
              </w:rPr>
              <w:t>The PBAC noted that</w:t>
            </w:r>
            <w:r w:rsidR="00F20A84" w:rsidRPr="0097552D">
              <w:rPr>
                <w:snapToGrid w:val="0"/>
              </w:rPr>
              <w:t xml:space="preserve"> the requested restriction did not include a maximum duration of treatment and the approved PI recommends use is limited to 24 months, “with extension of therapy conditional on stability of DXA and reassessment of risk/benefit in the individual patient by the treating physician”. The revised estimates provided in the pre-PBAC response revised the duration of therapy to 2 years</w:t>
            </w:r>
            <w:r w:rsidR="00F20A84" w:rsidRPr="0097552D">
              <w:t xml:space="preserve"> (</w:t>
            </w:r>
            <w:r w:rsidR="00F20A84" w:rsidRPr="0097552D">
              <w:rPr>
                <w:snapToGrid w:val="0"/>
              </w:rPr>
              <w:t>Para 6.73, March 2024 PSD).</w:t>
            </w:r>
          </w:p>
        </w:tc>
        <w:tc>
          <w:tcPr>
            <w:tcW w:w="1679" w:type="pct"/>
            <w:vAlign w:val="center"/>
          </w:tcPr>
          <w:p w14:paraId="7103F64A" w14:textId="598102C5" w:rsidR="00A60FB5" w:rsidRPr="0097552D" w:rsidRDefault="00E8392C" w:rsidP="00835552">
            <w:pPr>
              <w:pStyle w:val="TableText0"/>
              <w:rPr>
                <w:snapToGrid w:val="0"/>
              </w:rPr>
            </w:pPr>
            <w:r w:rsidRPr="0097552D">
              <w:rPr>
                <w:snapToGrid w:val="0"/>
              </w:rPr>
              <w:t xml:space="preserve">The submission requested the addition of a clinical criterion </w:t>
            </w:r>
            <w:r w:rsidR="0097552D" w:rsidRPr="0097552D">
              <w:rPr>
                <w:snapToGrid w:val="0"/>
              </w:rPr>
              <w:t xml:space="preserve">that, ‘The treatment must not exceed a lifetime maximum of 24 months of therapy’ to </w:t>
            </w:r>
            <w:r w:rsidR="00A60FB5" w:rsidRPr="0097552D">
              <w:rPr>
                <w:snapToGrid w:val="0"/>
              </w:rPr>
              <w:t>address the uncertainty around the duration of treatment and limit the financial risk</w:t>
            </w:r>
            <w:r w:rsidR="00DA2ACF">
              <w:rPr>
                <w:snapToGrid w:val="0"/>
              </w:rPr>
              <w:t>.</w:t>
            </w:r>
          </w:p>
        </w:tc>
      </w:tr>
      <w:tr w:rsidR="0073038E" w:rsidRPr="0098262F" w14:paraId="1043A0C0" w14:textId="77777777" w:rsidTr="005F1307">
        <w:trPr>
          <w:cantSplit/>
        </w:trPr>
        <w:tc>
          <w:tcPr>
            <w:tcW w:w="1491" w:type="pct"/>
            <w:vAlign w:val="center"/>
          </w:tcPr>
          <w:p w14:paraId="41D449DB" w14:textId="2DFD2755" w:rsidR="0073038E" w:rsidRPr="00F604CA" w:rsidRDefault="00595300" w:rsidP="00835552">
            <w:pPr>
              <w:pStyle w:val="TableText0"/>
            </w:pPr>
            <w:r w:rsidRPr="00F604CA">
              <w:t>RSA rebate over the caps</w:t>
            </w:r>
          </w:p>
        </w:tc>
        <w:tc>
          <w:tcPr>
            <w:tcW w:w="1830" w:type="pct"/>
            <w:vAlign w:val="center"/>
          </w:tcPr>
          <w:p w14:paraId="08223A24" w14:textId="092F50D9" w:rsidR="0073038E" w:rsidRPr="00F604CA" w:rsidRDefault="00595300" w:rsidP="00835552">
            <w:pPr>
              <w:pStyle w:val="TableText0"/>
              <w:rPr>
                <w:snapToGrid w:val="0"/>
              </w:rPr>
            </w:pPr>
            <w:r w:rsidRPr="00F604CA">
              <w:rPr>
                <w:snapToGrid w:val="0"/>
              </w:rPr>
              <w:t xml:space="preserve">The PBAC recommended that an RSA with </w:t>
            </w:r>
            <w:r w:rsidR="009B407F" w:rsidRPr="009B407F">
              <w:rPr>
                <w:snapToGrid w:val="0"/>
                <w:color w:val="000000"/>
                <w:spacing w:val="54"/>
                <w:shd w:val="solid" w:color="000000" w:fill="000000"/>
                <w:fitText w:val="333" w:id="-762061822"/>
                <w14:textFill>
                  <w14:solidFill>
                    <w14:srgbClr w14:val="000000">
                      <w14:alpha w14:val="100000"/>
                    </w14:srgbClr>
                  </w14:solidFill>
                </w14:textFill>
              </w:rPr>
              <w:t>|||</w:t>
            </w:r>
            <w:r w:rsidR="009B407F" w:rsidRPr="009B407F">
              <w:rPr>
                <w:snapToGrid w:val="0"/>
                <w:color w:val="000000"/>
                <w:spacing w:val="1"/>
                <w:shd w:val="solid" w:color="000000" w:fill="000000"/>
                <w:fitText w:val="333" w:id="-762061822"/>
                <w14:textFill>
                  <w14:solidFill>
                    <w14:srgbClr w14:val="000000">
                      <w14:alpha w14:val="100000"/>
                    </w14:srgbClr>
                  </w14:solidFill>
                </w14:textFill>
              </w:rPr>
              <w:t>|</w:t>
            </w:r>
            <w:r w:rsidRPr="00F604CA">
              <w:rPr>
                <w:snapToGrid w:val="0"/>
              </w:rPr>
              <w:t>% caps was required to manage the uncertainties in the financial estimates</w:t>
            </w:r>
          </w:p>
        </w:tc>
        <w:tc>
          <w:tcPr>
            <w:tcW w:w="1679" w:type="pct"/>
            <w:vAlign w:val="center"/>
          </w:tcPr>
          <w:p w14:paraId="241D39EB" w14:textId="4FA29299" w:rsidR="0073038E" w:rsidRPr="00F604CA" w:rsidRDefault="00595300" w:rsidP="00835552">
            <w:pPr>
              <w:pStyle w:val="TableText0"/>
              <w:rPr>
                <w:snapToGrid w:val="0"/>
              </w:rPr>
            </w:pPr>
            <w:r w:rsidRPr="00F604CA">
              <w:rPr>
                <w:snapToGrid w:val="0"/>
              </w:rPr>
              <w:t>The s</w:t>
            </w:r>
            <w:r w:rsidR="00DB40E5" w:rsidRPr="00F604CA">
              <w:rPr>
                <w:snapToGrid w:val="0"/>
              </w:rPr>
              <w:t xml:space="preserve">ubmission proposed </w:t>
            </w:r>
            <w:r w:rsidR="00382024">
              <w:rPr>
                <w:snapToGrid w:val="0"/>
              </w:rPr>
              <w:t xml:space="preserve">a rebate of </w:t>
            </w:r>
            <w:r w:rsidR="009B407F">
              <w:rPr>
                <w:snapToGrid w:val="0"/>
                <w:color w:val="000000"/>
                <w:spacing w:val="54"/>
                <w:shd w:val="solid" w:color="000000" w:fill="000000"/>
                <w:fitText w:val="334" w:id="-762061821"/>
                <w14:textFill>
                  <w14:solidFill>
                    <w14:srgbClr w14:val="000000">
                      <w14:alpha w14:val="100000"/>
                    </w14:srgbClr>
                  </w14:solidFill>
                </w14:textFill>
              </w:rPr>
              <w:t>|||</w:t>
            </w:r>
            <w:r w:rsidR="009B407F">
              <w:rPr>
                <w:snapToGrid w:val="0"/>
                <w:color w:val="000000"/>
                <w:shd w:val="solid" w:color="000000" w:fill="000000"/>
                <w:fitText w:val="334" w:id="-762061821"/>
                <w14:textFill>
                  <w14:solidFill>
                    <w14:srgbClr w14:val="000000">
                      <w14:alpha w14:val="100000"/>
                    </w14:srgbClr>
                  </w14:solidFill>
                </w14:textFill>
              </w:rPr>
              <w:t>|</w:t>
            </w:r>
            <w:r w:rsidR="00382024" w:rsidRPr="00696311">
              <w:rPr>
                <w:snapToGrid w:val="0"/>
              </w:rPr>
              <w:t>%</w:t>
            </w:r>
            <w:r w:rsidR="00382024">
              <w:rPr>
                <w:snapToGrid w:val="0"/>
              </w:rPr>
              <w:t xml:space="preserve"> f</w:t>
            </w:r>
            <w:r w:rsidR="00167F44" w:rsidRPr="00F604CA">
              <w:rPr>
                <w:snapToGrid w:val="0"/>
              </w:rPr>
              <w:t>or expenditure over the caps.</w:t>
            </w:r>
            <w:r w:rsidR="00DB40E5" w:rsidRPr="00F604CA">
              <w:rPr>
                <w:snapToGrid w:val="0"/>
              </w:rPr>
              <w:t xml:space="preserve"> </w:t>
            </w:r>
          </w:p>
        </w:tc>
      </w:tr>
    </w:tbl>
    <w:p w14:paraId="451D7156" w14:textId="1C2C2722" w:rsidR="005C25FF" w:rsidRPr="0098262F" w:rsidRDefault="005C25FF" w:rsidP="004E18E9">
      <w:pPr>
        <w:pStyle w:val="FooterTableFigure"/>
      </w:pPr>
      <w:r w:rsidRPr="00F604CA">
        <w:t>Source:</w:t>
      </w:r>
      <w:r w:rsidR="00167F44" w:rsidRPr="00F604CA">
        <w:t xml:space="preserve"> </w:t>
      </w:r>
      <w:r w:rsidR="00F604CA" w:rsidRPr="00F604CA">
        <w:t xml:space="preserve">p7, </w:t>
      </w:r>
      <w:r w:rsidR="00657EC1" w:rsidRPr="00F604CA">
        <w:t xml:space="preserve">p11, </w:t>
      </w:r>
      <w:r w:rsidR="00167F44" w:rsidRPr="00F604CA">
        <w:t>p14 of the submission</w:t>
      </w:r>
      <w:r w:rsidRPr="00F604CA">
        <w:t xml:space="preserve"> </w:t>
      </w:r>
    </w:p>
    <w:p w14:paraId="76E4EF3C" w14:textId="13040F70" w:rsidR="00B60939" w:rsidRPr="0098262F" w:rsidRDefault="00B50DB8" w:rsidP="004E18E9">
      <w:pPr>
        <w:pStyle w:val="2-SectionHeading"/>
      </w:pPr>
      <w:bookmarkStart w:id="8" w:name="_Toc107902078"/>
      <w:bookmarkStart w:id="9" w:name="_Toc177553031"/>
      <w:bookmarkEnd w:id="8"/>
      <w:r w:rsidRPr="0098262F">
        <w:t>Requested listing</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2668"/>
        <w:gridCol w:w="811"/>
        <w:gridCol w:w="812"/>
        <w:gridCol w:w="811"/>
        <w:gridCol w:w="812"/>
        <w:gridCol w:w="1831"/>
      </w:tblGrid>
      <w:tr w:rsidR="00401000" w:rsidRPr="00401000" w14:paraId="5ACB33C2" w14:textId="77777777" w:rsidTr="008A797E">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1E744552" w14:textId="77777777" w:rsidR="00401000" w:rsidRPr="00AB0618" w:rsidRDefault="00401000" w:rsidP="00401000">
            <w:pPr>
              <w:keepLines/>
              <w:rPr>
                <w:rFonts w:ascii="Arial Narrow" w:eastAsia="Calibri" w:hAnsi="Arial Narrow"/>
                <w:b/>
                <w:bCs/>
                <w:sz w:val="20"/>
                <w:szCs w:val="20"/>
              </w:rPr>
            </w:pPr>
            <w:bookmarkStart w:id="10" w:name="_Hlk104809082"/>
            <w:r w:rsidRPr="00AB0618">
              <w:rPr>
                <w:rFonts w:ascii="Arial Narrow" w:eastAsia="Calibri" w:hAnsi="Arial Narrow"/>
                <w:b/>
                <w:bCs/>
                <w:sz w:val="20"/>
                <w:szCs w:val="20"/>
              </w:rPr>
              <w:t>MEDICINAL PRODUCT</w:t>
            </w:r>
          </w:p>
          <w:p w14:paraId="6D9420FF" w14:textId="77777777" w:rsidR="00401000" w:rsidRPr="00AB0618" w:rsidRDefault="00401000" w:rsidP="00401000">
            <w:pPr>
              <w:keepLines/>
              <w:rPr>
                <w:rFonts w:ascii="Arial Narrow" w:eastAsia="Calibri" w:hAnsi="Arial Narrow"/>
                <w:b/>
                <w:sz w:val="20"/>
                <w:szCs w:val="20"/>
              </w:rPr>
            </w:pPr>
            <w:r w:rsidRPr="00AB0618">
              <w:rPr>
                <w:rFonts w:ascii="Arial Narrow" w:eastAsia="Calibri" w:hAnsi="Arial Narrow"/>
                <w:b/>
                <w:bCs/>
                <w:sz w:val="20"/>
                <w:szCs w:val="20"/>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66C2B80B" w14:textId="77777777" w:rsidR="00401000" w:rsidRPr="00AB0618" w:rsidRDefault="00401000" w:rsidP="00401000">
            <w:pPr>
              <w:keepLines/>
              <w:jc w:val="center"/>
              <w:rPr>
                <w:rFonts w:ascii="Arial Narrow" w:eastAsia="Calibri" w:hAnsi="Arial Narrow"/>
                <w:b/>
                <w:sz w:val="20"/>
                <w:szCs w:val="20"/>
              </w:rPr>
            </w:pPr>
            <w:r w:rsidRPr="00AB0618">
              <w:rPr>
                <w:rFonts w:ascii="Arial Narrow" w:eastAsia="Calibri" w:hAnsi="Arial Narrow"/>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571B5CEE" w14:textId="77777777" w:rsidR="00401000" w:rsidRPr="00AB0618" w:rsidRDefault="00401000" w:rsidP="00401000">
            <w:pPr>
              <w:keepLines/>
              <w:jc w:val="center"/>
              <w:rPr>
                <w:rFonts w:ascii="Arial Narrow" w:eastAsia="Calibri" w:hAnsi="Arial Narrow"/>
                <w:b/>
                <w:sz w:val="20"/>
                <w:szCs w:val="20"/>
              </w:rPr>
            </w:pPr>
            <w:r w:rsidRPr="00AB0618">
              <w:rPr>
                <w:rFonts w:ascii="Arial Narrow" w:eastAsia="Calibri" w:hAnsi="Arial Narrow"/>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4FC8F59F" w14:textId="77777777" w:rsidR="00401000" w:rsidRPr="00AB0618" w:rsidRDefault="00401000" w:rsidP="00401000">
            <w:pPr>
              <w:keepLines/>
              <w:jc w:val="center"/>
              <w:rPr>
                <w:rFonts w:ascii="Arial Narrow" w:eastAsia="Calibri" w:hAnsi="Arial Narrow"/>
                <w:b/>
                <w:sz w:val="20"/>
                <w:szCs w:val="20"/>
              </w:rPr>
            </w:pPr>
            <w:r w:rsidRPr="00AB0618">
              <w:rPr>
                <w:rFonts w:ascii="Arial Narrow" w:eastAsia="Calibri" w:hAnsi="Arial Narrow"/>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6B83A276" w14:textId="77777777" w:rsidR="00401000" w:rsidRPr="00AB0618" w:rsidRDefault="00401000" w:rsidP="00401000">
            <w:pPr>
              <w:keepLines/>
              <w:jc w:val="center"/>
              <w:rPr>
                <w:rFonts w:ascii="Arial Narrow" w:eastAsia="Calibri" w:hAnsi="Arial Narrow"/>
                <w:b/>
                <w:sz w:val="20"/>
                <w:szCs w:val="20"/>
              </w:rPr>
            </w:pPr>
            <w:r w:rsidRPr="00AB0618">
              <w:rPr>
                <w:rFonts w:ascii="Arial Narrow" w:eastAsia="Calibri" w:hAnsi="Arial Narrow"/>
                <w:b/>
                <w:sz w:val="20"/>
                <w:szCs w:val="20"/>
              </w:rPr>
              <w:t>№.of</w:t>
            </w:r>
          </w:p>
          <w:p w14:paraId="33FC7092" w14:textId="77777777" w:rsidR="00401000" w:rsidRPr="00AB0618" w:rsidRDefault="00401000" w:rsidP="00401000">
            <w:pPr>
              <w:keepLines/>
              <w:jc w:val="center"/>
              <w:rPr>
                <w:rFonts w:ascii="Arial Narrow" w:eastAsia="Calibri" w:hAnsi="Arial Narrow"/>
                <w:b/>
                <w:sz w:val="20"/>
                <w:szCs w:val="20"/>
              </w:rPr>
            </w:pPr>
            <w:r w:rsidRPr="00AB0618">
              <w:rPr>
                <w:rFonts w:ascii="Arial Narrow" w:eastAsia="Calibri" w:hAnsi="Arial Narrow"/>
                <w:b/>
                <w:sz w:val="20"/>
                <w:szCs w:val="20"/>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7677537F" w14:textId="77777777" w:rsidR="00401000" w:rsidRPr="00AB0618" w:rsidRDefault="00401000" w:rsidP="00401000">
            <w:pPr>
              <w:keepLines/>
              <w:rPr>
                <w:rFonts w:ascii="Arial Narrow" w:eastAsia="Calibri" w:hAnsi="Arial Narrow"/>
                <w:b/>
                <w:sz w:val="20"/>
                <w:szCs w:val="20"/>
              </w:rPr>
            </w:pPr>
            <w:r w:rsidRPr="00AB0618">
              <w:rPr>
                <w:rFonts w:ascii="Arial Narrow" w:eastAsia="Calibri" w:hAnsi="Arial Narrow"/>
                <w:b/>
                <w:sz w:val="20"/>
                <w:szCs w:val="20"/>
              </w:rPr>
              <w:t>Available brands</w:t>
            </w:r>
          </w:p>
        </w:tc>
      </w:tr>
      <w:tr w:rsidR="00401000" w:rsidRPr="00401000" w14:paraId="10791A7A" w14:textId="77777777" w:rsidTr="008A797E">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408D86CC" w14:textId="77777777" w:rsidR="00401000" w:rsidRPr="00AB0618" w:rsidRDefault="00401000" w:rsidP="00401000">
            <w:pPr>
              <w:keepLines/>
              <w:rPr>
                <w:rFonts w:ascii="Arial Narrow" w:eastAsia="Calibri" w:hAnsi="Arial Narrow"/>
                <w:sz w:val="20"/>
                <w:szCs w:val="20"/>
              </w:rPr>
            </w:pPr>
            <w:r w:rsidRPr="00AB0618">
              <w:rPr>
                <w:rFonts w:ascii="Arial Narrow" w:eastAsia="Calibri" w:hAnsi="Arial Narrow"/>
                <w:sz w:val="20"/>
                <w:szCs w:val="20"/>
              </w:rPr>
              <w:t>RELUGOLIX + ESTRADIOL + NORETHISTERONE ACETATE</w:t>
            </w:r>
          </w:p>
        </w:tc>
      </w:tr>
      <w:tr w:rsidR="00401000" w:rsidRPr="00401000" w14:paraId="5CB4DD82" w14:textId="77777777" w:rsidTr="008A797E">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10F9700C" w14:textId="77777777" w:rsidR="00401000" w:rsidRPr="00AB0618" w:rsidRDefault="00401000" w:rsidP="00401000">
            <w:pPr>
              <w:keepLines/>
              <w:rPr>
                <w:rFonts w:ascii="Arial Narrow" w:eastAsia="Calibri" w:hAnsi="Arial Narrow"/>
                <w:sz w:val="20"/>
                <w:szCs w:val="20"/>
              </w:rPr>
            </w:pPr>
            <w:r w:rsidRPr="00AB0618">
              <w:rPr>
                <w:rFonts w:ascii="Arial Narrow" w:eastAsia="Calibri" w:hAnsi="Arial Narrow"/>
                <w:sz w:val="20"/>
                <w:szCs w:val="20"/>
              </w:rPr>
              <w:t>relugolix 40 mg + estradiol 1 mg + norethisterone acetate 500 microgram tablet, 28</w:t>
            </w:r>
          </w:p>
        </w:tc>
        <w:tc>
          <w:tcPr>
            <w:tcW w:w="811" w:type="dxa"/>
            <w:tcBorders>
              <w:top w:val="single" w:sz="4" w:space="0" w:color="auto"/>
              <w:left w:val="single" w:sz="4" w:space="0" w:color="auto"/>
              <w:bottom w:val="single" w:sz="4" w:space="0" w:color="auto"/>
              <w:right w:val="single" w:sz="4" w:space="0" w:color="auto"/>
            </w:tcBorders>
            <w:vAlign w:val="center"/>
            <w:hideMark/>
          </w:tcPr>
          <w:p w14:paraId="4C4C38E7" w14:textId="77777777" w:rsidR="00401000" w:rsidRPr="00AB0618" w:rsidRDefault="00401000" w:rsidP="00401000">
            <w:pPr>
              <w:keepLines/>
              <w:jc w:val="center"/>
              <w:rPr>
                <w:rFonts w:ascii="Arial Narrow" w:eastAsia="Calibri" w:hAnsi="Arial Narrow"/>
                <w:sz w:val="20"/>
                <w:szCs w:val="20"/>
              </w:rPr>
            </w:pPr>
            <w:r w:rsidRPr="00AB0618">
              <w:rPr>
                <w:rFonts w:ascii="Arial Narrow" w:eastAsia="Calibri" w:hAnsi="Arial Narrow"/>
                <w:sz w:val="20"/>
                <w:szCs w:val="20"/>
              </w:rPr>
              <w:t>NEW</w:t>
            </w:r>
          </w:p>
          <w:p w14:paraId="232FC6C5" w14:textId="77777777" w:rsidR="00401000" w:rsidRPr="00AB0618" w:rsidRDefault="00401000" w:rsidP="00401000">
            <w:pPr>
              <w:keepLines/>
              <w:jc w:val="center"/>
              <w:rPr>
                <w:rFonts w:ascii="Arial Narrow" w:eastAsia="Calibri" w:hAnsi="Arial Narrow"/>
                <w:sz w:val="20"/>
                <w:szCs w:val="20"/>
                <w:vertAlign w:val="subscript"/>
              </w:rPr>
            </w:pPr>
            <w:r w:rsidRPr="00AB0618">
              <w:rPr>
                <w:rFonts w:ascii="Arial Narrow" w:eastAsia="Calibri" w:hAnsi="Arial Narrow"/>
                <w:sz w:val="20"/>
                <w:szCs w:val="20"/>
                <w:vertAlign w:val="subscript"/>
              </w:rPr>
              <w:t>MP</w:t>
            </w:r>
          </w:p>
        </w:tc>
        <w:tc>
          <w:tcPr>
            <w:tcW w:w="812" w:type="dxa"/>
            <w:tcBorders>
              <w:top w:val="single" w:sz="4" w:space="0" w:color="auto"/>
              <w:left w:val="single" w:sz="4" w:space="0" w:color="auto"/>
              <w:bottom w:val="single" w:sz="4" w:space="0" w:color="auto"/>
              <w:right w:val="single" w:sz="4" w:space="0" w:color="auto"/>
            </w:tcBorders>
            <w:vAlign w:val="center"/>
            <w:hideMark/>
          </w:tcPr>
          <w:p w14:paraId="7AE926AA" w14:textId="77777777" w:rsidR="00401000" w:rsidRPr="00AB0618" w:rsidRDefault="00401000" w:rsidP="00401000">
            <w:pPr>
              <w:keepLines/>
              <w:jc w:val="center"/>
              <w:rPr>
                <w:rFonts w:ascii="Arial Narrow" w:eastAsia="Calibri" w:hAnsi="Arial Narrow"/>
                <w:sz w:val="20"/>
                <w:szCs w:val="20"/>
              </w:rPr>
            </w:pPr>
            <w:r w:rsidRPr="00AB0618">
              <w:rPr>
                <w:rFonts w:ascii="Arial Narrow" w:eastAsia="Calibri" w:hAnsi="Arial Narrow"/>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5D7D4350" w14:textId="77777777" w:rsidR="00401000" w:rsidRPr="00AB0618" w:rsidRDefault="00401000" w:rsidP="00401000">
            <w:pPr>
              <w:keepLines/>
              <w:jc w:val="center"/>
              <w:rPr>
                <w:rFonts w:ascii="Arial Narrow" w:eastAsia="Calibri" w:hAnsi="Arial Narrow"/>
                <w:sz w:val="20"/>
                <w:szCs w:val="20"/>
              </w:rPr>
            </w:pPr>
            <w:r w:rsidRPr="00AB0618">
              <w:rPr>
                <w:rFonts w:ascii="Arial Narrow" w:eastAsia="Calibri" w:hAnsi="Arial Narrow"/>
                <w:sz w:val="20"/>
                <w:szCs w:val="20"/>
              </w:rPr>
              <w:t>28</w:t>
            </w:r>
          </w:p>
        </w:tc>
        <w:tc>
          <w:tcPr>
            <w:tcW w:w="812" w:type="dxa"/>
            <w:tcBorders>
              <w:top w:val="single" w:sz="4" w:space="0" w:color="auto"/>
              <w:left w:val="single" w:sz="4" w:space="0" w:color="auto"/>
              <w:bottom w:val="single" w:sz="4" w:space="0" w:color="auto"/>
              <w:right w:val="single" w:sz="4" w:space="0" w:color="auto"/>
            </w:tcBorders>
            <w:vAlign w:val="center"/>
            <w:hideMark/>
          </w:tcPr>
          <w:p w14:paraId="298C4222" w14:textId="77777777" w:rsidR="00401000" w:rsidRPr="00AB0618" w:rsidRDefault="00401000" w:rsidP="00401000">
            <w:pPr>
              <w:keepLines/>
              <w:jc w:val="center"/>
              <w:rPr>
                <w:rFonts w:ascii="Arial Narrow" w:eastAsia="Calibri" w:hAnsi="Arial Narrow"/>
                <w:sz w:val="20"/>
                <w:szCs w:val="20"/>
              </w:rPr>
            </w:pPr>
            <w:r w:rsidRPr="00AB0618">
              <w:rPr>
                <w:rFonts w:ascii="Arial Narrow" w:eastAsia="Calibri" w:hAnsi="Arial Narrow"/>
                <w:sz w:val="20"/>
                <w:szCs w:val="20"/>
              </w:rPr>
              <w:t>5</w:t>
            </w:r>
          </w:p>
        </w:tc>
        <w:tc>
          <w:tcPr>
            <w:tcW w:w="1831" w:type="dxa"/>
            <w:tcBorders>
              <w:top w:val="single" w:sz="4" w:space="0" w:color="auto"/>
              <w:left w:val="single" w:sz="4" w:space="0" w:color="auto"/>
              <w:bottom w:val="single" w:sz="4" w:space="0" w:color="auto"/>
              <w:right w:val="single" w:sz="4" w:space="0" w:color="auto"/>
            </w:tcBorders>
            <w:vAlign w:val="center"/>
          </w:tcPr>
          <w:p w14:paraId="7BB4A899" w14:textId="0CCDA185" w:rsidR="00401000" w:rsidRPr="00AB0618" w:rsidRDefault="00401000" w:rsidP="00AB0618">
            <w:pPr>
              <w:keepLines/>
              <w:jc w:val="center"/>
              <w:rPr>
                <w:rFonts w:ascii="Arial Narrow" w:eastAsia="Calibri" w:hAnsi="Arial Narrow"/>
                <w:sz w:val="20"/>
                <w:szCs w:val="20"/>
              </w:rPr>
            </w:pPr>
            <w:r w:rsidRPr="00AB0618">
              <w:rPr>
                <w:rFonts w:ascii="Arial Narrow" w:eastAsia="Calibri" w:hAnsi="Arial Narrow"/>
                <w:sz w:val="20"/>
                <w:szCs w:val="20"/>
              </w:rPr>
              <w:t>Ryeqo</w:t>
            </w:r>
          </w:p>
        </w:tc>
      </w:tr>
      <w:tr w:rsidR="00401000" w:rsidRPr="00401000" w14:paraId="763AC7FC" w14:textId="77777777" w:rsidTr="008A797E">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1A29BAC" w14:textId="77777777" w:rsidR="00401000" w:rsidRPr="00AB0618" w:rsidRDefault="00401000" w:rsidP="00401000">
            <w:pPr>
              <w:rPr>
                <w:rFonts w:ascii="Arial Narrow" w:eastAsia="Calibri" w:hAnsi="Arial Narrow"/>
                <w:sz w:val="20"/>
                <w:szCs w:val="20"/>
              </w:rPr>
            </w:pPr>
          </w:p>
        </w:tc>
      </w:tr>
      <w:tr w:rsidR="00401000" w:rsidRPr="00401000" w14:paraId="34509385" w14:textId="77777777" w:rsidTr="008A797E">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16F8B8" w14:textId="3E66B2C1" w:rsidR="00401000" w:rsidRPr="00AB0618" w:rsidRDefault="00401000" w:rsidP="00401000">
            <w:pPr>
              <w:keepLines/>
              <w:rPr>
                <w:rFonts w:ascii="Arial Narrow" w:eastAsia="Calibri" w:hAnsi="Arial Narrow"/>
                <w:b/>
                <w:sz w:val="20"/>
                <w:szCs w:val="20"/>
              </w:rPr>
            </w:pPr>
            <w:bookmarkStart w:id="11" w:name="_Hlk162952323"/>
            <w:r w:rsidRPr="00AB0618">
              <w:rPr>
                <w:rFonts w:ascii="Arial Narrow" w:eastAsia="Calibri" w:hAnsi="Arial Narrow"/>
                <w:b/>
                <w:sz w:val="20"/>
                <w:szCs w:val="20"/>
              </w:rPr>
              <w:t xml:space="preserve">Restriction Summary [new 1] / Treatment of Concept: [new 2] </w:t>
            </w:r>
          </w:p>
        </w:tc>
      </w:tr>
      <w:tr w:rsidR="00401000" w:rsidRPr="00401000" w14:paraId="31399DA2" w14:textId="77777777" w:rsidTr="00F6431A">
        <w:trPr>
          <w:trHeight w:val="20"/>
        </w:trPr>
        <w:tc>
          <w:tcPr>
            <w:tcW w:w="127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23825A5" w14:textId="5FA89E90" w:rsidR="00401000" w:rsidRPr="00AB0618" w:rsidRDefault="00401000" w:rsidP="00401000">
            <w:pPr>
              <w:jc w:val="center"/>
              <w:rPr>
                <w:rFonts w:ascii="Arial Narrow" w:eastAsia="Calibri"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AB932A" w14:textId="480AFF84" w:rsidR="00401000" w:rsidRPr="00AB0618" w:rsidRDefault="00401000" w:rsidP="00401000">
            <w:pPr>
              <w:keepLines/>
              <w:rPr>
                <w:rFonts w:ascii="Arial Narrow" w:eastAsia="Calibri" w:hAnsi="Arial Narrow"/>
                <w:sz w:val="20"/>
                <w:szCs w:val="20"/>
              </w:rPr>
            </w:pPr>
            <w:r w:rsidRPr="00AB0618">
              <w:rPr>
                <w:rFonts w:ascii="Arial Narrow" w:eastAsia="Calibri" w:hAnsi="Arial Narrow"/>
                <w:b/>
                <w:sz w:val="20"/>
                <w:szCs w:val="20"/>
              </w:rPr>
              <w:t xml:space="preserve">Category / Program: </w:t>
            </w:r>
            <w:r w:rsidRPr="00AB0618">
              <w:rPr>
                <w:rFonts w:ascii="Arial Narrow" w:eastAsia="Calibri" w:hAnsi="Arial Narrow"/>
                <w:sz w:val="20"/>
                <w:szCs w:val="20"/>
              </w:rPr>
              <w:t xml:space="preserve">GENERAL – General Schedule </w:t>
            </w:r>
          </w:p>
        </w:tc>
      </w:tr>
      <w:tr w:rsidR="00401000" w:rsidRPr="00401000" w14:paraId="6A1CCF89" w14:textId="77777777" w:rsidTr="00F6431A">
        <w:trPr>
          <w:trHeight w:val="20"/>
        </w:trPr>
        <w:tc>
          <w:tcPr>
            <w:tcW w:w="1271" w:type="dxa"/>
            <w:vMerge/>
            <w:tcBorders>
              <w:top w:val="single" w:sz="4" w:space="0" w:color="auto"/>
              <w:left w:val="single" w:sz="4" w:space="0" w:color="auto"/>
              <w:bottom w:val="single" w:sz="4" w:space="0" w:color="auto"/>
              <w:right w:val="single" w:sz="4" w:space="0" w:color="auto"/>
            </w:tcBorders>
            <w:vAlign w:val="center"/>
          </w:tcPr>
          <w:p w14:paraId="0A610E7F" w14:textId="77777777" w:rsidR="00401000" w:rsidRPr="00AB0618" w:rsidRDefault="00401000" w:rsidP="00401000">
            <w:pPr>
              <w:spacing w:line="256" w:lineRule="auto"/>
              <w:jc w:val="left"/>
              <w:rPr>
                <w:rFonts w:ascii="Arial Narrow" w:eastAsia="Calibri"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75CBEB" w14:textId="77777777" w:rsidR="00401000" w:rsidRPr="00AB0618" w:rsidRDefault="00401000" w:rsidP="00401000">
            <w:pPr>
              <w:keepLines/>
              <w:rPr>
                <w:rFonts w:ascii="Arial Narrow" w:eastAsia="Calibri" w:hAnsi="Arial Narrow"/>
                <w:b/>
                <w:sz w:val="20"/>
                <w:szCs w:val="20"/>
              </w:rPr>
            </w:pPr>
            <w:r w:rsidRPr="00AB0618">
              <w:rPr>
                <w:rFonts w:ascii="Arial Narrow" w:eastAsia="Calibri" w:hAnsi="Arial Narrow"/>
                <w:b/>
                <w:sz w:val="20"/>
                <w:szCs w:val="20"/>
              </w:rPr>
              <w:t>Prescriber type:</w:t>
            </w:r>
            <w:r w:rsidRPr="00AB0618">
              <w:rPr>
                <w:rFonts w:ascii="Arial Narrow" w:eastAsia="Calibri" w:hAnsi="Arial Narrow"/>
                <w:sz w:val="20"/>
                <w:szCs w:val="20"/>
              </w:rPr>
              <w:t xml:space="preserve"> </w:t>
            </w:r>
            <w:r w:rsidRPr="00AB0618">
              <w:rPr>
                <w:rFonts w:ascii="Times New Roman" w:eastAsia="Calibri" w:hAnsi="Times New Roman" w:cs="Times New Roman"/>
                <w:kern w:val="2"/>
                <w:lang w:eastAsia="en-US"/>
                <w14:ligatures w14:val="standardContextual"/>
              </w:rPr>
              <w:fldChar w:fldCharType="begin" w:fldLock="1">
                <w:ffData>
                  <w:name w:val=""/>
                  <w:enabled/>
                  <w:calcOnExit w:val="0"/>
                  <w:checkBox>
                    <w:sizeAuto/>
                    <w:default w:val="1"/>
                  </w:checkBox>
                </w:ffData>
              </w:fldChar>
            </w:r>
            <w:r w:rsidRPr="00AB0618">
              <w:rPr>
                <w:rFonts w:ascii="Arial Narrow" w:eastAsia="Calibri" w:hAnsi="Arial Narrow"/>
                <w:sz w:val="20"/>
                <w:szCs w:val="20"/>
              </w:rPr>
              <w:instrText xml:space="preserve"> FORMCHECKBOX </w:instrText>
            </w:r>
            <w:r w:rsidRPr="00AB0618">
              <w:rPr>
                <w:rFonts w:ascii="Times New Roman" w:eastAsia="Calibri" w:hAnsi="Times New Roman" w:cs="Times New Roman"/>
                <w:kern w:val="2"/>
                <w:lang w:eastAsia="en-US"/>
                <w14:ligatures w14:val="standardContextual"/>
              </w:rPr>
            </w:r>
            <w:r w:rsidRPr="00AB0618">
              <w:rPr>
                <w:rFonts w:ascii="Times New Roman" w:eastAsia="Calibri" w:hAnsi="Times New Roman" w:cs="Times New Roman"/>
                <w:kern w:val="2"/>
                <w:lang w:eastAsia="en-US"/>
                <w14:ligatures w14:val="standardContextual"/>
              </w:rPr>
              <w:fldChar w:fldCharType="separate"/>
            </w:r>
            <w:r w:rsidRPr="00AB0618">
              <w:rPr>
                <w:rFonts w:ascii="Times New Roman" w:eastAsia="Calibri" w:hAnsi="Times New Roman" w:cs="Times New Roman"/>
                <w:kern w:val="2"/>
                <w:lang w:eastAsia="en-US"/>
                <w14:ligatures w14:val="standardContextual"/>
              </w:rPr>
              <w:fldChar w:fldCharType="end"/>
            </w:r>
            <w:r w:rsidRPr="00AB0618">
              <w:rPr>
                <w:rFonts w:ascii="Arial Narrow" w:eastAsia="Calibri" w:hAnsi="Arial Narrow"/>
                <w:sz w:val="20"/>
                <w:szCs w:val="20"/>
              </w:rPr>
              <w:t xml:space="preserve">Medical Practitioners </w:t>
            </w:r>
          </w:p>
        </w:tc>
      </w:tr>
      <w:tr w:rsidR="00401000" w:rsidRPr="00401000" w14:paraId="723AAAD4" w14:textId="77777777" w:rsidTr="00F6431A">
        <w:trPr>
          <w:trHeight w:val="20"/>
        </w:trPr>
        <w:tc>
          <w:tcPr>
            <w:tcW w:w="1271" w:type="dxa"/>
            <w:vMerge/>
            <w:tcBorders>
              <w:top w:val="single" w:sz="4" w:space="0" w:color="auto"/>
              <w:left w:val="single" w:sz="4" w:space="0" w:color="auto"/>
              <w:bottom w:val="single" w:sz="4" w:space="0" w:color="auto"/>
              <w:right w:val="single" w:sz="4" w:space="0" w:color="auto"/>
            </w:tcBorders>
            <w:vAlign w:val="center"/>
          </w:tcPr>
          <w:p w14:paraId="6E529A73" w14:textId="77777777" w:rsidR="00401000" w:rsidRPr="00AB0618" w:rsidRDefault="00401000" w:rsidP="00401000">
            <w:pPr>
              <w:spacing w:line="256" w:lineRule="auto"/>
              <w:jc w:val="left"/>
              <w:rPr>
                <w:rFonts w:ascii="Arial Narrow" w:eastAsia="Calibri"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FC2C41" w14:textId="77777777" w:rsidR="00401000" w:rsidRPr="00AB0618" w:rsidRDefault="00401000" w:rsidP="00401000">
            <w:pPr>
              <w:keepLines/>
              <w:rPr>
                <w:rFonts w:ascii="Arial Narrow" w:eastAsia="Calibri" w:hAnsi="Arial Narrow"/>
                <w:sz w:val="20"/>
                <w:szCs w:val="20"/>
              </w:rPr>
            </w:pPr>
            <w:r w:rsidRPr="00AB0618">
              <w:rPr>
                <w:rFonts w:ascii="Arial Narrow" w:eastAsia="Calibri" w:hAnsi="Arial Narrow"/>
                <w:b/>
                <w:sz w:val="20"/>
                <w:szCs w:val="20"/>
              </w:rPr>
              <w:t xml:space="preserve">Restriction type: </w:t>
            </w:r>
            <w:r w:rsidRPr="00AB0618">
              <w:rPr>
                <w:rFonts w:ascii="Times New Roman" w:eastAsia="Calibri" w:hAnsi="Times New Roman" w:cs="Times New Roman"/>
                <w:kern w:val="2"/>
                <w:lang w:eastAsia="en-US"/>
                <w14:ligatures w14:val="standardContextual"/>
              </w:rPr>
              <w:fldChar w:fldCharType="begin" w:fldLock="1">
                <w:ffData>
                  <w:name w:val=""/>
                  <w:enabled/>
                  <w:calcOnExit w:val="0"/>
                  <w:checkBox>
                    <w:sizeAuto/>
                    <w:default w:val="1"/>
                  </w:checkBox>
                </w:ffData>
              </w:fldChar>
            </w:r>
            <w:r w:rsidRPr="00AB0618">
              <w:rPr>
                <w:rFonts w:ascii="Arial Narrow" w:eastAsia="Calibri" w:hAnsi="Arial Narrow"/>
                <w:sz w:val="20"/>
                <w:szCs w:val="20"/>
              </w:rPr>
              <w:instrText xml:space="preserve"> FORMCHECKBOX </w:instrText>
            </w:r>
            <w:r w:rsidRPr="00AB0618">
              <w:rPr>
                <w:rFonts w:ascii="Times New Roman" w:eastAsia="Calibri" w:hAnsi="Times New Roman" w:cs="Times New Roman"/>
                <w:kern w:val="2"/>
                <w:lang w:eastAsia="en-US"/>
                <w14:ligatures w14:val="standardContextual"/>
              </w:rPr>
            </w:r>
            <w:r w:rsidRPr="00AB0618">
              <w:rPr>
                <w:rFonts w:ascii="Times New Roman" w:eastAsia="Calibri" w:hAnsi="Times New Roman" w:cs="Times New Roman"/>
                <w:kern w:val="2"/>
                <w:lang w:eastAsia="en-US"/>
                <w14:ligatures w14:val="standardContextual"/>
              </w:rPr>
              <w:fldChar w:fldCharType="separate"/>
            </w:r>
            <w:r w:rsidRPr="00AB0618">
              <w:rPr>
                <w:rFonts w:ascii="Times New Roman" w:eastAsia="Calibri" w:hAnsi="Times New Roman" w:cs="Times New Roman"/>
                <w:kern w:val="2"/>
                <w:lang w:eastAsia="en-US"/>
                <w14:ligatures w14:val="standardContextual"/>
              </w:rPr>
              <w:fldChar w:fldCharType="end"/>
            </w:r>
            <w:r w:rsidRPr="00AB0618">
              <w:rPr>
                <w:rFonts w:ascii="Arial Narrow" w:eastAsia="Calibri" w:hAnsi="Arial Narrow"/>
                <w:sz w:val="20"/>
                <w:szCs w:val="20"/>
              </w:rPr>
              <w:t xml:space="preserve">Authority Required (Streamlined) </w:t>
            </w:r>
          </w:p>
        </w:tc>
      </w:tr>
      <w:bookmarkEnd w:id="11"/>
      <w:tr w:rsidR="00401000" w:rsidRPr="00401000" w14:paraId="406BC5E4" w14:textId="77777777" w:rsidTr="00F6431A">
        <w:trPr>
          <w:cantSplit/>
          <w:trHeight w:val="43"/>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FB87289" w14:textId="62D7F006" w:rsidR="00401000" w:rsidRPr="00AB0618" w:rsidRDefault="00401000" w:rsidP="0040100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0EE4C8" w14:textId="77777777" w:rsidR="00401000" w:rsidRPr="00AB0618" w:rsidRDefault="00401000" w:rsidP="00401000">
            <w:pPr>
              <w:keepLines/>
              <w:rPr>
                <w:rFonts w:ascii="Arial Narrow" w:hAnsi="Arial Narrow"/>
                <w:b/>
                <w:bCs/>
                <w:sz w:val="20"/>
                <w:szCs w:val="20"/>
              </w:rPr>
            </w:pPr>
            <w:r w:rsidRPr="00AB0618">
              <w:rPr>
                <w:rFonts w:ascii="Arial Narrow" w:hAnsi="Arial Narrow"/>
                <w:b/>
                <w:bCs/>
                <w:sz w:val="20"/>
                <w:szCs w:val="20"/>
              </w:rPr>
              <w:t>Indication:</w:t>
            </w:r>
            <w:r w:rsidRPr="00AB0618">
              <w:rPr>
                <w:rFonts w:eastAsia="Calibri"/>
              </w:rPr>
              <w:t xml:space="preserve"> </w:t>
            </w:r>
            <w:r w:rsidRPr="00AB0618">
              <w:rPr>
                <w:rFonts w:ascii="Arial Narrow" w:hAnsi="Arial Narrow"/>
                <w:sz w:val="20"/>
                <w:szCs w:val="20"/>
              </w:rPr>
              <w:t xml:space="preserve">Endometriosis  </w:t>
            </w:r>
          </w:p>
        </w:tc>
      </w:tr>
      <w:tr w:rsidR="00401000" w:rsidRPr="00401000" w14:paraId="237BCCD3" w14:textId="77777777" w:rsidTr="00F6431A">
        <w:trPr>
          <w:cantSplit/>
          <w:trHeight w:val="43"/>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9391C6" w14:textId="77777777" w:rsidR="00401000" w:rsidRPr="00AB0618" w:rsidRDefault="00401000" w:rsidP="00AB0618">
            <w:pPr>
              <w:spacing w:line="256" w:lineRule="auto"/>
              <w:jc w:val="left"/>
              <w:rPr>
                <w:rFonts w:ascii="Arial Narrow" w:hAnsi="Arial Narrow"/>
                <w:b/>
                <w:b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4C1985" w14:textId="77777777" w:rsidR="00401000" w:rsidRPr="00AB0618" w:rsidRDefault="00401000" w:rsidP="00AB0618">
            <w:pPr>
              <w:rPr>
                <w:rFonts w:ascii="Arial Narrow" w:hAnsi="Arial Narrow"/>
                <w:b/>
                <w:bCs/>
                <w:strike/>
                <w:sz w:val="20"/>
                <w:szCs w:val="20"/>
              </w:rPr>
            </w:pPr>
            <w:r w:rsidRPr="00AB0618">
              <w:rPr>
                <w:rFonts w:ascii="Arial Narrow" w:hAnsi="Arial Narrow"/>
                <w:b/>
                <w:bCs/>
                <w:sz w:val="20"/>
                <w:szCs w:val="20"/>
              </w:rPr>
              <w:t>Treatment Phase:</w:t>
            </w:r>
            <w:r w:rsidRPr="00AB0618">
              <w:rPr>
                <w:rFonts w:ascii="Arial Narrow" w:hAnsi="Arial Narrow"/>
                <w:sz w:val="20"/>
                <w:szCs w:val="20"/>
              </w:rPr>
              <w:t xml:space="preserve"> </w:t>
            </w:r>
            <w:r w:rsidRPr="00AB0618">
              <w:rPr>
                <w:rFonts w:ascii="Arial Narrow" w:eastAsia="Calibri" w:hAnsi="Arial Narrow"/>
                <w:sz w:val="20"/>
                <w:szCs w:val="20"/>
              </w:rPr>
              <w:t>Initial treatment</w:t>
            </w:r>
          </w:p>
        </w:tc>
      </w:tr>
      <w:tr w:rsidR="00401000" w:rsidRPr="00401000" w14:paraId="4493FF6F"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6D80E5" w14:textId="111FFDBC"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F6C945" w14:textId="77777777" w:rsidR="00401000" w:rsidRPr="00AB0618" w:rsidRDefault="00401000" w:rsidP="00401000">
            <w:pPr>
              <w:rPr>
                <w:rFonts w:ascii="Arial Narrow" w:hAnsi="Arial Narrow"/>
                <w:b/>
                <w:bCs/>
                <w:strike/>
                <w:sz w:val="20"/>
                <w:szCs w:val="20"/>
              </w:rPr>
            </w:pPr>
            <w:r w:rsidRPr="00AB0618">
              <w:rPr>
                <w:rFonts w:ascii="Arial Narrow" w:hAnsi="Arial Narrow"/>
                <w:b/>
                <w:bCs/>
                <w:sz w:val="20"/>
                <w:szCs w:val="20"/>
              </w:rPr>
              <w:t>Clinical criteria:</w:t>
            </w:r>
          </w:p>
        </w:tc>
      </w:tr>
      <w:tr w:rsidR="00401000" w:rsidRPr="00401000" w14:paraId="67AFC5DE"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CBB14F8" w14:textId="1355C9D3"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207185" w14:textId="77777777" w:rsidR="00401000" w:rsidRPr="00AB0618" w:rsidRDefault="00401000" w:rsidP="00401000">
            <w:pPr>
              <w:rPr>
                <w:rFonts w:ascii="Arial Narrow" w:hAnsi="Arial Narrow"/>
                <w:b/>
                <w:bCs/>
                <w:strike/>
                <w:sz w:val="20"/>
                <w:szCs w:val="20"/>
              </w:rPr>
            </w:pPr>
            <w:r w:rsidRPr="00AB0618">
              <w:rPr>
                <w:rFonts w:ascii="Arial Narrow" w:eastAsia="Calibri" w:hAnsi="Arial Narrow"/>
                <w:sz w:val="20"/>
                <w:szCs w:val="20"/>
              </w:rPr>
              <w:t xml:space="preserve">Patient must have experienced moderate to severe pain associated with endometriosis. </w:t>
            </w:r>
          </w:p>
        </w:tc>
      </w:tr>
      <w:tr w:rsidR="00401000" w:rsidRPr="00401000" w14:paraId="2A4BBC05"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D46CB96" w14:textId="5D2C63CA"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FD0F95" w14:textId="77777777" w:rsidR="00401000" w:rsidRPr="00AB0618" w:rsidRDefault="00401000" w:rsidP="00401000">
            <w:pPr>
              <w:rPr>
                <w:rFonts w:ascii="Arial Narrow" w:hAnsi="Arial Narrow"/>
                <w:sz w:val="20"/>
                <w:szCs w:val="20"/>
              </w:rPr>
            </w:pPr>
            <w:r w:rsidRPr="00AB0618">
              <w:rPr>
                <w:rFonts w:ascii="Arial Narrow" w:hAnsi="Arial Narrow"/>
                <w:b/>
                <w:bCs/>
                <w:sz w:val="20"/>
                <w:szCs w:val="20"/>
              </w:rPr>
              <w:t>Clinical criteria</w:t>
            </w:r>
          </w:p>
        </w:tc>
      </w:tr>
      <w:tr w:rsidR="00401000" w:rsidRPr="00401000" w14:paraId="326E39A5"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78CD14" w14:textId="0AFD28CF"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605A1F" w14:textId="77777777" w:rsidR="00401000" w:rsidRPr="00AB0618" w:rsidRDefault="00401000" w:rsidP="00401000">
            <w:pPr>
              <w:rPr>
                <w:rFonts w:ascii="Arial Narrow" w:hAnsi="Arial Narrow"/>
                <w:sz w:val="20"/>
                <w:szCs w:val="20"/>
              </w:rPr>
            </w:pPr>
            <w:r w:rsidRPr="00AB0618">
              <w:rPr>
                <w:rFonts w:ascii="Arial Narrow" w:hAnsi="Arial Narrow"/>
                <w:sz w:val="20"/>
                <w:szCs w:val="20"/>
              </w:rPr>
              <w:t xml:space="preserve">The condition must be visually proven </w:t>
            </w:r>
          </w:p>
        </w:tc>
      </w:tr>
      <w:tr w:rsidR="00401000" w:rsidRPr="00401000" w14:paraId="111A383A"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9A63560" w14:textId="77777777" w:rsidR="00401000" w:rsidRPr="00AB0618" w:rsidRDefault="00401000" w:rsidP="00AB0618">
            <w:pPr>
              <w:spacing w:line="256" w:lineRule="auto"/>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5A73D4" w14:textId="77777777" w:rsidR="00401000" w:rsidRPr="00AB0618" w:rsidRDefault="00401000" w:rsidP="00401000">
            <w:pPr>
              <w:rPr>
                <w:rFonts w:ascii="Arial Narrow" w:hAnsi="Arial Narrow"/>
                <w:sz w:val="20"/>
                <w:szCs w:val="20"/>
              </w:rPr>
            </w:pPr>
            <w:r w:rsidRPr="00AB0618">
              <w:rPr>
                <w:rFonts w:ascii="Arial Narrow" w:hAnsi="Arial Narrow"/>
                <w:b/>
                <w:bCs/>
                <w:sz w:val="20"/>
                <w:szCs w:val="20"/>
              </w:rPr>
              <w:t>AND</w:t>
            </w:r>
          </w:p>
        </w:tc>
      </w:tr>
      <w:tr w:rsidR="00401000" w:rsidRPr="00401000" w14:paraId="2A3A8565"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5EBC2FE" w14:textId="2D133A4F"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A44D69" w14:textId="77777777" w:rsidR="00401000" w:rsidRPr="00AB0618" w:rsidRDefault="00401000" w:rsidP="00401000">
            <w:pPr>
              <w:rPr>
                <w:rFonts w:ascii="Arial Narrow" w:hAnsi="Arial Narrow"/>
                <w:sz w:val="20"/>
                <w:szCs w:val="20"/>
              </w:rPr>
            </w:pPr>
            <w:r w:rsidRPr="00AB0618">
              <w:rPr>
                <w:rFonts w:ascii="Arial Narrow" w:hAnsi="Arial Narrow"/>
                <w:b/>
                <w:bCs/>
                <w:sz w:val="20"/>
                <w:szCs w:val="20"/>
              </w:rPr>
              <w:t>Clinical criteria:</w:t>
            </w:r>
          </w:p>
        </w:tc>
      </w:tr>
      <w:tr w:rsidR="00401000" w:rsidRPr="00401000" w14:paraId="6C92CC91"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21C3BC6" w14:textId="55B0A983"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2DEABB" w14:textId="77777777" w:rsidR="00401000" w:rsidRPr="00AB0618" w:rsidRDefault="00401000" w:rsidP="00401000">
            <w:pPr>
              <w:rPr>
                <w:rFonts w:ascii="Arial Narrow" w:hAnsi="Arial Narrow"/>
                <w:sz w:val="20"/>
                <w:szCs w:val="20"/>
              </w:rPr>
            </w:pPr>
            <w:r w:rsidRPr="00AB0618">
              <w:rPr>
                <w:rFonts w:ascii="Arial Narrow" w:hAnsi="Arial Narrow"/>
                <w:sz w:val="20"/>
                <w:szCs w:val="20"/>
              </w:rPr>
              <w:t xml:space="preserve">Patient must have received an inadequate response to, or be intolerant to, previous first line therapies for this condition, including at least one of the following: (i) hormonal contraceptives, (ii) analgesics </w:t>
            </w:r>
          </w:p>
        </w:tc>
      </w:tr>
      <w:tr w:rsidR="00401000" w:rsidRPr="00401000" w14:paraId="6E468AF4"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BEBF33" w14:textId="7563E4FF"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B9F059" w14:textId="77777777" w:rsidR="00401000" w:rsidRPr="00AB0618" w:rsidRDefault="00401000" w:rsidP="00401000">
            <w:pPr>
              <w:rPr>
                <w:rFonts w:ascii="Arial Narrow" w:hAnsi="Arial Narrow"/>
                <w:strike/>
                <w:sz w:val="20"/>
                <w:szCs w:val="20"/>
              </w:rPr>
            </w:pPr>
            <w:r w:rsidRPr="00AB0618">
              <w:rPr>
                <w:rFonts w:ascii="Arial Narrow" w:hAnsi="Arial Narrow"/>
                <w:b/>
                <w:bCs/>
                <w:sz w:val="20"/>
                <w:szCs w:val="20"/>
              </w:rPr>
              <w:t>Clinical criteria:</w:t>
            </w:r>
          </w:p>
        </w:tc>
      </w:tr>
      <w:tr w:rsidR="00401000" w:rsidRPr="00401000" w14:paraId="04BA13E5"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4D9FF7" w14:textId="145505BF"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FE7ACE" w14:textId="77777777" w:rsidR="00401000" w:rsidRPr="00AB0618" w:rsidRDefault="00401000" w:rsidP="00401000">
            <w:pPr>
              <w:rPr>
                <w:rFonts w:ascii="Arial Narrow" w:hAnsi="Arial Narrow"/>
                <w:sz w:val="20"/>
                <w:szCs w:val="20"/>
              </w:rPr>
            </w:pPr>
            <w:r w:rsidRPr="00AB0618">
              <w:rPr>
                <w:rFonts w:ascii="Arial Narrow" w:hAnsi="Arial Narrow"/>
                <w:sz w:val="20"/>
                <w:szCs w:val="20"/>
              </w:rPr>
              <w:t>Patient must not have undergone surgery for this condition in the last 3 months; OR</w:t>
            </w:r>
          </w:p>
        </w:tc>
      </w:tr>
      <w:tr w:rsidR="00401000" w:rsidRPr="00401000" w14:paraId="20F4F5DA"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99F0C2" w14:textId="1CCA34A6"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B64800" w14:textId="77777777" w:rsidR="00401000" w:rsidRPr="00AB0618" w:rsidRDefault="00401000" w:rsidP="00401000">
            <w:pPr>
              <w:rPr>
                <w:rFonts w:ascii="Arial Narrow" w:hAnsi="Arial Narrow"/>
                <w:sz w:val="20"/>
                <w:szCs w:val="20"/>
              </w:rPr>
            </w:pPr>
            <w:r w:rsidRPr="00AB0618">
              <w:rPr>
                <w:rFonts w:ascii="Arial Narrow" w:hAnsi="Arial Narrow"/>
                <w:sz w:val="20"/>
                <w:szCs w:val="20"/>
              </w:rPr>
              <w:t>Patient must not commence this treatment until 3 months post-surgery</w:t>
            </w:r>
          </w:p>
        </w:tc>
      </w:tr>
      <w:tr w:rsidR="00401000" w:rsidRPr="00401000" w14:paraId="6CE91C6E" w14:textId="77777777" w:rsidTr="008A797E">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0887B78" w14:textId="77777777"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F58B2D" w14:textId="77777777" w:rsidR="00401000" w:rsidRPr="00AB0618" w:rsidRDefault="00401000" w:rsidP="00401000">
            <w:pPr>
              <w:rPr>
                <w:rFonts w:ascii="Arial Narrow" w:hAnsi="Arial Narrow"/>
                <w:b/>
                <w:bCs/>
                <w:sz w:val="20"/>
                <w:szCs w:val="20"/>
              </w:rPr>
            </w:pPr>
            <w:r w:rsidRPr="00AB0618">
              <w:rPr>
                <w:rFonts w:ascii="Arial Narrow" w:hAnsi="Arial Narrow"/>
                <w:b/>
                <w:bCs/>
                <w:sz w:val="20"/>
                <w:szCs w:val="20"/>
              </w:rPr>
              <w:t>AND</w:t>
            </w:r>
          </w:p>
        </w:tc>
      </w:tr>
      <w:tr w:rsidR="00401000" w:rsidRPr="00401000" w14:paraId="54461DBB"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F4950E" w14:textId="145289FE"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0725E8" w14:textId="77777777" w:rsidR="00401000" w:rsidRPr="00AB0618" w:rsidRDefault="00401000" w:rsidP="00401000">
            <w:pPr>
              <w:rPr>
                <w:rFonts w:ascii="Arial Narrow" w:hAnsi="Arial Narrow"/>
                <w:sz w:val="20"/>
                <w:szCs w:val="20"/>
              </w:rPr>
            </w:pPr>
            <w:r w:rsidRPr="00AB0618">
              <w:rPr>
                <w:rFonts w:ascii="Arial Narrow" w:hAnsi="Arial Narrow"/>
                <w:b/>
                <w:bCs/>
                <w:sz w:val="20"/>
                <w:szCs w:val="20"/>
              </w:rPr>
              <w:t>Clinical criteria:</w:t>
            </w:r>
          </w:p>
        </w:tc>
      </w:tr>
      <w:tr w:rsidR="00401000" w:rsidRPr="00401000" w14:paraId="2509D6BF"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EF70B8" w14:textId="3D8485E7"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C3F7E5" w14:textId="77777777" w:rsidR="00401000" w:rsidRPr="00AB0618" w:rsidRDefault="00401000" w:rsidP="00401000">
            <w:pPr>
              <w:rPr>
                <w:rFonts w:ascii="Arial Narrow" w:hAnsi="Arial Narrow"/>
                <w:sz w:val="20"/>
                <w:szCs w:val="20"/>
              </w:rPr>
            </w:pPr>
            <w:r w:rsidRPr="00AB0618">
              <w:rPr>
                <w:rFonts w:ascii="Arial Narrow" w:hAnsi="Arial Narrow"/>
                <w:sz w:val="20"/>
                <w:szCs w:val="20"/>
              </w:rPr>
              <w:t>Patient must not have a history of, nor currently have any of the following: (i) osteoporosis, (ii) risk of other metabolic bone disease.</w:t>
            </w:r>
          </w:p>
        </w:tc>
      </w:tr>
      <w:tr w:rsidR="00401000" w:rsidRPr="00401000" w14:paraId="22DD1065" w14:textId="77777777" w:rsidTr="008A797E">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5802CF7" w14:textId="77777777"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149AF76" w14:textId="77777777" w:rsidR="00401000" w:rsidRPr="00AB0618" w:rsidRDefault="00401000" w:rsidP="00401000">
            <w:pPr>
              <w:rPr>
                <w:rFonts w:ascii="Arial Narrow" w:hAnsi="Arial Narrow"/>
                <w:b/>
                <w:bCs/>
                <w:i/>
                <w:iCs/>
                <w:sz w:val="20"/>
                <w:szCs w:val="20"/>
              </w:rPr>
            </w:pPr>
            <w:r w:rsidRPr="00AB0618">
              <w:rPr>
                <w:rFonts w:ascii="Arial Narrow" w:hAnsi="Arial Narrow"/>
                <w:b/>
                <w:bCs/>
                <w:i/>
                <w:iCs/>
                <w:sz w:val="20"/>
                <w:szCs w:val="20"/>
              </w:rPr>
              <w:t>AND</w:t>
            </w:r>
          </w:p>
        </w:tc>
      </w:tr>
      <w:tr w:rsidR="00401000" w:rsidRPr="00401000" w14:paraId="224FDF85" w14:textId="77777777" w:rsidTr="008A797E">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5CAB3F5" w14:textId="2011C457" w:rsidR="00401000" w:rsidRPr="00AB0618" w:rsidRDefault="00401000" w:rsidP="00401000">
            <w:pPr>
              <w:jc w:val="center"/>
              <w:rPr>
                <w:rFonts w:ascii="Arial Narrow" w:hAnsi="Arial Narrow"/>
                <w:i/>
                <w:iCs/>
                <w:sz w:val="20"/>
                <w:szCs w:val="20"/>
              </w:rPr>
            </w:pPr>
          </w:p>
        </w:tc>
        <w:tc>
          <w:tcPr>
            <w:tcW w:w="7745" w:type="dxa"/>
            <w:gridSpan w:val="6"/>
            <w:tcMar>
              <w:top w:w="15" w:type="dxa"/>
              <w:left w:w="108" w:type="dxa"/>
              <w:bottom w:w="15" w:type="dxa"/>
              <w:right w:w="108" w:type="dxa"/>
            </w:tcMar>
            <w:vAlign w:val="center"/>
          </w:tcPr>
          <w:p w14:paraId="1C667980" w14:textId="77777777" w:rsidR="00401000" w:rsidRPr="00AB0618" w:rsidRDefault="00401000" w:rsidP="00401000">
            <w:pPr>
              <w:rPr>
                <w:rFonts w:ascii="Arial Narrow" w:hAnsi="Arial Narrow"/>
                <w:i/>
                <w:iCs/>
                <w:sz w:val="20"/>
                <w:szCs w:val="20"/>
              </w:rPr>
            </w:pPr>
            <w:r w:rsidRPr="00AB0618">
              <w:rPr>
                <w:rFonts w:ascii="Arial Narrow" w:hAnsi="Arial Narrow"/>
                <w:b/>
                <w:bCs/>
                <w:i/>
                <w:iCs/>
                <w:kern w:val="2"/>
                <w:sz w:val="20"/>
                <w:szCs w:val="20"/>
                <w14:ligatures w14:val="standardContextual"/>
              </w:rPr>
              <w:t>Clinical criteria:</w:t>
            </w:r>
          </w:p>
        </w:tc>
      </w:tr>
      <w:tr w:rsidR="00401000" w:rsidRPr="00401000" w14:paraId="41B975AC" w14:textId="77777777" w:rsidTr="008A797E">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D3EB7BF" w14:textId="64A5F3C7" w:rsidR="00401000" w:rsidRPr="00AB0618" w:rsidRDefault="00401000" w:rsidP="00401000">
            <w:pPr>
              <w:jc w:val="center"/>
              <w:rPr>
                <w:rFonts w:ascii="Arial Narrow" w:hAnsi="Arial Narrow"/>
                <w:i/>
                <w:iCs/>
                <w:sz w:val="20"/>
                <w:szCs w:val="20"/>
              </w:rPr>
            </w:pPr>
          </w:p>
        </w:tc>
        <w:tc>
          <w:tcPr>
            <w:tcW w:w="7745" w:type="dxa"/>
            <w:gridSpan w:val="6"/>
            <w:tcMar>
              <w:top w:w="15" w:type="dxa"/>
              <w:left w:w="108" w:type="dxa"/>
              <w:bottom w:w="15" w:type="dxa"/>
              <w:right w:w="108" w:type="dxa"/>
            </w:tcMar>
            <w:vAlign w:val="center"/>
          </w:tcPr>
          <w:p w14:paraId="1A1C10B3" w14:textId="77777777" w:rsidR="00401000" w:rsidRPr="00AB0618" w:rsidRDefault="00401000" w:rsidP="00401000">
            <w:pPr>
              <w:rPr>
                <w:rFonts w:ascii="Arial Narrow" w:hAnsi="Arial Narrow"/>
                <w:i/>
                <w:iCs/>
                <w:sz w:val="20"/>
                <w:szCs w:val="20"/>
              </w:rPr>
            </w:pPr>
            <w:r w:rsidRPr="00AB0618">
              <w:rPr>
                <w:rFonts w:ascii="Arial Narrow" w:hAnsi="Arial Narrow"/>
                <w:i/>
                <w:iCs/>
                <w:kern w:val="2"/>
                <w:sz w:val="20"/>
                <w:szCs w:val="20"/>
                <w14:ligatures w14:val="standardContextual"/>
              </w:rPr>
              <w:t xml:space="preserve">The treatment must not exceed a lifetime maximum of 24 months </w:t>
            </w:r>
            <w:r w:rsidRPr="00AB0618">
              <w:rPr>
                <w:rFonts w:ascii="Arial Narrow" w:hAnsi="Arial Narrow"/>
                <w:i/>
                <w:iCs/>
                <w:strike/>
                <w:kern w:val="2"/>
                <w:sz w:val="20"/>
                <w:szCs w:val="20"/>
                <w14:ligatures w14:val="standardContextual"/>
              </w:rPr>
              <w:t>of</w:t>
            </w:r>
            <w:r w:rsidRPr="00AB0618">
              <w:rPr>
                <w:rFonts w:ascii="Arial Narrow" w:hAnsi="Arial Narrow"/>
                <w:i/>
                <w:iCs/>
                <w:kern w:val="2"/>
                <w:sz w:val="20"/>
                <w:szCs w:val="20"/>
                <w14:ligatures w14:val="standardContextual"/>
              </w:rPr>
              <w:t xml:space="preserve"> therapy</w:t>
            </w:r>
          </w:p>
        </w:tc>
      </w:tr>
      <w:tr w:rsidR="00401000" w:rsidRPr="00401000" w14:paraId="1EB6087A"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2E42EBD" w14:textId="4D85FFA5"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E1C7AE" w14:textId="77777777" w:rsidR="00401000" w:rsidRPr="00AB0618" w:rsidRDefault="00401000" w:rsidP="00401000">
            <w:pPr>
              <w:rPr>
                <w:rFonts w:ascii="Arial Narrow" w:hAnsi="Arial Narrow"/>
                <w:strike/>
                <w:sz w:val="20"/>
                <w:szCs w:val="20"/>
              </w:rPr>
            </w:pPr>
            <w:r w:rsidRPr="00AB0618">
              <w:rPr>
                <w:rFonts w:ascii="Arial Narrow" w:hAnsi="Arial Narrow"/>
                <w:b/>
                <w:bCs/>
                <w:sz w:val="20"/>
                <w:szCs w:val="20"/>
              </w:rPr>
              <w:t>Treatment criteria:</w:t>
            </w:r>
          </w:p>
        </w:tc>
      </w:tr>
      <w:tr w:rsidR="00401000" w:rsidRPr="00401000" w14:paraId="04B11687"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7C49BD6" w14:textId="47AEFA14"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9B163E" w14:textId="77777777" w:rsidR="00401000" w:rsidRPr="00AB0618" w:rsidRDefault="00401000" w:rsidP="00401000">
            <w:pPr>
              <w:rPr>
                <w:rFonts w:ascii="Arial Narrow" w:hAnsi="Arial Narrow"/>
                <w:sz w:val="20"/>
                <w:szCs w:val="20"/>
              </w:rPr>
            </w:pPr>
            <w:r w:rsidRPr="00AB0618">
              <w:rPr>
                <w:rFonts w:ascii="Arial Narrow" w:hAnsi="Arial Narrow"/>
                <w:sz w:val="20"/>
                <w:szCs w:val="20"/>
              </w:rPr>
              <w:t>Must be treated by a specialist medical practitioner with experience in the diagnosis and management of endometriosis</w:t>
            </w:r>
          </w:p>
        </w:tc>
      </w:tr>
      <w:tr w:rsidR="00401000" w:rsidRPr="00401000" w14:paraId="76090F60"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B9EFE5" w14:textId="1EBCA8DC"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34D62B" w14:textId="77777777" w:rsidR="00401000" w:rsidRPr="00AB0618" w:rsidRDefault="00401000" w:rsidP="00401000">
            <w:pPr>
              <w:rPr>
                <w:rFonts w:ascii="Arial Narrow" w:hAnsi="Arial Narrow"/>
                <w:b/>
                <w:bCs/>
                <w:sz w:val="20"/>
                <w:szCs w:val="20"/>
              </w:rPr>
            </w:pPr>
            <w:r w:rsidRPr="00AB0618">
              <w:rPr>
                <w:rFonts w:ascii="Arial Narrow" w:hAnsi="Arial Narrow"/>
                <w:b/>
                <w:bCs/>
                <w:sz w:val="20"/>
                <w:szCs w:val="20"/>
              </w:rPr>
              <w:t>Population criteria:</w:t>
            </w:r>
          </w:p>
        </w:tc>
      </w:tr>
      <w:tr w:rsidR="00401000" w:rsidRPr="00401000" w14:paraId="0C903ACC"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9FDB52" w14:textId="46A6C05C"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ADC5F6" w14:textId="77777777" w:rsidR="00401000" w:rsidRPr="00AB0618" w:rsidRDefault="00401000" w:rsidP="00401000">
            <w:pPr>
              <w:rPr>
                <w:rFonts w:ascii="Arial Narrow" w:hAnsi="Arial Narrow"/>
                <w:sz w:val="20"/>
                <w:szCs w:val="20"/>
              </w:rPr>
            </w:pPr>
            <w:r w:rsidRPr="00AB0618">
              <w:rPr>
                <w:rFonts w:ascii="Arial Narrow" w:hAnsi="Arial Narrow"/>
                <w:sz w:val="20"/>
                <w:szCs w:val="20"/>
              </w:rPr>
              <w:t>Patient must be pre-menopausal</w:t>
            </w:r>
          </w:p>
        </w:tc>
      </w:tr>
      <w:tr w:rsidR="00401000" w:rsidRPr="00401000" w14:paraId="7EBAF856" w14:textId="77777777" w:rsidTr="008A797E">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42C6214" w14:textId="77777777"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BB5510" w14:textId="77777777" w:rsidR="00401000" w:rsidRPr="00AB0618" w:rsidRDefault="00401000" w:rsidP="00401000">
            <w:pPr>
              <w:rPr>
                <w:rFonts w:ascii="Arial Narrow" w:hAnsi="Arial Narrow"/>
                <w:b/>
                <w:bCs/>
                <w:sz w:val="20"/>
                <w:szCs w:val="20"/>
              </w:rPr>
            </w:pPr>
            <w:r w:rsidRPr="00AB0618">
              <w:rPr>
                <w:rFonts w:ascii="Arial Narrow" w:hAnsi="Arial Narrow"/>
                <w:b/>
                <w:bCs/>
                <w:sz w:val="20"/>
                <w:szCs w:val="20"/>
              </w:rPr>
              <w:t>AND</w:t>
            </w:r>
          </w:p>
        </w:tc>
      </w:tr>
      <w:tr w:rsidR="00401000" w:rsidRPr="00401000" w14:paraId="509BC9C6"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D5FDEA" w14:textId="062E6B5B"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7AF1D1" w14:textId="77777777" w:rsidR="00401000" w:rsidRPr="00AB0618" w:rsidRDefault="00401000" w:rsidP="00401000">
            <w:pPr>
              <w:rPr>
                <w:rFonts w:ascii="Arial Narrow" w:hAnsi="Arial Narrow"/>
                <w:sz w:val="20"/>
                <w:szCs w:val="20"/>
              </w:rPr>
            </w:pPr>
            <w:r w:rsidRPr="00AB0618">
              <w:rPr>
                <w:rFonts w:ascii="Arial Narrow" w:hAnsi="Arial Narrow"/>
                <w:b/>
                <w:bCs/>
                <w:sz w:val="20"/>
                <w:szCs w:val="20"/>
              </w:rPr>
              <w:t>Population criteria:</w:t>
            </w:r>
          </w:p>
        </w:tc>
      </w:tr>
      <w:tr w:rsidR="00401000" w:rsidRPr="00401000" w14:paraId="77C81574"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988B86" w14:textId="3DD9450C"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2D37F3" w14:textId="77777777" w:rsidR="00401000" w:rsidRPr="00AB0618" w:rsidRDefault="00401000" w:rsidP="00401000">
            <w:pPr>
              <w:rPr>
                <w:rFonts w:ascii="Arial Narrow" w:hAnsi="Arial Narrow"/>
                <w:sz w:val="20"/>
                <w:szCs w:val="20"/>
              </w:rPr>
            </w:pPr>
            <w:r w:rsidRPr="00AB0618">
              <w:rPr>
                <w:rFonts w:ascii="Arial Narrow" w:hAnsi="Arial Narrow"/>
                <w:sz w:val="20"/>
                <w:szCs w:val="20"/>
              </w:rPr>
              <w:t>Patient must be at least 18 years of age</w:t>
            </w:r>
          </w:p>
        </w:tc>
      </w:tr>
      <w:tr w:rsidR="00401000" w:rsidRPr="00401000" w14:paraId="62677630"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1EBFB7A" w14:textId="533A9FAC"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1B465E" w14:textId="77777777" w:rsidR="00401000" w:rsidRPr="00AB0618" w:rsidRDefault="00401000" w:rsidP="00401000">
            <w:pPr>
              <w:rPr>
                <w:rFonts w:ascii="Arial Narrow" w:hAnsi="Arial Narrow"/>
                <w:b/>
                <w:bCs/>
                <w:sz w:val="20"/>
                <w:szCs w:val="20"/>
              </w:rPr>
            </w:pPr>
            <w:r w:rsidRPr="00AB0618">
              <w:rPr>
                <w:rFonts w:ascii="Arial Narrow" w:hAnsi="Arial Narrow"/>
                <w:b/>
                <w:bCs/>
                <w:sz w:val="20"/>
                <w:szCs w:val="20"/>
              </w:rPr>
              <w:t xml:space="preserve">Caution: </w:t>
            </w:r>
            <w:r w:rsidRPr="00AB0618">
              <w:rPr>
                <w:rFonts w:ascii="Arial Narrow" w:hAnsi="Arial Narrow"/>
                <w:sz w:val="20"/>
                <w:szCs w:val="20"/>
              </w:rPr>
              <w:t>Ryeqo should not be used interchangeably with other GnRH agonists and/or hormonal contraceptives brands due to differences in dose and schedule of treatment</w:t>
            </w:r>
          </w:p>
        </w:tc>
      </w:tr>
      <w:tr w:rsidR="00401000" w:rsidRPr="00401000" w14:paraId="006FEB0A"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2DFAD0" w14:textId="0B0C59D0" w:rsidR="00401000" w:rsidRPr="00AB0618" w:rsidRDefault="00401000" w:rsidP="00401000">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FBBC34" w14:textId="77777777" w:rsidR="00401000" w:rsidRPr="00AB0618" w:rsidRDefault="00401000" w:rsidP="00401000">
            <w:pPr>
              <w:rPr>
                <w:rFonts w:ascii="Arial Narrow" w:hAnsi="Arial Narrow"/>
                <w:b/>
                <w:bCs/>
                <w:sz w:val="20"/>
                <w:szCs w:val="20"/>
              </w:rPr>
            </w:pPr>
            <w:r w:rsidRPr="00AB0618">
              <w:rPr>
                <w:rFonts w:ascii="Arial Narrow" w:hAnsi="Arial Narrow"/>
                <w:b/>
                <w:bCs/>
                <w:sz w:val="20"/>
                <w:szCs w:val="20"/>
              </w:rPr>
              <w:t xml:space="preserve">Prescribing instructions: </w:t>
            </w:r>
            <w:r w:rsidRPr="00AB0618">
              <w:rPr>
                <w:rFonts w:ascii="Arial Narrow" w:hAnsi="Arial Narrow"/>
                <w:sz w:val="20"/>
                <w:szCs w:val="20"/>
              </w:rPr>
              <w:t>Assessment of bone mineral density (BMD) by dual-energy X-ray absorptiometry (DXA)</w:t>
            </w:r>
            <w:r w:rsidRPr="00AB0618">
              <w:rPr>
                <w:rFonts w:ascii="Arial Narrow" w:hAnsi="Arial Narrow"/>
                <w:b/>
                <w:bCs/>
                <w:sz w:val="20"/>
                <w:szCs w:val="20"/>
              </w:rPr>
              <w:t xml:space="preserve"> </w:t>
            </w:r>
            <w:r w:rsidRPr="00AB0618">
              <w:rPr>
                <w:rFonts w:ascii="Arial Narrow" w:hAnsi="Arial Narrow"/>
                <w:sz w:val="20"/>
                <w:szCs w:val="20"/>
              </w:rPr>
              <w:t>is recommended at baseline, after the first 52 weeks</w:t>
            </w:r>
            <w:r w:rsidRPr="00AB0618">
              <w:rPr>
                <w:rFonts w:ascii="Arial Narrow" w:hAnsi="Arial Narrow"/>
                <w:i/>
                <w:iCs/>
                <w:sz w:val="20"/>
                <w:szCs w:val="20"/>
              </w:rPr>
              <w:t xml:space="preserve"> and 104 </w:t>
            </w:r>
            <w:r w:rsidRPr="00AB0618">
              <w:rPr>
                <w:rFonts w:ascii="Arial Narrow" w:hAnsi="Arial Narrow"/>
                <w:sz w:val="20"/>
                <w:szCs w:val="20"/>
              </w:rPr>
              <w:t xml:space="preserve">weeks of treatment, </w:t>
            </w:r>
            <w:r w:rsidRPr="00AB0618">
              <w:rPr>
                <w:rFonts w:ascii="Arial Narrow" w:hAnsi="Arial Narrow"/>
                <w:strike/>
                <w:sz w:val="20"/>
                <w:szCs w:val="20"/>
              </w:rPr>
              <w:t>annually thereafter.</w:t>
            </w:r>
            <w:r w:rsidRPr="00AB0618">
              <w:rPr>
                <w:rFonts w:ascii="Arial Narrow" w:hAnsi="Arial Narrow"/>
                <w:sz w:val="20"/>
                <w:szCs w:val="20"/>
              </w:rPr>
              <w:t xml:space="preserve"> Depending on the degree of change in BMD, the benefit and risks of Ryeqo may need to be reconsidered.</w:t>
            </w:r>
            <w:r w:rsidRPr="00AB0618">
              <w:t xml:space="preserve"> </w:t>
            </w:r>
            <w:r w:rsidRPr="00AB0618">
              <w:rPr>
                <w:rFonts w:ascii="Arial Narrow" w:hAnsi="Arial Narrow"/>
                <w:strike/>
                <w:sz w:val="20"/>
                <w:szCs w:val="20"/>
              </w:rPr>
              <w:t>Use is recommended to be limited to 24 months, with extension of therapy conditional on stability of DXA and reassessment of risk/benefit in the individual patient by the treating physician.</w:t>
            </w:r>
          </w:p>
        </w:tc>
      </w:tr>
      <w:tr w:rsidR="00401000" w:rsidRPr="00401000" w14:paraId="7FE8434D" w14:textId="77777777" w:rsidTr="008A797E">
        <w:trPr>
          <w:cantSplit/>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98916F" w14:textId="77777777" w:rsidR="00401000" w:rsidRPr="00401000" w:rsidRDefault="00401000" w:rsidP="00401000">
            <w:pPr>
              <w:rPr>
                <w:rFonts w:ascii="Arial Narrow" w:hAnsi="Arial Narrow"/>
                <w:strike/>
                <w:color w:val="333333"/>
                <w:sz w:val="20"/>
                <w:szCs w:val="20"/>
              </w:rPr>
            </w:pPr>
          </w:p>
          <w:p w14:paraId="58102F02" w14:textId="77777777" w:rsidR="00401000" w:rsidRPr="00401000" w:rsidRDefault="00401000" w:rsidP="00401000">
            <w:pPr>
              <w:rPr>
                <w:rFonts w:ascii="Arial Narrow" w:hAnsi="Arial Narrow"/>
                <w:strike/>
                <w:color w:val="333333"/>
                <w:sz w:val="20"/>
                <w:szCs w:val="20"/>
              </w:rPr>
            </w:pPr>
          </w:p>
        </w:tc>
      </w:tr>
      <w:tr w:rsidR="00401000" w:rsidRPr="00401000" w14:paraId="7D9A9281" w14:textId="77777777" w:rsidTr="008A797E">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6AF08A" w14:textId="77777777" w:rsidR="00401000" w:rsidRPr="00401000" w:rsidRDefault="00401000" w:rsidP="00401000">
            <w:pPr>
              <w:keepLines/>
              <w:rPr>
                <w:rFonts w:ascii="Arial Narrow" w:eastAsia="Calibri" w:hAnsi="Arial Narrow"/>
                <w:b/>
                <w:sz w:val="20"/>
                <w:szCs w:val="20"/>
              </w:rPr>
            </w:pPr>
            <w:r w:rsidRPr="00401000">
              <w:rPr>
                <w:rFonts w:ascii="Arial Narrow" w:eastAsia="Calibri" w:hAnsi="Arial Narrow"/>
                <w:b/>
                <w:sz w:val="20"/>
                <w:szCs w:val="20"/>
              </w:rPr>
              <w:t xml:space="preserve">Restriction Summary [new 1] </w:t>
            </w:r>
            <w:r w:rsidRPr="00401000">
              <w:rPr>
                <w:rFonts w:ascii="Arial Narrow" w:eastAsia="Calibri" w:hAnsi="Arial Narrow"/>
                <w:b/>
                <w:color w:val="FF0000"/>
                <w:sz w:val="20"/>
                <w:szCs w:val="20"/>
              </w:rPr>
              <w:t xml:space="preserve"> </w:t>
            </w:r>
            <w:r w:rsidRPr="00401000">
              <w:rPr>
                <w:rFonts w:ascii="Arial Narrow" w:eastAsia="Calibri" w:hAnsi="Arial Narrow"/>
                <w:b/>
                <w:sz w:val="20"/>
                <w:szCs w:val="20"/>
              </w:rPr>
              <w:t xml:space="preserve">/ Treatment of Concept: [new 2] </w:t>
            </w:r>
          </w:p>
        </w:tc>
      </w:tr>
      <w:tr w:rsidR="00401000" w:rsidRPr="00401000" w14:paraId="29B1DF6B" w14:textId="77777777" w:rsidTr="00F6431A">
        <w:trPr>
          <w:trHeight w:val="20"/>
        </w:trPr>
        <w:tc>
          <w:tcPr>
            <w:tcW w:w="127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DF35DCB" w14:textId="2CE147EE" w:rsidR="00401000" w:rsidRPr="00401000" w:rsidRDefault="00401000" w:rsidP="00401000">
            <w:pPr>
              <w:jc w:val="center"/>
              <w:rPr>
                <w:rFonts w:ascii="Arial Narrow" w:eastAsia="Calibri"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72175D3" w14:textId="68F944CA" w:rsidR="00401000" w:rsidRPr="00401000" w:rsidRDefault="00401000" w:rsidP="00401000">
            <w:pPr>
              <w:keepLines/>
              <w:rPr>
                <w:rFonts w:ascii="Arial Narrow" w:eastAsia="Calibri" w:hAnsi="Arial Narrow"/>
                <w:sz w:val="20"/>
                <w:szCs w:val="20"/>
              </w:rPr>
            </w:pPr>
            <w:r w:rsidRPr="00401000">
              <w:rPr>
                <w:rFonts w:ascii="Arial Narrow" w:eastAsia="Calibri" w:hAnsi="Arial Narrow"/>
                <w:b/>
                <w:sz w:val="20"/>
                <w:szCs w:val="20"/>
              </w:rPr>
              <w:t xml:space="preserve">Category / Program: </w:t>
            </w:r>
            <w:r w:rsidRPr="00401000">
              <w:rPr>
                <w:rFonts w:ascii="Arial Narrow" w:eastAsia="Calibri" w:hAnsi="Arial Narrow"/>
                <w:sz w:val="20"/>
                <w:szCs w:val="20"/>
              </w:rPr>
              <w:t xml:space="preserve">GENERAL – General Schedule </w:t>
            </w:r>
          </w:p>
        </w:tc>
      </w:tr>
      <w:tr w:rsidR="00401000" w:rsidRPr="00401000" w14:paraId="40AE8480" w14:textId="77777777" w:rsidTr="00F6431A">
        <w:trPr>
          <w:trHeight w:val="20"/>
        </w:trPr>
        <w:tc>
          <w:tcPr>
            <w:tcW w:w="1271" w:type="dxa"/>
            <w:vMerge/>
            <w:tcBorders>
              <w:top w:val="single" w:sz="4" w:space="0" w:color="auto"/>
              <w:left w:val="single" w:sz="4" w:space="0" w:color="auto"/>
              <w:bottom w:val="single" w:sz="4" w:space="0" w:color="auto"/>
              <w:right w:val="single" w:sz="4" w:space="0" w:color="auto"/>
            </w:tcBorders>
            <w:vAlign w:val="center"/>
          </w:tcPr>
          <w:p w14:paraId="27D4D574" w14:textId="77777777" w:rsidR="00401000" w:rsidRPr="00401000" w:rsidRDefault="00401000" w:rsidP="00401000">
            <w:pPr>
              <w:spacing w:line="256" w:lineRule="auto"/>
              <w:jc w:val="left"/>
              <w:rPr>
                <w:rFonts w:ascii="Arial Narrow" w:eastAsia="Calibri"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0D84DB" w14:textId="77777777" w:rsidR="00401000" w:rsidRPr="00401000" w:rsidRDefault="00401000" w:rsidP="00401000">
            <w:pPr>
              <w:keepLines/>
              <w:rPr>
                <w:rFonts w:ascii="Arial Narrow" w:eastAsia="Calibri" w:hAnsi="Arial Narrow"/>
                <w:b/>
                <w:sz w:val="20"/>
                <w:szCs w:val="20"/>
              </w:rPr>
            </w:pPr>
            <w:r w:rsidRPr="00401000">
              <w:rPr>
                <w:rFonts w:ascii="Arial Narrow" w:eastAsia="Calibri" w:hAnsi="Arial Narrow"/>
                <w:b/>
                <w:sz w:val="20"/>
                <w:szCs w:val="20"/>
              </w:rPr>
              <w:t>Prescriber type:</w:t>
            </w:r>
            <w:r w:rsidRPr="00401000">
              <w:rPr>
                <w:rFonts w:ascii="Arial Narrow" w:eastAsia="Calibri" w:hAnsi="Arial Narrow"/>
                <w:sz w:val="20"/>
                <w:szCs w:val="20"/>
              </w:rPr>
              <w:t xml:space="preserve"> </w:t>
            </w:r>
            <w:r w:rsidRPr="00401000">
              <w:rPr>
                <w:rFonts w:ascii="Arial Narrow" w:eastAsia="Calibri" w:hAnsi="Arial Narrow"/>
                <w:sz w:val="20"/>
                <w:szCs w:val="20"/>
              </w:rPr>
              <w:fldChar w:fldCharType="begin" w:fldLock="1">
                <w:ffData>
                  <w:name w:val=""/>
                  <w:enabled/>
                  <w:calcOnExit w:val="0"/>
                  <w:checkBox>
                    <w:sizeAuto/>
                    <w:default w:val="1"/>
                  </w:checkBox>
                </w:ffData>
              </w:fldChar>
            </w:r>
            <w:r w:rsidRPr="00401000">
              <w:rPr>
                <w:rFonts w:ascii="Arial Narrow" w:eastAsia="Calibri" w:hAnsi="Arial Narrow"/>
                <w:sz w:val="20"/>
                <w:szCs w:val="20"/>
              </w:rPr>
              <w:instrText xml:space="preserve"> FORMCHECKBOX </w:instrText>
            </w:r>
            <w:r w:rsidRPr="00401000">
              <w:rPr>
                <w:rFonts w:ascii="Arial Narrow" w:eastAsia="Calibri" w:hAnsi="Arial Narrow"/>
                <w:sz w:val="20"/>
                <w:szCs w:val="20"/>
              </w:rPr>
            </w:r>
            <w:r w:rsidRPr="00401000">
              <w:rPr>
                <w:rFonts w:ascii="Arial Narrow" w:eastAsia="Calibri" w:hAnsi="Arial Narrow"/>
                <w:sz w:val="20"/>
                <w:szCs w:val="20"/>
              </w:rPr>
              <w:fldChar w:fldCharType="separate"/>
            </w:r>
            <w:r w:rsidRPr="00401000">
              <w:rPr>
                <w:rFonts w:ascii="Arial Narrow" w:eastAsia="Calibri" w:hAnsi="Arial Narrow"/>
                <w:sz w:val="20"/>
                <w:szCs w:val="20"/>
              </w:rPr>
              <w:fldChar w:fldCharType="end"/>
            </w:r>
            <w:r w:rsidRPr="00401000">
              <w:rPr>
                <w:rFonts w:ascii="Arial Narrow" w:eastAsia="Calibri" w:hAnsi="Arial Narrow"/>
                <w:sz w:val="20"/>
                <w:szCs w:val="20"/>
              </w:rPr>
              <w:t xml:space="preserve">Medical Practitioners </w:t>
            </w:r>
          </w:p>
        </w:tc>
      </w:tr>
      <w:tr w:rsidR="00401000" w:rsidRPr="00401000" w14:paraId="0F2B8FCE" w14:textId="77777777" w:rsidTr="00F6431A">
        <w:trPr>
          <w:trHeight w:val="20"/>
        </w:trPr>
        <w:tc>
          <w:tcPr>
            <w:tcW w:w="1271" w:type="dxa"/>
            <w:vMerge/>
            <w:tcBorders>
              <w:top w:val="single" w:sz="4" w:space="0" w:color="auto"/>
              <w:left w:val="single" w:sz="4" w:space="0" w:color="auto"/>
              <w:bottom w:val="single" w:sz="4" w:space="0" w:color="auto"/>
              <w:right w:val="single" w:sz="4" w:space="0" w:color="auto"/>
            </w:tcBorders>
            <w:vAlign w:val="center"/>
          </w:tcPr>
          <w:p w14:paraId="021DEC29" w14:textId="77777777" w:rsidR="00401000" w:rsidRPr="00401000" w:rsidRDefault="00401000" w:rsidP="00401000">
            <w:pPr>
              <w:spacing w:line="256" w:lineRule="auto"/>
              <w:jc w:val="left"/>
              <w:rPr>
                <w:rFonts w:ascii="Arial Narrow" w:eastAsia="Calibri"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F98336" w14:textId="77777777" w:rsidR="00401000" w:rsidRPr="00401000" w:rsidRDefault="00401000" w:rsidP="00401000">
            <w:pPr>
              <w:keepLines/>
              <w:rPr>
                <w:rFonts w:ascii="Arial Narrow" w:eastAsia="Calibri" w:hAnsi="Arial Narrow"/>
                <w:sz w:val="20"/>
                <w:szCs w:val="20"/>
              </w:rPr>
            </w:pPr>
            <w:r w:rsidRPr="00401000">
              <w:rPr>
                <w:rFonts w:ascii="Arial Narrow" w:eastAsia="Calibri" w:hAnsi="Arial Narrow"/>
                <w:b/>
                <w:sz w:val="20"/>
                <w:szCs w:val="20"/>
              </w:rPr>
              <w:t xml:space="preserve">Restriction type: </w:t>
            </w:r>
            <w:r w:rsidRPr="00401000">
              <w:rPr>
                <w:rFonts w:ascii="Arial Narrow" w:eastAsia="Calibri" w:hAnsi="Arial Narrow"/>
                <w:sz w:val="20"/>
                <w:szCs w:val="20"/>
              </w:rPr>
              <w:fldChar w:fldCharType="begin" w:fldLock="1">
                <w:ffData>
                  <w:name w:val=""/>
                  <w:enabled/>
                  <w:calcOnExit w:val="0"/>
                  <w:checkBox>
                    <w:sizeAuto/>
                    <w:default w:val="1"/>
                  </w:checkBox>
                </w:ffData>
              </w:fldChar>
            </w:r>
            <w:r w:rsidRPr="00401000">
              <w:rPr>
                <w:rFonts w:ascii="Arial Narrow" w:eastAsia="Calibri" w:hAnsi="Arial Narrow"/>
                <w:sz w:val="20"/>
                <w:szCs w:val="20"/>
              </w:rPr>
              <w:instrText xml:space="preserve"> FORMCHECKBOX </w:instrText>
            </w:r>
            <w:r w:rsidRPr="00401000">
              <w:rPr>
                <w:rFonts w:ascii="Arial Narrow" w:eastAsia="Calibri" w:hAnsi="Arial Narrow"/>
                <w:sz w:val="20"/>
                <w:szCs w:val="20"/>
              </w:rPr>
            </w:r>
            <w:r w:rsidRPr="00401000">
              <w:rPr>
                <w:rFonts w:ascii="Arial Narrow" w:eastAsia="Calibri" w:hAnsi="Arial Narrow"/>
                <w:sz w:val="20"/>
                <w:szCs w:val="20"/>
              </w:rPr>
              <w:fldChar w:fldCharType="separate"/>
            </w:r>
            <w:r w:rsidRPr="00401000">
              <w:rPr>
                <w:rFonts w:ascii="Arial Narrow" w:eastAsia="Calibri" w:hAnsi="Arial Narrow"/>
                <w:sz w:val="20"/>
                <w:szCs w:val="20"/>
              </w:rPr>
              <w:fldChar w:fldCharType="end"/>
            </w:r>
            <w:r w:rsidRPr="00401000">
              <w:rPr>
                <w:rFonts w:ascii="Arial Narrow" w:eastAsia="Calibri" w:hAnsi="Arial Narrow"/>
                <w:sz w:val="20"/>
                <w:szCs w:val="20"/>
              </w:rPr>
              <w:t xml:space="preserve">Authority Required (Streamlined) </w:t>
            </w:r>
          </w:p>
        </w:tc>
      </w:tr>
      <w:tr w:rsidR="00401000" w:rsidRPr="00401000" w14:paraId="1AB8FE31"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5388C82" w14:textId="59913A9E" w:rsidR="00401000" w:rsidRPr="00AB0618" w:rsidRDefault="00401000" w:rsidP="00401000">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731352" w14:textId="77777777" w:rsidR="00401000" w:rsidRPr="00AB0618" w:rsidRDefault="00401000" w:rsidP="00401000">
            <w:pPr>
              <w:rPr>
                <w:rFonts w:ascii="Arial Narrow" w:hAnsi="Arial Narrow"/>
                <w:b/>
                <w:bCs/>
                <w:strike/>
                <w:sz w:val="20"/>
                <w:szCs w:val="20"/>
              </w:rPr>
            </w:pPr>
            <w:r w:rsidRPr="00AB0618">
              <w:rPr>
                <w:rFonts w:ascii="Arial Narrow" w:eastAsia="Calibri" w:hAnsi="Arial Narrow"/>
                <w:b/>
                <w:bCs/>
                <w:sz w:val="20"/>
                <w:szCs w:val="20"/>
              </w:rPr>
              <w:t>Indication:</w:t>
            </w:r>
            <w:r w:rsidRPr="00AB0618">
              <w:rPr>
                <w:rFonts w:ascii="Arial Narrow" w:eastAsia="Calibri" w:hAnsi="Arial Narrow"/>
                <w:sz w:val="20"/>
                <w:szCs w:val="20"/>
              </w:rPr>
              <w:t xml:space="preserve"> Endometriosis  </w:t>
            </w:r>
          </w:p>
        </w:tc>
      </w:tr>
      <w:tr w:rsidR="00401000" w:rsidRPr="00401000" w14:paraId="174F3717" w14:textId="77777777" w:rsidTr="008A797E">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FC69A1" w14:textId="77777777" w:rsidR="00401000" w:rsidRPr="00AB0618" w:rsidRDefault="00401000" w:rsidP="00401000">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6D186E" w14:textId="77777777" w:rsidR="00401000" w:rsidRPr="00AB0618" w:rsidRDefault="00401000" w:rsidP="00401000">
            <w:pPr>
              <w:rPr>
                <w:rFonts w:ascii="Arial Narrow" w:hAnsi="Arial Narrow"/>
                <w:b/>
                <w:bCs/>
                <w:strike/>
                <w:sz w:val="20"/>
                <w:szCs w:val="20"/>
              </w:rPr>
            </w:pPr>
            <w:r w:rsidRPr="00AB0618">
              <w:rPr>
                <w:rFonts w:ascii="Arial Narrow" w:eastAsia="Calibri" w:hAnsi="Arial Narrow"/>
                <w:b/>
                <w:bCs/>
                <w:sz w:val="20"/>
                <w:szCs w:val="20"/>
              </w:rPr>
              <w:t xml:space="preserve">Treatment Phase: </w:t>
            </w:r>
            <w:r w:rsidRPr="00AB0618">
              <w:rPr>
                <w:rFonts w:ascii="Arial Narrow" w:eastAsia="Calibri" w:hAnsi="Arial Narrow"/>
                <w:sz w:val="20"/>
                <w:szCs w:val="20"/>
              </w:rPr>
              <w:t xml:space="preserve">Continuing treatment </w:t>
            </w:r>
          </w:p>
        </w:tc>
      </w:tr>
      <w:tr w:rsidR="00401000" w:rsidRPr="00401000" w14:paraId="7F451C1B"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011C09" w14:textId="3382B257"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9D6554" w14:textId="77777777" w:rsidR="00401000" w:rsidRPr="00AB0618" w:rsidRDefault="00401000" w:rsidP="00401000">
            <w:pPr>
              <w:rPr>
                <w:rFonts w:ascii="Arial Narrow" w:eastAsia="Calibri" w:hAnsi="Arial Narrow"/>
                <w:b/>
                <w:bCs/>
                <w:sz w:val="20"/>
                <w:szCs w:val="20"/>
              </w:rPr>
            </w:pPr>
            <w:r w:rsidRPr="00AB0618">
              <w:rPr>
                <w:rFonts w:ascii="Arial Narrow" w:eastAsia="Calibri" w:hAnsi="Arial Narrow"/>
                <w:b/>
                <w:bCs/>
                <w:sz w:val="20"/>
                <w:szCs w:val="20"/>
              </w:rPr>
              <w:t>Clinical criteria:</w:t>
            </w:r>
          </w:p>
        </w:tc>
      </w:tr>
      <w:tr w:rsidR="00401000" w:rsidRPr="00401000" w14:paraId="2FB90C2F"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9543AC9" w14:textId="38007F82" w:rsidR="00401000" w:rsidRPr="00AB0618" w:rsidRDefault="00401000" w:rsidP="00401000">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5FF7FA" w14:textId="77777777" w:rsidR="00401000" w:rsidRPr="00AB0618" w:rsidRDefault="00401000" w:rsidP="00401000">
            <w:pPr>
              <w:rPr>
                <w:rFonts w:ascii="Arial Narrow" w:hAnsi="Arial Narrow"/>
                <w:b/>
                <w:bCs/>
                <w:strike/>
                <w:sz w:val="20"/>
                <w:szCs w:val="20"/>
              </w:rPr>
            </w:pPr>
            <w:r w:rsidRPr="00AB0618">
              <w:rPr>
                <w:rFonts w:ascii="Arial Narrow" w:eastAsia="Calibri" w:hAnsi="Arial Narrow"/>
                <w:sz w:val="20"/>
                <w:szCs w:val="20"/>
              </w:rPr>
              <w:t>Patient must have received prior PBS-subsidised treatment with this drug for this condition</w:t>
            </w:r>
          </w:p>
        </w:tc>
      </w:tr>
      <w:tr w:rsidR="00401000" w:rsidRPr="00401000" w14:paraId="7547AF51" w14:textId="77777777" w:rsidTr="008A797E">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154329" w14:textId="77777777"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FBE5ECC" w14:textId="77777777" w:rsidR="00401000" w:rsidRPr="00AB0618" w:rsidRDefault="00401000" w:rsidP="00401000">
            <w:pPr>
              <w:rPr>
                <w:rFonts w:ascii="Arial Narrow" w:eastAsia="Calibri" w:hAnsi="Arial Narrow"/>
                <w:b/>
                <w:bCs/>
                <w:sz w:val="20"/>
                <w:szCs w:val="20"/>
              </w:rPr>
            </w:pPr>
            <w:r w:rsidRPr="00AB0618">
              <w:rPr>
                <w:rFonts w:ascii="Arial Narrow" w:eastAsia="Calibri" w:hAnsi="Arial Narrow"/>
                <w:b/>
                <w:bCs/>
                <w:sz w:val="20"/>
                <w:szCs w:val="20"/>
              </w:rPr>
              <w:t>AND</w:t>
            </w:r>
          </w:p>
        </w:tc>
      </w:tr>
      <w:tr w:rsidR="00401000" w:rsidRPr="00401000" w14:paraId="35060698"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1DB654" w14:textId="06287825"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E890C1" w14:textId="77777777" w:rsidR="00401000" w:rsidRPr="00AB0618" w:rsidRDefault="00401000" w:rsidP="00401000">
            <w:pPr>
              <w:rPr>
                <w:rFonts w:ascii="Arial Narrow" w:eastAsia="Calibri" w:hAnsi="Arial Narrow"/>
                <w:sz w:val="20"/>
                <w:szCs w:val="20"/>
              </w:rPr>
            </w:pPr>
            <w:r w:rsidRPr="00AB0618">
              <w:rPr>
                <w:rFonts w:ascii="Arial Narrow" w:eastAsia="Calibri" w:hAnsi="Arial Narrow"/>
                <w:b/>
                <w:bCs/>
                <w:i/>
                <w:iCs/>
                <w:sz w:val="20"/>
                <w:szCs w:val="20"/>
              </w:rPr>
              <w:t>Clinical criteria:</w:t>
            </w:r>
          </w:p>
        </w:tc>
      </w:tr>
      <w:tr w:rsidR="00401000" w:rsidRPr="00401000" w14:paraId="04720FCD"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37BDD3" w14:textId="5995D5B8"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7A21DE" w14:textId="77777777" w:rsidR="00401000" w:rsidRPr="00AB0618" w:rsidRDefault="00401000" w:rsidP="00401000">
            <w:pPr>
              <w:rPr>
                <w:rFonts w:ascii="Arial Narrow" w:eastAsia="Calibri" w:hAnsi="Arial Narrow"/>
                <w:sz w:val="20"/>
                <w:szCs w:val="20"/>
              </w:rPr>
            </w:pPr>
            <w:r w:rsidRPr="00AB0618">
              <w:rPr>
                <w:rFonts w:ascii="Arial Narrow" w:eastAsia="Calibri" w:hAnsi="Arial Narrow"/>
                <w:sz w:val="20"/>
                <w:szCs w:val="20"/>
              </w:rPr>
              <w:t>Patient must not have undergone surgery for this condition in the last 3 months</w:t>
            </w:r>
          </w:p>
        </w:tc>
      </w:tr>
      <w:tr w:rsidR="00401000" w:rsidRPr="00401000" w14:paraId="13678D6A" w14:textId="77777777" w:rsidTr="008A797E">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6D4F042" w14:textId="77777777"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11E413" w14:textId="77777777" w:rsidR="00401000" w:rsidRPr="00AB0618" w:rsidRDefault="00401000" w:rsidP="00401000">
            <w:pPr>
              <w:rPr>
                <w:rFonts w:ascii="Arial Narrow" w:eastAsia="Calibri" w:hAnsi="Arial Narrow"/>
                <w:sz w:val="20"/>
                <w:szCs w:val="20"/>
              </w:rPr>
            </w:pPr>
            <w:r w:rsidRPr="00AB0618">
              <w:rPr>
                <w:rFonts w:ascii="Arial Narrow" w:hAnsi="Arial Narrow"/>
                <w:b/>
                <w:bCs/>
                <w:sz w:val="20"/>
                <w:szCs w:val="20"/>
              </w:rPr>
              <w:t>AND</w:t>
            </w:r>
          </w:p>
        </w:tc>
      </w:tr>
      <w:tr w:rsidR="00401000" w:rsidRPr="00401000" w14:paraId="34992F5C"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6A8CD30" w14:textId="6434C91C"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D46E53" w14:textId="77777777" w:rsidR="00401000" w:rsidRPr="00AB0618" w:rsidRDefault="00401000" w:rsidP="00401000">
            <w:pPr>
              <w:rPr>
                <w:rFonts w:ascii="Arial Narrow" w:eastAsia="Calibri" w:hAnsi="Arial Narrow"/>
                <w:sz w:val="20"/>
                <w:szCs w:val="20"/>
              </w:rPr>
            </w:pPr>
            <w:r w:rsidRPr="00AB0618">
              <w:rPr>
                <w:rFonts w:ascii="Arial Narrow" w:hAnsi="Arial Narrow"/>
                <w:b/>
                <w:bCs/>
                <w:sz w:val="20"/>
                <w:szCs w:val="20"/>
              </w:rPr>
              <w:t>Clinical criteria:</w:t>
            </w:r>
          </w:p>
        </w:tc>
      </w:tr>
      <w:tr w:rsidR="00401000" w:rsidRPr="00401000" w14:paraId="61565E9F"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3BAA1A7" w14:textId="58142C22"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9D87D93" w14:textId="77777777" w:rsidR="00401000" w:rsidRPr="00AB0618" w:rsidRDefault="00401000" w:rsidP="00401000">
            <w:pPr>
              <w:rPr>
                <w:rFonts w:ascii="Arial Narrow" w:eastAsia="Calibri" w:hAnsi="Arial Narrow"/>
                <w:sz w:val="20"/>
                <w:szCs w:val="20"/>
              </w:rPr>
            </w:pPr>
            <w:r w:rsidRPr="00AB0618">
              <w:rPr>
                <w:rFonts w:ascii="Arial Narrow" w:hAnsi="Arial Narrow"/>
                <w:sz w:val="20"/>
                <w:szCs w:val="20"/>
              </w:rPr>
              <w:t>Patient must not have a history of, nor currently have any of the following: (i) osteoporosis, (ii) risk of other metabolic bone disease.</w:t>
            </w:r>
          </w:p>
        </w:tc>
      </w:tr>
      <w:tr w:rsidR="00401000" w:rsidRPr="00401000" w14:paraId="410C55F7" w14:textId="77777777" w:rsidTr="008A797E">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978DB05" w14:textId="77777777"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771FD0" w14:textId="77777777" w:rsidR="00401000" w:rsidRPr="00AB0618" w:rsidRDefault="00401000" w:rsidP="00401000">
            <w:pPr>
              <w:rPr>
                <w:rFonts w:ascii="Arial Narrow" w:hAnsi="Arial Narrow"/>
                <w:sz w:val="20"/>
                <w:szCs w:val="20"/>
              </w:rPr>
            </w:pPr>
            <w:r w:rsidRPr="00AB0618">
              <w:rPr>
                <w:rFonts w:ascii="Arial Narrow" w:hAnsi="Arial Narrow"/>
                <w:b/>
                <w:bCs/>
                <w:i/>
                <w:iCs/>
                <w:sz w:val="20"/>
                <w:szCs w:val="20"/>
              </w:rPr>
              <w:t>AND</w:t>
            </w:r>
          </w:p>
        </w:tc>
      </w:tr>
      <w:tr w:rsidR="00401000" w:rsidRPr="00401000" w14:paraId="09D4D251" w14:textId="77777777" w:rsidTr="008A797E">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14AB1AF" w14:textId="7DF3DBA5"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98F4EF4" w14:textId="77777777" w:rsidR="00401000" w:rsidRPr="00AB0618" w:rsidRDefault="00401000" w:rsidP="00401000">
            <w:pPr>
              <w:rPr>
                <w:rFonts w:ascii="Arial Narrow" w:hAnsi="Arial Narrow"/>
                <w:sz w:val="20"/>
                <w:szCs w:val="20"/>
              </w:rPr>
            </w:pPr>
            <w:r w:rsidRPr="00AB0618">
              <w:rPr>
                <w:rFonts w:ascii="Arial Narrow" w:hAnsi="Arial Narrow"/>
                <w:b/>
                <w:bCs/>
                <w:i/>
                <w:iCs/>
                <w:kern w:val="2"/>
                <w:sz w:val="20"/>
                <w:szCs w:val="20"/>
                <w14:ligatures w14:val="standardContextual"/>
              </w:rPr>
              <w:t>Clinical criteria:</w:t>
            </w:r>
          </w:p>
        </w:tc>
      </w:tr>
      <w:tr w:rsidR="00401000" w:rsidRPr="00401000" w14:paraId="264F1027" w14:textId="77777777" w:rsidTr="008A797E">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9521A7" w14:textId="581844A7"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838CE4C" w14:textId="77777777" w:rsidR="00401000" w:rsidRPr="00AB0618" w:rsidRDefault="00401000" w:rsidP="00401000">
            <w:pPr>
              <w:rPr>
                <w:rFonts w:ascii="Arial Narrow" w:hAnsi="Arial Narrow"/>
                <w:sz w:val="20"/>
                <w:szCs w:val="20"/>
              </w:rPr>
            </w:pPr>
            <w:r w:rsidRPr="00AB0618">
              <w:rPr>
                <w:rFonts w:ascii="Arial Narrow" w:hAnsi="Arial Narrow"/>
                <w:i/>
                <w:iCs/>
                <w:kern w:val="2"/>
                <w:sz w:val="20"/>
                <w:szCs w:val="20"/>
                <w14:ligatures w14:val="standardContextual"/>
              </w:rPr>
              <w:t xml:space="preserve">The treatment must not exceed a lifetime maximum of 24 months </w:t>
            </w:r>
            <w:r w:rsidRPr="00AB0618">
              <w:rPr>
                <w:rFonts w:ascii="Arial Narrow" w:hAnsi="Arial Narrow"/>
                <w:i/>
                <w:iCs/>
                <w:strike/>
                <w:kern w:val="2"/>
                <w:sz w:val="20"/>
                <w:szCs w:val="20"/>
                <w14:ligatures w14:val="standardContextual"/>
              </w:rPr>
              <w:t>of</w:t>
            </w:r>
            <w:r w:rsidRPr="00AB0618">
              <w:rPr>
                <w:rFonts w:ascii="Arial Narrow" w:hAnsi="Arial Narrow"/>
                <w:i/>
                <w:iCs/>
                <w:kern w:val="2"/>
                <w:sz w:val="20"/>
                <w:szCs w:val="20"/>
                <w14:ligatures w14:val="standardContextual"/>
              </w:rPr>
              <w:t xml:space="preserve"> therapy</w:t>
            </w:r>
          </w:p>
        </w:tc>
      </w:tr>
      <w:tr w:rsidR="00401000" w:rsidRPr="00401000" w14:paraId="3795ABED"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22B7A24" w14:textId="360EAD3C"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F985FB" w14:textId="77777777" w:rsidR="00401000" w:rsidRPr="00AB0618" w:rsidRDefault="00401000" w:rsidP="00401000">
            <w:pPr>
              <w:rPr>
                <w:rFonts w:ascii="Arial Narrow" w:eastAsia="Calibri" w:hAnsi="Arial Narrow"/>
                <w:sz w:val="20"/>
                <w:szCs w:val="20"/>
              </w:rPr>
            </w:pPr>
            <w:r w:rsidRPr="00AB0618">
              <w:rPr>
                <w:rFonts w:ascii="Arial Narrow" w:eastAsia="Calibri" w:hAnsi="Arial Narrow"/>
                <w:b/>
                <w:bCs/>
                <w:sz w:val="20"/>
                <w:szCs w:val="20"/>
              </w:rPr>
              <w:t>Treatment criteria</w:t>
            </w:r>
          </w:p>
        </w:tc>
      </w:tr>
      <w:tr w:rsidR="00401000" w:rsidRPr="00401000" w14:paraId="408757AE"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F1705A" w14:textId="6C18A638"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6FEA96" w14:textId="77777777" w:rsidR="00401000" w:rsidRPr="00AB0618" w:rsidRDefault="00401000" w:rsidP="00401000">
            <w:pPr>
              <w:rPr>
                <w:rFonts w:ascii="Arial Narrow" w:eastAsia="Calibri" w:hAnsi="Arial Narrow"/>
                <w:sz w:val="20"/>
                <w:szCs w:val="20"/>
              </w:rPr>
            </w:pPr>
            <w:r w:rsidRPr="00AB0618">
              <w:rPr>
                <w:rFonts w:ascii="Arial Narrow" w:eastAsia="Calibri" w:hAnsi="Arial Narrow"/>
                <w:sz w:val="20"/>
                <w:szCs w:val="20"/>
              </w:rPr>
              <w:t>Must be treated by a specialist medical practitioner with experience in the diagnosis and management of endometriosis</w:t>
            </w:r>
          </w:p>
        </w:tc>
      </w:tr>
      <w:tr w:rsidR="00401000" w:rsidRPr="00401000" w14:paraId="33B0F6E9"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3B8A3A" w14:textId="08ADA0DE"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3288A5" w14:textId="77777777" w:rsidR="00401000" w:rsidRPr="00AB0618" w:rsidRDefault="00401000" w:rsidP="00401000">
            <w:pPr>
              <w:rPr>
                <w:rFonts w:ascii="Arial Narrow" w:eastAsia="Calibri" w:hAnsi="Arial Narrow"/>
                <w:sz w:val="20"/>
                <w:szCs w:val="20"/>
              </w:rPr>
            </w:pPr>
            <w:r w:rsidRPr="00AB0618">
              <w:rPr>
                <w:rFonts w:ascii="Arial Narrow" w:hAnsi="Arial Narrow"/>
                <w:b/>
                <w:bCs/>
                <w:sz w:val="20"/>
                <w:szCs w:val="20"/>
              </w:rPr>
              <w:t>Population criteria:</w:t>
            </w:r>
          </w:p>
        </w:tc>
      </w:tr>
      <w:tr w:rsidR="00401000" w:rsidRPr="00401000" w14:paraId="2CCE0954"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6FD21BC" w14:textId="08011521"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040203" w14:textId="77777777" w:rsidR="00401000" w:rsidRPr="00AB0618" w:rsidRDefault="00401000" w:rsidP="00401000">
            <w:pPr>
              <w:rPr>
                <w:rFonts w:ascii="Arial Narrow" w:eastAsia="Calibri" w:hAnsi="Arial Narrow"/>
                <w:sz w:val="20"/>
                <w:szCs w:val="20"/>
              </w:rPr>
            </w:pPr>
            <w:r w:rsidRPr="00AB0618">
              <w:rPr>
                <w:rFonts w:ascii="Arial Narrow" w:hAnsi="Arial Narrow"/>
                <w:sz w:val="20"/>
                <w:szCs w:val="20"/>
              </w:rPr>
              <w:t>Patient must be pre-menopausal</w:t>
            </w:r>
          </w:p>
        </w:tc>
      </w:tr>
      <w:tr w:rsidR="00401000" w:rsidRPr="00401000" w14:paraId="735154CF"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748A5FE" w14:textId="2C945A79" w:rsidR="00401000" w:rsidRPr="00AB0618" w:rsidRDefault="00401000" w:rsidP="00401000">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14F03E" w14:textId="77777777" w:rsidR="00401000" w:rsidRPr="00AB0618" w:rsidRDefault="00401000" w:rsidP="00401000">
            <w:pPr>
              <w:rPr>
                <w:rFonts w:ascii="Arial Narrow" w:hAnsi="Arial Narrow"/>
                <w:i/>
                <w:iCs/>
                <w:sz w:val="20"/>
                <w:szCs w:val="20"/>
              </w:rPr>
            </w:pPr>
            <w:r w:rsidRPr="00AB0618">
              <w:rPr>
                <w:rFonts w:ascii="Arial Narrow" w:hAnsi="Arial Narrow"/>
                <w:b/>
                <w:bCs/>
                <w:sz w:val="20"/>
                <w:szCs w:val="20"/>
              </w:rPr>
              <w:t xml:space="preserve">Caution: </w:t>
            </w:r>
            <w:r w:rsidRPr="00AB0618">
              <w:rPr>
                <w:rFonts w:ascii="Arial Narrow" w:hAnsi="Arial Narrow"/>
                <w:sz w:val="20"/>
                <w:szCs w:val="20"/>
              </w:rPr>
              <w:t>Ryeqo should not be used interchangeably with other GnRH agonists and/or hormonal contraceptives brands due to differences in dose and schedule of treatment</w:t>
            </w:r>
          </w:p>
        </w:tc>
      </w:tr>
      <w:tr w:rsidR="00401000" w:rsidRPr="00401000" w14:paraId="191D6AA3"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22F84AF" w14:textId="525F925F"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01EE3D" w14:textId="77777777" w:rsidR="00401000" w:rsidRPr="00AB0618" w:rsidRDefault="00401000" w:rsidP="00401000">
            <w:pPr>
              <w:rPr>
                <w:rFonts w:ascii="Arial Narrow" w:hAnsi="Arial Narrow"/>
                <w:b/>
                <w:bCs/>
                <w:sz w:val="20"/>
                <w:szCs w:val="20"/>
              </w:rPr>
            </w:pPr>
            <w:r w:rsidRPr="00AB0618">
              <w:rPr>
                <w:rFonts w:ascii="Arial Narrow" w:hAnsi="Arial Narrow"/>
                <w:b/>
                <w:bCs/>
                <w:sz w:val="20"/>
                <w:szCs w:val="20"/>
              </w:rPr>
              <w:t xml:space="preserve">Prescribing instructions: </w:t>
            </w:r>
            <w:r w:rsidRPr="00AB0618">
              <w:rPr>
                <w:rFonts w:ascii="Arial Narrow" w:hAnsi="Arial Narrow"/>
                <w:sz w:val="20"/>
                <w:szCs w:val="20"/>
              </w:rPr>
              <w:t xml:space="preserve">The prescriber must only request for this treatment phase for the patient if ongoing treatment with this drug is likely to result in an adequate response. </w:t>
            </w:r>
          </w:p>
        </w:tc>
      </w:tr>
      <w:tr w:rsidR="00401000" w:rsidRPr="00401000" w14:paraId="561D5641"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90A5D7" w14:textId="377F2C1E" w:rsidR="00401000" w:rsidRPr="00AB0618" w:rsidRDefault="00401000" w:rsidP="0040100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36EC8C" w14:textId="77777777" w:rsidR="00401000" w:rsidRPr="00AB0618" w:rsidRDefault="00401000" w:rsidP="00401000">
            <w:pPr>
              <w:rPr>
                <w:rFonts w:ascii="Arial Narrow" w:eastAsia="Calibri" w:hAnsi="Arial Narrow"/>
                <w:sz w:val="20"/>
                <w:szCs w:val="20"/>
              </w:rPr>
            </w:pPr>
            <w:r w:rsidRPr="00AB0618">
              <w:rPr>
                <w:rFonts w:ascii="Arial Narrow" w:hAnsi="Arial Narrow"/>
                <w:b/>
                <w:bCs/>
                <w:sz w:val="20"/>
                <w:szCs w:val="20"/>
              </w:rPr>
              <w:t xml:space="preserve">Prescribing instructions: </w:t>
            </w:r>
            <w:r w:rsidRPr="00AB0618">
              <w:rPr>
                <w:rFonts w:ascii="Arial Narrow" w:hAnsi="Arial Narrow"/>
                <w:sz w:val="20"/>
                <w:szCs w:val="20"/>
              </w:rPr>
              <w:t>Details of</w:t>
            </w:r>
            <w:r w:rsidRPr="00AB0618">
              <w:rPr>
                <w:rFonts w:ascii="Arial Narrow" w:hAnsi="Arial Narrow"/>
                <w:b/>
                <w:bCs/>
                <w:sz w:val="20"/>
                <w:szCs w:val="20"/>
              </w:rPr>
              <w:t xml:space="preserve"> </w:t>
            </w:r>
            <w:r w:rsidRPr="00AB0618">
              <w:rPr>
                <w:rFonts w:ascii="Arial Narrow" w:eastAsia="Calibri" w:hAnsi="Arial Narrow"/>
                <w:sz w:val="20"/>
                <w:szCs w:val="20"/>
              </w:rPr>
              <w:t xml:space="preserve">bone mineral density (BMD) by </w:t>
            </w:r>
            <w:r w:rsidRPr="00AB0618">
              <w:rPr>
                <w:rFonts w:ascii="Arial Narrow" w:hAnsi="Arial Narrow"/>
                <w:sz w:val="20"/>
                <w:szCs w:val="20"/>
              </w:rPr>
              <w:t>dual-energy X-ray absorptiometry (DXA) for continuing treatment beyond 6 months if under 41 years of age must be documented in the patient's medical record.</w:t>
            </w:r>
          </w:p>
        </w:tc>
      </w:tr>
      <w:tr w:rsidR="00401000" w:rsidRPr="00401000" w14:paraId="3AF9701C" w14:textId="77777777" w:rsidTr="00F6431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E82D993" w14:textId="24CC3A11" w:rsidR="00401000" w:rsidRPr="00AB0618" w:rsidRDefault="00401000" w:rsidP="00401000">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CE1BC16" w14:textId="77777777" w:rsidR="00401000" w:rsidRPr="00AB0618" w:rsidRDefault="00401000" w:rsidP="00401000">
            <w:pPr>
              <w:rPr>
                <w:rFonts w:ascii="Arial Narrow" w:eastAsia="Calibri" w:hAnsi="Arial Narrow"/>
                <w:sz w:val="20"/>
                <w:szCs w:val="20"/>
              </w:rPr>
            </w:pPr>
            <w:r w:rsidRPr="00AB0618">
              <w:rPr>
                <w:rFonts w:ascii="Arial Narrow" w:hAnsi="Arial Narrow"/>
                <w:b/>
                <w:bCs/>
                <w:sz w:val="20"/>
                <w:szCs w:val="20"/>
              </w:rPr>
              <w:t xml:space="preserve">Prescribing instructions: </w:t>
            </w:r>
            <w:r w:rsidRPr="00AB0618">
              <w:rPr>
                <w:rFonts w:ascii="Arial Narrow" w:hAnsi="Arial Narrow"/>
                <w:sz w:val="20"/>
                <w:szCs w:val="20"/>
              </w:rPr>
              <w:t>Assessment of bone mineral density (BMD) by dual-energy X-ray absorptiometry (DXA)</w:t>
            </w:r>
            <w:r w:rsidRPr="00AB0618">
              <w:rPr>
                <w:rFonts w:ascii="Arial Narrow" w:hAnsi="Arial Narrow"/>
                <w:b/>
                <w:bCs/>
                <w:sz w:val="20"/>
                <w:szCs w:val="20"/>
              </w:rPr>
              <w:t xml:space="preserve"> </w:t>
            </w:r>
            <w:r w:rsidRPr="00AB0618">
              <w:rPr>
                <w:rFonts w:ascii="Arial Narrow" w:hAnsi="Arial Narrow"/>
                <w:sz w:val="20"/>
                <w:szCs w:val="20"/>
              </w:rPr>
              <w:t>is recommended at baseline, after the first 52 weeks</w:t>
            </w:r>
            <w:r w:rsidRPr="00AB0618">
              <w:rPr>
                <w:rFonts w:ascii="Arial Narrow" w:hAnsi="Arial Narrow"/>
                <w:i/>
                <w:iCs/>
                <w:sz w:val="20"/>
                <w:szCs w:val="20"/>
              </w:rPr>
              <w:t xml:space="preserve"> and 104 </w:t>
            </w:r>
            <w:r w:rsidRPr="00AB0618">
              <w:rPr>
                <w:rFonts w:ascii="Arial Narrow" w:hAnsi="Arial Narrow"/>
                <w:sz w:val="20"/>
                <w:szCs w:val="20"/>
              </w:rPr>
              <w:t xml:space="preserve">weeks of treatment, </w:t>
            </w:r>
            <w:r w:rsidRPr="00AB0618">
              <w:rPr>
                <w:rFonts w:ascii="Arial Narrow" w:hAnsi="Arial Narrow"/>
                <w:strike/>
                <w:sz w:val="20"/>
                <w:szCs w:val="20"/>
              </w:rPr>
              <w:t>annually thereafter</w:t>
            </w:r>
            <w:r w:rsidRPr="00AB0618">
              <w:rPr>
                <w:rFonts w:ascii="Arial Narrow" w:hAnsi="Arial Narrow"/>
                <w:sz w:val="20"/>
                <w:szCs w:val="20"/>
              </w:rPr>
              <w:t>. Depending on the degree of change in BMD, the benefit and risks of Ryeqo may need to be reconsidered.</w:t>
            </w:r>
            <w:r w:rsidRPr="00AB0618">
              <w:t xml:space="preserve"> </w:t>
            </w:r>
            <w:r w:rsidRPr="00AB0618">
              <w:rPr>
                <w:rFonts w:ascii="Arial Narrow" w:hAnsi="Arial Narrow"/>
                <w:strike/>
                <w:sz w:val="20"/>
                <w:szCs w:val="20"/>
              </w:rPr>
              <w:t>Use is recommended to be limited to 24 months, with extension of therapy conditional on stability of DXA and reassessment of risk/benefit in the individual patient by the treating physician.</w:t>
            </w:r>
          </w:p>
        </w:tc>
      </w:tr>
    </w:tbl>
    <w:p w14:paraId="174A92A6" w14:textId="77777777" w:rsidR="0058639B" w:rsidRDefault="0058639B" w:rsidP="0058639B">
      <w:pPr>
        <w:rPr>
          <w:rFonts w:ascii="Arial Narrow" w:hAnsi="Arial Narrow"/>
          <w:snapToGrid w:val="0"/>
          <w:sz w:val="18"/>
          <w:szCs w:val="22"/>
        </w:rPr>
      </w:pPr>
      <w:r w:rsidRPr="00767156">
        <w:rPr>
          <w:rFonts w:ascii="Arial Narrow" w:hAnsi="Arial Narrow"/>
          <w:snapToGrid w:val="0"/>
          <w:sz w:val="18"/>
          <w:szCs w:val="22"/>
        </w:rPr>
        <w:t>Source: Table 3-1 p</w:t>
      </w:r>
      <w:r>
        <w:rPr>
          <w:rFonts w:ascii="Arial Narrow" w:hAnsi="Arial Narrow"/>
          <w:snapToGrid w:val="0"/>
          <w:sz w:val="18"/>
          <w:szCs w:val="22"/>
        </w:rPr>
        <w:t>p</w:t>
      </w:r>
      <w:r w:rsidRPr="00767156">
        <w:rPr>
          <w:rFonts w:ascii="Arial Narrow" w:hAnsi="Arial Narrow"/>
          <w:snapToGrid w:val="0"/>
          <w:sz w:val="18"/>
          <w:szCs w:val="22"/>
        </w:rPr>
        <w:t>14</w:t>
      </w:r>
      <w:r>
        <w:rPr>
          <w:rFonts w:ascii="Arial Narrow" w:hAnsi="Arial Narrow"/>
          <w:snapToGrid w:val="0"/>
          <w:sz w:val="18"/>
          <w:szCs w:val="22"/>
        </w:rPr>
        <w:t>-16</w:t>
      </w:r>
      <w:r w:rsidRPr="00767156">
        <w:rPr>
          <w:rFonts w:ascii="Arial Narrow" w:hAnsi="Arial Narrow"/>
          <w:snapToGrid w:val="0"/>
          <w:sz w:val="18"/>
          <w:szCs w:val="22"/>
        </w:rPr>
        <w:t xml:space="preserve"> of the submission. </w:t>
      </w:r>
    </w:p>
    <w:bookmarkEnd w:id="10"/>
    <w:p w14:paraId="68069AA8" w14:textId="79734A33" w:rsidR="00DE1ACD" w:rsidRPr="00B55E51" w:rsidRDefault="00DE1ACD" w:rsidP="00F9393E">
      <w:pPr>
        <w:pStyle w:val="3-BodyText"/>
      </w:pPr>
      <w:r w:rsidRPr="00B55E51">
        <w:t>The previous submission requested a DPMQ of $</w:t>
      </w:r>
      <w:r w:rsidR="009B407F" w:rsidRPr="009B407F">
        <w:rPr>
          <w:color w:val="000000"/>
          <w:w w:val="61"/>
          <w:shd w:val="solid" w:color="000000" w:fill="000000"/>
          <w:fitText w:val="473" w:id="-762061820"/>
          <w14:textFill>
            <w14:solidFill>
              <w14:srgbClr w14:val="000000">
                <w14:alpha w14:val="100000"/>
              </w14:srgbClr>
            </w14:solidFill>
          </w14:textFill>
        </w:rPr>
        <w:t>|||  ||</w:t>
      </w:r>
      <w:r w:rsidR="009B407F" w:rsidRPr="009B407F">
        <w:rPr>
          <w:color w:val="000000"/>
          <w:spacing w:val="3"/>
          <w:w w:val="61"/>
          <w:shd w:val="solid" w:color="000000" w:fill="000000"/>
          <w:fitText w:val="473" w:id="-762061820"/>
          <w14:textFill>
            <w14:solidFill>
              <w14:srgbClr w14:val="000000">
                <w14:alpha w14:val="100000"/>
              </w14:srgbClr>
            </w14:solidFill>
          </w14:textFill>
        </w:rPr>
        <w:t>|</w:t>
      </w:r>
      <w:r w:rsidRPr="00B55E51">
        <w:t>. The current submission requested a DPMQ of $</w:t>
      </w:r>
      <w:r w:rsidR="009B407F" w:rsidRPr="00D87A8D">
        <w:rPr>
          <w:color w:val="000000"/>
          <w:w w:val="15"/>
          <w:shd w:val="solid" w:color="000000" w:fill="000000"/>
          <w:fitText w:val="-20" w:id="-762061819"/>
          <w14:textFill>
            <w14:solidFill>
              <w14:srgbClr w14:val="000000">
                <w14:alpha w14:val="100000"/>
              </w14:srgbClr>
            </w14:solidFill>
          </w14:textFill>
        </w:rPr>
        <w:t xml:space="preserve">|  </w:t>
      </w:r>
      <w:r w:rsidR="009B407F" w:rsidRPr="00D87A8D">
        <w:rPr>
          <w:color w:val="000000"/>
          <w:spacing w:val="-69"/>
          <w:w w:val="15"/>
          <w:shd w:val="solid" w:color="000000" w:fill="000000"/>
          <w:fitText w:val="-20" w:id="-762061819"/>
          <w14:textFill>
            <w14:solidFill>
              <w14:srgbClr w14:val="000000">
                <w14:alpha w14:val="100000"/>
              </w14:srgbClr>
            </w14:solidFill>
          </w14:textFill>
        </w:rPr>
        <w:t>|</w:t>
      </w:r>
      <w:r w:rsidRPr="00B55E51">
        <w:t xml:space="preserve"> due to changes in mark ups and dispensing fees.</w:t>
      </w:r>
      <w:r w:rsidR="00976217" w:rsidRPr="00B55E51">
        <w:t xml:space="preserve"> The submission did not request a special pricing arrangement.</w:t>
      </w:r>
    </w:p>
    <w:p w14:paraId="46CF79B1" w14:textId="77777777" w:rsidR="00B759C9" w:rsidRPr="006344D1" w:rsidRDefault="00584743" w:rsidP="00F9393E">
      <w:pPr>
        <w:pStyle w:val="3-BodyText"/>
      </w:pPr>
      <w:r w:rsidRPr="00B55E51">
        <w:t>The submission requested some additional criteria</w:t>
      </w:r>
      <w:r w:rsidR="004B23AF" w:rsidRPr="00B55E51">
        <w:t xml:space="preserve"> </w:t>
      </w:r>
      <w:r w:rsidR="00AA69D1" w:rsidRPr="00B55E51">
        <w:t xml:space="preserve">be added to the PBS restriction recommended at the March 2024 PBAC meeting. </w:t>
      </w:r>
      <w:r w:rsidR="003B3B95" w:rsidRPr="00B55E51">
        <w:t xml:space="preserve">The submission requested the inclusion </w:t>
      </w:r>
      <w:r w:rsidR="00B759C9" w:rsidRPr="00B55E51">
        <w:t>of an additional clinical criterion ‘The treatment must not exceed a lifetime maximum of 24 months of therapy’ to manage the uncertainty around the duration of</w:t>
      </w:r>
      <w:r w:rsidR="00B759C9" w:rsidRPr="006344D1">
        <w:t xml:space="preserve"> treatment. </w:t>
      </w:r>
    </w:p>
    <w:p w14:paraId="0A72F63D" w14:textId="77777777" w:rsidR="00D413E2" w:rsidRPr="006344D1" w:rsidRDefault="004B1C8E" w:rsidP="00F9393E">
      <w:pPr>
        <w:pStyle w:val="3-BodyText"/>
      </w:pPr>
      <w:r w:rsidRPr="006344D1">
        <w:t>Due to this new inclusion, the following amendments to the prescribing instructions</w:t>
      </w:r>
      <w:r w:rsidR="00D413E2" w:rsidRPr="006344D1">
        <w:t xml:space="preserve"> were requested:</w:t>
      </w:r>
    </w:p>
    <w:p w14:paraId="67E206C1" w14:textId="77777777" w:rsidR="005E7871" w:rsidRPr="006344D1" w:rsidRDefault="005E7871" w:rsidP="00F10CAF">
      <w:pPr>
        <w:pStyle w:val="3-BodyText"/>
        <w:numPr>
          <w:ilvl w:val="0"/>
          <w:numId w:val="33"/>
        </w:numPr>
        <w:ind w:left="1134" w:hanging="447"/>
      </w:pPr>
      <w:r w:rsidRPr="006344D1">
        <w:t>Removing the sentence ‘Use is recommended to be limited to 24 months, with extension of therapy conditional on stability of DXA and reassessment of risk/benefit in the individual patient by the treating physician’; and</w:t>
      </w:r>
    </w:p>
    <w:p w14:paraId="0D5AE16D" w14:textId="470AB0CB" w:rsidR="00584743" w:rsidRPr="006344D1" w:rsidRDefault="005E7871" w:rsidP="00F10CAF">
      <w:pPr>
        <w:pStyle w:val="3-BodyText"/>
        <w:numPr>
          <w:ilvl w:val="0"/>
          <w:numId w:val="33"/>
        </w:numPr>
        <w:ind w:left="1134" w:hanging="447"/>
      </w:pPr>
      <w:r w:rsidRPr="006344D1">
        <w:t>Revising the bone mineral density by DXA recommendation to ‘…baseline, the first 52 weeks and 104 weeks of treatment’</w:t>
      </w:r>
      <w:r w:rsidR="00D35973">
        <w:t>.</w:t>
      </w:r>
    </w:p>
    <w:p w14:paraId="7075B85C" w14:textId="62A47B7B" w:rsidR="00B50DB8" w:rsidRPr="0098262F" w:rsidDel="00195452" w:rsidRDefault="00203181" w:rsidP="004E18E9">
      <w:pPr>
        <w:pStyle w:val="2-SectionHeading"/>
      </w:pPr>
      <w:bookmarkStart w:id="12" w:name="_Toc177553032"/>
      <w:r w:rsidRPr="0098262F" w:rsidDel="00195452">
        <w:t xml:space="preserve">Population and </w:t>
      </w:r>
      <w:r w:rsidR="008E0D3C" w:rsidRPr="0098262F" w:rsidDel="00195452">
        <w:t>d</w:t>
      </w:r>
      <w:r w:rsidRPr="0098262F" w:rsidDel="00195452">
        <w:t>isease</w:t>
      </w:r>
      <w:bookmarkEnd w:id="12"/>
    </w:p>
    <w:p w14:paraId="21FDD135" w14:textId="57B208A3" w:rsidR="00894489" w:rsidRPr="009B2A44" w:rsidDel="00195452" w:rsidRDefault="009B2A44" w:rsidP="004E18E9">
      <w:pPr>
        <w:pStyle w:val="3-BodyText"/>
      </w:pPr>
      <w:r w:rsidRPr="009B2A44">
        <w:t>Endometriosis is a chronic disease that occurs when tissue similar to the lining of the uterus (endometrium tissue) grows outside the uterine cavity. Women with endometriosis typically experience pelvic pain and heavy bleeding during menstruation, while abdominal pain, bloating and fatigue can occur throughout the menstrual cycle. Women with endometriosis are also more likely to have co-existing conditions and chronic diseases, such as uterine fibroids, fibromyalgia, migraine, ovarian cancer, thyroid cancer, cardiovascular diseases and immune disorders</w:t>
      </w:r>
      <w:r w:rsidR="00382024">
        <w:t xml:space="preserve"> (</w:t>
      </w:r>
      <w:r w:rsidR="00382024" w:rsidRPr="00382024">
        <w:t xml:space="preserve">paragraph </w:t>
      </w:r>
      <w:r w:rsidR="00382024">
        <w:t>4</w:t>
      </w:r>
      <w:r w:rsidR="00382024" w:rsidRPr="00382024">
        <w:t xml:space="preserve">.1, relugolix with estradiol and with norethisterone acetate, </w:t>
      </w:r>
      <w:r w:rsidR="009041C4">
        <w:t>PSD</w:t>
      </w:r>
      <w:r w:rsidR="00382024" w:rsidRPr="00382024">
        <w:t xml:space="preserve"> March 2024 PBAC meeting</w:t>
      </w:r>
      <w:r w:rsidR="00382024">
        <w:t>)</w:t>
      </w:r>
      <w:r w:rsidRPr="009B2A44">
        <w:t>.</w:t>
      </w:r>
    </w:p>
    <w:p w14:paraId="61838B97" w14:textId="64022948" w:rsidR="009A4157" w:rsidRPr="00421615" w:rsidRDefault="009A4157" w:rsidP="009A4157">
      <w:pPr>
        <w:pStyle w:val="3-BodyText"/>
      </w:pPr>
      <w:r w:rsidRPr="00421615">
        <w:t xml:space="preserve">Ryeqo is a once daily oral FDC containing 40 mg relugolix, 1 mg </w:t>
      </w:r>
      <w:r w:rsidR="002E49CE" w:rsidRPr="00A00F3E">
        <w:t>estradiol</w:t>
      </w:r>
      <w:r w:rsidR="002E49CE" w:rsidRPr="00421615">
        <w:t xml:space="preserve"> </w:t>
      </w:r>
      <w:r w:rsidR="00FD535A">
        <w:t>(</w:t>
      </w:r>
      <w:r w:rsidRPr="00421615">
        <w:t>E2</w:t>
      </w:r>
      <w:r w:rsidR="00FD535A">
        <w:t>)</w:t>
      </w:r>
      <w:r w:rsidRPr="00421615">
        <w:t xml:space="preserve"> (hemihydrate), and 0.5 mg </w:t>
      </w:r>
      <w:r w:rsidR="00FD535A" w:rsidRPr="00382024">
        <w:t>norethisterone acetate</w:t>
      </w:r>
      <w:r w:rsidR="00FD535A" w:rsidRPr="00421615">
        <w:t xml:space="preserve"> </w:t>
      </w:r>
      <w:r w:rsidR="00FD535A">
        <w:t>(</w:t>
      </w:r>
      <w:r w:rsidRPr="00421615">
        <w:t>NETA</w:t>
      </w:r>
      <w:r w:rsidR="00FD535A">
        <w:t>)</w:t>
      </w:r>
      <w:r w:rsidRPr="00421615">
        <w:t>. It provides hormone therapy to treat endometriosis-associated pain while minimising the risk associated with the therapy. Ryeqo also provides contraception when taken for at least one month. While Ryeqo inhibits ovulation and may cause amenorrhoea, ovulation and menstrual bleeding will return after discontinuing treatment</w:t>
      </w:r>
      <w:r w:rsidR="00382024" w:rsidRPr="00382024">
        <w:t xml:space="preserve"> </w:t>
      </w:r>
      <w:r w:rsidR="00382024">
        <w:t>(p</w:t>
      </w:r>
      <w:r w:rsidR="00382024" w:rsidRPr="00382024">
        <w:t xml:space="preserve">aragraph </w:t>
      </w:r>
      <w:r w:rsidR="00382024">
        <w:t>4.9</w:t>
      </w:r>
      <w:r w:rsidR="00382024" w:rsidRPr="00382024">
        <w:t xml:space="preserve">, relugolix with estradiol and with norethisterone acetate, </w:t>
      </w:r>
      <w:r w:rsidR="009041C4">
        <w:t>PSD</w:t>
      </w:r>
      <w:r w:rsidR="00382024" w:rsidRPr="00382024">
        <w:t>, March 2024 PBAC meeting</w:t>
      </w:r>
      <w:r w:rsidR="00382024">
        <w:t>)</w:t>
      </w:r>
      <w:r w:rsidRPr="00421615">
        <w:t xml:space="preserve">. </w:t>
      </w:r>
    </w:p>
    <w:p w14:paraId="0E8F1293" w14:textId="41F6A7B7" w:rsidR="009A4157" w:rsidRPr="00421615" w:rsidRDefault="009A4157" w:rsidP="009A4157">
      <w:pPr>
        <w:pStyle w:val="3-BodyText"/>
      </w:pPr>
      <w:r w:rsidRPr="00421615">
        <w:lastRenderedPageBreak/>
        <w:t>Relugolix is a non-peptide GnRH receptor antagonist that binds to and inhibits GnRH receptors in the anterior pituitary gland. Inhibition of GnRH receptor results in a dose dependent decrease in the release of luteinizing hormone (LH) and follicle-stimulating hormone (FSH) from the anterior pituitary gland. As a result, circulating concentrations of LH and FSH are reduced. The reduction in FSH concentrations prevents follicular growth and development, thereby reducing the production of estrogen. Prevention of an LH surge inhibits ovulation and development of the corpus luteum, which precludes the production of progesterone. The hypoestrogenic state is the main cause of adverse effects, including decreased BMD and vasomotor symptoms (e.g. hot flushes, vaginal dryness and headache). Add-back therapy, usually with E2 and NETA can reduce the adverse effects</w:t>
      </w:r>
      <w:r w:rsidR="00382024">
        <w:t xml:space="preserve"> </w:t>
      </w:r>
      <w:r w:rsidR="00382024" w:rsidRPr="00382024">
        <w:t>(paragraph 4.</w:t>
      </w:r>
      <w:r w:rsidR="00382024">
        <w:t>10</w:t>
      </w:r>
      <w:r w:rsidR="00382024" w:rsidRPr="00382024">
        <w:t xml:space="preserve">, relugolix with estradiol and with norethisterone acetate, </w:t>
      </w:r>
      <w:r w:rsidR="009041C4">
        <w:t>PSD</w:t>
      </w:r>
      <w:r w:rsidR="00382024" w:rsidRPr="00382024">
        <w:t>, March 2024 PBAC meeting).</w:t>
      </w:r>
    </w:p>
    <w:p w14:paraId="4C828FAA" w14:textId="7190F742" w:rsidR="00074AF1" w:rsidRDefault="00074AF1" w:rsidP="00074AF1">
      <w:pPr>
        <w:pStyle w:val="3-BodyText"/>
      </w:pPr>
      <w:r w:rsidRPr="00421615">
        <w:t>E2 is a synthetic form of the endogenously produced hormone which is a potent agonist of the nuclear estrogen receptor subtypes. Exogenously administered estradiol alleviates symptoms associated with a hypoestrogenic state such as vasomotor symptoms and BMD loss. NETA is a synthetic progestogen. The addition of a progestogen reduces the estrogen-induced risk of endometrial hyperplasia in non-hysterectomised women</w:t>
      </w:r>
      <w:r w:rsidR="00382024">
        <w:t xml:space="preserve"> </w:t>
      </w:r>
      <w:r w:rsidR="00382024" w:rsidRPr="00382024">
        <w:t>(paragraph 4.</w:t>
      </w:r>
      <w:r w:rsidR="00382024">
        <w:t>11</w:t>
      </w:r>
      <w:r w:rsidR="00382024" w:rsidRPr="00382024">
        <w:t xml:space="preserve">, relugolix with estradiol and with norethisterone acetate, </w:t>
      </w:r>
      <w:r w:rsidR="009041C4">
        <w:t>PSD</w:t>
      </w:r>
      <w:r w:rsidR="00382024" w:rsidRPr="00382024">
        <w:t>, March 2024 PBAC meeting).</w:t>
      </w:r>
    </w:p>
    <w:p w14:paraId="7897D471" w14:textId="2319655A" w:rsidR="000858FD" w:rsidRPr="000858FD" w:rsidRDefault="000858FD" w:rsidP="009041C4">
      <w:pPr>
        <w:pStyle w:val="3-BodyText"/>
        <w:numPr>
          <w:ilvl w:val="0"/>
          <w:numId w:val="0"/>
        </w:numPr>
        <w:ind w:left="720"/>
        <w:rPr>
          <w:i/>
          <w:iCs/>
        </w:rPr>
      </w:pPr>
      <w:r w:rsidRPr="000858FD">
        <w:rPr>
          <w:i/>
          <w:iCs/>
        </w:rPr>
        <w:t>For more detail on PBAC’s view, see section 7 PBAC outcome.</w:t>
      </w:r>
    </w:p>
    <w:p w14:paraId="51E5AE96" w14:textId="136A63B1" w:rsidR="00B50DB8" w:rsidRPr="0098262F" w:rsidRDefault="00B50DB8" w:rsidP="004E18E9">
      <w:pPr>
        <w:pStyle w:val="2-SectionHeading"/>
      </w:pPr>
      <w:bookmarkStart w:id="13" w:name="_Toc177553033"/>
      <w:r w:rsidRPr="0098262F">
        <w:t>Comparator</w:t>
      </w:r>
      <w:bookmarkEnd w:id="13"/>
    </w:p>
    <w:p w14:paraId="30A067BB" w14:textId="3D84FF48" w:rsidR="00B50DB8" w:rsidRPr="007B094B" w:rsidRDefault="00553AEB" w:rsidP="007B094B">
      <w:pPr>
        <w:pStyle w:val="3-BodyText"/>
      </w:pPr>
      <w:r w:rsidRPr="00553AEB">
        <w:t xml:space="preserve">The </w:t>
      </w:r>
      <w:r>
        <w:t xml:space="preserve">March 2024 </w:t>
      </w:r>
      <w:r w:rsidRPr="00553AEB">
        <w:t>submission nominated goserelin + add-back therapy as the main comparator</w:t>
      </w:r>
      <w:r w:rsidR="00A67AE5">
        <w:t>, which was accepted by the PBAC</w:t>
      </w:r>
      <w:r w:rsidRPr="00553AEB">
        <w:t xml:space="preserve">. </w:t>
      </w:r>
      <w:r>
        <w:t xml:space="preserve">The current </w:t>
      </w:r>
      <w:r w:rsidR="00E71938">
        <w:t xml:space="preserve">submission </w:t>
      </w:r>
      <w:r>
        <w:t>did</w:t>
      </w:r>
      <w:r w:rsidR="00E71938">
        <w:t xml:space="preserve"> not propose a change to the </w:t>
      </w:r>
      <w:r w:rsidR="00EA2A27">
        <w:t>comparator</w:t>
      </w:r>
      <w:r>
        <w:t>.</w:t>
      </w:r>
    </w:p>
    <w:p w14:paraId="7F9C27C8" w14:textId="77777777" w:rsidR="00223D5A" w:rsidRPr="0098262F" w:rsidRDefault="00223D5A" w:rsidP="00223D5A">
      <w:pPr>
        <w:pStyle w:val="2-SectionHeading"/>
        <w:numPr>
          <w:ilvl w:val="0"/>
          <w:numId w:val="1"/>
        </w:numPr>
      </w:pPr>
      <w:bookmarkStart w:id="14" w:name="_Toc177553034"/>
      <w:bookmarkStart w:id="15" w:name="_Toc22897640"/>
      <w:r w:rsidRPr="0098262F">
        <w:t>Consideration of the evidence</w:t>
      </w:r>
      <w:bookmarkEnd w:id="14"/>
    </w:p>
    <w:p w14:paraId="204BD653" w14:textId="77777777" w:rsidR="002A4D1C" w:rsidRPr="00CC0173" w:rsidRDefault="002A4D1C" w:rsidP="00CC0173">
      <w:pPr>
        <w:pStyle w:val="4-SubsectionHeading"/>
      </w:pPr>
      <w:bookmarkStart w:id="16" w:name="_Toc22897646"/>
      <w:bookmarkStart w:id="17" w:name="_Toc177553035"/>
      <w:bookmarkEnd w:id="15"/>
      <w:r w:rsidRPr="00CC0173">
        <w:t>Sponsor hearing</w:t>
      </w:r>
    </w:p>
    <w:p w14:paraId="3460085D" w14:textId="0EA11477" w:rsidR="002A4D1C" w:rsidRPr="00F91542" w:rsidRDefault="002A4D1C" w:rsidP="002A4D1C">
      <w:pPr>
        <w:widowControl w:val="0"/>
        <w:numPr>
          <w:ilvl w:val="1"/>
          <w:numId w:val="1"/>
        </w:numPr>
        <w:spacing w:after="120"/>
        <w:rPr>
          <w:rFonts w:cs="Calibri"/>
          <w:bCs/>
          <w:snapToGrid w:val="0"/>
        </w:rPr>
      </w:pPr>
      <w:r w:rsidRPr="00F91542">
        <w:rPr>
          <w:rFonts w:cs="Calibri"/>
          <w:bCs/>
          <w:snapToGrid w:val="0"/>
        </w:rPr>
        <w:t>There was no hearing for this item.</w:t>
      </w:r>
    </w:p>
    <w:p w14:paraId="125C6C3A" w14:textId="77777777" w:rsidR="00615345" w:rsidRPr="00615345" w:rsidRDefault="00615345" w:rsidP="00CC0173">
      <w:pPr>
        <w:pStyle w:val="4-SubsectionHeading"/>
      </w:pPr>
      <w:r w:rsidRPr="00615345">
        <w:t>Consumer comments</w:t>
      </w:r>
    </w:p>
    <w:p w14:paraId="2D7D70BC" w14:textId="77777777" w:rsidR="00930DEC" w:rsidRPr="00930DEC" w:rsidRDefault="00615345" w:rsidP="00930DEC">
      <w:pPr>
        <w:pStyle w:val="3-BodyText"/>
        <w:rPr>
          <w:rFonts w:eastAsia="Times New Roman" w:cs="Arial"/>
          <w:bCs/>
          <w:snapToGrid w:val="0"/>
          <w:szCs w:val="24"/>
        </w:rPr>
      </w:pPr>
      <w:bookmarkStart w:id="18" w:name="_Hlk76382618"/>
      <w:r w:rsidRPr="00836F75">
        <w:rPr>
          <w:snapToGrid w:val="0"/>
        </w:rPr>
        <w:t>The PBAC noted and welcomed the input from individuals (</w:t>
      </w:r>
      <w:r w:rsidR="00F62979">
        <w:rPr>
          <w:snapToGrid w:val="0"/>
        </w:rPr>
        <w:t>9</w:t>
      </w:r>
      <w:r w:rsidRPr="00836F75">
        <w:rPr>
          <w:snapToGrid w:val="0"/>
        </w:rPr>
        <w:t>), health care professionals (</w:t>
      </w:r>
      <w:r w:rsidR="00087A4C">
        <w:rPr>
          <w:snapToGrid w:val="0"/>
        </w:rPr>
        <w:t>7</w:t>
      </w:r>
      <w:r w:rsidRPr="00836F75">
        <w:rPr>
          <w:snapToGrid w:val="0"/>
        </w:rPr>
        <w:t>) and organisations (</w:t>
      </w:r>
      <w:r w:rsidR="00087A4C">
        <w:rPr>
          <w:snapToGrid w:val="0"/>
        </w:rPr>
        <w:t>2</w:t>
      </w:r>
      <w:r w:rsidRPr="00836F75">
        <w:rPr>
          <w:snapToGrid w:val="0"/>
        </w:rPr>
        <w:t xml:space="preserve">) via the Consumer Comments facility on the PBS website. </w:t>
      </w:r>
      <w:r w:rsidR="00930DEC">
        <w:rPr>
          <w:snapToGrid w:val="0"/>
        </w:rPr>
        <w:t>The two organisations were both medical and were the:</w:t>
      </w:r>
    </w:p>
    <w:p w14:paraId="264B3D1C" w14:textId="2DE10B5B" w:rsidR="00930DEC" w:rsidRDefault="00930DEC" w:rsidP="00930DEC">
      <w:pPr>
        <w:pStyle w:val="3-BodyText"/>
        <w:numPr>
          <w:ilvl w:val="4"/>
          <w:numId w:val="23"/>
        </w:numPr>
        <w:ind w:left="1418" w:hanging="567"/>
        <w:rPr>
          <w:rFonts w:eastAsia="Times New Roman" w:cs="Arial"/>
          <w:bCs/>
          <w:snapToGrid w:val="0"/>
          <w:szCs w:val="24"/>
        </w:rPr>
      </w:pPr>
      <w:r w:rsidRPr="00930DEC">
        <w:rPr>
          <w:rFonts w:eastAsia="Times New Roman" w:cs="Arial"/>
          <w:bCs/>
          <w:snapToGrid w:val="0"/>
          <w:szCs w:val="24"/>
        </w:rPr>
        <w:t>Women's Health and Research Institute of Australia</w:t>
      </w:r>
    </w:p>
    <w:p w14:paraId="06E45A4E" w14:textId="09088942" w:rsidR="00930DEC" w:rsidRPr="00930DEC" w:rsidRDefault="00930DEC" w:rsidP="00930DEC">
      <w:pPr>
        <w:pStyle w:val="3-BodyText"/>
        <w:numPr>
          <w:ilvl w:val="4"/>
          <w:numId w:val="23"/>
        </w:numPr>
        <w:ind w:left="1418" w:hanging="567"/>
        <w:rPr>
          <w:rFonts w:eastAsia="Times New Roman" w:cs="Arial"/>
          <w:bCs/>
          <w:snapToGrid w:val="0"/>
          <w:szCs w:val="24"/>
        </w:rPr>
      </w:pPr>
      <w:r w:rsidRPr="00930DEC">
        <w:rPr>
          <w:rFonts w:eastAsia="Times New Roman" w:cs="Arial"/>
          <w:bCs/>
          <w:snapToGrid w:val="0"/>
          <w:szCs w:val="24"/>
        </w:rPr>
        <w:t>RANZCOG: Royal Australian and New Zealand College of Obstetrics and Gynaecology</w:t>
      </w:r>
    </w:p>
    <w:p w14:paraId="58F7CD6F" w14:textId="78D4EF2F" w:rsidR="00615345" w:rsidRDefault="00615345" w:rsidP="00930DEC">
      <w:pPr>
        <w:pStyle w:val="3-BodyText"/>
        <w:rPr>
          <w:snapToGrid w:val="0"/>
        </w:rPr>
      </w:pPr>
      <w:r w:rsidRPr="00836F75">
        <w:rPr>
          <w:snapToGrid w:val="0"/>
        </w:rPr>
        <w:lastRenderedPageBreak/>
        <w:t xml:space="preserve">The comments described a range of benefits of treatment with </w:t>
      </w:r>
      <w:r w:rsidR="00037D92" w:rsidRPr="00037D92">
        <w:rPr>
          <w:snapToGrid w:val="0"/>
        </w:rPr>
        <w:t>relugolix with estradiol (as hemihydrate) and with norethisterone acetate</w:t>
      </w:r>
      <w:r w:rsidRPr="00836F75">
        <w:rPr>
          <w:snapToGrid w:val="0"/>
        </w:rPr>
        <w:t xml:space="preserve"> including the </w:t>
      </w:r>
      <w:r w:rsidR="003F41F3">
        <w:rPr>
          <w:snapToGrid w:val="0"/>
        </w:rPr>
        <w:t>delay</w:t>
      </w:r>
      <w:r w:rsidRPr="00836F75">
        <w:rPr>
          <w:snapToGrid w:val="0"/>
        </w:rPr>
        <w:t xml:space="preserve"> of surgery</w:t>
      </w:r>
      <w:r w:rsidR="003F41F3">
        <w:rPr>
          <w:snapToGrid w:val="0"/>
        </w:rPr>
        <w:t xml:space="preserve"> and </w:t>
      </w:r>
      <w:r w:rsidR="00630669">
        <w:rPr>
          <w:snapToGrid w:val="0"/>
        </w:rPr>
        <w:t xml:space="preserve">shrinking of fibroids </w:t>
      </w:r>
      <w:r w:rsidR="00BC5927">
        <w:rPr>
          <w:snapToGrid w:val="0"/>
        </w:rPr>
        <w:t>to enable lower risk surgery</w:t>
      </w:r>
      <w:r w:rsidR="00EF5A88">
        <w:rPr>
          <w:snapToGrid w:val="0"/>
        </w:rPr>
        <w:t>.</w:t>
      </w:r>
    </w:p>
    <w:p w14:paraId="3A403392" w14:textId="616A93B7" w:rsidR="0017521D" w:rsidRPr="001C764A" w:rsidRDefault="0017521D" w:rsidP="001C764A">
      <w:pPr>
        <w:widowControl w:val="0"/>
        <w:numPr>
          <w:ilvl w:val="1"/>
          <w:numId w:val="1"/>
        </w:numPr>
        <w:spacing w:after="120"/>
        <w:rPr>
          <w:rFonts w:asciiTheme="minorHAnsi" w:hAnsiTheme="minorHAnsi"/>
          <w:bCs/>
          <w:snapToGrid w:val="0"/>
        </w:rPr>
      </w:pPr>
      <w:r w:rsidRPr="0017521D">
        <w:rPr>
          <w:rFonts w:asciiTheme="minorHAnsi" w:hAnsiTheme="minorHAnsi"/>
          <w:bCs/>
          <w:snapToGrid w:val="0"/>
        </w:rPr>
        <w:t xml:space="preserve">The RANZCOG wrote in support of the </w:t>
      </w:r>
      <w:r w:rsidR="00A27D19" w:rsidRPr="0017521D">
        <w:rPr>
          <w:rFonts w:asciiTheme="minorHAnsi" w:hAnsiTheme="minorHAnsi"/>
          <w:bCs/>
          <w:snapToGrid w:val="0"/>
        </w:rPr>
        <w:t>timely</w:t>
      </w:r>
      <w:r w:rsidRPr="0017521D">
        <w:rPr>
          <w:rFonts w:asciiTheme="minorHAnsi" w:hAnsiTheme="minorHAnsi"/>
          <w:bCs/>
          <w:snapToGrid w:val="0"/>
        </w:rPr>
        <w:t xml:space="preserve"> listing wherever possible of appropriate medications for women's health, including this treatment and to consider patient cost barriers more heavily. This issue of cost as a barrier to access and equity issues for those with endometriosis was raised by multiple contributors including the Women's Health and Research Institute of Australia. The Institute supports this treatment as offering fewer side effects than alternatives, providing choice with an oral mode of delivery, and being a second line option for those that cannot tolerate the other options.</w:t>
      </w:r>
    </w:p>
    <w:bookmarkEnd w:id="18"/>
    <w:p w14:paraId="472842D7" w14:textId="77777777" w:rsidR="00C25D9C" w:rsidRPr="0098262F" w:rsidRDefault="00C25D9C" w:rsidP="00BB732D">
      <w:pPr>
        <w:pStyle w:val="4-SubsectionHeading"/>
      </w:pPr>
      <w:r w:rsidRPr="0098262F">
        <w:t>Drug cost/patient/year</w:t>
      </w:r>
      <w:bookmarkEnd w:id="16"/>
      <w:bookmarkEnd w:id="17"/>
    </w:p>
    <w:p w14:paraId="1FE48B74" w14:textId="3934618B" w:rsidR="003144DB" w:rsidRDefault="003144DB" w:rsidP="002B05A1">
      <w:pPr>
        <w:pStyle w:val="3-BodyText"/>
      </w:pPr>
      <w:bookmarkStart w:id="19" w:name="_Hlk107307804"/>
      <w:r w:rsidRPr="00E26BE0">
        <w:t xml:space="preserve">The previous submission </w:t>
      </w:r>
      <w:r w:rsidR="00E26BE0" w:rsidRPr="00E26BE0">
        <w:t>estimated that the drug cost for Ryeqo would be $</w:t>
      </w:r>
      <w:r w:rsidR="009B407F" w:rsidRPr="009B407F">
        <w:rPr>
          <w:color w:val="000000"/>
          <w:w w:val="61"/>
          <w:shd w:val="solid" w:color="000000" w:fill="000000"/>
          <w:fitText w:val="473" w:id="-762061818"/>
          <w14:textFill>
            <w14:solidFill>
              <w14:srgbClr w14:val="000000">
                <w14:alpha w14:val="100000"/>
              </w14:srgbClr>
            </w14:solidFill>
          </w14:textFill>
        </w:rPr>
        <w:t>|||  ||</w:t>
      </w:r>
      <w:r w:rsidR="009B407F" w:rsidRPr="009B407F">
        <w:rPr>
          <w:color w:val="000000"/>
          <w:spacing w:val="3"/>
          <w:w w:val="61"/>
          <w:shd w:val="solid" w:color="000000" w:fill="000000"/>
          <w:fitText w:val="473" w:id="-762061818"/>
          <w14:textFill>
            <w14:solidFill>
              <w14:srgbClr w14:val="000000">
                <w14:alpha w14:val="100000"/>
              </w14:srgbClr>
            </w14:solidFill>
          </w14:textFill>
        </w:rPr>
        <w:t>|</w:t>
      </w:r>
      <w:r w:rsidR="00E26BE0" w:rsidRPr="00E26BE0">
        <w:t xml:space="preserve"> per year assuming 100% compliance, in the economic models.</w:t>
      </w:r>
      <w:r w:rsidR="00230309">
        <w:t xml:space="preserve"> The current submission did not present an economic model.</w:t>
      </w:r>
    </w:p>
    <w:p w14:paraId="47770FD1" w14:textId="6AC413F0" w:rsidR="00230309" w:rsidRDefault="00230309" w:rsidP="00B02507">
      <w:pPr>
        <w:pStyle w:val="3-BodyText"/>
      </w:pPr>
      <w:r>
        <w:t xml:space="preserve">The previous submission requested a DPMQ of </w:t>
      </w:r>
      <w:r w:rsidR="006F5229">
        <w:t>$</w:t>
      </w:r>
      <w:r w:rsidR="009B407F" w:rsidRPr="009B407F">
        <w:rPr>
          <w:color w:val="000000"/>
          <w:w w:val="61"/>
          <w:shd w:val="solid" w:color="000000" w:fill="000000"/>
          <w:fitText w:val="473" w:id="-762061817"/>
          <w14:textFill>
            <w14:solidFill>
              <w14:srgbClr w14:val="000000">
                <w14:alpha w14:val="100000"/>
              </w14:srgbClr>
            </w14:solidFill>
          </w14:textFill>
        </w:rPr>
        <w:t>|||  ||</w:t>
      </w:r>
      <w:r w:rsidR="009B407F" w:rsidRPr="009B407F">
        <w:rPr>
          <w:color w:val="000000"/>
          <w:spacing w:val="3"/>
          <w:w w:val="61"/>
          <w:shd w:val="solid" w:color="000000" w:fill="000000"/>
          <w:fitText w:val="473" w:id="-762061817"/>
          <w14:textFill>
            <w14:solidFill>
              <w14:srgbClr w14:val="000000">
                <w14:alpha w14:val="100000"/>
              </w14:srgbClr>
            </w14:solidFill>
          </w14:textFill>
        </w:rPr>
        <w:t>|</w:t>
      </w:r>
      <w:r w:rsidR="006F5229">
        <w:t>. The current submission requested a DPMQ of $</w:t>
      </w:r>
      <w:r w:rsidR="009B407F" w:rsidRPr="00D87A8D">
        <w:rPr>
          <w:color w:val="000000"/>
          <w:w w:val="15"/>
          <w:shd w:val="solid" w:color="000000" w:fill="000000"/>
          <w:fitText w:val="-20" w:id="-762061816"/>
          <w14:textFill>
            <w14:solidFill>
              <w14:srgbClr w14:val="000000">
                <w14:alpha w14:val="100000"/>
              </w14:srgbClr>
            </w14:solidFill>
          </w14:textFill>
        </w:rPr>
        <w:t xml:space="preserve">|  </w:t>
      </w:r>
      <w:r w:rsidR="009B407F" w:rsidRPr="00D87A8D">
        <w:rPr>
          <w:color w:val="000000"/>
          <w:spacing w:val="-69"/>
          <w:w w:val="15"/>
          <w:shd w:val="solid" w:color="000000" w:fill="000000"/>
          <w:fitText w:val="-20" w:id="-762061816"/>
          <w14:textFill>
            <w14:solidFill>
              <w14:srgbClr w14:val="000000">
                <w14:alpha w14:val="100000"/>
              </w14:srgbClr>
            </w14:solidFill>
          </w14:textFill>
        </w:rPr>
        <w:t>|</w:t>
      </w:r>
      <w:r w:rsidR="006F5229">
        <w:t xml:space="preserve"> due to changes in mark ups and dispensing fees.</w:t>
      </w:r>
    </w:p>
    <w:p w14:paraId="6B557262" w14:textId="70EE85A4" w:rsidR="00B02507" w:rsidRDefault="00B02507" w:rsidP="00B02507">
      <w:pPr>
        <w:pStyle w:val="3-BodyText"/>
      </w:pPr>
      <w:r>
        <w:t xml:space="preserve">Assuming 100% compliance, the updated drug cost for Ryeqo would be </w:t>
      </w:r>
      <w:r w:rsidR="007607FC" w:rsidRPr="007607FC">
        <w:t>$</w:t>
      </w:r>
      <w:r w:rsidR="009B407F" w:rsidRPr="009B407F">
        <w:rPr>
          <w:color w:val="000000"/>
          <w:w w:val="61"/>
          <w:shd w:val="solid" w:color="000000" w:fill="000000"/>
          <w:fitText w:val="474" w:id="-762061815"/>
          <w14:textFill>
            <w14:solidFill>
              <w14:srgbClr w14:val="000000">
                <w14:alpha w14:val="100000"/>
              </w14:srgbClr>
            </w14:solidFill>
          </w14:textFill>
        </w:rPr>
        <w:t>|||  ||</w:t>
      </w:r>
      <w:r w:rsidR="009B407F" w:rsidRPr="009B407F">
        <w:rPr>
          <w:color w:val="000000"/>
          <w:spacing w:val="4"/>
          <w:w w:val="61"/>
          <w:shd w:val="solid" w:color="000000" w:fill="000000"/>
          <w:fitText w:val="474" w:id="-762061815"/>
          <w14:textFill>
            <w14:solidFill>
              <w14:srgbClr w14:val="000000">
                <w14:alpha w14:val="100000"/>
              </w14:srgbClr>
            </w14:solidFill>
          </w14:textFill>
        </w:rPr>
        <w:t>|</w:t>
      </w:r>
      <w:r w:rsidR="007607FC">
        <w:t xml:space="preserve"> per year</w:t>
      </w:r>
      <w:r w:rsidR="00435AEB">
        <w:t xml:space="preserve"> (</w:t>
      </w:r>
      <w:r w:rsidR="00435AEB">
        <w:fldChar w:fldCharType="begin" w:fldLock="1"/>
      </w:r>
      <w:r w:rsidR="00435AEB">
        <w:instrText xml:space="preserve"> REF _Ref174529977 \h </w:instrText>
      </w:r>
      <w:r w:rsidR="00435AEB">
        <w:fldChar w:fldCharType="separate"/>
      </w:r>
      <w:r w:rsidR="00435AEB">
        <w:t xml:space="preserve">Table </w:t>
      </w:r>
      <w:r w:rsidR="00435AEB">
        <w:rPr>
          <w:noProof/>
        </w:rPr>
        <w:t>4</w:t>
      </w:r>
      <w:r w:rsidR="00435AEB">
        <w:fldChar w:fldCharType="end"/>
      </w:r>
      <w:r w:rsidR="00435AEB">
        <w:t>).</w:t>
      </w:r>
    </w:p>
    <w:p w14:paraId="6EFC692A" w14:textId="185EF4B7" w:rsidR="00B02507" w:rsidRDefault="00B02507" w:rsidP="00784C6D">
      <w:pPr>
        <w:pStyle w:val="Caption"/>
      </w:pPr>
      <w:bookmarkStart w:id="20" w:name="_Ref174529977"/>
      <w:r>
        <w:lastRenderedPageBreak/>
        <w:t xml:space="preserve">Table </w:t>
      </w:r>
      <w:r w:rsidR="00D67E24">
        <w:fldChar w:fldCharType="begin" w:fldLock="1"/>
      </w:r>
      <w:r w:rsidR="00D67E24">
        <w:instrText xml:space="preserve"> SEQ Table \* ARABIC </w:instrText>
      </w:r>
      <w:r w:rsidR="00D67E24">
        <w:fldChar w:fldCharType="separate"/>
      </w:r>
      <w:r w:rsidR="00D67E24">
        <w:rPr>
          <w:noProof/>
        </w:rPr>
        <w:t>2</w:t>
      </w:r>
      <w:r w:rsidR="00D67E24">
        <w:rPr>
          <w:noProof/>
        </w:rPr>
        <w:fldChar w:fldCharType="end"/>
      </w:r>
      <w:bookmarkEnd w:id="20"/>
      <w:r>
        <w:t xml:space="preserve">: </w:t>
      </w:r>
      <w:r w:rsidRPr="00EC44BD">
        <w:t>Updated comparison of DPMQs for Ryeqo vs goserelin and nafarelin (plus add-back therapy)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04"/>
        <w:gridCol w:w="974"/>
        <w:gridCol w:w="1023"/>
        <w:gridCol w:w="1174"/>
        <w:gridCol w:w="1429"/>
        <w:gridCol w:w="1383"/>
      </w:tblGrid>
      <w:tr w:rsidR="00B02507" w:rsidRPr="007607FC" w14:paraId="1DE87E5D" w14:textId="77777777" w:rsidTr="007607FC">
        <w:trPr>
          <w:trHeight w:val="480"/>
        </w:trPr>
        <w:tc>
          <w:tcPr>
            <w:tcW w:w="1980" w:type="dxa"/>
            <w:vMerge w:val="restart"/>
            <w:shd w:val="clear" w:color="auto" w:fill="auto"/>
            <w:vAlign w:val="center"/>
            <w:hideMark/>
          </w:tcPr>
          <w:p w14:paraId="4E45E15E" w14:textId="77777777" w:rsidR="00B02507" w:rsidRPr="007607FC" w:rsidRDefault="00B02507" w:rsidP="00784C6D">
            <w:pPr>
              <w:keepNext/>
              <w:jc w:val="left"/>
              <w:rPr>
                <w:rFonts w:ascii="Arial Narrow" w:hAnsi="Arial Narrow"/>
                <w:b/>
                <w:bCs/>
                <w:color w:val="000000"/>
                <w:sz w:val="20"/>
                <w:szCs w:val="20"/>
              </w:rPr>
            </w:pPr>
            <w:r w:rsidRPr="007607FC">
              <w:rPr>
                <w:rFonts w:ascii="Arial Narrow" w:hAnsi="Arial Narrow"/>
                <w:b/>
                <w:bCs/>
                <w:color w:val="000000"/>
                <w:sz w:val="20"/>
                <w:szCs w:val="20"/>
              </w:rPr>
              <w:t>Component</w:t>
            </w:r>
          </w:p>
        </w:tc>
        <w:tc>
          <w:tcPr>
            <w:tcW w:w="1104" w:type="dxa"/>
            <w:vMerge w:val="restart"/>
            <w:shd w:val="clear" w:color="auto" w:fill="auto"/>
            <w:vAlign w:val="center"/>
            <w:hideMark/>
          </w:tcPr>
          <w:p w14:paraId="69E3B0E2" w14:textId="77777777" w:rsidR="00B02507" w:rsidRPr="007607FC" w:rsidRDefault="00B02507" w:rsidP="00784C6D">
            <w:pPr>
              <w:keepNext/>
              <w:jc w:val="center"/>
              <w:rPr>
                <w:rFonts w:ascii="Arial Narrow" w:hAnsi="Arial Narrow"/>
                <w:b/>
                <w:bCs/>
                <w:color w:val="000000"/>
                <w:sz w:val="20"/>
                <w:szCs w:val="20"/>
              </w:rPr>
            </w:pPr>
            <w:r w:rsidRPr="007607FC">
              <w:rPr>
                <w:rFonts w:ascii="Arial Narrow" w:hAnsi="Arial Narrow"/>
                <w:b/>
                <w:bCs/>
                <w:color w:val="000000"/>
                <w:sz w:val="20"/>
                <w:szCs w:val="20"/>
              </w:rPr>
              <w:t>Ryeqo FDC</w:t>
            </w:r>
          </w:p>
        </w:tc>
        <w:tc>
          <w:tcPr>
            <w:tcW w:w="974" w:type="dxa"/>
            <w:vMerge w:val="restart"/>
            <w:shd w:val="clear" w:color="auto" w:fill="auto"/>
            <w:vAlign w:val="center"/>
            <w:hideMark/>
          </w:tcPr>
          <w:p w14:paraId="5F05B0DB" w14:textId="77777777" w:rsidR="00B02507" w:rsidRPr="007607FC" w:rsidRDefault="00B02507" w:rsidP="00784C6D">
            <w:pPr>
              <w:keepNext/>
              <w:jc w:val="center"/>
              <w:rPr>
                <w:rFonts w:ascii="Arial Narrow" w:hAnsi="Arial Narrow"/>
                <w:b/>
                <w:bCs/>
                <w:color w:val="000000"/>
                <w:sz w:val="20"/>
                <w:szCs w:val="20"/>
              </w:rPr>
            </w:pPr>
            <w:r w:rsidRPr="007607FC">
              <w:rPr>
                <w:rFonts w:ascii="Arial Narrow" w:hAnsi="Arial Narrow"/>
                <w:b/>
                <w:bCs/>
                <w:color w:val="000000"/>
                <w:sz w:val="20"/>
                <w:szCs w:val="20"/>
              </w:rPr>
              <w:t>Goserelin</w:t>
            </w:r>
          </w:p>
        </w:tc>
        <w:tc>
          <w:tcPr>
            <w:tcW w:w="1023" w:type="dxa"/>
            <w:vMerge w:val="restart"/>
            <w:shd w:val="clear" w:color="auto" w:fill="auto"/>
            <w:vAlign w:val="center"/>
            <w:hideMark/>
          </w:tcPr>
          <w:p w14:paraId="785EAAD4" w14:textId="77777777" w:rsidR="00B02507" w:rsidRPr="007607FC" w:rsidRDefault="00B02507" w:rsidP="00784C6D">
            <w:pPr>
              <w:keepNext/>
              <w:jc w:val="center"/>
              <w:rPr>
                <w:rFonts w:ascii="Arial Narrow" w:hAnsi="Arial Narrow"/>
                <w:b/>
                <w:bCs/>
                <w:color w:val="000000"/>
                <w:sz w:val="20"/>
                <w:szCs w:val="20"/>
              </w:rPr>
            </w:pPr>
            <w:r w:rsidRPr="007607FC">
              <w:rPr>
                <w:rFonts w:ascii="Arial Narrow" w:hAnsi="Arial Narrow"/>
                <w:b/>
                <w:bCs/>
                <w:color w:val="000000"/>
                <w:sz w:val="20"/>
                <w:szCs w:val="20"/>
              </w:rPr>
              <w:t>Nafarelin (400 mcg)</w:t>
            </w:r>
          </w:p>
        </w:tc>
        <w:tc>
          <w:tcPr>
            <w:tcW w:w="1174" w:type="dxa"/>
            <w:vMerge w:val="restart"/>
            <w:shd w:val="clear" w:color="auto" w:fill="auto"/>
            <w:vAlign w:val="center"/>
            <w:hideMark/>
          </w:tcPr>
          <w:p w14:paraId="62CC8F15" w14:textId="77777777" w:rsidR="00B02507" w:rsidRPr="007607FC" w:rsidRDefault="00B02507" w:rsidP="00784C6D">
            <w:pPr>
              <w:keepNext/>
              <w:jc w:val="center"/>
              <w:rPr>
                <w:rFonts w:ascii="Arial Narrow" w:hAnsi="Arial Narrow"/>
                <w:b/>
                <w:bCs/>
                <w:color w:val="000000"/>
                <w:sz w:val="20"/>
                <w:szCs w:val="20"/>
              </w:rPr>
            </w:pPr>
            <w:r w:rsidRPr="007607FC">
              <w:rPr>
                <w:rFonts w:ascii="Arial Narrow" w:hAnsi="Arial Narrow"/>
                <w:b/>
                <w:bCs/>
                <w:color w:val="000000"/>
                <w:sz w:val="20"/>
                <w:szCs w:val="20"/>
              </w:rPr>
              <w:t>Nafarelin (800 mcg)</w:t>
            </w:r>
          </w:p>
        </w:tc>
        <w:tc>
          <w:tcPr>
            <w:tcW w:w="2812" w:type="dxa"/>
            <w:gridSpan w:val="2"/>
            <w:shd w:val="clear" w:color="000000" w:fill="D9D9D9"/>
            <w:vAlign w:val="center"/>
            <w:hideMark/>
          </w:tcPr>
          <w:p w14:paraId="5C9A136F" w14:textId="77777777" w:rsidR="00B02507" w:rsidRPr="007607FC" w:rsidRDefault="00B02507" w:rsidP="00784C6D">
            <w:pPr>
              <w:keepNext/>
              <w:jc w:val="center"/>
              <w:rPr>
                <w:rFonts w:ascii="Arial Narrow" w:hAnsi="Arial Narrow"/>
                <w:b/>
                <w:bCs/>
                <w:color w:val="000000"/>
                <w:sz w:val="20"/>
                <w:szCs w:val="20"/>
              </w:rPr>
            </w:pPr>
            <w:r w:rsidRPr="007607FC">
              <w:rPr>
                <w:rFonts w:ascii="Arial Narrow" w:hAnsi="Arial Narrow"/>
                <w:b/>
                <w:bCs/>
                <w:color w:val="000000"/>
                <w:sz w:val="20"/>
                <w:szCs w:val="20"/>
              </w:rPr>
              <w:t>Add-back therapy (Assuming 50/50 split of the below)</w:t>
            </w:r>
          </w:p>
        </w:tc>
      </w:tr>
      <w:tr w:rsidR="00B02507" w:rsidRPr="007607FC" w14:paraId="6C306A86" w14:textId="77777777" w:rsidTr="007607FC">
        <w:trPr>
          <w:trHeight w:val="756"/>
        </w:trPr>
        <w:tc>
          <w:tcPr>
            <w:tcW w:w="1980" w:type="dxa"/>
            <w:vMerge/>
            <w:vAlign w:val="center"/>
            <w:hideMark/>
          </w:tcPr>
          <w:p w14:paraId="7B4484FB" w14:textId="77777777" w:rsidR="00B02507" w:rsidRPr="007607FC" w:rsidRDefault="00B02507" w:rsidP="00784C6D">
            <w:pPr>
              <w:keepNext/>
              <w:jc w:val="left"/>
              <w:rPr>
                <w:rFonts w:ascii="Arial Narrow" w:hAnsi="Arial Narrow"/>
                <w:b/>
                <w:bCs/>
                <w:color w:val="000000"/>
                <w:sz w:val="20"/>
                <w:szCs w:val="20"/>
              </w:rPr>
            </w:pPr>
          </w:p>
        </w:tc>
        <w:tc>
          <w:tcPr>
            <w:tcW w:w="1104" w:type="dxa"/>
            <w:vMerge/>
            <w:vAlign w:val="center"/>
            <w:hideMark/>
          </w:tcPr>
          <w:p w14:paraId="0EAE912A" w14:textId="77777777" w:rsidR="00B02507" w:rsidRPr="007607FC" w:rsidRDefault="00B02507" w:rsidP="00784C6D">
            <w:pPr>
              <w:keepNext/>
              <w:jc w:val="left"/>
              <w:rPr>
                <w:rFonts w:ascii="Arial Narrow" w:hAnsi="Arial Narrow"/>
                <w:b/>
                <w:bCs/>
                <w:color w:val="000000"/>
                <w:sz w:val="20"/>
                <w:szCs w:val="20"/>
              </w:rPr>
            </w:pPr>
          </w:p>
        </w:tc>
        <w:tc>
          <w:tcPr>
            <w:tcW w:w="974" w:type="dxa"/>
            <w:vMerge/>
            <w:vAlign w:val="center"/>
            <w:hideMark/>
          </w:tcPr>
          <w:p w14:paraId="5A03B506" w14:textId="77777777" w:rsidR="00B02507" w:rsidRPr="007607FC" w:rsidRDefault="00B02507" w:rsidP="00784C6D">
            <w:pPr>
              <w:keepNext/>
              <w:jc w:val="left"/>
              <w:rPr>
                <w:rFonts w:ascii="Arial Narrow" w:hAnsi="Arial Narrow"/>
                <w:b/>
                <w:bCs/>
                <w:color w:val="000000"/>
                <w:sz w:val="20"/>
                <w:szCs w:val="20"/>
              </w:rPr>
            </w:pPr>
          </w:p>
        </w:tc>
        <w:tc>
          <w:tcPr>
            <w:tcW w:w="1023" w:type="dxa"/>
            <w:vMerge/>
            <w:vAlign w:val="center"/>
            <w:hideMark/>
          </w:tcPr>
          <w:p w14:paraId="5B448CEE" w14:textId="77777777" w:rsidR="00B02507" w:rsidRPr="007607FC" w:rsidRDefault="00B02507" w:rsidP="00784C6D">
            <w:pPr>
              <w:keepNext/>
              <w:jc w:val="left"/>
              <w:rPr>
                <w:rFonts w:ascii="Arial Narrow" w:hAnsi="Arial Narrow"/>
                <w:b/>
                <w:bCs/>
                <w:color w:val="000000"/>
                <w:sz w:val="20"/>
                <w:szCs w:val="20"/>
              </w:rPr>
            </w:pPr>
          </w:p>
        </w:tc>
        <w:tc>
          <w:tcPr>
            <w:tcW w:w="1174" w:type="dxa"/>
            <w:vMerge/>
            <w:vAlign w:val="center"/>
            <w:hideMark/>
          </w:tcPr>
          <w:p w14:paraId="6FDF79EC" w14:textId="77777777" w:rsidR="00B02507" w:rsidRPr="007607FC" w:rsidRDefault="00B02507" w:rsidP="00784C6D">
            <w:pPr>
              <w:keepNext/>
              <w:jc w:val="left"/>
              <w:rPr>
                <w:rFonts w:ascii="Arial Narrow" w:hAnsi="Arial Narrow"/>
                <w:b/>
                <w:bCs/>
                <w:color w:val="000000"/>
                <w:sz w:val="20"/>
                <w:szCs w:val="20"/>
              </w:rPr>
            </w:pPr>
          </w:p>
        </w:tc>
        <w:tc>
          <w:tcPr>
            <w:tcW w:w="1429" w:type="dxa"/>
            <w:shd w:val="clear" w:color="000000" w:fill="D9D9D9"/>
            <w:vAlign w:val="center"/>
            <w:hideMark/>
          </w:tcPr>
          <w:p w14:paraId="6B554F6A" w14:textId="77777777" w:rsidR="00B02507" w:rsidRPr="007607FC" w:rsidRDefault="00B02507" w:rsidP="00784C6D">
            <w:pPr>
              <w:keepNext/>
              <w:jc w:val="center"/>
              <w:rPr>
                <w:rFonts w:ascii="Arial Narrow" w:hAnsi="Arial Narrow"/>
                <w:b/>
                <w:bCs/>
                <w:color w:val="000000"/>
                <w:sz w:val="20"/>
                <w:szCs w:val="20"/>
              </w:rPr>
            </w:pPr>
            <w:proofErr w:type="spellStart"/>
            <w:r w:rsidRPr="007607FC">
              <w:rPr>
                <w:rFonts w:ascii="Arial Narrow" w:hAnsi="Arial Narrow"/>
                <w:b/>
                <w:bCs/>
                <w:color w:val="000000"/>
                <w:sz w:val="20"/>
                <w:szCs w:val="20"/>
              </w:rPr>
              <w:t>Levonorgestel</w:t>
            </w:r>
            <w:proofErr w:type="spellEnd"/>
            <w:r w:rsidRPr="007607FC">
              <w:rPr>
                <w:rFonts w:ascii="Arial Narrow" w:hAnsi="Arial Narrow"/>
                <w:b/>
                <w:bCs/>
                <w:color w:val="000000"/>
                <w:sz w:val="20"/>
                <w:szCs w:val="20"/>
              </w:rPr>
              <w:t xml:space="preserve"> 100 mcg + ethinylestradiol 20 mcg </w:t>
            </w:r>
            <w:r w:rsidRPr="007607FC">
              <w:rPr>
                <w:rFonts w:ascii="Arial Narrow" w:hAnsi="Arial Narrow"/>
                <w:b/>
                <w:bCs/>
                <w:color w:val="000000"/>
                <w:sz w:val="20"/>
                <w:szCs w:val="20"/>
                <w:vertAlign w:val="superscript"/>
              </w:rPr>
              <w:t>a</w:t>
            </w:r>
          </w:p>
        </w:tc>
        <w:tc>
          <w:tcPr>
            <w:tcW w:w="1383" w:type="dxa"/>
            <w:shd w:val="clear" w:color="000000" w:fill="D9D9D9"/>
            <w:vAlign w:val="center"/>
            <w:hideMark/>
          </w:tcPr>
          <w:p w14:paraId="42D478F0" w14:textId="77777777" w:rsidR="00B02507" w:rsidRPr="007607FC" w:rsidRDefault="00B02507" w:rsidP="00784C6D">
            <w:pPr>
              <w:keepNext/>
              <w:jc w:val="center"/>
              <w:rPr>
                <w:rFonts w:ascii="Arial Narrow" w:hAnsi="Arial Narrow"/>
                <w:b/>
                <w:bCs/>
                <w:color w:val="000000"/>
                <w:sz w:val="20"/>
                <w:szCs w:val="20"/>
              </w:rPr>
            </w:pPr>
            <w:r w:rsidRPr="007607FC">
              <w:rPr>
                <w:rFonts w:ascii="Arial Narrow" w:hAnsi="Arial Narrow"/>
                <w:b/>
                <w:bCs/>
                <w:color w:val="000000"/>
                <w:sz w:val="20"/>
                <w:szCs w:val="20"/>
              </w:rPr>
              <w:t xml:space="preserve">Norethisterone 350 mcg </w:t>
            </w:r>
            <w:r w:rsidRPr="007607FC">
              <w:rPr>
                <w:rFonts w:ascii="Arial Narrow" w:hAnsi="Arial Narrow"/>
                <w:b/>
                <w:bCs/>
                <w:color w:val="000000"/>
                <w:sz w:val="20"/>
                <w:szCs w:val="20"/>
                <w:vertAlign w:val="superscript"/>
              </w:rPr>
              <w:t>b</w:t>
            </w:r>
          </w:p>
        </w:tc>
      </w:tr>
      <w:tr w:rsidR="00B02507" w:rsidRPr="007607FC" w14:paraId="0E417E4C" w14:textId="77777777" w:rsidTr="007607FC">
        <w:trPr>
          <w:trHeight w:val="288"/>
        </w:trPr>
        <w:tc>
          <w:tcPr>
            <w:tcW w:w="1980" w:type="dxa"/>
            <w:shd w:val="clear" w:color="auto" w:fill="auto"/>
            <w:vAlign w:val="center"/>
            <w:hideMark/>
          </w:tcPr>
          <w:p w14:paraId="187380A2" w14:textId="77777777" w:rsidR="00B02507" w:rsidRPr="007607FC" w:rsidRDefault="00B02507" w:rsidP="00784C6D">
            <w:pPr>
              <w:keepNext/>
              <w:jc w:val="left"/>
              <w:rPr>
                <w:rFonts w:ascii="Arial Narrow" w:hAnsi="Arial Narrow"/>
                <w:color w:val="000000"/>
                <w:sz w:val="20"/>
                <w:szCs w:val="20"/>
              </w:rPr>
            </w:pPr>
            <w:r w:rsidRPr="007607FC">
              <w:rPr>
                <w:rFonts w:ascii="Arial Narrow" w:hAnsi="Arial Narrow"/>
                <w:color w:val="000000"/>
                <w:sz w:val="20"/>
                <w:szCs w:val="20"/>
              </w:rPr>
              <w:t>PBS item code</w:t>
            </w:r>
          </w:p>
        </w:tc>
        <w:tc>
          <w:tcPr>
            <w:tcW w:w="1104" w:type="dxa"/>
            <w:shd w:val="clear" w:color="auto" w:fill="auto"/>
            <w:vAlign w:val="center"/>
            <w:hideMark/>
          </w:tcPr>
          <w:p w14:paraId="221A7456"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w:t>
            </w:r>
          </w:p>
        </w:tc>
        <w:tc>
          <w:tcPr>
            <w:tcW w:w="974" w:type="dxa"/>
            <w:shd w:val="clear" w:color="auto" w:fill="auto"/>
            <w:vAlign w:val="center"/>
            <w:hideMark/>
          </w:tcPr>
          <w:p w14:paraId="6BEDC488"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1454M</w:t>
            </w:r>
          </w:p>
        </w:tc>
        <w:tc>
          <w:tcPr>
            <w:tcW w:w="1023" w:type="dxa"/>
            <w:shd w:val="clear" w:color="auto" w:fill="auto"/>
            <w:vAlign w:val="center"/>
            <w:hideMark/>
          </w:tcPr>
          <w:p w14:paraId="1B998594"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2962X</w:t>
            </w:r>
          </w:p>
        </w:tc>
        <w:tc>
          <w:tcPr>
            <w:tcW w:w="1174" w:type="dxa"/>
            <w:shd w:val="clear" w:color="auto" w:fill="auto"/>
            <w:vAlign w:val="center"/>
            <w:hideMark/>
          </w:tcPr>
          <w:p w14:paraId="6BA62F18" w14:textId="66E3C954" w:rsidR="00B02507" w:rsidRPr="007607FC" w:rsidRDefault="00FB0ED3" w:rsidP="00784C6D">
            <w:pPr>
              <w:keepNext/>
              <w:jc w:val="center"/>
              <w:rPr>
                <w:rFonts w:ascii="Arial Narrow" w:hAnsi="Arial Narrow"/>
                <w:color w:val="000000"/>
                <w:sz w:val="20"/>
                <w:szCs w:val="20"/>
              </w:rPr>
            </w:pPr>
            <w:r w:rsidRPr="007607FC">
              <w:rPr>
                <w:rFonts w:ascii="Arial Narrow" w:hAnsi="Arial Narrow"/>
                <w:color w:val="000000"/>
                <w:sz w:val="20"/>
                <w:szCs w:val="20"/>
              </w:rPr>
              <w:t>5815C</w:t>
            </w:r>
          </w:p>
        </w:tc>
        <w:tc>
          <w:tcPr>
            <w:tcW w:w="1429" w:type="dxa"/>
            <w:shd w:val="clear" w:color="000000" w:fill="D9D9D9"/>
            <w:vAlign w:val="center"/>
            <w:hideMark/>
          </w:tcPr>
          <w:p w14:paraId="61698BA0"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2416E</w:t>
            </w:r>
          </w:p>
        </w:tc>
        <w:tc>
          <w:tcPr>
            <w:tcW w:w="1383" w:type="dxa"/>
            <w:shd w:val="clear" w:color="000000" w:fill="D9D9D9"/>
            <w:vAlign w:val="center"/>
            <w:hideMark/>
          </w:tcPr>
          <w:p w14:paraId="291E6626"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1967M</w:t>
            </w:r>
          </w:p>
        </w:tc>
      </w:tr>
      <w:tr w:rsidR="00B02507" w:rsidRPr="007607FC" w14:paraId="6148AC31" w14:textId="77777777" w:rsidTr="007607FC">
        <w:trPr>
          <w:trHeight w:val="480"/>
        </w:trPr>
        <w:tc>
          <w:tcPr>
            <w:tcW w:w="1980" w:type="dxa"/>
            <w:shd w:val="clear" w:color="auto" w:fill="auto"/>
            <w:vAlign w:val="center"/>
            <w:hideMark/>
          </w:tcPr>
          <w:p w14:paraId="0196EFD2" w14:textId="77777777" w:rsidR="00B02507" w:rsidRPr="007607FC" w:rsidRDefault="00B02507" w:rsidP="00784C6D">
            <w:pPr>
              <w:keepNext/>
              <w:jc w:val="left"/>
              <w:rPr>
                <w:rFonts w:ascii="Arial Narrow" w:hAnsi="Arial Narrow"/>
                <w:color w:val="000000"/>
                <w:sz w:val="20"/>
                <w:szCs w:val="20"/>
              </w:rPr>
            </w:pPr>
            <w:r w:rsidRPr="007607FC">
              <w:rPr>
                <w:rFonts w:ascii="Arial Narrow" w:hAnsi="Arial Narrow"/>
                <w:color w:val="000000"/>
                <w:sz w:val="20"/>
                <w:szCs w:val="20"/>
              </w:rPr>
              <w:t>PBS item (max qty)</w:t>
            </w:r>
          </w:p>
        </w:tc>
        <w:tc>
          <w:tcPr>
            <w:tcW w:w="1104" w:type="dxa"/>
            <w:shd w:val="clear" w:color="auto" w:fill="auto"/>
            <w:vAlign w:val="center"/>
            <w:hideMark/>
          </w:tcPr>
          <w:p w14:paraId="167B0656"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tablets (28)</w:t>
            </w:r>
          </w:p>
        </w:tc>
        <w:tc>
          <w:tcPr>
            <w:tcW w:w="974" w:type="dxa"/>
            <w:shd w:val="clear" w:color="auto" w:fill="auto"/>
            <w:vAlign w:val="center"/>
            <w:hideMark/>
          </w:tcPr>
          <w:p w14:paraId="08AEC9D1"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implant (1)</w:t>
            </w:r>
          </w:p>
        </w:tc>
        <w:tc>
          <w:tcPr>
            <w:tcW w:w="1023" w:type="dxa"/>
            <w:shd w:val="clear" w:color="auto" w:fill="auto"/>
            <w:vAlign w:val="center"/>
            <w:hideMark/>
          </w:tcPr>
          <w:p w14:paraId="34811B39"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Nasal spray 200 mcg (60 actuations)</w:t>
            </w:r>
          </w:p>
        </w:tc>
        <w:tc>
          <w:tcPr>
            <w:tcW w:w="1174" w:type="dxa"/>
            <w:shd w:val="clear" w:color="auto" w:fill="auto"/>
            <w:vAlign w:val="center"/>
            <w:hideMark/>
          </w:tcPr>
          <w:p w14:paraId="57FE360E"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Nasal spray 200 mcg (120 actuations)</w:t>
            </w:r>
          </w:p>
        </w:tc>
        <w:tc>
          <w:tcPr>
            <w:tcW w:w="1429" w:type="dxa"/>
            <w:shd w:val="clear" w:color="000000" w:fill="D9D9D9"/>
            <w:vAlign w:val="center"/>
            <w:hideMark/>
          </w:tcPr>
          <w:p w14:paraId="4E6C9F33"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Tablets (4x28)</w:t>
            </w:r>
          </w:p>
        </w:tc>
        <w:tc>
          <w:tcPr>
            <w:tcW w:w="1383" w:type="dxa"/>
            <w:shd w:val="clear" w:color="000000" w:fill="D9D9D9"/>
            <w:vAlign w:val="center"/>
            <w:hideMark/>
          </w:tcPr>
          <w:p w14:paraId="38243D19"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Tables (4x28)</w:t>
            </w:r>
          </w:p>
        </w:tc>
      </w:tr>
      <w:tr w:rsidR="00B02507" w:rsidRPr="007607FC" w14:paraId="663B8879" w14:textId="77777777" w:rsidTr="007607FC">
        <w:trPr>
          <w:trHeight w:val="288"/>
        </w:trPr>
        <w:tc>
          <w:tcPr>
            <w:tcW w:w="1980" w:type="dxa"/>
            <w:shd w:val="clear" w:color="auto" w:fill="auto"/>
            <w:vAlign w:val="center"/>
            <w:hideMark/>
          </w:tcPr>
          <w:p w14:paraId="3C02B1E9" w14:textId="77777777" w:rsidR="00B02507" w:rsidRPr="007607FC" w:rsidRDefault="00B02507" w:rsidP="00784C6D">
            <w:pPr>
              <w:keepNext/>
              <w:jc w:val="left"/>
              <w:rPr>
                <w:rFonts w:ascii="Arial Narrow" w:hAnsi="Arial Narrow"/>
                <w:color w:val="000000"/>
                <w:sz w:val="20"/>
                <w:szCs w:val="20"/>
              </w:rPr>
            </w:pPr>
            <w:r w:rsidRPr="007607FC">
              <w:rPr>
                <w:rFonts w:ascii="Arial Narrow" w:hAnsi="Arial Narrow"/>
                <w:color w:val="000000"/>
                <w:sz w:val="20"/>
                <w:szCs w:val="20"/>
              </w:rPr>
              <w:t>Treatment duration per max qty</w:t>
            </w:r>
          </w:p>
        </w:tc>
        <w:tc>
          <w:tcPr>
            <w:tcW w:w="1104" w:type="dxa"/>
            <w:shd w:val="clear" w:color="auto" w:fill="auto"/>
            <w:vAlign w:val="center"/>
            <w:hideMark/>
          </w:tcPr>
          <w:p w14:paraId="4E7016E1"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28 days</w:t>
            </w:r>
          </w:p>
        </w:tc>
        <w:tc>
          <w:tcPr>
            <w:tcW w:w="974" w:type="dxa"/>
            <w:shd w:val="clear" w:color="auto" w:fill="auto"/>
            <w:vAlign w:val="center"/>
            <w:hideMark/>
          </w:tcPr>
          <w:p w14:paraId="3D2A8A68"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28 days</w:t>
            </w:r>
          </w:p>
        </w:tc>
        <w:tc>
          <w:tcPr>
            <w:tcW w:w="1023" w:type="dxa"/>
            <w:shd w:val="clear" w:color="auto" w:fill="auto"/>
            <w:vAlign w:val="center"/>
            <w:hideMark/>
          </w:tcPr>
          <w:p w14:paraId="240C9B5D"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30 days</w:t>
            </w:r>
          </w:p>
        </w:tc>
        <w:tc>
          <w:tcPr>
            <w:tcW w:w="1174" w:type="dxa"/>
            <w:shd w:val="clear" w:color="auto" w:fill="auto"/>
            <w:vAlign w:val="center"/>
            <w:hideMark/>
          </w:tcPr>
          <w:p w14:paraId="12B101A0"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30 days</w:t>
            </w:r>
          </w:p>
        </w:tc>
        <w:tc>
          <w:tcPr>
            <w:tcW w:w="1429" w:type="dxa"/>
            <w:shd w:val="clear" w:color="000000" w:fill="D9D9D9"/>
            <w:vAlign w:val="center"/>
            <w:hideMark/>
          </w:tcPr>
          <w:p w14:paraId="2B980B80"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112 days</w:t>
            </w:r>
          </w:p>
        </w:tc>
        <w:tc>
          <w:tcPr>
            <w:tcW w:w="1383" w:type="dxa"/>
            <w:shd w:val="clear" w:color="000000" w:fill="D9D9D9"/>
            <w:vAlign w:val="center"/>
            <w:hideMark/>
          </w:tcPr>
          <w:p w14:paraId="02FE0612"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112 days</w:t>
            </w:r>
          </w:p>
        </w:tc>
      </w:tr>
      <w:tr w:rsidR="00B02507" w:rsidRPr="007607FC" w14:paraId="61CA6D7E" w14:textId="77777777" w:rsidTr="007607FC">
        <w:trPr>
          <w:trHeight w:val="288"/>
        </w:trPr>
        <w:tc>
          <w:tcPr>
            <w:tcW w:w="1980" w:type="dxa"/>
            <w:shd w:val="clear" w:color="auto" w:fill="auto"/>
            <w:vAlign w:val="center"/>
            <w:hideMark/>
          </w:tcPr>
          <w:p w14:paraId="14EF830C" w14:textId="77777777" w:rsidR="00B02507" w:rsidRPr="007607FC" w:rsidRDefault="00B02507" w:rsidP="00784C6D">
            <w:pPr>
              <w:keepNext/>
              <w:jc w:val="left"/>
              <w:rPr>
                <w:rFonts w:ascii="Arial Narrow" w:hAnsi="Arial Narrow"/>
                <w:color w:val="000000"/>
                <w:sz w:val="20"/>
                <w:szCs w:val="20"/>
              </w:rPr>
            </w:pPr>
            <w:r w:rsidRPr="007607FC">
              <w:rPr>
                <w:rFonts w:ascii="Arial Narrow" w:hAnsi="Arial Narrow"/>
                <w:color w:val="000000"/>
                <w:sz w:val="20"/>
                <w:szCs w:val="20"/>
              </w:rPr>
              <w:t>DPMQ</w:t>
            </w:r>
          </w:p>
        </w:tc>
        <w:tc>
          <w:tcPr>
            <w:tcW w:w="1104" w:type="dxa"/>
            <w:shd w:val="clear" w:color="auto" w:fill="auto"/>
            <w:vAlign w:val="center"/>
            <w:hideMark/>
          </w:tcPr>
          <w:p w14:paraId="43831BDB" w14:textId="14DDB2AA"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w:t>
            </w:r>
            <w:r w:rsidR="009B407F" w:rsidRPr="009B407F">
              <w:rPr>
                <w:rFonts w:ascii="Arial Narrow" w:hAnsi="Arial Narrow" w:hint="eastAsia"/>
                <w:color w:val="000000"/>
                <w:w w:val="33"/>
                <w:sz w:val="20"/>
                <w:szCs w:val="20"/>
                <w:shd w:val="solid" w:color="000000" w:fill="000000"/>
                <w:fitText w:val="147" w:id="-762061814"/>
                <w14:textFill>
                  <w14:solidFill>
                    <w14:srgbClr w14:val="000000">
                      <w14:alpha w14:val="100000"/>
                    </w14:srgbClr>
                  </w14:solidFill>
                </w14:textFill>
              </w:rPr>
              <w:t xml:space="preserve">　</w:t>
            </w:r>
            <w:r w:rsidR="009B407F" w:rsidRPr="009B407F">
              <w:rPr>
                <w:rFonts w:ascii="Arial Narrow" w:hAnsi="Arial Narrow"/>
                <w:color w:val="000000"/>
                <w:w w:val="33"/>
                <w:sz w:val="20"/>
                <w:szCs w:val="20"/>
                <w:shd w:val="solid" w:color="000000" w:fill="000000"/>
                <w:fitText w:val="147" w:id="-762061814"/>
                <w14:textFill>
                  <w14:solidFill>
                    <w14:srgbClr w14:val="000000">
                      <w14:alpha w14:val="100000"/>
                    </w14:srgbClr>
                  </w14:solidFill>
                </w14:textFill>
              </w:rPr>
              <w:t>|</w:t>
            </w:r>
            <w:r w:rsidR="009B407F" w:rsidRPr="009B407F">
              <w:rPr>
                <w:rFonts w:ascii="Arial Narrow" w:hAnsi="Arial Narrow" w:hint="eastAsia"/>
                <w:color w:val="000000"/>
                <w:w w:val="33"/>
                <w:sz w:val="20"/>
                <w:szCs w:val="20"/>
                <w:shd w:val="solid" w:color="000000" w:fill="000000"/>
                <w:fitText w:val="147" w:id="-762061814"/>
                <w14:textFill>
                  <w14:solidFill>
                    <w14:srgbClr w14:val="000000">
                      <w14:alpha w14:val="100000"/>
                    </w14:srgbClr>
                  </w14:solidFill>
                </w14:textFill>
              </w:rPr>
              <w:t xml:space="preserve">　</w:t>
            </w:r>
          </w:p>
        </w:tc>
        <w:tc>
          <w:tcPr>
            <w:tcW w:w="974" w:type="dxa"/>
            <w:shd w:val="clear" w:color="auto" w:fill="auto"/>
            <w:vAlign w:val="center"/>
            <w:hideMark/>
          </w:tcPr>
          <w:p w14:paraId="17D078C1" w14:textId="7A89052B"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w:t>
            </w:r>
            <w:r w:rsidR="00FB0ED3" w:rsidRPr="007607FC">
              <w:rPr>
                <w:rFonts w:ascii="Arial Narrow" w:hAnsi="Arial Narrow"/>
                <w:color w:val="000000"/>
                <w:sz w:val="20"/>
                <w:szCs w:val="20"/>
              </w:rPr>
              <w:t>213.17</w:t>
            </w:r>
          </w:p>
        </w:tc>
        <w:tc>
          <w:tcPr>
            <w:tcW w:w="1023" w:type="dxa"/>
            <w:shd w:val="clear" w:color="auto" w:fill="auto"/>
            <w:vAlign w:val="center"/>
            <w:hideMark/>
          </w:tcPr>
          <w:p w14:paraId="33B52F93" w14:textId="0F76CB7C"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w:t>
            </w:r>
            <w:r w:rsidR="00FB0ED3" w:rsidRPr="007607FC">
              <w:rPr>
                <w:rFonts w:ascii="Arial Narrow" w:hAnsi="Arial Narrow"/>
                <w:color w:val="000000"/>
                <w:sz w:val="20"/>
                <w:szCs w:val="20"/>
              </w:rPr>
              <w:t>124.30</w:t>
            </w:r>
          </w:p>
        </w:tc>
        <w:tc>
          <w:tcPr>
            <w:tcW w:w="1174" w:type="dxa"/>
            <w:shd w:val="clear" w:color="auto" w:fill="auto"/>
            <w:vAlign w:val="center"/>
            <w:hideMark/>
          </w:tcPr>
          <w:p w14:paraId="48EEDB5D" w14:textId="6C47D18F"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$2</w:t>
            </w:r>
            <w:r w:rsidR="00FB0ED3" w:rsidRPr="007607FC">
              <w:rPr>
                <w:rFonts w:ascii="Arial Narrow" w:hAnsi="Arial Narrow"/>
                <w:color w:val="000000"/>
                <w:sz w:val="20"/>
                <w:szCs w:val="20"/>
              </w:rPr>
              <w:t>22.07</w:t>
            </w:r>
          </w:p>
        </w:tc>
        <w:tc>
          <w:tcPr>
            <w:tcW w:w="1429" w:type="dxa"/>
            <w:shd w:val="clear" w:color="000000" w:fill="D9D9D9"/>
            <w:vAlign w:val="center"/>
            <w:hideMark/>
          </w:tcPr>
          <w:p w14:paraId="0E626B23" w14:textId="43051414"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$19.</w:t>
            </w:r>
            <w:r w:rsidR="00435AEB" w:rsidRPr="007607FC">
              <w:rPr>
                <w:rFonts w:ascii="Arial Narrow" w:hAnsi="Arial Narrow"/>
                <w:color w:val="000000"/>
                <w:sz w:val="20"/>
                <w:szCs w:val="20"/>
              </w:rPr>
              <w:t>57</w:t>
            </w:r>
          </w:p>
        </w:tc>
        <w:tc>
          <w:tcPr>
            <w:tcW w:w="1383" w:type="dxa"/>
            <w:shd w:val="clear" w:color="000000" w:fill="D9D9D9"/>
            <w:vAlign w:val="center"/>
            <w:hideMark/>
          </w:tcPr>
          <w:p w14:paraId="70B4C3DA" w14:textId="1D95A946"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w:t>
            </w:r>
            <w:r w:rsidR="00435AEB" w:rsidRPr="007607FC">
              <w:rPr>
                <w:rFonts w:ascii="Arial Narrow" w:hAnsi="Arial Narrow"/>
                <w:color w:val="000000"/>
                <w:sz w:val="20"/>
                <w:szCs w:val="20"/>
              </w:rPr>
              <w:t>19.44</w:t>
            </w:r>
          </w:p>
        </w:tc>
      </w:tr>
      <w:tr w:rsidR="00B02507" w:rsidRPr="007607FC" w14:paraId="6EA464FA" w14:textId="77777777" w:rsidTr="007607FC">
        <w:trPr>
          <w:trHeight w:val="288"/>
        </w:trPr>
        <w:tc>
          <w:tcPr>
            <w:tcW w:w="1980" w:type="dxa"/>
            <w:vMerge w:val="restart"/>
            <w:shd w:val="clear" w:color="auto" w:fill="auto"/>
            <w:vAlign w:val="center"/>
            <w:hideMark/>
          </w:tcPr>
          <w:p w14:paraId="2DD758CF" w14:textId="77777777" w:rsidR="00B02507" w:rsidRPr="007607FC" w:rsidRDefault="00B02507" w:rsidP="00784C6D">
            <w:pPr>
              <w:keepNext/>
              <w:jc w:val="left"/>
              <w:rPr>
                <w:rFonts w:ascii="Arial Narrow" w:hAnsi="Arial Narrow"/>
                <w:color w:val="000000"/>
                <w:sz w:val="20"/>
                <w:szCs w:val="20"/>
              </w:rPr>
            </w:pPr>
            <w:r w:rsidRPr="007607FC">
              <w:rPr>
                <w:rFonts w:ascii="Arial Narrow" w:hAnsi="Arial Narrow"/>
                <w:color w:val="000000"/>
                <w:sz w:val="20"/>
                <w:szCs w:val="20"/>
              </w:rPr>
              <w:t>Cost per 28 days</w:t>
            </w:r>
          </w:p>
        </w:tc>
        <w:tc>
          <w:tcPr>
            <w:tcW w:w="1104" w:type="dxa"/>
            <w:vMerge w:val="restart"/>
            <w:shd w:val="clear" w:color="auto" w:fill="auto"/>
            <w:vAlign w:val="center"/>
            <w:hideMark/>
          </w:tcPr>
          <w:p w14:paraId="3976D577" w14:textId="5B2F3773"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w:t>
            </w:r>
            <w:r w:rsidR="009B407F" w:rsidRPr="009B407F">
              <w:rPr>
                <w:rFonts w:ascii="Arial Narrow" w:hAnsi="Arial Narrow" w:hint="eastAsia"/>
                <w:color w:val="000000"/>
                <w:w w:val="33"/>
                <w:sz w:val="20"/>
                <w:szCs w:val="20"/>
                <w:shd w:val="solid" w:color="000000" w:fill="000000"/>
                <w:fitText w:val="147" w:id="-762061813"/>
                <w14:textFill>
                  <w14:solidFill>
                    <w14:srgbClr w14:val="000000">
                      <w14:alpha w14:val="100000"/>
                    </w14:srgbClr>
                  </w14:solidFill>
                </w14:textFill>
              </w:rPr>
              <w:t xml:space="preserve">　</w:t>
            </w:r>
            <w:r w:rsidR="009B407F" w:rsidRPr="009B407F">
              <w:rPr>
                <w:rFonts w:ascii="Arial Narrow" w:hAnsi="Arial Narrow"/>
                <w:color w:val="000000"/>
                <w:w w:val="33"/>
                <w:sz w:val="20"/>
                <w:szCs w:val="20"/>
                <w:shd w:val="solid" w:color="000000" w:fill="000000"/>
                <w:fitText w:val="147" w:id="-762061813"/>
                <w14:textFill>
                  <w14:solidFill>
                    <w14:srgbClr w14:val="000000">
                      <w14:alpha w14:val="100000"/>
                    </w14:srgbClr>
                  </w14:solidFill>
                </w14:textFill>
              </w:rPr>
              <w:t>|</w:t>
            </w:r>
            <w:r w:rsidR="009B407F" w:rsidRPr="009B407F">
              <w:rPr>
                <w:rFonts w:ascii="Arial Narrow" w:hAnsi="Arial Narrow" w:hint="eastAsia"/>
                <w:color w:val="000000"/>
                <w:w w:val="33"/>
                <w:sz w:val="20"/>
                <w:szCs w:val="20"/>
                <w:shd w:val="solid" w:color="000000" w:fill="000000"/>
                <w:fitText w:val="147" w:id="-762061813"/>
                <w14:textFill>
                  <w14:solidFill>
                    <w14:srgbClr w14:val="000000">
                      <w14:alpha w14:val="100000"/>
                    </w14:srgbClr>
                  </w14:solidFill>
                </w14:textFill>
              </w:rPr>
              <w:t xml:space="preserve">　</w:t>
            </w:r>
          </w:p>
        </w:tc>
        <w:tc>
          <w:tcPr>
            <w:tcW w:w="974" w:type="dxa"/>
            <w:vMerge w:val="restart"/>
            <w:shd w:val="clear" w:color="auto" w:fill="auto"/>
            <w:vAlign w:val="center"/>
            <w:hideMark/>
          </w:tcPr>
          <w:p w14:paraId="1EE80F06" w14:textId="4213008C"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$21</w:t>
            </w:r>
            <w:r w:rsidR="006B21B4" w:rsidRPr="007607FC">
              <w:rPr>
                <w:rFonts w:ascii="Arial Narrow" w:hAnsi="Arial Narrow"/>
                <w:color w:val="000000"/>
                <w:sz w:val="20"/>
                <w:szCs w:val="20"/>
              </w:rPr>
              <w:t>3</w:t>
            </w:r>
            <w:r w:rsidRPr="007607FC">
              <w:rPr>
                <w:rFonts w:ascii="Arial Narrow" w:hAnsi="Arial Narrow"/>
                <w:color w:val="000000"/>
                <w:sz w:val="20"/>
                <w:szCs w:val="20"/>
              </w:rPr>
              <w:t>.</w:t>
            </w:r>
            <w:r w:rsidR="006B21B4" w:rsidRPr="007607FC">
              <w:rPr>
                <w:rFonts w:ascii="Arial Narrow" w:hAnsi="Arial Narrow"/>
                <w:color w:val="000000"/>
                <w:sz w:val="20"/>
                <w:szCs w:val="20"/>
              </w:rPr>
              <w:t>17</w:t>
            </w:r>
          </w:p>
        </w:tc>
        <w:tc>
          <w:tcPr>
            <w:tcW w:w="1023" w:type="dxa"/>
            <w:vMerge w:val="restart"/>
            <w:shd w:val="clear" w:color="auto" w:fill="auto"/>
            <w:vAlign w:val="center"/>
            <w:hideMark/>
          </w:tcPr>
          <w:p w14:paraId="47951605" w14:textId="5BF28919" w:rsidR="00B02507" w:rsidRPr="007607FC" w:rsidRDefault="00037C89" w:rsidP="00784C6D">
            <w:pPr>
              <w:keepNext/>
              <w:jc w:val="center"/>
              <w:rPr>
                <w:rFonts w:ascii="Arial Narrow" w:hAnsi="Arial Narrow"/>
                <w:color w:val="000000"/>
                <w:sz w:val="20"/>
                <w:szCs w:val="20"/>
              </w:rPr>
            </w:pPr>
            <w:r w:rsidRPr="007607FC">
              <w:rPr>
                <w:rFonts w:ascii="Arial Narrow" w:hAnsi="Arial Narrow"/>
                <w:color w:val="000000"/>
                <w:sz w:val="20"/>
                <w:szCs w:val="20"/>
              </w:rPr>
              <w:t>$116.01</w:t>
            </w:r>
          </w:p>
        </w:tc>
        <w:tc>
          <w:tcPr>
            <w:tcW w:w="1174" w:type="dxa"/>
            <w:vMerge w:val="restart"/>
            <w:shd w:val="clear" w:color="auto" w:fill="auto"/>
            <w:vAlign w:val="center"/>
            <w:hideMark/>
          </w:tcPr>
          <w:p w14:paraId="3D7AAA8A" w14:textId="79B361AC"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$20</w:t>
            </w:r>
            <w:r w:rsidR="00037C89" w:rsidRPr="007607FC">
              <w:rPr>
                <w:rFonts w:ascii="Arial Narrow" w:hAnsi="Arial Narrow"/>
                <w:color w:val="000000"/>
                <w:sz w:val="20"/>
                <w:szCs w:val="20"/>
              </w:rPr>
              <w:t>7.27</w:t>
            </w:r>
          </w:p>
        </w:tc>
        <w:tc>
          <w:tcPr>
            <w:tcW w:w="1429" w:type="dxa"/>
            <w:shd w:val="clear" w:color="000000" w:fill="D9D9D9"/>
            <w:vAlign w:val="center"/>
            <w:hideMark/>
          </w:tcPr>
          <w:p w14:paraId="25ED391D" w14:textId="0F7A1F6C"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$4.</w:t>
            </w:r>
            <w:r w:rsidR="00435AEB" w:rsidRPr="007607FC">
              <w:rPr>
                <w:rFonts w:ascii="Arial Narrow" w:hAnsi="Arial Narrow"/>
                <w:color w:val="000000"/>
                <w:sz w:val="20"/>
                <w:szCs w:val="20"/>
              </w:rPr>
              <w:t>89</w:t>
            </w:r>
          </w:p>
        </w:tc>
        <w:tc>
          <w:tcPr>
            <w:tcW w:w="1383" w:type="dxa"/>
            <w:shd w:val="clear" w:color="000000" w:fill="D9D9D9"/>
            <w:vAlign w:val="center"/>
            <w:hideMark/>
          </w:tcPr>
          <w:p w14:paraId="18B4E43B" w14:textId="33B45DAC"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$4.</w:t>
            </w:r>
            <w:r w:rsidR="00435AEB" w:rsidRPr="007607FC">
              <w:rPr>
                <w:rFonts w:ascii="Arial Narrow" w:hAnsi="Arial Narrow"/>
                <w:color w:val="000000"/>
                <w:sz w:val="20"/>
                <w:szCs w:val="20"/>
              </w:rPr>
              <w:t>86</w:t>
            </w:r>
          </w:p>
        </w:tc>
      </w:tr>
      <w:tr w:rsidR="00B02507" w:rsidRPr="007607FC" w14:paraId="7491D732" w14:textId="77777777" w:rsidTr="007607FC">
        <w:trPr>
          <w:trHeight w:val="288"/>
        </w:trPr>
        <w:tc>
          <w:tcPr>
            <w:tcW w:w="1980" w:type="dxa"/>
            <w:vMerge/>
            <w:vAlign w:val="center"/>
            <w:hideMark/>
          </w:tcPr>
          <w:p w14:paraId="33C2B7D8" w14:textId="77777777" w:rsidR="00B02507" w:rsidRPr="007607FC" w:rsidRDefault="00B02507" w:rsidP="00784C6D">
            <w:pPr>
              <w:keepNext/>
              <w:jc w:val="left"/>
              <w:rPr>
                <w:rFonts w:ascii="Arial Narrow" w:hAnsi="Arial Narrow"/>
                <w:color w:val="000000"/>
                <w:sz w:val="20"/>
                <w:szCs w:val="20"/>
              </w:rPr>
            </w:pPr>
          </w:p>
        </w:tc>
        <w:tc>
          <w:tcPr>
            <w:tcW w:w="1104" w:type="dxa"/>
            <w:vMerge/>
            <w:vAlign w:val="center"/>
            <w:hideMark/>
          </w:tcPr>
          <w:p w14:paraId="50139809" w14:textId="77777777" w:rsidR="00B02507" w:rsidRPr="007607FC" w:rsidRDefault="00B02507" w:rsidP="00784C6D">
            <w:pPr>
              <w:keepNext/>
              <w:jc w:val="left"/>
              <w:rPr>
                <w:rFonts w:ascii="Arial Narrow" w:hAnsi="Arial Narrow"/>
                <w:color w:val="000000"/>
                <w:sz w:val="20"/>
                <w:szCs w:val="20"/>
              </w:rPr>
            </w:pPr>
          </w:p>
        </w:tc>
        <w:tc>
          <w:tcPr>
            <w:tcW w:w="974" w:type="dxa"/>
            <w:vMerge/>
            <w:vAlign w:val="center"/>
            <w:hideMark/>
          </w:tcPr>
          <w:p w14:paraId="1ABC5E73" w14:textId="77777777" w:rsidR="00B02507" w:rsidRPr="007607FC" w:rsidRDefault="00B02507" w:rsidP="00784C6D">
            <w:pPr>
              <w:keepNext/>
              <w:jc w:val="left"/>
              <w:rPr>
                <w:rFonts w:ascii="Arial Narrow" w:hAnsi="Arial Narrow"/>
                <w:color w:val="000000"/>
                <w:sz w:val="20"/>
                <w:szCs w:val="20"/>
                <w:highlight w:val="yellow"/>
              </w:rPr>
            </w:pPr>
          </w:p>
        </w:tc>
        <w:tc>
          <w:tcPr>
            <w:tcW w:w="1023" w:type="dxa"/>
            <w:vMerge/>
            <w:vAlign w:val="center"/>
            <w:hideMark/>
          </w:tcPr>
          <w:p w14:paraId="478018B3" w14:textId="77777777" w:rsidR="00B02507" w:rsidRPr="007607FC" w:rsidRDefault="00B02507" w:rsidP="00784C6D">
            <w:pPr>
              <w:keepNext/>
              <w:jc w:val="left"/>
              <w:rPr>
                <w:rFonts w:ascii="Arial Narrow" w:hAnsi="Arial Narrow"/>
                <w:color w:val="000000"/>
                <w:sz w:val="20"/>
                <w:szCs w:val="20"/>
                <w:highlight w:val="yellow"/>
              </w:rPr>
            </w:pPr>
          </w:p>
        </w:tc>
        <w:tc>
          <w:tcPr>
            <w:tcW w:w="1174" w:type="dxa"/>
            <w:vMerge/>
            <w:vAlign w:val="center"/>
            <w:hideMark/>
          </w:tcPr>
          <w:p w14:paraId="18406A57" w14:textId="77777777" w:rsidR="00B02507" w:rsidRPr="007607FC" w:rsidRDefault="00B02507" w:rsidP="00784C6D">
            <w:pPr>
              <w:keepNext/>
              <w:jc w:val="left"/>
              <w:rPr>
                <w:rFonts w:ascii="Arial Narrow" w:hAnsi="Arial Narrow"/>
                <w:color w:val="000000"/>
                <w:sz w:val="20"/>
                <w:szCs w:val="20"/>
                <w:highlight w:val="yellow"/>
              </w:rPr>
            </w:pPr>
          </w:p>
        </w:tc>
        <w:tc>
          <w:tcPr>
            <w:tcW w:w="2812" w:type="dxa"/>
            <w:gridSpan w:val="2"/>
            <w:shd w:val="clear" w:color="000000" w:fill="D9D9D9"/>
            <w:vAlign w:val="center"/>
            <w:hideMark/>
          </w:tcPr>
          <w:p w14:paraId="7A3C40E0" w14:textId="7C22FA1C" w:rsidR="00B02507" w:rsidRPr="007607FC" w:rsidRDefault="00B02507" w:rsidP="00784C6D">
            <w:pPr>
              <w:keepNext/>
              <w:jc w:val="center"/>
              <w:rPr>
                <w:rFonts w:ascii="Arial Narrow" w:hAnsi="Arial Narrow"/>
                <w:color w:val="000000"/>
                <w:sz w:val="20"/>
                <w:szCs w:val="20"/>
              </w:rPr>
            </w:pPr>
            <w:r w:rsidRPr="007607FC">
              <w:rPr>
                <w:rFonts w:ascii="Arial Narrow" w:hAnsi="Arial Narrow"/>
                <w:color w:val="000000"/>
                <w:sz w:val="20"/>
                <w:szCs w:val="20"/>
              </w:rPr>
              <w:t>Average: $4.</w:t>
            </w:r>
            <w:r w:rsidR="00435AEB" w:rsidRPr="007607FC">
              <w:rPr>
                <w:rFonts w:ascii="Arial Narrow" w:hAnsi="Arial Narrow"/>
                <w:color w:val="000000"/>
                <w:sz w:val="20"/>
                <w:szCs w:val="20"/>
              </w:rPr>
              <w:t>88</w:t>
            </w:r>
          </w:p>
        </w:tc>
      </w:tr>
      <w:tr w:rsidR="006B21B4" w:rsidRPr="007607FC" w14:paraId="4373DF57" w14:textId="77777777" w:rsidTr="007607FC">
        <w:trPr>
          <w:trHeight w:val="288"/>
        </w:trPr>
        <w:tc>
          <w:tcPr>
            <w:tcW w:w="1980" w:type="dxa"/>
            <w:shd w:val="clear" w:color="auto" w:fill="auto"/>
            <w:vAlign w:val="center"/>
          </w:tcPr>
          <w:p w14:paraId="19F982E4" w14:textId="77777777" w:rsidR="006B21B4" w:rsidRPr="007607FC" w:rsidRDefault="006B21B4" w:rsidP="00784C6D">
            <w:pPr>
              <w:keepNext/>
              <w:jc w:val="left"/>
              <w:rPr>
                <w:rFonts w:ascii="Arial Narrow" w:hAnsi="Arial Narrow"/>
                <w:color w:val="000000"/>
                <w:sz w:val="20"/>
                <w:szCs w:val="20"/>
              </w:rPr>
            </w:pPr>
            <w:r w:rsidRPr="007607FC">
              <w:rPr>
                <w:rFonts w:ascii="Arial Narrow" w:hAnsi="Arial Narrow" w:cs="Calibri"/>
                <w:color w:val="000000"/>
                <w:sz w:val="20"/>
                <w:szCs w:val="20"/>
              </w:rPr>
              <w:t>Cost per 6 months (inc. add-back)</w:t>
            </w:r>
          </w:p>
        </w:tc>
        <w:tc>
          <w:tcPr>
            <w:tcW w:w="1104" w:type="dxa"/>
            <w:shd w:val="clear" w:color="auto" w:fill="auto"/>
            <w:vAlign w:val="center"/>
          </w:tcPr>
          <w:p w14:paraId="141F23B2" w14:textId="515786D5" w:rsidR="006B21B4" w:rsidRPr="007607FC" w:rsidRDefault="006B21B4" w:rsidP="00784C6D">
            <w:pPr>
              <w:keepNext/>
              <w:jc w:val="center"/>
              <w:rPr>
                <w:rFonts w:ascii="Arial Narrow" w:hAnsi="Arial Narrow"/>
                <w:color w:val="000000"/>
                <w:sz w:val="20"/>
                <w:szCs w:val="20"/>
                <w:highlight w:val="yellow"/>
              </w:rPr>
            </w:pPr>
            <w:r w:rsidRPr="00C84B21">
              <w:rPr>
                <w:rFonts w:ascii="Arial Narrow" w:hAnsi="Arial Narrow" w:cs="Calibri"/>
                <w:i/>
                <w:iCs/>
                <w:color w:val="000000"/>
                <w:sz w:val="20"/>
                <w:szCs w:val="20"/>
              </w:rPr>
              <w:t>$</w:t>
            </w:r>
            <w:r w:rsidR="009B407F" w:rsidRPr="009B407F">
              <w:rPr>
                <w:rFonts w:ascii="Arial Narrow" w:hAnsi="Arial Narrow" w:cs="Calibri" w:hint="eastAsia"/>
                <w:i/>
                <w:iCs/>
                <w:color w:val="000000"/>
                <w:w w:val="33"/>
                <w:sz w:val="20"/>
                <w:szCs w:val="20"/>
                <w:shd w:val="solid" w:color="000000" w:fill="000000"/>
                <w:fitText w:val="147" w:id="-762061812"/>
                <w14:textFill>
                  <w14:solidFill>
                    <w14:srgbClr w14:val="000000">
                      <w14:alpha w14:val="100000"/>
                    </w14:srgbClr>
                  </w14:solidFill>
                </w14:textFill>
              </w:rPr>
              <w:t xml:space="preserve">　</w:t>
            </w:r>
            <w:r w:rsidR="009B407F" w:rsidRPr="009B407F">
              <w:rPr>
                <w:rFonts w:ascii="Arial Narrow" w:hAnsi="Arial Narrow" w:cs="Calibri"/>
                <w:i/>
                <w:iCs/>
                <w:color w:val="000000"/>
                <w:w w:val="33"/>
                <w:sz w:val="20"/>
                <w:szCs w:val="20"/>
                <w:shd w:val="solid" w:color="000000" w:fill="000000"/>
                <w:fitText w:val="147" w:id="-762061812"/>
                <w14:textFill>
                  <w14:solidFill>
                    <w14:srgbClr w14:val="000000">
                      <w14:alpha w14:val="100000"/>
                    </w14:srgbClr>
                  </w14:solidFill>
                </w14:textFill>
              </w:rPr>
              <w:t>|</w:t>
            </w:r>
            <w:r w:rsidR="009B407F" w:rsidRPr="009B407F">
              <w:rPr>
                <w:rFonts w:ascii="Arial Narrow" w:hAnsi="Arial Narrow" w:cs="Calibri" w:hint="eastAsia"/>
                <w:i/>
                <w:iCs/>
                <w:color w:val="000000"/>
                <w:w w:val="33"/>
                <w:sz w:val="20"/>
                <w:szCs w:val="20"/>
                <w:shd w:val="solid" w:color="000000" w:fill="000000"/>
                <w:fitText w:val="147" w:id="-762061812"/>
                <w14:textFill>
                  <w14:solidFill>
                    <w14:srgbClr w14:val="000000">
                      <w14:alpha w14:val="100000"/>
                    </w14:srgbClr>
                  </w14:solidFill>
                </w14:textFill>
              </w:rPr>
              <w:t xml:space="preserve">　</w:t>
            </w:r>
          </w:p>
        </w:tc>
        <w:tc>
          <w:tcPr>
            <w:tcW w:w="974" w:type="dxa"/>
            <w:shd w:val="clear" w:color="auto" w:fill="auto"/>
            <w:vAlign w:val="center"/>
          </w:tcPr>
          <w:p w14:paraId="09A9265B" w14:textId="7A4B5AD6" w:rsidR="006B21B4" w:rsidRPr="007607FC" w:rsidRDefault="006B21B4" w:rsidP="00784C6D">
            <w:pPr>
              <w:keepNext/>
              <w:jc w:val="center"/>
              <w:rPr>
                <w:rFonts w:ascii="Arial Narrow" w:hAnsi="Arial Narrow"/>
                <w:color w:val="000000"/>
                <w:sz w:val="20"/>
                <w:szCs w:val="20"/>
                <w:highlight w:val="yellow"/>
              </w:rPr>
            </w:pPr>
            <w:r w:rsidRPr="007607FC">
              <w:rPr>
                <w:rFonts w:ascii="Arial Narrow" w:hAnsi="Arial Narrow" w:cs="Calibri"/>
                <w:i/>
                <w:iCs/>
                <w:color w:val="000000"/>
                <w:sz w:val="20"/>
                <w:szCs w:val="20"/>
              </w:rPr>
              <w:t>$1,422.17</w:t>
            </w:r>
          </w:p>
        </w:tc>
        <w:tc>
          <w:tcPr>
            <w:tcW w:w="1023" w:type="dxa"/>
            <w:shd w:val="clear" w:color="auto" w:fill="auto"/>
            <w:vAlign w:val="center"/>
          </w:tcPr>
          <w:p w14:paraId="3931177F" w14:textId="78B4A105" w:rsidR="006B21B4" w:rsidRPr="007607FC" w:rsidRDefault="006B21B4" w:rsidP="00784C6D">
            <w:pPr>
              <w:keepNext/>
              <w:jc w:val="center"/>
              <w:rPr>
                <w:rFonts w:ascii="Arial Narrow" w:hAnsi="Arial Narrow"/>
                <w:color w:val="000000"/>
                <w:sz w:val="20"/>
                <w:szCs w:val="20"/>
                <w:highlight w:val="yellow"/>
              </w:rPr>
            </w:pPr>
            <w:r w:rsidRPr="007607FC">
              <w:rPr>
                <w:rFonts w:ascii="Arial Narrow" w:hAnsi="Arial Narrow" w:cs="Calibri"/>
                <w:i/>
                <w:iCs/>
                <w:color w:val="000000"/>
                <w:sz w:val="20"/>
                <w:szCs w:val="20"/>
              </w:rPr>
              <w:t>$788.48</w:t>
            </w:r>
          </w:p>
        </w:tc>
        <w:tc>
          <w:tcPr>
            <w:tcW w:w="1174" w:type="dxa"/>
            <w:tcBorders>
              <w:right w:val="single" w:sz="4" w:space="0" w:color="auto"/>
            </w:tcBorders>
            <w:shd w:val="clear" w:color="auto" w:fill="auto"/>
            <w:vAlign w:val="center"/>
          </w:tcPr>
          <w:p w14:paraId="2B5F43F2" w14:textId="365EBB78" w:rsidR="006B21B4" w:rsidRPr="007607FC" w:rsidRDefault="006B21B4" w:rsidP="00784C6D">
            <w:pPr>
              <w:keepNext/>
              <w:jc w:val="center"/>
              <w:rPr>
                <w:rFonts w:ascii="Arial Narrow" w:hAnsi="Arial Narrow"/>
                <w:color w:val="000000"/>
                <w:sz w:val="20"/>
                <w:szCs w:val="20"/>
                <w:highlight w:val="yellow"/>
              </w:rPr>
            </w:pPr>
            <w:r w:rsidRPr="007607FC">
              <w:rPr>
                <w:rFonts w:ascii="Arial Narrow" w:hAnsi="Arial Narrow" w:cs="Calibri"/>
                <w:i/>
                <w:iCs/>
                <w:color w:val="000000"/>
                <w:sz w:val="20"/>
                <w:szCs w:val="20"/>
              </w:rPr>
              <w:t>$1,383.66</w:t>
            </w:r>
          </w:p>
        </w:tc>
        <w:tc>
          <w:tcPr>
            <w:tcW w:w="1429" w:type="dxa"/>
            <w:tcBorders>
              <w:top w:val="single" w:sz="4" w:space="0" w:color="auto"/>
              <w:left w:val="single" w:sz="4" w:space="0" w:color="auto"/>
              <w:bottom w:val="nil"/>
              <w:right w:val="nil"/>
            </w:tcBorders>
            <w:shd w:val="clear" w:color="auto" w:fill="auto"/>
            <w:vAlign w:val="center"/>
            <w:hideMark/>
          </w:tcPr>
          <w:p w14:paraId="00BE6878" w14:textId="77777777" w:rsidR="006B21B4" w:rsidRPr="007607FC" w:rsidRDefault="006B21B4" w:rsidP="00784C6D">
            <w:pPr>
              <w:keepNext/>
              <w:jc w:val="center"/>
              <w:rPr>
                <w:rFonts w:ascii="Arial Narrow" w:hAnsi="Arial Narrow"/>
                <w:color w:val="000000"/>
                <w:sz w:val="20"/>
                <w:szCs w:val="20"/>
              </w:rPr>
            </w:pPr>
          </w:p>
        </w:tc>
        <w:tc>
          <w:tcPr>
            <w:tcW w:w="1383" w:type="dxa"/>
            <w:tcBorders>
              <w:top w:val="single" w:sz="4" w:space="0" w:color="auto"/>
              <w:left w:val="nil"/>
              <w:bottom w:val="nil"/>
              <w:right w:val="single" w:sz="4" w:space="0" w:color="auto"/>
            </w:tcBorders>
            <w:shd w:val="clear" w:color="auto" w:fill="auto"/>
            <w:vAlign w:val="center"/>
            <w:hideMark/>
          </w:tcPr>
          <w:p w14:paraId="23BA76FF" w14:textId="77777777" w:rsidR="006B21B4" w:rsidRPr="007607FC" w:rsidRDefault="006B21B4" w:rsidP="00784C6D">
            <w:pPr>
              <w:keepNext/>
              <w:jc w:val="left"/>
              <w:rPr>
                <w:rFonts w:ascii="Arial Narrow" w:hAnsi="Arial Narrow"/>
                <w:sz w:val="20"/>
                <w:szCs w:val="20"/>
              </w:rPr>
            </w:pPr>
          </w:p>
        </w:tc>
      </w:tr>
      <w:tr w:rsidR="00B02507" w:rsidRPr="007607FC" w14:paraId="24A32B9C" w14:textId="77777777" w:rsidTr="007607FC">
        <w:trPr>
          <w:trHeight w:val="480"/>
        </w:trPr>
        <w:tc>
          <w:tcPr>
            <w:tcW w:w="1980" w:type="dxa"/>
            <w:shd w:val="clear" w:color="auto" w:fill="auto"/>
            <w:vAlign w:val="center"/>
          </w:tcPr>
          <w:p w14:paraId="4F4BF59E" w14:textId="72AB8FEA" w:rsidR="00B02507" w:rsidRPr="007607FC" w:rsidRDefault="00B02507" w:rsidP="00784C6D">
            <w:pPr>
              <w:keepNext/>
              <w:jc w:val="left"/>
              <w:rPr>
                <w:rFonts w:ascii="Arial Narrow" w:hAnsi="Arial Narrow"/>
                <w:color w:val="000000"/>
                <w:sz w:val="20"/>
                <w:szCs w:val="20"/>
              </w:rPr>
            </w:pPr>
            <w:r w:rsidRPr="007607FC">
              <w:rPr>
                <w:rFonts w:ascii="Arial Narrow" w:hAnsi="Arial Narrow" w:cs="Calibri"/>
                <w:color w:val="000000"/>
                <w:sz w:val="20"/>
                <w:szCs w:val="20"/>
              </w:rPr>
              <w:t>Cost of BMD testing yr 1 (MBS item 12321 Fee: $11</w:t>
            </w:r>
            <w:r w:rsidR="00435AEB" w:rsidRPr="007607FC">
              <w:rPr>
                <w:rFonts w:ascii="Arial Narrow" w:hAnsi="Arial Narrow" w:cs="Calibri"/>
                <w:color w:val="000000"/>
                <w:sz w:val="20"/>
                <w:szCs w:val="20"/>
              </w:rPr>
              <w:t>6.65</w:t>
            </w:r>
            <w:r w:rsidRPr="007607FC">
              <w:rPr>
                <w:rFonts w:ascii="Arial Narrow" w:hAnsi="Arial Narrow" w:cs="Calibri"/>
                <w:color w:val="000000"/>
                <w:sz w:val="20"/>
                <w:szCs w:val="20"/>
              </w:rPr>
              <w:t>)</w:t>
            </w:r>
          </w:p>
        </w:tc>
        <w:tc>
          <w:tcPr>
            <w:tcW w:w="1104" w:type="dxa"/>
            <w:shd w:val="clear" w:color="auto" w:fill="auto"/>
            <w:vAlign w:val="center"/>
          </w:tcPr>
          <w:p w14:paraId="301A8ADC" w14:textId="5A8BC5BB" w:rsidR="00B02507" w:rsidRPr="007607FC" w:rsidRDefault="00B02507" w:rsidP="00784C6D">
            <w:pPr>
              <w:keepNext/>
              <w:jc w:val="center"/>
              <w:rPr>
                <w:rFonts w:ascii="Arial Narrow" w:hAnsi="Arial Narrow"/>
                <w:color w:val="000000"/>
                <w:sz w:val="20"/>
                <w:szCs w:val="20"/>
              </w:rPr>
            </w:pPr>
            <w:r w:rsidRPr="007607FC">
              <w:rPr>
                <w:rFonts w:ascii="Arial Narrow" w:hAnsi="Arial Narrow" w:cs="Calibri"/>
                <w:color w:val="000000"/>
                <w:sz w:val="20"/>
                <w:szCs w:val="20"/>
              </w:rPr>
              <w:t>$11</w:t>
            </w:r>
            <w:r w:rsidR="00435AEB" w:rsidRPr="007607FC">
              <w:rPr>
                <w:rFonts w:ascii="Arial Narrow" w:hAnsi="Arial Narrow" w:cs="Calibri"/>
                <w:color w:val="000000"/>
                <w:sz w:val="20"/>
                <w:szCs w:val="20"/>
              </w:rPr>
              <w:t>6.65</w:t>
            </w:r>
          </w:p>
        </w:tc>
        <w:tc>
          <w:tcPr>
            <w:tcW w:w="974" w:type="dxa"/>
            <w:shd w:val="clear" w:color="auto" w:fill="auto"/>
            <w:vAlign w:val="center"/>
          </w:tcPr>
          <w:p w14:paraId="054DF94F"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s="Calibri"/>
                <w:color w:val="000000"/>
                <w:sz w:val="20"/>
                <w:szCs w:val="20"/>
              </w:rPr>
              <w:t>$0.00</w:t>
            </w:r>
          </w:p>
        </w:tc>
        <w:tc>
          <w:tcPr>
            <w:tcW w:w="1023" w:type="dxa"/>
            <w:shd w:val="clear" w:color="auto" w:fill="auto"/>
            <w:vAlign w:val="center"/>
          </w:tcPr>
          <w:p w14:paraId="1B6207F2" w14:textId="5941BD65" w:rsidR="00B02507" w:rsidRPr="007607FC" w:rsidRDefault="00B02507" w:rsidP="00784C6D">
            <w:pPr>
              <w:keepNext/>
              <w:jc w:val="center"/>
              <w:rPr>
                <w:rFonts w:ascii="Arial Narrow" w:hAnsi="Arial Narrow"/>
                <w:color w:val="000000"/>
                <w:sz w:val="20"/>
                <w:szCs w:val="20"/>
              </w:rPr>
            </w:pPr>
            <w:r w:rsidRPr="007607FC">
              <w:rPr>
                <w:rFonts w:ascii="Arial Narrow" w:hAnsi="Arial Narrow" w:cs="Calibri"/>
                <w:color w:val="000000"/>
                <w:sz w:val="20"/>
                <w:szCs w:val="20"/>
              </w:rPr>
              <w:t>$11</w:t>
            </w:r>
            <w:r w:rsidR="00435AEB" w:rsidRPr="007607FC">
              <w:rPr>
                <w:rFonts w:ascii="Arial Narrow" w:hAnsi="Arial Narrow" w:cs="Calibri"/>
                <w:color w:val="000000"/>
                <w:sz w:val="20"/>
                <w:szCs w:val="20"/>
              </w:rPr>
              <w:t>6.65</w:t>
            </w:r>
          </w:p>
        </w:tc>
        <w:tc>
          <w:tcPr>
            <w:tcW w:w="1174" w:type="dxa"/>
            <w:tcBorders>
              <w:right w:val="single" w:sz="4" w:space="0" w:color="auto"/>
            </w:tcBorders>
            <w:shd w:val="clear" w:color="auto" w:fill="auto"/>
            <w:vAlign w:val="center"/>
          </w:tcPr>
          <w:p w14:paraId="1AD783E4" w14:textId="6E1EA9A4" w:rsidR="00B02507" w:rsidRPr="007607FC" w:rsidRDefault="00B02507" w:rsidP="00784C6D">
            <w:pPr>
              <w:keepNext/>
              <w:jc w:val="center"/>
              <w:rPr>
                <w:rFonts w:ascii="Arial Narrow" w:hAnsi="Arial Narrow"/>
                <w:color w:val="000000"/>
                <w:sz w:val="20"/>
                <w:szCs w:val="20"/>
              </w:rPr>
            </w:pPr>
            <w:r w:rsidRPr="007607FC">
              <w:rPr>
                <w:rFonts w:ascii="Arial Narrow" w:hAnsi="Arial Narrow" w:cs="Calibri"/>
                <w:color w:val="000000"/>
                <w:sz w:val="20"/>
                <w:szCs w:val="20"/>
              </w:rPr>
              <w:t>$11</w:t>
            </w:r>
            <w:r w:rsidR="00435AEB" w:rsidRPr="007607FC">
              <w:rPr>
                <w:rFonts w:ascii="Arial Narrow" w:hAnsi="Arial Narrow" w:cs="Calibri"/>
                <w:color w:val="000000"/>
                <w:sz w:val="20"/>
                <w:szCs w:val="20"/>
              </w:rPr>
              <w:t>6.65</w:t>
            </w:r>
          </w:p>
        </w:tc>
        <w:tc>
          <w:tcPr>
            <w:tcW w:w="1429" w:type="dxa"/>
            <w:tcBorders>
              <w:top w:val="nil"/>
              <w:left w:val="single" w:sz="4" w:space="0" w:color="auto"/>
              <w:bottom w:val="nil"/>
              <w:right w:val="nil"/>
            </w:tcBorders>
            <w:shd w:val="clear" w:color="auto" w:fill="auto"/>
            <w:vAlign w:val="center"/>
            <w:hideMark/>
          </w:tcPr>
          <w:p w14:paraId="58EB856A" w14:textId="77777777" w:rsidR="00B02507" w:rsidRPr="007607FC" w:rsidRDefault="00B02507" w:rsidP="00784C6D">
            <w:pPr>
              <w:keepNext/>
              <w:jc w:val="center"/>
              <w:rPr>
                <w:rFonts w:ascii="Arial Narrow" w:hAnsi="Arial Narrow"/>
                <w:color w:val="000000"/>
                <w:sz w:val="20"/>
                <w:szCs w:val="20"/>
              </w:rPr>
            </w:pPr>
          </w:p>
        </w:tc>
        <w:tc>
          <w:tcPr>
            <w:tcW w:w="1383" w:type="dxa"/>
            <w:tcBorders>
              <w:top w:val="nil"/>
              <w:left w:val="nil"/>
              <w:bottom w:val="nil"/>
              <w:right w:val="single" w:sz="4" w:space="0" w:color="auto"/>
            </w:tcBorders>
            <w:shd w:val="clear" w:color="auto" w:fill="auto"/>
            <w:vAlign w:val="center"/>
            <w:hideMark/>
          </w:tcPr>
          <w:p w14:paraId="5E6A0734" w14:textId="77777777" w:rsidR="00B02507" w:rsidRPr="007607FC" w:rsidRDefault="00B02507" w:rsidP="00784C6D">
            <w:pPr>
              <w:keepNext/>
              <w:jc w:val="left"/>
              <w:rPr>
                <w:rFonts w:ascii="Arial Narrow" w:hAnsi="Arial Narrow"/>
                <w:sz w:val="20"/>
                <w:szCs w:val="20"/>
              </w:rPr>
            </w:pPr>
          </w:p>
        </w:tc>
      </w:tr>
      <w:tr w:rsidR="00B02507" w:rsidRPr="007607FC" w14:paraId="2A04F1E4" w14:textId="77777777" w:rsidTr="007607FC">
        <w:trPr>
          <w:trHeight w:val="720"/>
        </w:trPr>
        <w:tc>
          <w:tcPr>
            <w:tcW w:w="1980" w:type="dxa"/>
            <w:shd w:val="clear" w:color="auto" w:fill="auto"/>
            <w:vAlign w:val="center"/>
          </w:tcPr>
          <w:p w14:paraId="22CCD1B8" w14:textId="77777777" w:rsidR="00B02507" w:rsidRPr="007607FC" w:rsidRDefault="00B02507" w:rsidP="00784C6D">
            <w:pPr>
              <w:keepNext/>
              <w:jc w:val="left"/>
              <w:rPr>
                <w:rFonts w:ascii="Arial Narrow" w:hAnsi="Arial Narrow"/>
                <w:color w:val="000000"/>
                <w:sz w:val="20"/>
                <w:szCs w:val="20"/>
              </w:rPr>
            </w:pPr>
            <w:r w:rsidRPr="007607FC">
              <w:rPr>
                <w:rFonts w:ascii="Arial Narrow" w:hAnsi="Arial Narrow" w:cs="Calibri"/>
                <w:color w:val="000000"/>
                <w:sz w:val="20"/>
                <w:szCs w:val="20"/>
              </w:rPr>
              <w:t>Cost of implant administration over 6 months (MBS item 14206 $39.20 + MBS item 23 $41.40)</w:t>
            </w:r>
          </w:p>
        </w:tc>
        <w:tc>
          <w:tcPr>
            <w:tcW w:w="1104" w:type="dxa"/>
            <w:shd w:val="clear" w:color="auto" w:fill="auto"/>
            <w:vAlign w:val="center"/>
          </w:tcPr>
          <w:p w14:paraId="269655B7"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s="Calibri"/>
                <w:color w:val="000000"/>
                <w:sz w:val="20"/>
                <w:szCs w:val="20"/>
              </w:rPr>
              <w:t>$0.00</w:t>
            </w:r>
          </w:p>
        </w:tc>
        <w:tc>
          <w:tcPr>
            <w:tcW w:w="974" w:type="dxa"/>
            <w:shd w:val="clear" w:color="auto" w:fill="auto"/>
            <w:vAlign w:val="center"/>
          </w:tcPr>
          <w:p w14:paraId="70630719" w14:textId="21005BD2" w:rsidR="00B02507" w:rsidRPr="007607FC" w:rsidRDefault="006B21B4" w:rsidP="00784C6D">
            <w:pPr>
              <w:keepNext/>
              <w:jc w:val="center"/>
              <w:rPr>
                <w:rFonts w:ascii="Arial Narrow" w:hAnsi="Arial Narrow"/>
                <w:color w:val="000000"/>
                <w:sz w:val="20"/>
                <w:szCs w:val="20"/>
                <w:highlight w:val="yellow"/>
              </w:rPr>
            </w:pPr>
            <w:r w:rsidRPr="007607FC">
              <w:rPr>
                <w:rFonts w:ascii="Arial Narrow" w:hAnsi="Arial Narrow" w:cs="Calibri"/>
                <w:color w:val="000000"/>
                <w:sz w:val="20"/>
                <w:szCs w:val="20"/>
              </w:rPr>
              <w:t>$543.96</w:t>
            </w:r>
          </w:p>
        </w:tc>
        <w:tc>
          <w:tcPr>
            <w:tcW w:w="1023" w:type="dxa"/>
            <w:shd w:val="clear" w:color="auto" w:fill="auto"/>
            <w:vAlign w:val="center"/>
          </w:tcPr>
          <w:p w14:paraId="22143E13"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s="Calibri"/>
                <w:color w:val="000000"/>
                <w:sz w:val="20"/>
                <w:szCs w:val="20"/>
              </w:rPr>
              <w:t>$0.00</w:t>
            </w:r>
          </w:p>
        </w:tc>
        <w:tc>
          <w:tcPr>
            <w:tcW w:w="1174" w:type="dxa"/>
            <w:tcBorders>
              <w:right w:val="single" w:sz="4" w:space="0" w:color="auto"/>
            </w:tcBorders>
            <w:shd w:val="clear" w:color="auto" w:fill="auto"/>
            <w:vAlign w:val="center"/>
          </w:tcPr>
          <w:p w14:paraId="7D9E1945" w14:textId="77777777" w:rsidR="00B02507" w:rsidRPr="007607FC" w:rsidRDefault="00B02507" w:rsidP="00784C6D">
            <w:pPr>
              <w:keepNext/>
              <w:jc w:val="center"/>
              <w:rPr>
                <w:rFonts w:ascii="Arial Narrow" w:hAnsi="Arial Narrow"/>
                <w:color w:val="000000"/>
                <w:sz w:val="20"/>
                <w:szCs w:val="20"/>
              </w:rPr>
            </w:pPr>
            <w:r w:rsidRPr="007607FC">
              <w:rPr>
                <w:rFonts w:ascii="Arial Narrow" w:hAnsi="Arial Narrow" w:cs="Calibri"/>
                <w:color w:val="000000"/>
                <w:sz w:val="20"/>
                <w:szCs w:val="20"/>
              </w:rPr>
              <w:t>$0.00</w:t>
            </w:r>
          </w:p>
        </w:tc>
        <w:tc>
          <w:tcPr>
            <w:tcW w:w="1429" w:type="dxa"/>
            <w:tcBorders>
              <w:top w:val="nil"/>
              <w:left w:val="single" w:sz="4" w:space="0" w:color="auto"/>
              <w:bottom w:val="nil"/>
              <w:right w:val="nil"/>
            </w:tcBorders>
            <w:shd w:val="clear" w:color="auto" w:fill="auto"/>
            <w:vAlign w:val="center"/>
            <w:hideMark/>
          </w:tcPr>
          <w:p w14:paraId="353C5903" w14:textId="77777777" w:rsidR="00B02507" w:rsidRPr="007607FC" w:rsidRDefault="00B02507" w:rsidP="00784C6D">
            <w:pPr>
              <w:keepNext/>
              <w:jc w:val="center"/>
              <w:rPr>
                <w:rFonts w:ascii="Arial Narrow" w:hAnsi="Arial Narrow"/>
                <w:color w:val="000000"/>
                <w:sz w:val="20"/>
                <w:szCs w:val="20"/>
              </w:rPr>
            </w:pPr>
          </w:p>
        </w:tc>
        <w:tc>
          <w:tcPr>
            <w:tcW w:w="1383" w:type="dxa"/>
            <w:tcBorders>
              <w:top w:val="nil"/>
              <w:left w:val="nil"/>
              <w:bottom w:val="nil"/>
              <w:right w:val="single" w:sz="4" w:space="0" w:color="auto"/>
            </w:tcBorders>
            <w:shd w:val="clear" w:color="auto" w:fill="auto"/>
            <w:vAlign w:val="center"/>
            <w:hideMark/>
          </w:tcPr>
          <w:p w14:paraId="672FA61F" w14:textId="77777777" w:rsidR="00B02507" w:rsidRPr="007607FC" w:rsidRDefault="00B02507" w:rsidP="00784C6D">
            <w:pPr>
              <w:keepNext/>
              <w:jc w:val="left"/>
              <w:rPr>
                <w:rFonts w:ascii="Arial Narrow" w:hAnsi="Arial Narrow"/>
                <w:sz w:val="20"/>
                <w:szCs w:val="20"/>
              </w:rPr>
            </w:pPr>
          </w:p>
        </w:tc>
      </w:tr>
      <w:tr w:rsidR="00B02507" w:rsidRPr="007607FC" w14:paraId="4B23DB84" w14:textId="77777777" w:rsidTr="007607FC">
        <w:trPr>
          <w:trHeight w:val="720"/>
        </w:trPr>
        <w:tc>
          <w:tcPr>
            <w:tcW w:w="1980" w:type="dxa"/>
            <w:shd w:val="clear" w:color="auto" w:fill="auto"/>
            <w:vAlign w:val="center"/>
          </w:tcPr>
          <w:p w14:paraId="1AC0909F" w14:textId="77777777" w:rsidR="00B02507" w:rsidRPr="007607FC" w:rsidRDefault="00B02507" w:rsidP="00784C6D">
            <w:pPr>
              <w:keepNext/>
              <w:jc w:val="left"/>
              <w:rPr>
                <w:rFonts w:ascii="Arial Narrow" w:hAnsi="Arial Narrow"/>
                <w:color w:val="000000"/>
                <w:sz w:val="20"/>
                <w:szCs w:val="20"/>
              </w:rPr>
            </w:pPr>
            <w:r w:rsidRPr="007607FC">
              <w:rPr>
                <w:rFonts w:ascii="Arial Narrow" w:hAnsi="Arial Narrow" w:cs="Calibri"/>
                <w:color w:val="000000"/>
                <w:sz w:val="20"/>
                <w:szCs w:val="20"/>
              </w:rPr>
              <w:t>12 months medicine costs:</w:t>
            </w:r>
            <w:r w:rsidRPr="007607FC">
              <w:rPr>
                <w:rFonts w:ascii="Arial Narrow" w:hAnsi="Arial Narrow" w:cs="Calibri"/>
                <w:color w:val="000000"/>
                <w:sz w:val="20"/>
                <w:szCs w:val="20"/>
              </w:rPr>
              <w:br/>
              <w:t>12 months Ryeqo vs</w:t>
            </w:r>
            <w:r w:rsidRPr="007607FC">
              <w:rPr>
                <w:rFonts w:ascii="Arial Narrow" w:hAnsi="Arial Narrow" w:cs="Calibri"/>
                <w:color w:val="000000"/>
                <w:sz w:val="20"/>
                <w:szCs w:val="20"/>
              </w:rPr>
              <w:br/>
              <w:t xml:space="preserve">6 months goserelin + 6 months </w:t>
            </w:r>
            <w:proofErr w:type="spellStart"/>
            <w:r w:rsidRPr="007607FC">
              <w:rPr>
                <w:rFonts w:ascii="Arial Narrow" w:hAnsi="Arial Narrow" w:cs="Calibri"/>
                <w:color w:val="000000"/>
                <w:sz w:val="20"/>
                <w:szCs w:val="20"/>
              </w:rPr>
              <w:t>nafarelin</w:t>
            </w:r>
            <w:r w:rsidRPr="007607FC">
              <w:rPr>
                <w:rFonts w:ascii="Arial Narrow" w:hAnsi="Arial Narrow" w:cs="Calibri"/>
                <w:color w:val="000000"/>
                <w:sz w:val="20"/>
                <w:szCs w:val="20"/>
                <w:vertAlign w:val="superscript"/>
              </w:rPr>
              <w:t>a</w:t>
            </w:r>
            <w:proofErr w:type="spellEnd"/>
            <w:r w:rsidRPr="007607FC">
              <w:rPr>
                <w:rFonts w:ascii="Arial Narrow" w:hAnsi="Arial Narrow" w:cs="Calibri"/>
                <w:color w:val="000000"/>
                <w:sz w:val="20"/>
                <w:szCs w:val="20"/>
              </w:rPr>
              <w:t xml:space="preserve"> incl add-back</w:t>
            </w:r>
          </w:p>
        </w:tc>
        <w:tc>
          <w:tcPr>
            <w:tcW w:w="1104" w:type="dxa"/>
            <w:shd w:val="clear" w:color="auto" w:fill="auto"/>
            <w:vAlign w:val="center"/>
          </w:tcPr>
          <w:p w14:paraId="004D60AC" w14:textId="55312864" w:rsidR="00B02507" w:rsidRPr="007607FC" w:rsidRDefault="006B21B4" w:rsidP="00784C6D">
            <w:pPr>
              <w:keepNext/>
              <w:jc w:val="center"/>
              <w:rPr>
                <w:rFonts w:ascii="Arial Narrow" w:hAnsi="Arial Narrow" w:cs="Calibri"/>
                <w:color w:val="000000"/>
                <w:sz w:val="20"/>
                <w:szCs w:val="20"/>
                <w:highlight w:val="yellow"/>
              </w:rPr>
            </w:pPr>
            <w:r w:rsidRPr="007607FC">
              <w:rPr>
                <w:rFonts w:ascii="Arial Narrow" w:hAnsi="Arial Narrow" w:cs="Calibri"/>
                <w:color w:val="000000"/>
                <w:sz w:val="20"/>
                <w:szCs w:val="20"/>
              </w:rPr>
              <w:t>$</w:t>
            </w:r>
            <w:r w:rsidR="009B407F" w:rsidRPr="009B407F">
              <w:rPr>
                <w:rFonts w:ascii="Arial Narrow" w:hAnsi="Arial Narrow" w:cs="Calibri" w:hint="eastAsia"/>
                <w:color w:val="000000"/>
                <w:w w:val="33"/>
                <w:sz w:val="20"/>
                <w:szCs w:val="20"/>
                <w:shd w:val="solid" w:color="000000" w:fill="000000"/>
                <w:fitText w:val="147" w:id="-762061811"/>
                <w14:textFill>
                  <w14:solidFill>
                    <w14:srgbClr w14:val="000000">
                      <w14:alpha w14:val="100000"/>
                    </w14:srgbClr>
                  </w14:solidFill>
                </w14:textFill>
              </w:rPr>
              <w:t xml:space="preserve">　</w:t>
            </w:r>
            <w:r w:rsidR="009B407F" w:rsidRPr="009B407F">
              <w:rPr>
                <w:rFonts w:ascii="Arial Narrow" w:hAnsi="Arial Narrow" w:cs="Calibri"/>
                <w:color w:val="000000"/>
                <w:w w:val="33"/>
                <w:sz w:val="20"/>
                <w:szCs w:val="20"/>
                <w:shd w:val="solid" w:color="000000" w:fill="000000"/>
                <w:fitText w:val="147" w:id="-762061811"/>
                <w14:textFill>
                  <w14:solidFill>
                    <w14:srgbClr w14:val="000000">
                      <w14:alpha w14:val="100000"/>
                    </w14:srgbClr>
                  </w14:solidFill>
                </w14:textFill>
              </w:rPr>
              <w:t>|</w:t>
            </w:r>
            <w:r w:rsidR="009B407F" w:rsidRPr="009B407F">
              <w:rPr>
                <w:rFonts w:ascii="Arial Narrow" w:hAnsi="Arial Narrow" w:cs="Calibri" w:hint="eastAsia"/>
                <w:color w:val="000000"/>
                <w:w w:val="33"/>
                <w:sz w:val="20"/>
                <w:szCs w:val="20"/>
                <w:shd w:val="solid" w:color="000000" w:fill="000000"/>
                <w:fitText w:val="147" w:id="-762061811"/>
                <w14:textFill>
                  <w14:solidFill>
                    <w14:srgbClr w14:val="000000">
                      <w14:alpha w14:val="100000"/>
                    </w14:srgbClr>
                  </w14:solidFill>
                </w14:textFill>
              </w:rPr>
              <w:t xml:space="preserve">　</w:t>
            </w:r>
          </w:p>
        </w:tc>
        <w:tc>
          <w:tcPr>
            <w:tcW w:w="3171" w:type="dxa"/>
            <w:gridSpan w:val="3"/>
            <w:tcBorders>
              <w:right w:val="single" w:sz="4" w:space="0" w:color="auto"/>
            </w:tcBorders>
            <w:shd w:val="clear" w:color="auto" w:fill="auto"/>
            <w:vAlign w:val="center"/>
          </w:tcPr>
          <w:p w14:paraId="283B4124" w14:textId="646A6ECB" w:rsidR="00B02507" w:rsidRPr="007607FC" w:rsidRDefault="006B21B4" w:rsidP="00784C6D">
            <w:pPr>
              <w:keepNext/>
              <w:jc w:val="center"/>
              <w:rPr>
                <w:rFonts w:ascii="Arial Narrow" w:hAnsi="Arial Narrow" w:cs="Calibri"/>
                <w:color w:val="000000"/>
                <w:sz w:val="20"/>
                <w:szCs w:val="20"/>
                <w:highlight w:val="yellow"/>
              </w:rPr>
            </w:pPr>
            <w:r w:rsidRPr="007607FC">
              <w:rPr>
                <w:rFonts w:ascii="Arial Narrow" w:hAnsi="Arial Narrow" w:cs="Calibri"/>
                <w:color w:val="000000"/>
                <w:sz w:val="20"/>
                <w:szCs w:val="20"/>
              </w:rPr>
              <w:t>$2,466.57</w:t>
            </w:r>
            <w:r w:rsidR="009B407F" w:rsidRPr="009B407F">
              <w:rPr>
                <w:rFonts w:ascii="Arial Narrow" w:hAnsi="Arial Narrow" w:cs="Calibri" w:hint="eastAsia"/>
                <w:color w:val="000000"/>
                <w:w w:val="30"/>
                <w:sz w:val="20"/>
                <w:szCs w:val="20"/>
                <w:shd w:val="solid" w:color="000000" w:fill="000000"/>
                <w:fitText w:val="133" w:id="-762061810"/>
                <w14:textFill>
                  <w14:solidFill>
                    <w14:srgbClr w14:val="000000">
                      <w14:alpha w14:val="100000"/>
                    </w14:srgbClr>
                  </w14:solidFill>
                </w14:textFill>
              </w:rPr>
              <w:t xml:space="preserve">　</w:t>
            </w:r>
            <w:r w:rsidR="009B407F" w:rsidRPr="009B407F">
              <w:rPr>
                <w:rFonts w:ascii="Arial Narrow" w:hAnsi="Arial Narrow" w:cs="Calibri"/>
                <w:color w:val="000000"/>
                <w:w w:val="30"/>
                <w:sz w:val="20"/>
                <w:szCs w:val="20"/>
                <w:shd w:val="solid" w:color="000000" w:fill="000000"/>
                <w:fitText w:val="133" w:id="-762061810"/>
                <w14:textFill>
                  <w14:solidFill>
                    <w14:srgbClr w14:val="000000">
                      <w14:alpha w14:val="100000"/>
                    </w14:srgbClr>
                  </w14:solidFill>
                </w14:textFill>
              </w:rPr>
              <w:t>|</w:t>
            </w:r>
            <w:r w:rsidR="009B407F" w:rsidRPr="009B407F">
              <w:rPr>
                <w:rFonts w:ascii="Arial Narrow" w:hAnsi="Arial Narrow" w:cs="Calibri" w:hint="eastAsia"/>
                <w:color w:val="000000"/>
                <w:w w:val="30"/>
                <w:sz w:val="20"/>
                <w:szCs w:val="20"/>
                <w:shd w:val="solid" w:color="000000" w:fill="000000"/>
                <w:fitText w:val="133" w:id="-762061810"/>
                <w14:textFill>
                  <w14:solidFill>
                    <w14:srgbClr w14:val="000000">
                      <w14:alpha w14:val="100000"/>
                    </w14:srgbClr>
                  </w14:solidFill>
                </w14:textFill>
              </w:rPr>
              <w:t xml:space="preserve">　</w:t>
            </w:r>
            <w:r w:rsidR="00B02507" w:rsidRPr="007607FC">
              <w:rPr>
                <w:rFonts w:ascii="Arial Narrow" w:hAnsi="Arial Narrow" w:cs="Calibri"/>
                <w:color w:val="000000"/>
                <w:sz w:val="20"/>
                <w:szCs w:val="20"/>
              </w:rPr>
              <w:t>($</w:t>
            </w:r>
            <w:r w:rsidR="00037C89" w:rsidRPr="007607FC">
              <w:rPr>
                <w:rFonts w:ascii="Arial Narrow" w:hAnsi="Arial Narrow" w:cs="Calibri"/>
                <w:color w:val="000000"/>
                <w:sz w:val="20"/>
                <w:szCs w:val="20"/>
              </w:rPr>
              <w:t>1,422.17</w:t>
            </w:r>
            <w:r w:rsidR="00B02507" w:rsidRPr="007607FC">
              <w:rPr>
                <w:rFonts w:ascii="Arial Narrow" w:hAnsi="Arial Narrow" w:cs="Calibri"/>
                <w:color w:val="000000"/>
                <w:sz w:val="20"/>
                <w:szCs w:val="20"/>
              </w:rPr>
              <w:t xml:space="preserve"> + 0.57 x $</w:t>
            </w:r>
            <w:r w:rsidR="00037C89" w:rsidRPr="007607FC">
              <w:rPr>
                <w:rFonts w:ascii="Arial Narrow" w:hAnsi="Arial Narrow" w:cs="Calibri"/>
                <w:color w:val="000000"/>
                <w:sz w:val="20"/>
                <w:szCs w:val="20"/>
              </w:rPr>
              <w:t>788.48</w:t>
            </w:r>
            <w:r w:rsidR="00B02507" w:rsidRPr="007607FC">
              <w:rPr>
                <w:rFonts w:ascii="Arial Narrow" w:hAnsi="Arial Narrow" w:cs="Calibri"/>
                <w:color w:val="000000"/>
                <w:sz w:val="20"/>
                <w:szCs w:val="20"/>
              </w:rPr>
              <w:t xml:space="preserve"> + 0.43 x $13</w:t>
            </w:r>
            <w:r w:rsidR="00037C89" w:rsidRPr="007607FC">
              <w:rPr>
                <w:rFonts w:ascii="Arial Narrow" w:hAnsi="Arial Narrow" w:cs="Calibri"/>
                <w:color w:val="000000"/>
                <w:sz w:val="20"/>
                <w:szCs w:val="20"/>
              </w:rPr>
              <w:t>83.66</w:t>
            </w:r>
            <w:r w:rsidR="00B02507" w:rsidRPr="007607FC">
              <w:rPr>
                <w:rFonts w:ascii="Arial Narrow" w:hAnsi="Arial Narrow" w:cs="Calibri"/>
                <w:color w:val="000000"/>
                <w:sz w:val="20"/>
                <w:szCs w:val="20"/>
              </w:rPr>
              <w:t>)</w:t>
            </w:r>
          </w:p>
        </w:tc>
        <w:tc>
          <w:tcPr>
            <w:tcW w:w="1429" w:type="dxa"/>
            <w:tcBorders>
              <w:top w:val="nil"/>
              <w:left w:val="single" w:sz="4" w:space="0" w:color="auto"/>
              <w:bottom w:val="nil"/>
              <w:right w:val="nil"/>
            </w:tcBorders>
            <w:shd w:val="clear" w:color="auto" w:fill="auto"/>
            <w:vAlign w:val="center"/>
            <w:hideMark/>
          </w:tcPr>
          <w:p w14:paraId="043ECA03" w14:textId="77777777" w:rsidR="00B02507" w:rsidRPr="007607FC" w:rsidRDefault="00B02507" w:rsidP="00784C6D">
            <w:pPr>
              <w:keepNext/>
              <w:jc w:val="center"/>
              <w:rPr>
                <w:rFonts w:ascii="Arial Narrow" w:hAnsi="Arial Narrow"/>
                <w:color w:val="000000"/>
                <w:sz w:val="20"/>
                <w:szCs w:val="20"/>
              </w:rPr>
            </w:pPr>
          </w:p>
        </w:tc>
        <w:tc>
          <w:tcPr>
            <w:tcW w:w="1383" w:type="dxa"/>
            <w:tcBorders>
              <w:top w:val="nil"/>
              <w:left w:val="nil"/>
              <w:bottom w:val="nil"/>
              <w:right w:val="single" w:sz="4" w:space="0" w:color="auto"/>
            </w:tcBorders>
            <w:shd w:val="clear" w:color="auto" w:fill="auto"/>
            <w:vAlign w:val="center"/>
            <w:hideMark/>
          </w:tcPr>
          <w:p w14:paraId="77D896F3" w14:textId="77777777" w:rsidR="00B02507" w:rsidRPr="007607FC" w:rsidRDefault="00B02507" w:rsidP="00784C6D">
            <w:pPr>
              <w:keepNext/>
              <w:jc w:val="left"/>
              <w:rPr>
                <w:rFonts w:ascii="Arial Narrow" w:hAnsi="Arial Narrow"/>
                <w:sz w:val="20"/>
                <w:szCs w:val="20"/>
              </w:rPr>
            </w:pPr>
          </w:p>
        </w:tc>
      </w:tr>
      <w:tr w:rsidR="00B02507" w:rsidRPr="007607FC" w14:paraId="52E2D09A" w14:textId="77777777" w:rsidTr="007607FC">
        <w:trPr>
          <w:trHeight w:val="480"/>
        </w:trPr>
        <w:tc>
          <w:tcPr>
            <w:tcW w:w="1980" w:type="dxa"/>
            <w:shd w:val="clear" w:color="auto" w:fill="auto"/>
            <w:vAlign w:val="center"/>
          </w:tcPr>
          <w:p w14:paraId="39A93EE1" w14:textId="77777777" w:rsidR="00B02507" w:rsidRPr="007607FC" w:rsidRDefault="00B02507" w:rsidP="00784C6D">
            <w:pPr>
              <w:keepNext/>
              <w:jc w:val="left"/>
              <w:rPr>
                <w:rFonts w:ascii="Arial Narrow" w:hAnsi="Arial Narrow"/>
                <w:color w:val="000000"/>
                <w:sz w:val="20"/>
                <w:szCs w:val="20"/>
              </w:rPr>
            </w:pPr>
            <w:r w:rsidRPr="007607FC">
              <w:rPr>
                <w:rFonts w:ascii="Arial Narrow" w:hAnsi="Arial Narrow" w:cs="Calibri"/>
                <w:color w:val="000000"/>
                <w:sz w:val="20"/>
                <w:szCs w:val="20"/>
              </w:rPr>
              <w:t>As above, incl BMD testing and implantation</w:t>
            </w:r>
          </w:p>
        </w:tc>
        <w:tc>
          <w:tcPr>
            <w:tcW w:w="1104" w:type="dxa"/>
            <w:shd w:val="clear" w:color="auto" w:fill="auto"/>
            <w:vAlign w:val="center"/>
          </w:tcPr>
          <w:p w14:paraId="37FD2E11" w14:textId="12E28B75" w:rsidR="00B02507" w:rsidRPr="007607FC" w:rsidRDefault="006B21B4" w:rsidP="00784C6D">
            <w:pPr>
              <w:keepNext/>
              <w:jc w:val="center"/>
              <w:rPr>
                <w:rFonts w:ascii="Arial Narrow" w:hAnsi="Arial Narrow" w:cs="Calibri"/>
                <w:color w:val="000000"/>
                <w:sz w:val="20"/>
                <w:szCs w:val="20"/>
              </w:rPr>
            </w:pPr>
            <w:r w:rsidRPr="007607FC">
              <w:rPr>
                <w:rFonts w:ascii="Arial Narrow" w:hAnsi="Arial Narrow" w:cs="Calibri"/>
                <w:color w:val="000000"/>
                <w:sz w:val="20"/>
                <w:szCs w:val="20"/>
              </w:rPr>
              <w:t>$</w:t>
            </w:r>
            <w:r w:rsidR="009B407F" w:rsidRPr="009B407F">
              <w:rPr>
                <w:rFonts w:ascii="Arial Narrow" w:hAnsi="Arial Narrow" w:cs="Calibri" w:hint="eastAsia"/>
                <w:color w:val="000000"/>
                <w:w w:val="33"/>
                <w:sz w:val="20"/>
                <w:szCs w:val="20"/>
                <w:shd w:val="solid" w:color="000000" w:fill="000000"/>
                <w:fitText w:val="147" w:id="-762061809"/>
                <w14:textFill>
                  <w14:solidFill>
                    <w14:srgbClr w14:val="000000">
                      <w14:alpha w14:val="100000"/>
                    </w14:srgbClr>
                  </w14:solidFill>
                </w14:textFill>
              </w:rPr>
              <w:t xml:space="preserve">　</w:t>
            </w:r>
            <w:r w:rsidR="009B407F" w:rsidRPr="009B407F">
              <w:rPr>
                <w:rFonts w:ascii="Arial Narrow" w:hAnsi="Arial Narrow" w:cs="Calibri"/>
                <w:color w:val="000000"/>
                <w:w w:val="33"/>
                <w:sz w:val="20"/>
                <w:szCs w:val="20"/>
                <w:shd w:val="solid" w:color="000000" w:fill="000000"/>
                <w:fitText w:val="147" w:id="-762061809"/>
                <w14:textFill>
                  <w14:solidFill>
                    <w14:srgbClr w14:val="000000">
                      <w14:alpha w14:val="100000"/>
                    </w14:srgbClr>
                  </w14:solidFill>
                </w14:textFill>
              </w:rPr>
              <w:t>|</w:t>
            </w:r>
            <w:r w:rsidR="009B407F" w:rsidRPr="009B407F">
              <w:rPr>
                <w:rFonts w:ascii="Arial Narrow" w:hAnsi="Arial Narrow" w:cs="Calibri" w:hint="eastAsia"/>
                <w:color w:val="000000"/>
                <w:spacing w:val="1"/>
                <w:w w:val="33"/>
                <w:sz w:val="20"/>
                <w:szCs w:val="20"/>
                <w:shd w:val="solid" w:color="000000" w:fill="000000"/>
                <w:fitText w:val="147" w:id="-762061809"/>
                <w14:textFill>
                  <w14:solidFill>
                    <w14:srgbClr w14:val="000000">
                      <w14:alpha w14:val="100000"/>
                    </w14:srgbClr>
                  </w14:solidFill>
                </w14:textFill>
              </w:rPr>
              <w:t xml:space="preserve">　</w:t>
            </w:r>
          </w:p>
          <w:p w14:paraId="5EDC7EB4" w14:textId="7A70CC01" w:rsidR="00037C89" w:rsidRPr="007607FC" w:rsidRDefault="00037C89" w:rsidP="00784C6D">
            <w:pPr>
              <w:keepNext/>
              <w:jc w:val="center"/>
              <w:rPr>
                <w:rFonts w:ascii="Arial Narrow" w:hAnsi="Arial Narrow" w:cs="Calibri"/>
                <w:color w:val="000000"/>
                <w:sz w:val="20"/>
                <w:szCs w:val="20"/>
                <w:highlight w:val="yellow"/>
              </w:rPr>
            </w:pPr>
            <w:r w:rsidRPr="007607FC">
              <w:rPr>
                <w:rFonts w:ascii="Arial Narrow" w:hAnsi="Arial Narrow" w:cs="Calibri"/>
                <w:color w:val="000000"/>
                <w:sz w:val="20"/>
                <w:szCs w:val="20"/>
              </w:rPr>
              <w:t>($</w:t>
            </w:r>
            <w:r w:rsidR="009B407F" w:rsidRPr="009B407F">
              <w:rPr>
                <w:rFonts w:ascii="Arial Narrow" w:hAnsi="Arial Narrow" w:cs="Calibri"/>
                <w:color w:val="000000"/>
                <w:spacing w:val="49"/>
                <w:sz w:val="20"/>
                <w:szCs w:val="20"/>
                <w:shd w:val="solid" w:color="000000" w:fill="000000"/>
                <w:fitText w:val="320" w:id="-762061808"/>
                <w14:textFill>
                  <w14:solidFill>
                    <w14:srgbClr w14:val="000000">
                      <w14:alpha w14:val="100000"/>
                    </w14:srgbClr>
                  </w14:solidFill>
                </w14:textFill>
              </w:rPr>
              <w:t>|||</w:t>
            </w:r>
            <w:r w:rsidR="009B407F" w:rsidRPr="009B407F">
              <w:rPr>
                <w:rFonts w:ascii="Arial Narrow" w:hAnsi="Arial Narrow" w:cs="Calibri"/>
                <w:color w:val="000000"/>
                <w:spacing w:val="3"/>
                <w:sz w:val="20"/>
                <w:szCs w:val="20"/>
                <w:shd w:val="solid" w:color="000000" w:fill="000000"/>
                <w:fitText w:val="320" w:id="-762061808"/>
                <w14:textFill>
                  <w14:solidFill>
                    <w14:srgbClr w14:val="000000">
                      <w14:alpha w14:val="100000"/>
                    </w14:srgbClr>
                  </w14:solidFill>
                </w14:textFill>
              </w:rPr>
              <w:t>|</w:t>
            </w:r>
            <w:r w:rsidRPr="007607FC">
              <w:rPr>
                <w:rFonts w:ascii="Arial Narrow" w:hAnsi="Arial Narrow" w:cs="Calibri"/>
                <w:color w:val="000000"/>
                <w:sz w:val="20"/>
                <w:szCs w:val="20"/>
              </w:rPr>
              <w:t>+$116.65)</w:t>
            </w:r>
          </w:p>
        </w:tc>
        <w:tc>
          <w:tcPr>
            <w:tcW w:w="3171" w:type="dxa"/>
            <w:gridSpan w:val="3"/>
            <w:tcBorders>
              <w:right w:val="single" w:sz="4" w:space="0" w:color="auto"/>
            </w:tcBorders>
            <w:shd w:val="clear" w:color="auto" w:fill="auto"/>
            <w:vAlign w:val="center"/>
          </w:tcPr>
          <w:p w14:paraId="68644212" w14:textId="678CCF47" w:rsidR="006B21B4" w:rsidRPr="007607FC" w:rsidRDefault="006B21B4" w:rsidP="00784C6D">
            <w:pPr>
              <w:keepNext/>
              <w:jc w:val="center"/>
              <w:rPr>
                <w:rFonts w:ascii="Arial Narrow" w:hAnsi="Arial Narrow" w:cs="Calibri"/>
                <w:color w:val="000000"/>
                <w:sz w:val="20"/>
                <w:szCs w:val="20"/>
              </w:rPr>
            </w:pPr>
            <w:r w:rsidRPr="007607FC">
              <w:rPr>
                <w:rFonts w:ascii="Arial Narrow" w:hAnsi="Arial Narrow" w:cs="Calibri"/>
                <w:color w:val="000000"/>
                <w:sz w:val="20"/>
                <w:szCs w:val="20"/>
              </w:rPr>
              <w:t>$</w:t>
            </w:r>
            <w:r w:rsidR="00037C89" w:rsidRPr="007607FC">
              <w:rPr>
                <w:rFonts w:ascii="Arial Narrow" w:hAnsi="Arial Narrow" w:cs="Calibri"/>
                <w:color w:val="000000"/>
                <w:sz w:val="20"/>
                <w:szCs w:val="20"/>
              </w:rPr>
              <w:t>3,</w:t>
            </w:r>
            <w:r w:rsidR="007607FC" w:rsidRPr="007607FC">
              <w:rPr>
                <w:rFonts w:ascii="Arial Narrow" w:hAnsi="Arial Narrow" w:cs="Calibri"/>
                <w:color w:val="000000"/>
                <w:sz w:val="20"/>
                <w:szCs w:val="20"/>
              </w:rPr>
              <w:t>127.19</w:t>
            </w:r>
          </w:p>
          <w:p w14:paraId="2B14FACD" w14:textId="676D2EEC" w:rsidR="00B02507" w:rsidRPr="007607FC" w:rsidRDefault="00B02507" w:rsidP="00784C6D">
            <w:pPr>
              <w:keepNext/>
              <w:jc w:val="center"/>
              <w:rPr>
                <w:rFonts w:ascii="Arial Narrow" w:hAnsi="Arial Narrow" w:cs="Calibri"/>
                <w:color w:val="000000"/>
                <w:sz w:val="20"/>
                <w:szCs w:val="20"/>
                <w:highlight w:val="yellow"/>
              </w:rPr>
            </w:pPr>
            <w:r w:rsidRPr="007607FC">
              <w:rPr>
                <w:rFonts w:ascii="Arial Narrow" w:hAnsi="Arial Narrow" w:cs="Calibri"/>
                <w:color w:val="000000"/>
                <w:sz w:val="20"/>
                <w:szCs w:val="20"/>
              </w:rPr>
              <w:t>($24</w:t>
            </w:r>
            <w:r w:rsidR="00037C89" w:rsidRPr="007607FC">
              <w:rPr>
                <w:rFonts w:ascii="Arial Narrow" w:hAnsi="Arial Narrow" w:cs="Calibri"/>
                <w:color w:val="000000"/>
                <w:sz w:val="20"/>
                <w:szCs w:val="20"/>
              </w:rPr>
              <w:t>66.57</w:t>
            </w:r>
            <w:r w:rsidRPr="007607FC">
              <w:rPr>
                <w:rFonts w:ascii="Arial Narrow" w:hAnsi="Arial Narrow" w:cs="Calibri"/>
                <w:color w:val="000000"/>
                <w:sz w:val="20"/>
                <w:szCs w:val="20"/>
              </w:rPr>
              <w:t>+ $</w:t>
            </w:r>
            <w:r w:rsidR="00037C89" w:rsidRPr="007607FC">
              <w:rPr>
                <w:rFonts w:ascii="Arial Narrow" w:hAnsi="Arial Narrow" w:cs="Calibri"/>
                <w:color w:val="000000"/>
                <w:sz w:val="20"/>
                <w:szCs w:val="20"/>
              </w:rPr>
              <w:t>543.96</w:t>
            </w:r>
            <w:r w:rsidRPr="007607FC">
              <w:rPr>
                <w:rFonts w:ascii="Arial Narrow" w:hAnsi="Arial Narrow" w:cs="Calibri"/>
                <w:color w:val="000000"/>
                <w:sz w:val="20"/>
                <w:szCs w:val="20"/>
              </w:rPr>
              <w:t xml:space="preserve"> + $11</w:t>
            </w:r>
            <w:r w:rsidR="00037C89" w:rsidRPr="007607FC">
              <w:rPr>
                <w:rFonts w:ascii="Arial Narrow" w:hAnsi="Arial Narrow" w:cs="Calibri"/>
                <w:color w:val="000000"/>
                <w:sz w:val="20"/>
                <w:szCs w:val="20"/>
              </w:rPr>
              <w:t>6.65</w:t>
            </w:r>
            <w:r w:rsidRPr="007607FC">
              <w:rPr>
                <w:rFonts w:ascii="Arial Narrow" w:hAnsi="Arial Narrow" w:cs="Calibri"/>
                <w:color w:val="000000"/>
                <w:sz w:val="20"/>
                <w:szCs w:val="20"/>
              </w:rPr>
              <w:t>)</w:t>
            </w:r>
          </w:p>
        </w:tc>
        <w:tc>
          <w:tcPr>
            <w:tcW w:w="1429" w:type="dxa"/>
            <w:tcBorders>
              <w:top w:val="nil"/>
              <w:left w:val="single" w:sz="4" w:space="0" w:color="auto"/>
              <w:bottom w:val="nil"/>
              <w:right w:val="nil"/>
            </w:tcBorders>
            <w:shd w:val="clear" w:color="auto" w:fill="auto"/>
            <w:vAlign w:val="center"/>
            <w:hideMark/>
          </w:tcPr>
          <w:p w14:paraId="5EE65759" w14:textId="77777777" w:rsidR="00B02507" w:rsidRPr="007607FC" w:rsidRDefault="00B02507" w:rsidP="00784C6D">
            <w:pPr>
              <w:keepNext/>
              <w:jc w:val="center"/>
              <w:rPr>
                <w:rFonts w:ascii="Arial Narrow" w:hAnsi="Arial Narrow"/>
                <w:color w:val="000000"/>
                <w:sz w:val="20"/>
                <w:szCs w:val="20"/>
              </w:rPr>
            </w:pPr>
          </w:p>
        </w:tc>
        <w:tc>
          <w:tcPr>
            <w:tcW w:w="1383" w:type="dxa"/>
            <w:tcBorders>
              <w:top w:val="nil"/>
              <w:left w:val="nil"/>
              <w:bottom w:val="nil"/>
              <w:right w:val="single" w:sz="4" w:space="0" w:color="auto"/>
            </w:tcBorders>
            <w:shd w:val="clear" w:color="auto" w:fill="auto"/>
            <w:vAlign w:val="center"/>
            <w:hideMark/>
          </w:tcPr>
          <w:p w14:paraId="45B1D91C" w14:textId="77777777" w:rsidR="00B02507" w:rsidRPr="007607FC" w:rsidRDefault="00B02507" w:rsidP="00784C6D">
            <w:pPr>
              <w:keepNext/>
              <w:jc w:val="left"/>
              <w:rPr>
                <w:rFonts w:ascii="Arial Narrow" w:hAnsi="Arial Narrow"/>
                <w:sz w:val="20"/>
                <w:szCs w:val="20"/>
              </w:rPr>
            </w:pPr>
          </w:p>
        </w:tc>
      </w:tr>
      <w:tr w:rsidR="00B02507" w:rsidRPr="007607FC" w14:paraId="7A333C45" w14:textId="77777777" w:rsidTr="007607FC">
        <w:trPr>
          <w:trHeight w:val="288"/>
        </w:trPr>
        <w:tc>
          <w:tcPr>
            <w:tcW w:w="1980" w:type="dxa"/>
            <w:shd w:val="clear" w:color="auto" w:fill="auto"/>
            <w:vAlign w:val="center"/>
          </w:tcPr>
          <w:p w14:paraId="62697E15" w14:textId="77777777" w:rsidR="00B02507" w:rsidRPr="007607FC" w:rsidRDefault="00B02507" w:rsidP="00784C6D">
            <w:pPr>
              <w:keepNext/>
              <w:jc w:val="left"/>
              <w:rPr>
                <w:rFonts w:ascii="Arial Narrow" w:hAnsi="Arial Narrow"/>
                <w:color w:val="000000"/>
                <w:sz w:val="20"/>
                <w:szCs w:val="20"/>
              </w:rPr>
            </w:pPr>
            <w:r w:rsidRPr="007607FC">
              <w:rPr>
                <w:rFonts w:ascii="Arial Narrow" w:hAnsi="Arial Narrow" w:cs="Calibri"/>
                <w:color w:val="000000"/>
                <w:sz w:val="20"/>
                <w:szCs w:val="20"/>
              </w:rPr>
              <w:t>Difference in cost over 1 year</w:t>
            </w:r>
          </w:p>
        </w:tc>
        <w:tc>
          <w:tcPr>
            <w:tcW w:w="4275" w:type="dxa"/>
            <w:gridSpan w:val="4"/>
            <w:tcBorders>
              <w:right w:val="single" w:sz="4" w:space="0" w:color="auto"/>
            </w:tcBorders>
            <w:shd w:val="clear" w:color="auto" w:fill="auto"/>
            <w:noWrap/>
            <w:vAlign w:val="center"/>
          </w:tcPr>
          <w:p w14:paraId="0416D92E" w14:textId="39D2116B" w:rsidR="00B02507" w:rsidRPr="007607FC" w:rsidRDefault="006B21B4" w:rsidP="00784C6D">
            <w:pPr>
              <w:keepNext/>
              <w:jc w:val="center"/>
              <w:rPr>
                <w:rFonts w:ascii="Arial Narrow" w:hAnsi="Arial Narrow" w:cs="Calibri"/>
                <w:sz w:val="20"/>
                <w:szCs w:val="20"/>
                <w:highlight w:val="yellow"/>
              </w:rPr>
            </w:pPr>
            <w:r w:rsidRPr="007607FC">
              <w:rPr>
                <w:rFonts w:ascii="Arial Narrow" w:hAnsi="Arial Narrow" w:cs="Calibri"/>
                <w:sz w:val="20"/>
                <w:szCs w:val="20"/>
              </w:rPr>
              <w:t>-$</w:t>
            </w:r>
            <w:r w:rsidR="009B407F" w:rsidRPr="009B407F">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429" w:type="dxa"/>
            <w:tcBorders>
              <w:top w:val="nil"/>
              <w:left w:val="single" w:sz="4" w:space="0" w:color="auto"/>
              <w:bottom w:val="single" w:sz="4" w:space="0" w:color="auto"/>
              <w:right w:val="nil"/>
            </w:tcBorders>
            <w:shd w:val="clear" w:color="auto" w:fill="auto"/>
            <w:noWrap/>
            <w:vAlign w:val="bottom"/>
            <w:hideMark/>
          </w:tcPr>
          <w:p w14:paraId="7B965C40" w14:textId="77777777" w:rsidR="00B02507" w:rsidRPr="007607FC" w:rsidRDefault="00B02507" w:rsidP="00784C6D">
            <w:pPr>
              <w:keepNext/>
              <w:jc w:val="center"/>
              <w:rPr>
                <w:rFonts w:ascii="Arial Narrow" w:hAnsi="Arial Narrow"/>
                <w:sz w:val="20"/>
                <w:szCs w:val="20"/>
              </w:rPr>
            </w:pPr>
          </w:p>
        </w:tc>
        <w:tc>
          <w:tcPr>
            <w:tcW w:w="1383" w:type="dxa"/>
            <w:tcBorders>
              <w:top w:val="nil"/>
              <w:left w:val="nil"/>
              <w:bottom w:val="single" w:sz="4" w:space="0" w:color="auto"/>
              <w:right w:val="single" w:sz="4" w:space="0" w:color="auto"/>
            </w:tcBorders>
            <w:shd w:val="clear" w:color="auto" w:fill="auto"/>
            <w:noWrap/>
            <w:vAlign w:val="bottom"/>
            <w:hideMark/>
          </w:tcPr>
          <w:p w14:paraId="525DF956" w14:textId="77777777" w:rsidR="00B02507" w:rsidRPr="007607FC" w:rsidRDefault="00B02507" w:rsidP="00784C6D">
            <w:pPr>
              <w:keepNext/>
              <w:jc w:val="left"/>
              <w:rPr>
                <w:rFonts w:ascii="Arial Narrow" w:hAnsi="Arial Narrow"/>
                <w:sz w:val="20"/>
                <w:szCs w:val="20"/>
              </w:rPr>
            </w:pPr>
          </w:p>
        </w:tc>
      </w:tr>
    </w:tbl>
    <w:p w14:paraId="1A9C0FB7" w14:textId="0D85BBFB" w:rsidR="00B02507" w:rsidRDefault="00B02507" w:rsidP="00784C6D">
      <w:pPr>
        <w:pStyle w:val="TableFigureFooter"/>
        <w:keepNext/>
      </w:pPr>
      <w:r>
        <w:t>S</w:t>
      </w:r>
      <w:r w:rsidRPr="0072211F">
        <w:t xml:space="preserve">ource: </w:t>
      </w:r>
      <w:r>
        <w:t>Table 9 - March 2024 Ryeqo PSD</w:t>
      </w:r>
      <w:r w:rsidR="00435AEB">
        <w:t xml:space="preserve"> – updated to reflect amended DPMQ and MBS fees</w:t>
      </w:r>
    </w:p>
    <w:p w14:paraId="3976761E" w14:textId="252DD818" w:rsidR="00B02507" w:rsidRPr="00E26BE0" w:rsidRDefault="00B02507" w:rsidP="00B02507">
      <w:pPr>
        <w:pStyle w:val="TableFigureFooter"/>
      </w:pPr>
      <w:r w:rsidRPr="001F1E47">
        <w:rPr>
          <w:vertAlign w:val="superscript"/>
        </w:rPr>
        <w:t>a</w:t>
      </w:r>
      <w:r>
        <w:t xml:space="preserve"> Nafarelin cost assumes </w:t>
      </w:r>
      <w:r w:rsidRPr="0072211F">
        <w:t>57% at 200 mcg twice daily and 43% at 400 mcg twice daily</w:t>
      </w:r>
    </w:p>
    <w:p w14:paraId="268768EF" w14:textId="3626F292" w:rsidR="00B60939" w:rsidRPr="0098262F" w:rsidRDefault="00B60939" w:rsidP="002B05A1">
      <w:pPr>
        <w:pStyle w:val="4-SubsectionHeading"/>
      </w:pPr>
      <w:bookmarkStart w:id="21" w:name="_Toc22897647"/>
      <w:bookmarkStart w:id="22" w:name="_Toc177553036"/>
      <w:bookmarkEnd w:id="19"/>
      <w:r w:rsidRPr="0098262F">
        <w:t>Estimated PBS usage &amp; financial implications</w:t>
      </w:r>
      <w:bookmarkEnd w:id="21"/>
      <w:bookmarkEnd w:id="22"/>
    </w:p>
    <w:p w14:paraId="0D361B08" w14:textId="4FB472B1" w:rsidR="000A1826" w:rsidRPr="006771BD" w:rsidRDefault="00C25D9C" w:rsidP="00026B08">
      <w:pPr>
        <w:pStyle w:val="3-BodyText"/>
      </w:pPr>
      <w:r w:rsidRPr="0098262F">
        <w:t xml:space="preserve">This submission </w:t>
      </w:r>
      <w:r w:rsidR="009A7545">
        <w:t>was</w:t>
      </w:r>
      <w:r w:rsidR="009A7545" w:rsidRPr="0098262F">
        <w:t xml:space="preserve"> </w:t>
      </w:r>
      <w:r w:rsidRPr="0098262F">
        <w:t>not considered by DUSC</w:t>
      </w:r>
      <w:r w:rsidRPr="00026B08">
        <w:t>.</w:t>
      </w:r>
      <w:r w:rsidR="002771E9" w:rsidRPr="00026B08">
        <w:t xml:space="preserve"> </w:t>
      </w:r>
      <w:r w:rsidR="002771E9" w:rsidRPr="00385020">
        <w:t>The submission used an epidemiological</w:t>
      </w:r>
      <w:r w:rsidR="00065C43">
        <w:t xml:space="preserve"> approach</w:t>
      </w:r>
      <w:r w:rsidR="002771E9" w:rsidRPr="00385020">
        <w:t xml:space="preserve"> to estimate the use of Ryeqo in female patie</w:t>
      </w:r>
      <w:r w:rsidR="00385020" w:rsidRPr="00385020">
        <w:t>nt</w:t>
      </w:r>
      <w:r w:rsidR="002771E9" w:rsidRPr="00385020">
        <w:t>s aged 18</w:t>
      </w:r>
      <w:r w:rsidR="00747445">
        <w:noBreakHyphen/>
      </w:r>
      <w:r w:rsidR="002771E9" w:rsidRPr="00385020">
        <w:t>55</w:t>
      </w:r>
      <w:r w:rsidR="00747445">
        <w:t> </w:t>
      </w:r>
      <w:r w:rsidR="002771E9" w:rsidRPr="00385020">
        <w:t>years old.</w:t>
      </w:r>
      <w:r w:rsidR="000F14C6" w:rsidRPr="00385020">
        <w:t xml:space="preserve"> The submission presented a </w:t>
      </w:r>
      <w:r w:rsidR="000A1826" w:rsidRPr="00385020">
        <w:t xml:space="preserve">new </w:t>
      </w:r>
      <w:r w:rsidR="000F14C6" w:rsidRPr="00385020">
        <w:t xml:space="preserve">survey, conducted by Max Power Consulting, of 87 medical </w:t>
      </w:r>
      <w:r w:rsidR="000F14C6" w:rsidRPr="006771BD">
        <w:t>practitioners experienced in the treatment of endometriosis, to which there were 55 respondents. The submission provided a copy of the survey questions and results as graphs and descriptive statistics. The submission did not provide any information regarding those surveyed</w:t>
      </w:r>
      <w:r w:rsidR="00747445" w:rsidRPr="006771BD">
        <w:t>,</w:t>
      </w:r>
      <w:r w:rsidR="000F14C6" w:rsidRPr="006771BD">
        <w:t xml:space="preserve"> including possible or actual conflicts of interest.</w:t>
      </w:r>
    </w:p>
    <w:p w14:paraId="3393BCE7" w14:textId="16D135D2" w:rsidR="00E42F73" w:rsidRPr="0098262F" w:rsidRDefault="00E16AD8" w:rsidP="00F93981">
      <w:pPr>
        <w:pStyle w:val="Caption"/>
        <w:rPr>
          <w:rStyle w:val="CommentReference"/>
          <w:b/>
          <w:szCs w:val="24"/>
        </w:rPr>
      </w:pPr>
      <w:bookmarkStart w:id="23" w:name="_Ref104805262"/>
      <w:r w:rsidRPr="0098262F">
        <w:lastRenderedPageBreak/>
        <w:t xml:space="preserve">Table </w:t>
      </w:r>
      <w:r w:rsidR="00D67E24">
        <w:fldChar w:fldCharType="begin" w:fldLock="1"/>
      </w:r>
      <w:r w:rsidR="00D67E24">
        <w:instrText xml:space="preserve"> SEQ Table \* ARABIC </w:instrText>
      </w:r>
      <w:r w:rsidR="00D67E24">
        <w:fldChar w:fldCharType="separate"/>
      </w:r>
      <w:r w:rsidR="00D67E24">
        <w:rPr>
          <w:noProof/>
        </w:rPr>
        <w:t>3</w:t>
      </w:r>
      <w:r w:rsidR="00D67E24">
        <w:rPr>
          <w:noProof/>
        </w:rPr>
        <w:fldChar w:fldCharType="end"/>
      </w:r>
      <w:bookmarkEnd w:id="23"/>
      <w:r w:rsidRPr="0098262F">
        <w:t>:</w:t>
      </w:r>
      <w:r w:rsidR="00E42F73" w:rsidRPr="0098262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7"/>
        <w:gridCol w:w="1701"/>
        <w:gridCol w:w="5479"/>
      </w:tblGrid>
      <w:tr w:rsidR="00E42F73" w:rsidRPr="005E2A82" w14:paraId="7AFD013A" w14:textId="77777777" w:rsidTr="00C84B21">
        <w:trPr>
          <w:tblHeader/>
        </w:trPr>
        <w:tc>
          <w:tcPr>
            <w:tcW w:w="1019" w:type="pct"/>
            <w:shd w:val="clear" w:color="auto" w:fill="auto"/>
            <w:vAlign w:val="center"/>
          </w:tcPr>
          <w:p w14:paraId="45C2C4CE" w14:textId="370E9AAB" w:rsidR="00E42F73" w:rsidRPr="005E2A82" w:rsidRDefault="004658B5" w:rsidP="007925DF">
            <w:pPr>
              <w:pStyle w:val="In-tableHeading"/>
              <w:rPr>
                <w:lang w:val="en-AU"/>
              </w:rPr>
            </w:pPr>
            <w:r w:rsidRPr="005E2A82">
              <w:rPr>
                <w:lang w:val="en-AU"/>
              </w:rPr>
              <w:t>Parameter</w:t>
            </w:r>
          </w:p>
        </w:tc>
        <w:tc>
          <w:tcPr>
            <w:tcW w:w="943" w:type="pct"/>
            <w:shd w:val="clear" w:color="auto" w:fill="auto"/>
            <w:vAlign w:val="center"/>
          </w:tcPr>
          <w:p w14:paraId="5C04F956" w14:textId="559E8DB1" w:rsidR="00E42F73" w:rsidRPr="005E2A82" w:rsidRDefault="004658B5" w:rsidP="007925DF">
            <w:pPr>
              <w:pStyle w:val="In-tableHeading"/>
              <w:rPr>
                <w:lang w:val="en-AU"/>
              </w:rPr>
            </w:pPr>
            <w:r w:rsidRPr="005E2A82">
              <w:rPr>
                <w:lang w:val="en-AU"/>
              </w:rPr>
              <w:t>Value applied and source</w:t>
            </w:r>
          </w:p>
        </w:tc>
        <w:tc>
          <w:tcPr>
            <w:tcW w:w="3038" w:type="pct"/>
            <w:shd w:val="clear" w:color="auto" w:fill="auto"/>
            <w:vAlign w:val="center"/>
          </w:tcPr>
          <w:p w14:paraId="45DE44AA" w14:textId="4713F72E" w:rsidR="00E42F73" w:rsidRPr="005E2A82" w:rsidRDefault="004658B5" w:rsidP="007925DF">
            <w:pPr>
              <w:pStyle w:val="In-tableHeading"/>
              <w:rPr>
                <w:lang w:val="en-AU"/>
              </w:rPr>
            </w:pPr>
            <w:r w:rsidRPr="005E2A82">
              <w:rPr>
                <w:lang w:val="en-AU"/>
              </w:rPr>
              <w:t>Comment</w:t>
            </w:r>
          </w:p>
        </w:tc>
      </w:tr>
      <w:tr w:rsidR="00E42F73" w:rsidRPr="005E2A82" w14:paraId="4BEF206D" w14:textId="77777777" w:rsidTr="00C84B21">
        <w:tc>
          <w:tcPr>
            <w:tcW w:w="1019" w:type="pct"/>
            <w:shd w:val="clear" w:color="auto" w:fill="auto"/>
            <w:vAlign w:val="center"/>
          </w:tcPr>
          <w:p w14:paraId="5724F53F" w14:textId="13EA3D79" w:rsidR="00E42F73" w:rsidRPr="005E2A82" w:rsidRDefault="00DE6DC2" w:rsidP="00EE344A">
            <w:pPr>
              <w:pStyle w:val="TableText0"/>
            </w:pPr>
            <w:r w:rsidRPr="005E2A82">
              <w:t>Australian female population aged 18 to 55 years</w:t>
            </w:r>
          </w:p>
        </w:tc>
        <w:tc>
          <w:tcPr>
            <w:tcW w:w="943" w:type="pct"/>
            <w:shd w:val="clear" w:color="auto" w:fill="auto"/>
            <w:vAlign w:val="center"/>
          </w:tcPr>
          <w:p w14:paraId="731366B7" w14:textId="77777777" w:rsidR="00DE6DC2" w:rsidRPr="005E2A82" w:rsidRDefault="00DE6DC2" w:rsidP="00EE344A">
            <w:pPr>
              <w:pStyle w:val="TableText0"/>
            </w:pPr>
            <w:r w:rsidRPr="005E2A82">
              <w:t>Yr 1: 7,123,000</w:t>
            </w:r>
          </w:p>
          <w:p w14:paraId="4A58743D" w14:textId="77777777" w:rsidR="00DE6DC2" w:rsidRPr="005E2A82" w:rsidRDefault="00DE6DC2" w:rsidP="00EE344A">
            <w:pPr>
              <w:pStyle w:val="TableText0"/>
            </w:pPr>
            <w:r w:rsidRPr="005E2A82">
              <w:t>Yr 2: 7,210,886</w:t>
            </w:r>
          </w:p>
          <w:p w14:paraId="3E702872" w14:textId="77777777" w:rsidR="00DE6DC2" w:rsidRPr="005E2A82" w:rsidRDefault="00DE6DC2" w:rsidP="00EE344A">
            <w:pPr>
              <w:pStyle w:val="TableText0"/>
            </w:pPr>
            <w:r w:rsidRPr="005E2A82">
              <w:t>Yr 3: 7,284,987</w:t>
            </w:r>
          </w:p>
          <w:p w14:paraId="6FCC608C" w14:textId="77777777" w:rsidR="00DE6DC2" w:rsidRPr="005E2A82" w:rsidRDefault="00DE6DC2" w:rsidP="00EE344A">
            <w:pPr>
              <w:pStyle w:val="TableText0"/>
            </w:pPr>
            <w:r w:rsidRPr="005E2A82">
              <w:t>Yr 4: 7,365,305</w:t>
            </w:r>
          </w:p>
          <w:p w14:paraId="0EA0D179" w14:textId="77777777" w:rsidR="00DE6DC2" w:rsidRPr="005E2A82" w:rsidRDefault="00DE6DC2" w:rsidP="00EE344A">
            <w:pPr>
              <w:pStyle w:val="TableText0"/>
            </w:pPr>
            <w:r w:rsidRPr="005E2A82">
              <w:t>Yr 5: 7,451,538</w:t>
            </w:r>
          </w:p>
          <w:p w14:paraId="62E16102" w14:textId="77777777" w:rsidR="00E42F73" w:rsidRPr="005E2A82" w:rsidRDefault="00DE6DC2" w:rsidP="00EE344A">
            <w:pPr>
              <w:pStyle w:val="TableText0"/>
            </w:pPr>
            <w:r w:rsidRPr="005E2A82">
              <w:t>Yr 6: 7,542,560</w:t>
            </w:r>
          </w:p>
          <w:p w14:paraId="4C4FDE9E" w14:textId="77777777" w:rsidR="00DE6DC2" w:rsidRPr="005E2A82" w:rsidRDefault="00DE6DC2" w:rsidP="00EE344A">
            <w:pPr>
              <w:pStyle w:val="TableText0"/>
            </w:pPr>
          </w:p>
          <w:p w14:paraId="2974F923" w14:textId="288EBFAE" w:rsidR="00DE6DC2" w:rsidRPr="005E2A82" w:rsidRDefault="00E111DE" w:rsidP="00EE344A">
            <w:pPr>
              <w:pStyle w:val="TableText0"/>
            </w:pPr>
            <w:r w:rsidRPr="005E2A82">
              <w:t xml:space="preserve">ABS Population Projections; </w:t>
            </w:r>
            <w:proofErr w:type="spellStart"/>
            <w:r w:rsidRPr="005E2A82">
              <w:t>DoH</w:t>
            </w:r>
            <w:proofErr w:type="spellEnd"/>
            <w:r w:rsidRPr="005E2A82">
              <w:t xml:space="preserve"> utilisation and cost model workbook</w:t>
            </w:r>
          </w:p>
        </w:tc>
        <w:tc>
          <w:tcPr>
            <w:tcW w:w="3038" w:type="pct"/>
            <w:shd w:val="clear" w:color="auto" w:fill="auto"/>
            <w:vAlign w:val="center"/>
          </w:tcPr>
          <w:p w14:paraId="18B99EE5" w14:textId="77777777" w:rsidR="00E111DE" w:rsidRPr="005E2A82" w:rsidRDefault="00E111DE" w:rsidP="00EE344A">
            <w:pPr>
              <w:pStyle w:val="TableText0"/>
            </w:pPr>
            <w:r w:rsidRPr="005E2A82">
              <w:t>The March 2024 submission estimated use for patients aged 30-55 years old. DUSC considered limiting the eligible population to those aged between 30 to 55 years in the financial estimates was not appropriate as it would substantially underestimate the patient population and advised that the eligible population should be revised to those aged 18 years or over. The revised financial estimates provided in the pre-PBAC response revised the eligible population to patients aged 18-55 years.</w:t>
            </w:r>
          </w:p>
          <w:p w14:paraId="078672CF" w14:textId="6E0A7C02" w:rsidR="00E42F73" w:rsidRPr="005E2A82" w:rsidRDefault="00E111DE" w:rsidP="00EE344A">
            <w:pPr>
              <w:pStyle w:val="TableText0"/>
            </w:pPr>
            <w:r w:rsidRPr="005E2A82">
              <w:t>The current submission estimated use for patients aged 18-55 years old</w:t>
            </w:r>
            <w:r w:rsidR="004E40C8" w:rsidRPr="005E2A82">
              <w:t xml:space="preserve"> which was </w:t>
            </w:r>
            <w:r w:rsidR="00927B91" w:rsidRPr="005E2A82">
              <w:t>appropriate</w:t>
            </w:r>
            <w:r w:rsidRPr="005E2A82">
              <w:t>.</w:t>
            </w:r>
          </w:p>
        </w:tc>
      </w:tr>
      <w:tr w:rsidR="00E111DE" w:rsidRPr="005E2A82" w14:paraId="7AC21FA1" w14:textId="77777777" w:rsidTr="00C84B21">
        <w:tc>
          <w:tcPr>
            <w:tcW w:w="1019" w:type="pct"/>
            <w:shd w:val="clear" w:color="auto" w:fill="auto"/>
            <w:vAlign w:val="center"/>
          </w:tcPr>
          <w:p w14:paraId="754A4F1A" w14:textId="79EAAE4E" w:rsidR="00E111DE" w:rsidRPr="005E2A82" w:rsidRDefault="00E111DE" w:rsidP="00EE344A">
            <w:pPr>
              <w:pStyle w:val="TableText0"/>
            </w:pPr>
            <w:r w:rsidRPr="005E2A82">
              <w:t>Prevalence of endometriosis</w:t>
            </w:r>
          </w:p>
        </w:tc>
        <w:tc>
          <w:tcPr>
            <w:tcW w:w="943" w:type="pct"/>
            <w:shd w:val="clear" w:color="auto" w:fill="auto"/>
            <w:vAlign w:val="center"/>
          </w:tcPr>
          <w:p w14:paraId="3EC980F8" w14:textId="6BA3AE33" w:rsidR="00E111DE" w:rsidRPr="005E2A82" w:rsidRDefault="00E111DE" w:rsidP="00EE344A">
            <w:pPr>
              <w:pStyle w:val="TableText0"/>
            </w:pPr>
            <w:r w:rsidRPr="005E2A82">
              <w:t>12%</w:t>
            </w:r>
            <w:r w:rsidR="002C391D" w:rsidRPr="005E2A82">
              <w:t xml:space="preserve">, March 2024 </w:t>
            </w:r>
            <w:r w:rsidR="00EB42D8">
              <w:t xml:space="preserve">PSD </w:t>
            </w:r>
            <w:r w:rsidR="002C391D" w:rsidRPr="005E2A82">
              <w:t>par. 6.80 (Appendix 1)</w:t>
            </w:r>
          </w:p>
        </w:tc>
        <w:tc>
          <w:tcPr>
            <w:tcW w:w="3038" w:type="pct"/>
            <w:shd w:val="clear" w:color="auto" w:fill="auto"/>
            <w:vAlign w:val="center"/>
          </w:tcPr>
          <w:p w14:paraId="536592EB" w14:textId="28B872E4" w:rsidR="00E111DE" w:rsidRPr="005E2A82" w:rsidRDefault="00F24F1A" w:rsidP="00EE344A">
            <w:pPr>
              <w:pStyle w:val="TableText0"/>
            </w:pPr>
            <w:r w:rsidRPr="005E2A82">
              <w:t xml:space="preserve">This was appropriate. </w:t>
            </w:r>
            <w:r w:rsidR="002C391D" w:rsidRPr="005E2A82">
              <w:t>The PBAC (March 2024) requested a revised prevalence of 12% to better reflect prevalence in the broader age group as there is evidence that the prevalence rate is lower in younger patients and the assumption of 14% was based on the 44-49 age group. AIHW cites the results of a US online survey (</w:t>
            </w:r>
            <w:proofErr w:type="spellStart"/>
            <w:r w:rsidR="002C391D" w:rsidRPr="005E2A82">
              <w:t>Fuldeore</w:t>
            </w:r>
            <w:proofErr w:type="spellEnd"/>
            <w:r w:rsidR="002C391D" w:rsidRPr="005E2A82">
              <w:t xml:space="preserve"> &amp; Soliman 2017) reporting a prevalence of diagnosed endometriosis of 6.1% in patients aged 18-49.</w:t>
            </w:r>
          </w:p>
        </w:tc>
      </w:tr>
      <w:tr w:rsidR="002C391D" w:rsidRPr="005E2A82" w14:paraId="662ED605" w14:textId="77777777" w:rsidTr="00C84B21">
        <w:tc>
          <w:tcPr>
            <w:tcW w:w="1019" w:type="pct"/>
            <w:shd w:val="clear" w:color="auto" w:fill="auto"/>
            <w:vAlign w:val="center"/>
          </w:tcPr>
          <w:p w14:paraId="50714ABB" w14:textId="09D01654" w:rsidR="002C391D" w:rsidRPr="005E2A82" w:rsidRDefault="002C391D" w:rsidP="00EE344A">
            <w:pPr>
              <w:pStyle w:val="TableText0"/>
            </w:pPr>
            <w:r w:rsidRPr="005E2A82">
              <w:t>Visually proven endometriosis and experiencing moderate to severe pain</w:t>
            </w:r>
          </w:p>
        </w:tc>
        <w:tc>
          <w:tcPr>
            <w:tcW w:w="943" w:type="pct"/>
            <w:shd w:val="clear" w:color="auto" w:fill="auto"/>
            <w:vAlign w:val="center"/>
          </w:tcPr>
          <w:p w14:paraId="254CC2AC" w14:textId="03EA50A0" w:rsidR="002C391D" w:rsidRPr="005E2A82" w:rsidRDefault="002C391D" w:rsidP="00EE344A">
            <w:pPr>
              <w:pStyle w:val="TableText0"/>
            </w:pPr>
            <w:r w:rsidRPr="005E2A82">
              <w:t>57.94%, Commissioned market research (Appendix 3)</w:t>
            </w:r>
          </w:p>
        </w:tc>
        <w:tc>
          <w:tcPr>
            <w:tcW w:w="3038" w:type="pct"/>
            <w:shd w:val="clear" w:color="auto" w:fill="auto"/>
            <w:vAlign w:val="center"/>
          </w:tcPr>
          <w:p w14:paraId="16C14253" w14:textId="77777777" w:rsidR="002C391D" w:rsidRPr="005E2A82" w:rsidRDefault="002C391D" w:rsidP="00EE344A">
            <w:pPr>
              <w:pStyle w:val="TableText0"/>
            </w:pPr>
            <w:r w:rsidRPr="005E2A82">
              <w:t>The March 2024 submission estimated 30% of patients experience moderate to severe pain. This was revised to 50% in the pre-PBAC response, however the PBAC requested it be revised back to 30%. The PBAC considered this estimate was uncertain and the increase was not well-justified. The PBAC agreed with the submission that gynaecologists’ perceptions would be skewed towards estimating a higher proportion.</w:t>
            </w:r>
          </w:p>
          <w:p w14:paraId="0F1A2E44" w14:textId="77777777" w:rsidR="002C391D" w:rsidRPr="005E2A82" w:rsidRDefault="002C391D" w:rsidP="00EE344A">
            <w:pPr>
              <w:pStyle w:val="TableText0"/>
            </w:pPr>
          </w:p>
          <w:p w14:paraId="0CD5190E" w14:textId="2AE9A4AE" w:rsidR="002C391D" w:rsidRPr="005E2A82" w:rsidRDefault="002C391D" w:rsidP="00EE344A">
            <w:pPr>
              <w:pStyle w:val="TableText0"/>
            </w:pPr>
            <w:r w:rsidRPr="005E2A82">
              <w:t xml:space="preserve">The current submission </w:t>
            </w:r>
            <w:r w:rsidR="00483B45" w:rsidRPr="005E2A82">
              <w:t>has estimated 57.94% of patients have visually proven endometriosis and experience moderate to severe pain, based on the new survey presented in the submission. The submission provided the mean result for each question for all responders to the survey and did not note whether there were differences in the results for different specialties.</w:t>
            </w:r>
            <w:r w:rsidR="00A71589" w:rsidRPr="005E2A82">
              <w:t xml:space="preserve"> Of the responders, 79% reported they were gynaecology or obstetrics and gynaecology specialists.</w:t>
            </w:r>
            <w:r w:rsidR="009B4419" w:rsidRPr="005E2A82">
              <w:t xml:space="preserve"> </w:t>
            </w:r>
          </w:p>
        </w:tc>
      </w:tr>
      <w:tr w:rsidR="002C391D" w:rsidRPr="005E2A82" w14:paraId="273D05F4" w14:textId="77777777" w:rsidTr="00C84B21">
        <w:tc>
          <w:tcPr>
            <w:tcW w:w="1019" w:type="pct"/>
            <w:shd w:val="clear" w:color="auto" w:fill="auto"/>
          </w:tcPr>
          <w:p w14:paraId="0152C8AA" w14:textId="00A397AC" w:rsidR="002C391D" w:rsidRPr="005E2A82" w:rsidRDefault="002C391D" w:rsidP="00EE344A">
            <w:pPr>
              <w:pStyle w:val="TableText0"/>
            </w:pPr>
            <w:r w:rsidRPr="005E2A82">
              <w:t>Also meet all the other PBS criteria including (a) no surgery in last 3 months, (b) no history of or current have osteoporosis and/or risk of other metabolic bone disease and (c) have response inadequately to or have been intolerant to previous first-line therapies including at least one of the following (i) hormonal contraceptives, (ii) analgesics.</w:t>
            </w:r>
          </w:p>
        </w:tc>
        <w:tc>
          <w:tcPr>
            <w:tcW w:w="943" w:type="pct"/>
            <w:shd w:val="clear" w:color="auto" w:fill="auto"/>
            <w:vAlign w:val="center"/>
          </w:tcPr>
          <w:p w14:paraId="5FE8DC6D" w14:textId="5A78716C" w:rsidR="002C391D" w:rsidRPr="005E2A82" w:rsidRDefault="002C391D" w:rsidP="00EE344A">
            <w:pPr>
              <w:pStyle w:val="TableText0"/>
            </w:pPr>
            <w:r w:rsidRPr="005E2A82">
              <w:t xml:space="preserve">39.60%, </w:t>
            </w:r>
            <w:r w:rsidR="00C707D3" w:rsidRPr="005E2A82">
              <w:t>Commissioned market research (Appendix 3)</w:t>
            </w:r>
          </w:p>
        </w:tc>
        <w:tc>
          <w:tcPr>
            <w:tcW w:w="3038" w:type="pct"/>
            <w:shd w:val="clear" w:color="auto" w:fill="auto"/>
            <w:vAlign w:val="center"/>
          </w:tcPr>
          <w:p w14:paraId="219934C6" w14:textId="6BBF64CB" w:rsidR="002C391D" w:rsidRPr="005E2A82" w:rsidRDefault="002C391D" w:rsidP="00EE344A">
            <w:pPr>
              <w:pStyle w:val="TableText0"/>
            </w:pPr>
            <w:r w:rsidRPr="005E2A82">
              <w:t>The March 2024 submission estimated the proportion of patients who failed or for whom first line treat</w:t>
            </w:r>
            <w:r w:rsidR="00F122B9" w:rsidRPr="005E2A82">
              <w:t>ment</w:t>
            </w:r>
            <w:r w:rsidRPr="005E2A82">
              <w:t xml:space="preserve"> was inadequate to be 50% in year 1, increasing to 63.8% in year 6.</w:t>
            </w:r>
          </w:p>
          <w:p w14:paraId="0D8A45E2" w14:textId="77777777" w:rsidR="002C391D" w:rsidRPr="005E2A82" w:rsidRDefault="002C391D" w:rsidP="00EE344A">
            <w:pPr>
              <w:pStyle w:val="TableText0"/>
            </w:pPr>
          </w:p>
          <w:p w14:paraId="035D240F" w14:textId="0CA79A30" w:rsidR="002C391D" w:rsidRPr="005E2A82" w:rsidRDefault="002C391D" w:rsidP="00EE344A">
            <w:pPr>
              <w:pStyle w:val="TableText0"/>
            </w:pPr>
            <w:r w:rsidRPr="005E2A82">
              <w:t>The current submission has replaced this assumption with an estimate of the proportion of patients who meet all other PBS criteria, from the market survey described above.</w:t>
            </w:r>
          </w:p>
        </w:tc>
      </w:tr>
      <w:tr w:rsidR="002C391D" w:rsidRPr="005E2A82" w14:paraId="72C9FBDD" w14:textId="77777777" w:rsidTr="00C84B21">
        <w:tc>
          <w:tcPr>
            <w:tcW w:w="1019" w:type="pct"/>
            <w:shd w:val="clear" w:color="auto" w:fill="auto"/>
            <w:vAlign w:val="center"/>
          </w:tcPr>
          <w:p w14:paraId="2FBBDC67" w14:textId="0F66A851" w:rsidR="002C391D" w:rsidRPr="005E2A82" w:rsidRDefault="002C391D" w:rsidP="00EE344A">
            <w:pPr>
              <w:pStyle w:val="TableText0"/>
            </w:pPr>
            <w:r w:rsidRPr="005E2A82">
              <w:lastRenderedPageBreak/>
              <w:t>Uptake rate (cumulative)</w:t>
            </w:r>
          </w:p>
        </w:tc>
        <w:tc>
          <w:tcPr>
            <w:tcW w:w="943" w:type="pct"/>
            <w:shd w:val="clear" w:color="auto" w:fill="auto"/>
            <w:vAlign w:val="center"/>
          </w:tcPr>
          <w:p w14:paraId="66EA565B" w14:textId="70C856AA" w:rsidR="002C391D" w:rsidRPr="003E1693" w:rsidRDefault="002C391D" w:rsidP="00EE344A">
            <w:pPr>
              <w:pStyle w:val="TableText0"/>
            </w:pPr>
            <w:r w:rsidRPr="003E1693">
              <w:t xml:space="preserve">Yr 1: </w:t>
            </w:r>
            <w:r w:rsidR="009B407F" w:rsidRPr="009B407F">
              <w:rPr>
                <w:color w:val="000000"/>
                <w:spacing w:val="49"/>
                <w:shd w:val="solid" w:color="000000" w:fill="000000"/>
                <w:fitText w:val="320" w:id="-762061824"/>
                <w14:textFill>
                  <w14:solidFill>
                    <w14:srgbClr w14:val="000000">
                      <w14:alpha w14:val="100000"/>
                    </w14:srgbClr>
                  </w14:solidFill>
                </w14:textFill>
              </w:rPr>
              <w:t>|||</w:t>
            </w:r>
            <w:r w:rsidR="009B407F" w:rsidRPr="009B407F">
              <w:rPr>
                <w:color w:val="000000"/>
                <w:spacing w:val="3"/>
                <w:shd w:val="solid" w:color="000000" w:fill="000000"/>
                <w:fitText w:val="320" w:id="-762061824"/>
                <w14:textFill>
                  <w14:solidFill>
                    <w14:srgbClr w14:val="000000">
                      <w14:alpha w14:val="100000"/>
                    </w14:srgbClr>
                  </w14:solidFill>
                </w14:textFill>
              </w:rPr>
              <w:t>|</w:t>
            </w:r>
            <w:r w:rsidRPr="003E1693">
              <w:t>%</w:t>
            </w:r>
          </w:p>
          <w:p w14:paraId="46FFC084" w14:textId="2C858974" w:rsidR="002C391D" w:rsidRPr="003E1693" w:rsidRDefault="002C391D" w:rsidP="00EE344A">
            <w:pPr>
              <w:pStyle w:val="TableText0"/>
            </w:pPr>
            <w:r w:rsidRPr="003E1693">
              <w:t xml:space="preserve">Yr 2: </w:t>
            </w:r>
            <w:r w:rsidR="009B407F" w:rsidRPr="009B407F">
              <w:rPr>
                <w:color w:val="000000"/>
                <w:spacing w:val="49"/>
                <w:shd w:val="solid" w:color="000000" w:fill="000000"/>
                <w:fitText w:val="320" w:id="-762061823"/>
                <w14:textFill>
                  <w14:solidFill>
                    <w14:srgbClr w14:val="000000">
                      <w14:alpha w14:val="100000"/>
                    </w14:srgbClr>
                  </w14:solidFill>
                </w14:textFill>
              </w:rPr>
              <w:t>|||</w:t>
            </w:r>
            <w:r w:rsidR="009B407F" w:rsidRPr="009B407F">
              <w:rPr>
                <w:color w:val="000000"/>
                <w:spacing w:val="3"/>
                <w:shd w:val="solid" w:color="000000" w:fill="000000"/>
                <w:fitText w:val="320" w:id="-762061823"/>
                <w14:textFill>
                  <w14:solidFill>
                    <w14:srgbClr w14:val="000000">
                      <w14:alpha w14:val="100000"/>
                    </w14:srgbClr>
                  </w14:solidFill>
                </w14:textFill>
              </w:rPr>
              <w:t>|</w:t>
            </w:r>
            <w:r w:rsidRPr="003E1693">
              <w:t>%</w:t>
            </w:r>
          </w:p>
          <w:p w14:paraId="5C897187" w14:textId="0154A5A3" w:rsidR="002C391D" w:rsidRPr="003E1693" w:rsidRDefault="002C391D" w:rsidP="00EE344A">
            <w:pPr>
              <w:pStyle w:val="TableText0"/>
            </w:pPr>
            <w:r w:rsidRPr="003E1693">
              <w:t xml:space="preserve">Yr 3: </w:t>
            </w:r>
            <w:r w:rsidR="009B407F" w:rsidRPr="009B407F">
              <w:rPr>
                <w:color w:val="000000"/>
                <w:spacing w:val="49"/>
                <w:shd w:val="solid" w:color="000000" w:fill="000000"/>
                <w:fitText w:val="320" w:id="-762061822"/>
                <w14:textFill>
                  <w14:solidFill>
                    <w14:srgbClr w14:val="000000">
                      <w14:alpha w14:val="100000"/>
                    </w14:srgbClr>
                  </w14:solidFill>
                </w14:textFill>
              </w:rPr>
              <w:t>|||</w:t>
            </w:r>
            <w:r w:rsidR="009B407F" w:rsidRPr="009B407F">
              <w:rPr>
                <w:color w:val="000000"/>
                <w:spacing w:val="3"/>
                <w:shd w:val="solid" w:color="000000" w:fill="000000"/>
                <w:fitText w:val="320" w:id="-762061822"/>
                <w14:textFill>
                  <w14:solidFill>
                    <w14:srgbClr w14:val="000000">
                      <w14:alpha w14:val="100000"/>
                    </w14:srgbClr>
                  </w14:solidFill>
                </w14:textFill>
              </w:rPr>
              <w:t>|</w:t>
            </w:r>
            <w:r w:rsidRPr="003E1693">
              <w:t>%</w:t>
            </w:r>
          </w:p>
          <w:p w14:paraId="1FD51F43" w14:textId="12964483" w:rsidR="002C391D" w:rsidRPr="003E1693" w:rsidRDefault="002C391D" w:rsidP="00EE344A">
            <w:pPr>
              <w:pStyle w:val="TableText0"/>
            </w:pPr>
            <w:r w:rsidRPr="003E1693">
              <w:t xml:space="preserve">Yr 4: </w:t>
            </w:r>
            <w:r w:rsidR="009B407F" w:rsidRPr="009B407F">
              <w:rPr>
                <w:color w:val="000000"/>
                <w:spacing w:val="49"/>
                <w:shd w:val="solid" w:color="000000" w:fill="000000"/>
                <w:fitText w:val="320" w:id="-762061821"/>
                <w14:textFill>
                  <w14:solidFill>
                    <w14:srgbClr w14:val="000000">
                      <w14:alpha w14:val="100000"/>
                    </w14:srgbClr>
                  </w14:solidFill>
                </w14:textFill>
              </w:rPr>
              <w:t>|||</w:t>
            </w:r>
            <w:r w:rsidR="009B407F" w:rsidRPr="009B407F">
              <w:rPr>
                <w:color w:val="000000"/>
                <w:spacing w:val="3"/>
                <w:shd w:val="solid" w:color="000000" w:fill="000000"/>
                <w:fitText w:val="320" w:id="-762061821"/>
                <w14:textFill>
                  <w14:solidFill>
                    <w14:srgbClr w14:val="000000">
                      <w14:alpha w14:val="100000"/>
                    </w14:srgbClr>
                  </w14:solidFill>
                </w14:textFill>
              </w:rPr>
              <w:t>|</w:t>
            </w:r>
            <w:r w:rsidRPr="003E1693">
              <w:t>%</w:t>
            </w:r>
          </w:p>
          <w:p w14:paraId="4E1D114D" w14:textId="6C6C75A7" w:rsidR="002C391D" w:rsidRPr="003E1693" w:rsidRDefault="002C391D" w:rsidP="00EE344A">
            <w:pPr>
              <w:pStyle w:val="TableText0"/>
            </w:pPr>
            <w:r w:rsidRPr="003E1693">
              <w:t xml:space="preserve">Yr 5: </w:t>
            </w:r>
            <w:r w:rsidR="009B407F" w:rsidRPr="009B407F">
              <w:rPr>
                <w:color w:val="000000"/>
                <w:spacing w:val="49"/>
                <w:shd w:val="solid" w:color="000000" w:fill="000000"/>
                <w:fitText w:val="320" w:id="-762061820"/>
                <w14:textFill>
                  <w14:solidFill>
                    <w14:srgbClr w14:val="000000">
                      <w14:alpha w14:val="100000"/>
                    </w14:srgbClr>
                  </w14:solidFill>
                </w14:textFill>
              </w:rPr>
              <w:t>|||</w:t>
            </w:r>
            <w:r w:rsidR="009B407F" w:rsidRPr="009B407F">
              <w:rPr>
                <w:color w:val="000000"/>
                <w:spacing w:val="3"/>
                <w:shd w:val="solid" w:color="000000" w:fill="000000"/>
                <w:fitText w:val="320" w:id="-762061820"/>
                <w14:textFill>
                  <w14:solidFill>
                    <w14:srgbClr w14:val="000000">
                      <w14:alpha w14:val="100000"/>
                    </w14:srgbClr>
                  </w14:solidFill>
                </w14:textFill>
              </w:rPr>
              <w:t>|</w:t>
            </w:r>
            <w:r w:rsidRPr="003E1693">
              <w:t>%</w:t>
            </w:r>
          </w:p>
          <w:p w14:paraId="6294221B" w14:textId="1125C005" w:rsidR="002C391D" w:rsidRPr="003E1693" w:rsidRDefault="002C391D" w:rsidP="00EE344A">
            <w:pPr>
              <w:pStyle w:val="TableText0"/>
            </w:pPr>
            <w:r w:rsidRPr="003E1693">
              <w:t xml:space="preserve">Yr 6: </w:t>
            </w:r>
            <w:r w:rsidR="009B407F" w:rsidRPr="009B407F">
              <w:rPr>
                <w:color w:val="000000"/>
                <w:spacing w:val="49"/>
                <w:shd w:val="solid" w:color="000000" w:fill="000000"/>
                <w:fitText w:val="320" w:id="-762061819"/>
                <w14:textFill>
                  <w14:solidFill>
                    <w14:srgbClr w14:val="000000">
                      <w14:alpha w14:val="100000"/>
                    </w14:srgbClr>
                  </w14:solidFill>
                </w14:textFill>
              </w:rPr>
              <w:t>|||</w:t>
            </w:r>
            <w:r w:rsidR="009B407F" w:rsidRPr="009B407F">
              <w:rPr>
                <w:color w:val="000000"/>
                <w:spacing w:val="3"/>
                <w:shd w:val="solid" w:color="000000" w:fill="000000"/>
                <w:fitText w:val="320" w:id="-762061819"/>
                <w14:textFill>
                  <w14:solidFill>
                    <w14:srgbClr w14:val="000000">
                      <w14:alpha w14:val="100000"/>
                    </w14:srgbClr>
                  </w14:solidFill>
                </w14:textFill>
              </w:rPr>
              <w:t>|</w:t>
            </w:r>
            <w:r w:rsidRPr="003E1693">
              <w:t>%</w:t>
            </w:r>
          </w:p>
          <w:p w14:paraId="18FC57F0" w14:textId="77777777" w:rsidR="002C391D" w:rsidRPr="003E1693" w:rsidRDefault="002C391D" w:rsidP="00EE344A">
            <w:pPr>
              <w:pStyle w:val="TableText0"/>
            </w:pPr>
          </w:p>
          <w:p w14:paraId="550316FC" w14:textId="7B406BE7" w:rsidR="002C391D" w:rsidRPr="003E1693" w:rsidRDefault="002C391D" w:rsidP="00EE344A">
            <w:pPr>
              <w:pStyle w:val="TableText0"/>
            </w:pPr>
            <w:r w:rsidRPr="003E1693">
              <w:t>Commissioned market research &amp; sponsor assumptions</w:t>
            </w:r>
          </w:p>
        </w:tc>
        <w:tc>
          <w:tcPr>
            <w:tcW w:w="3038" w:type="pct"/>
            <w:shd w:val="clear" w:color="auto" w:fill="auto"/>
            <w:vAlign w:val="center"/>
          </w:tcPr>
          <w:p w14:paraId="45DB3A0B" w14:textId="601ED53F" w:rsidR="002C391D" w:rsidRPr="005E2A82" w:rsidRDefault="002C391D" w:rsidP="00EE344A">
            <w:pPr>
              <w:pStyle w:val="TableText0"/>
            </w:pPr>
            <w:r w:rsidRPr="005E2A82">
              <w:t xml:space="preserve">The uptake assumptions in the March 2024 submission (Table </w:t>
            </w:r>
            <w:r w:rsidR="00016A16" w:rsidRPr="005E2A82">
              <w:t>21</w:t>
            </w:r>
            <w:r w:rsidRPr="005E2A82">
              <w:t xml:space="preserve">) were based on the global market research survey </w:t>
            </w:r>
            <w:r w:rsidR="00F35501" w:rsidRPr="005E2A82">
              <w:t>for</w:t>
            </w:r>
            <w:r w:rsidRPr="005E2A82">
              <w:t xml:space="preserve"> patients aged 30-55</w:t>
            </w:r>
            <w:r w:rsidR="00F35501" w:rsidRPr="005E2A82">
              <w:t xml:space="preserve"> years</w:t>
            </w:r>
            <w:r w:rsidRPr="005E2A82">
              <w:t xml:space="preserve">. Prescribing of Ryeqo would be expected to be lower in younger patients, which would reduce the overall treatment uptake. In addition, the PBAC noted that the uptake rates were applied to the prevalent population such that the cumulative uptake by year 6 was greater than </w:t>
            </w:r>
            <w:r w:rsidR="009B407F" w:rsidRPr="009B407F">
              <w:rPr>
                <w:color w:val="000000"/>
                <w:spacing w:val="54"/>
                <w:shd w:val="solid" w:color="000000" w:fill="000000"/>
                <w:fitText w:val="333" w:id="-762061818"/>
                <w14:textFill>
                  <w14:solidFill>
                    <w14:srgbClr w14:val="000000">
                      <w14:alpha w14:val="100000"/>
                    </w14:srgbClr>
                  </w14:solidFill>
                </w14:textFill>
              </w:rPr>
              <w:t>|||</w:t>
            </w:r>
            <w:r w:rsidR="009B407F" w:rsidRPr="009B407F">
              <w:rPr>
                <w:color w:val="000000"/>
                <w:spacing w:val="1"/>
                <w:shd w:val="solid" w:color="000000" w:fill="000000"/>
                <w:fitText w:val="333" w:id="-762061818"/>
                <w14:textFill>
                  <w14:solidFill>
                    <w14:srgbClr w14:val="000000">
                      <w14:alpha w14:val="100000"/>
                    </w14:srgbClr>
                  </w14:solidFill>
                </w14:textFill>
              </w:rPr>
              <w:t>|</w:t>
            </w:r>
            <w:r w:rsidRPr="005E2A82">
              <w:t xml:space="preserve">%. The PBAC considered that the cumulative uptake over 6 years would be no higher than </w:t>
            </w:r>
            <w:r w:rsidR="009B407F" w:rsidRPr="009B407F">
              <w:rPr>
                <w:color w:val="000000"/>
                <w:spacing w:val="49"/>
                <w:shd w:val="solid" w:color="000000" w:fill="000000"/>
                <w:fitText w:val="320" w:id="-762061817"/>
                <w14:textFill>
                  <w14:solidFill>
                    <w14:srgbClr w14:val="000000">
                      <w14:alpha w14:val="100000"/>
                    </w14:srgbClr>
                  </w14:solidFill>
                </w14:textFill>
              </w:rPr>
              <w:t>|||</w:t>
            </w:r>
            <w:r w:rsidR="009B407F" w:rsidRPr="009B407F">
              <w:rPr>
                <w:color w:val="000000"/>
                <w:spacing w:val="3"/>
                <w:shd w:val="solid" w:color="000000" w:fill="000000"/>
                <w:fitText w:val="320" w:id="-762061817"/>
                <w14:textFill>
                  <w14:solidFill>
                    <w14:srgbClr w14:val="000000">
                      <w14:alpha w14:val="100000"/>
                    </w14:srgbClr>
                  </w14:solidFill>
                </w14:textFill>
              </w:rPr>
              <w:t>|</w:t>
            </w:r>
            <w:r w:rsidRPr="005E2A82">
              <w:t xml:space="preserve">% of eligible patients </w:t>
            </w:r>
            <w:r w:rsidR="00016A16" w:rsidRPr="005E2A82">
              <w:t>(para 6.80, March 2024 PSD)</w:t>
            </w:r>
            <w:r w:rsidRPr="005E2A82">
              <w:t xml:space="preserve">. </w:t>
            </w:r>
          </w:p>
          <w:p w14:paraId="064E8926" w14:textId="77777777" w:rsidR="002C391D" w:rsidRPr="005E2A82" w:rsidRDefault="002C391D" w:rsidP="00EE344A">
            <w:pPr>
              <w:pStyle w:val="TableText0"/>
            </w:pPr>
          </w:p>
          <w:p w14:paraId="1CCCBD2E" w14:textId="6B07B867" w:rsidR="00E517C1" w:rsidRPr="005E2A82" w:rsidRDefault="002C391D" w:rsidP="00EE344A">
            <w:pPr>
              <w:pStyle w:val="TableText0"/>
            </w:pPr>
            <w:r w:rsidRPr="005E2A82">
              <w:t xml:space="preserve">The current submission used the market survey discussed above to claim that the mean proportion of patients who would be prescribed Ryeqo was 71.1%. The submission stated that this proportion was broadly aligned with the uptake from the previous survey noted by the DUSC, and that the increase in uptake rate is likely due to the greater awareness of Ryeqo since the previous survey was undertaken. </w:t>
            </w:r>
            <w:r w:rsidR="00E517C1" w:rsidRPr="005E2A82">
              <w:t xml:space="preserve">The survey questions provided in the submission note that responders were asked how many eligible patients they would prescribe Ryeqo. The submission did not provide any information regarding possible or actual conflicts of interest of those surveyed, and it did not ask if they were already familiar with Ryeqo. If clinicians surveyed were involved in the clinical trial or are familiar with Ryeqo, this may have overestimated the uptake. </w:t>
            </w:r>
          </w:p>
          <w:p w14:paraId="23A0C25E" w14:textId="77777777" w:rsidR="00E517C1" w:rsidRPr="005E2A82" w:rsidRDefault="00E517C1" w:rsidP="00EE344A">
            <w:pPr>
              <w:pStyle w:val="TableText0"/>
            </w:pPr>
          </w:p>
          <w:p w14:paraId="280D4AE7" w14:textId="082EB25F" w:rsidR="00E517C1" w:rsidRPr="005E2A82" w:rsidRDefault="002C391D" w:rsidP="00EE344A">
            <w:pPr>
              <w:pStyle w:val="TableText0"/>
            </w:pPr>
            <w:r w:rsidRPr="005E2A82">
              <w:t xml:space="preserve">The submission noted that the patient organisation for those living with endometriosis and pelvic pain, QENDO, recently conducted a national survey, and noted that 95% of patients would utilise new treatments if available on the </w:t>
            </w:r>
            <w:r w:rsidR="00BE6834" w:rsidRPr="005E2A82">
              <w:t>PBS</w:t>
            </w:r>
            <w:r w:rsidRPr="005E2A82">
              <w:t xml:space="preserve"> (Appendix 4 of the submission). The methods and questions of this survey were not provided.</w:t>
            </w:r>
            <w:r w:rsidR="00E517C1" w:rsidRPr="005E2A82">
              <w:t xml:space="preserve"> It is understandable that a high proportion of responders would agree that they would utilise new treatments available on the PBS if they were not given any further information regarding side effects or the number of treatments allowed in their lifetime</w:t>
            </w:r>
            <w:r w:rsidR="00BE6834" w:rsidRPr="005E2A82">
              <w:t>.</w:t>
            </w:r>
            <w:r w:rsidR="00E517C1" w:rsidRPr="005E2A82">
              <w:t xml:space="preserve"> </w:t>
            </w:r>
            <w:r w:rsidR="00BE6834" w:rsidRPr="005E2A82">
              <w:t>H</w:t>
            </w:r>
            <w:r w:rsidR="00E517C1" w:rsidRPr="005E2A82">
              <w:t xml:space="preserve">owever </w:t>
            </w:r>
            <w:r w:rsidR="00F82826" w:rsidRPr="005E2A82">
              <w:t>it is unlikely</w:t>
            </w:r>
            <w:r w:rsidR="00E517C1" w:rsidRPr="005E2A82">
              <w:t xml:space="preserve"> that the uptake of Ryeqo would be as high as 95%</w:t>
            </w:r>
            <w:r w:rsidR="007B23EC" w:rsidRPr="005E2A82">
              <w:t xml:space="preserve"> in practice</w:t>
            </w:r>
            <w:r w:rsidR="00E517C1" w:rsidRPr="005E2A82">
              <w:t>.</w:t>
            </w:r>
            <w:r w:rsidRPr="005E2A82">
              <w:t xml:space="preserve"> </w:t>
            </w:r>
          </w:p>
          <w:p w14:paraId="7C407A62" w14:textId="77777777" w:rsidR="00E517C1" w:rsidRPr="005E2A82" w:rsidRDefault="00E517C1" w:rsidP="00EE344A">
            <w:pPr>
              <w:pStyle w:val="TableText0"/>
            </w:pPr>
          </w:p>
          <w:p w14:paraId="1472ED43" w14:textId="20FF4681" w:rsidR="002C391D" w:rsidRPr="005E2A82" w:rsidRDefault="002C391D" w:rsidP="00EE344A">
            <w:pPr>
              <w:pStyle w:val="TableText0"/>
            </w:pPr>
            <w:r w:rsidRPr="005E2A82">
              <w:t>The submission stated that these data support the use of a cumulative uptake rate that is substantially higher than that suggested by the PBAC.</w:t>
            </w:r>
          </w:p>
          <w:p w14:paraId="1804E19C" w14:textId="77777777" w:rsidR="002C391D" w:rsidRPr="005E2A82" w:rsidRDefault="002C391D" w:rsidP="00EE344A">
            <w:pPr>
              <w:pStyle w:val="TableText0"/>
            </w:pPr>
          </w:p>
          <w:p w14:paraId="7295AAE5" w14:textId="4A215977" w:rsidR="002C391D" w:rsidRPr="005E2A82" w:rsidRDefault="002C391D" w:rsidP="00EE344A">
            <w:pPr>
              <w:pStyle w:val="TableText0"/>
            </w:pPr>
            <w:r w:rsidRPr="005E2A82">
              <w:t xml:space="preserve">The submission used the </w:t>
            </w:r>
            <w:r w:rsidR="007B0D34" w:rsidRPr="005E2A82">
              <w:t>stated</w:t>
            </w:r>
            <w:r w:rsidRPr="005E2A82">
              <w:t xml:space="preserve"> cumulative uptake </w:t>
            </w:r>
            <w:r w:rsidR="007B0D34" w:rsidRPr="005E2A82">
              <w:t xml:space="preserve">rates </w:t>
            </w:r>
            <w:r w:rsidRPr="005E2A82">
              <w:t>to calculate the number of treated patients</w:t>
            </w:r>
            <w:r w:rsidR="007B0D34" w:rsidRPr="005E2A82">
              <w:t xml:space="preserve"> from the number of eligible patients. The number of treated patients in previous years was then subtracted to determine the number of new patients in each year</w:t>
            </w:r>
            <w:r w:rsidRPr="005E2A82">
              <w:t>.</w:t>
            </w:r>
            <w:r w:rsidR="00924EBC" w:rsidRPr="005E2A82">
              <w:t xml:space="preserve"> I</w:t>
            </w:r>
            <w:r w:rsidR="007B0D34" w:rsidRPr="005E2A82">
              <w:t xml:space="preserve">t was appropriate to exclude previously treated patients from the </w:t>
            </w:r>
            <w:r w:rsidR="00924EBC" w:rsidRPr="005E2A82">
              <w:t>estimate of new patients</w:t>
            </w:r>
            <w:r w:rsidRPr="005E2A82">
              <w:t xml:space="preserve"> </w:t>
            </w:r>
            <w:r w:rsidR="00924EBC" w:rsidRPr="005E2A82">
              <w:t>as the proposed PBS restriction limits treatment to 24 months lifetime therapy, however t</w:t>
            </w:r>
            <w:r w:rsidRPr="005E2A82">
              <w:t xml:space="preserve">he resulting cumulative uptake in year 6 </w:t>
            </w:r>
            <w:r w:rsidRPr="00E87E16">
              <w:t xml:space="preserve">was </w:t>
            </w:r>
            <w:r w:rsidR="009B407F" w:rsidRPr="009B407F">
              <w:rPr>
                <w:color w:val="000000"/>
                <w:spacing w:val="49"/>
                <w:shd w:val="solid" w:color="000000" w:fill="000000"/>
                <w:fitText w:val="320" w:id="-762061816"/>
                <w14:textFill>
                  <w14:solidFill>
                    <w14:srgbClr w14:val="000000">
                      <w14:alpha w14:val="100000"/>
                    </w14:srgbClr>
                  </w14:solidFill>
                </w14:textFill>
              </w:rPr>
              <w:t>|||</w:t>
            </w:r>
            <w:r w:rsidR="009B407F" w:rsidRPr="009B407F">
              <w:rPr>
                <w:color w:val="000000"/>
                <w:spacing w:val="3"/>
                <w:shd w:val="solid" w:color="000000" w:fill="000000"/>
                <w:fitText w:val="320" w:id="-762061816"/>
                <w14:textFill>
                  <w14:solidFill>
                    <w14:srgbClr w14:val="000000">
                      <w14:alpha w14:val="100000"/>
                    </w14:srgbClr>
                  </w14:solidFill>
                </w14:textFill>
              </w:rPr>
              <w:t>|</w:t>
            </w:r>
            <w:r w:rsidRPr="00E87E16">
              <w:t>%.</w:t>
            </w:r>
          </w:p>
        </w:tc>
      </w:tr>
      <w:tr w:rsidR="002C391D" w:rsidRPr="005E2A82" w14:paraId="512A8938" w14:textId="77777777" w:rsidTr="00C84B21">
        <w:tc>
          <w:tcPr>
            <w:tcW w:w="1019" w:type="pct"/>
            <w:shd w:val="clear" w:color="auto" w:fill="auto"/>
            <w:vAlign w:val="center"/>
          </w:tcPr>
          <w:p w14:paraId="1F4C70A3" w14:textId="4D9C7520" w:rsidR="002C391D" w:rsidRPr="005E2A82" w:rsidRDefault="002C391D" w:rsidP="00EE344A">
            <w:pPr>
              <w:pStyle w:val="TableText0"/>
            </w:pPr>
            <w:r w:rsidRPr="005E2A82">
              <w:lastRenderedPageBreak/>
              <w:t>Compliance rate</w:t>
            </w:r>
          </w:p>
        </w:tc>
        <w:tc>
          <w:tcPr>
            <w:tcW w:w="943" w:type="pct"/>
            <w:shd w:val="clear" w:color="auto" w:fill="auto"/>
            <w:vAlign w:val="center"/>
          </w:tcPr>
          <w:p w14:paraId="5289CDB1" w14:textId="06462887" w:rsidR="002C391D" w:rsidRPr="005E2A82" w:rsidRDefault="002C391D" w:rsidP="00EE344A">
            <w:pPr>
              <w:pStyle w:val="TableText0"/>
            </w:pPr>
            <w:r w:rsidRPr="005E2A82">
              <w:t xml:space="preserve">80%, </w:t>
            </w:r>
            <w:r w:rsidR="00EB42D8">
              <w:t>March 2024 PSD</w:t>
            </w:r>
            <w:r w:rsidRPr="005E2A82">
              <w:t xml:space="preserve"> par. 6.76 Table 10 (Appendix 1)</w:t>
            </w:r>
          </w:p>
        </w:tc>
        <w:tc>
          <w:tcPr>
            <w:tcW w:w="3038" w:type="pct"/>
            <w:shd w:val="clear" w:color="auto" w:fill="auto"/>
            <w:vAlign w:val="center"/>
          </w:tcPr>
          <w:p w14:paraId="0BA4ED26" w14:textId="2F4E2F92" w:rsidR="002C391D" w:rsidRPr="005E2A82" w:rsidRDefault="007B23EC" w:rsidP="00EE344A">
            <w:pPr>
              <w:pStyle w:val="TableText0"/>
            </w:pPr>
            <w:r w:rsidRPr="005E2A82">
              <w:t xml:space="preserve">Appropriate. </w:t>
            </w:r>
            <w:r w:rsidR="002C391D" w:rsidRPr="005E2A82">
              <w:t>The</w:t>
            </w:r>
            <w:r w:rsidR="00524B8B" w:rsidRPr="005E2A82">
              <w:t xml:space="preserve"> March 2024</w:t>
            </w:r>
            <w:r w:rsidR="002C391D" w:rsidRPr="005E2A82">
              <w:t xml:space="preserve"> submission applied a compliance rate of 80%.</w:t>
            </w:r>
            <w:r w:rsidR="00DB2F64" w:rsidRPr="005E2A82">
              <w:t xml:space="preserve"> </w:t>
            </w:r>
            <w:r w:rsidR="002C391D" w:rsidRPr="005E2A82">
              <w:t>The PBAC (March 2024) considered this was underestimated</w:t>
            </w:r>
            <w:r w:rsidRPr="005E2A82">
              <w:t xml:space="preserve"> but did not request it be changed</w:t>
            </w:r>
            <w:r w:rsidR="002C391D" w:rsidRPr="005E2A82">
              <w:t>. Overall compliance in the SPIRIT trials was high 97.4-99% for Ryeqo group to Week 24 and cumulative compliance &gt;98% in all treatment groups to Week 104 in SPIRIT Extension. This assumption was also inconsistent with the modelled economic evaluation, which assumed 100% compliance for Ryeqo. DUSC considered compliance could be high due to the ease of administration and a highly motivated eligible population. However, DUSC considered compliance could also be lower in clinical practice where patients are non-responsive to treatment because the cause of pain is not endometriosis.</w:t>
            </w:r>
            <w:r w:rsidRPr="005E2A82">
              <w:t xml:space="preserve"> </w:t>
            </w:r>
          </w:p>
        </w:tc>
      </w:tr>
      <w:tr w:rsidR="002C391D" w:rsidRPr="005E2A82" w14:paraId="0C865763" w14:textId="77777777" w:rsidTr="00C84B21">
        <w:tc>
          <w:tcPr>
            <w:tcW w:w="1019" w:type="pct"/>
            <w:shd w:val="clear" w:color="auto" w:fill="auto"/>
            <w:vAlign w:val="center"/>
          </w:tcPr>
          <w:p w14:paraId="49D0440C" w14:textId="612A08ED" w:rsidR="002C391D" w:rsidRPr="005E2A82" w:rsidRDefault="002C391D" w:rsidP="00EE344A">
            <w:pPr>
              <w:pStyle w:val="TableText0"/>
            </w:pPr>
            <w:r w:rsidRPr="005E2A82">
              <w:t>Duration of treatment</w:t>
            </w:r>
          </w:p>
        </w:tc>
        <w:tc>
          <w:tcPr>
            <w:tcW w:w="943" w:type="pct"/>
            <w:shd w:val="clear" w:color="auto" w:fill="auto"/>
            <w:vAlign w:val="center"/>
          </w:tcPr>
          <w:p w14:paraId="55CF5673" w14:textId="7E213DA9" w:rsidR="002C391D" w:rsidRPr="005E2A82" w:rsidRDefault="002C391D" w:rsidP="00EE344A">
            <w:pPr>
              <w:pStyle w:val="TableText0"/>
            </w:pPr>
            <w:r w:rsidRPr="005E2A82">
              <w:t>2 years, Sponsor proposed</w:t>
            </w:r>
          </w:p>
        </w:tc>
        <w:tc>
          <w:tcPr>
            <w:tcW w:w="3038" w:type="pct"/>
            <w:shd w:val="clear" w:color="auto" w:fill="auto"/>
            <w:vAlign w:val="center"/>
          </w:tcPr>
          <w:p w14:paraId="21306E1D" w14:textId="77777777" w:rsidR="002C391D" w:rsidRPr="005E2A82" w:rsidRDefault="002C391D" w:rsidP="00EE344A">
            <w:pPr>
              <w:pStyle w:val="TableText0"/>
            </w:pPr>
            <w:r w:rsidRPr="005E2A82">
              <w:t>The March 2024 submission applied a treatment duration of one year which DUSC considered was likely an underestimate. The revised estimates provided in the pre-PBAC response revised the duration of therapy to 2 years.</w:t>
            </w:r>
          </w:p>
          <w:p w14:paraId="0E346EAB" w14:textId="51E746A7" w:rsidR="002C391D" w:rsidRPr="005E2A82" w:rsidRDefault="002C391D" w:rsidP="00EE344A">
            <w:pPr>
              <w:pStyle w:val="TableText0"/>
            </w:pPr>
            <w:r w:rsidRPr="005E2A82">
              <w:t xml:space="preserve">The current submission included wording in the proposed PBS restriction to limit treatment to two years, and has applied </w:t>
            </w:r>
            <w:r w:rsidR="000D75FF" w:rsidRPr="005E2A82">
              <w:t>a treatment duration of two</w:t>
            </w:r>
            <w:r w:rsidRPr="005E2A82">
              <w:t xml:space="preserve"> years in the estimates. </w:t>
            </w:r>
            <w:r w:rsidR="007B23EC" w:rsidRPr="005E2A82">
              <w:t xml:space="preserve">This was appropriate, however as the PI does allow longer duration of therapy conditional on stability of DXA, there may still be a risk of use beyond two years outside the PBS restriction. </w:t>
            </w:r>
          </w:p>
        </w:tc>
      </w:tr>
      <w:tr w:rsidR="009F120F" w:rsidRPr="005E2A82" w14:paraId="3A9EE61B" w14:textId="77777777" w:rsidTr="00EE344A">
        <w:trPr>
          <w:trHeight w:val="1871"/>
        </w:trPr>
        <w:tc>
          <w:tcPr>
            <w:tcW w:w="1019" w:type="pct"/>
            <w:shd w:val="clear" w:color="auto" w:fill="auto"/>
            <w:vAlign w:val="center"/>
          </w:tcPr>
          <w:p w14:paraId="79CF6EB3" w14:textId="48756C87" w:rsidR="009F120F" w:rsidRPr="005E2A82" w:rsidRDefault="009F120F" w:rsidP="00EE344A">
            <w:pPr>
              <w:pStyle w:val="TableText0"/>
            </w:pPr>
            <w:r w:rsidRPr="005E2A82">
              <w:t xml:space="preserve">MBS </w:t>
            </w:r>
            <w:r w:rsidR="00BA01E9" w:rsidRPr="005E2A82">
              <w:t>costs</w:t>
            </w:r>
          </w:p>
        </w:tc>
        <w:tc>
          <w:tcPr>
            <w:tcW w:w="943" w:type="pct"/>
            <w:shd w:val="clear" w:color="auto" w:fill="auto"/>
            <w:vAlign w:val="center"/>
          </w:tcPr>
          <w:p w14:paraId="25D6CF60" w14:textId="5C10CBEE" w:rsidR="009F120F" w:rsidRPr="005E2A82" w:rsidRDefault="00CD4F41" w:rsidP="00EE344A">
            <w:pPr>
              <w:pStyle w:val="TableText0"/>
            </w:pPr>
            <w:r w:rsidRPr="005E2A82">
              <w:t>MBS item number 12321</w:t>
            </w:r>
          </w:p>
        </w:tc>
        <w:tc>
          <w:tcPr>
            <w:tcW w:w="3038" w:type="pct"/>
            <w:shd w:val="clear" w:color="auto" w:fill="auto"/>
            <w:vAlign w:val="center"/>
          </w:tcPr>
          <w:p w14:paraId="523CFDF9" w14:textId="73F58F0B" w:rsidR="009F120F" w:rsidRPr="005E2A82" w:rsidRDefault="00AA7CC7" w:rsidP="00EE344A">
            <w:pPr>
              <w:pStyle w:val="TableText0"/>
            </w:pPr>
            <w:r w:rsidRPr="005E2A82">
              <w:t xml:space="preserve">The PI recommends that clinicians perform a dual X-ray absorptiometry (DXA) scan before commencing treatment and one year after commencing treatment in at risk patients. The </w:t>
            </w:r>
            <w:r w:rsidR="00D7628B" w:rsidRPr="005E2A82">
              <w:t xml:space="preserve">March 2024 </w:t>
            </w:r>
            <w:r w:rsidRPr="005E2A82">
              <w:t>submission did not include any assessment of costs to the MBS in the financial estimates</w:t>
            </w:r>
            <w:r w:rsidR="00E72889" w:rsidRPr="005E2A82">
              <w:t xml:space="preserve"> (Para</w:t>
            </w:r>
            <w:r w:rsidR="000155A9" w:rsidRPr="005E2A82">
              <w:t xml:space="preserve"> 6.83, </w:t>
            </w:r>
            <w:r w:rsidR="00591639" w:rsidRPr="005E2A82">
              <w:t>March 2024 PSD).</w:t>
            </w:r>
            <w:r w:rsidR="007B23EC" w:rsidRPr="005E2A82">
              <w:t xml:space="preserve"> The PBAC advised that costs for annual testing of patients up to 40 years of age, while on treatment, should be included (Para 7.14, March 2024 PSD).</w:t>
            </w:r>
          </w:p>
          <w:p w14:paraId="3CDE6393" w14:textId="2DD895DF" w:rsidR="003D157E" w:rsidRPr="005E2A82" w:rsidRDefault="003D157E" w:rsidP="00EE344A">
            <w:pPr>
              <w:pStyle w:val="TableText0"/>
            </w:pPr>
            <w:r w:rsidRPr="005E2A82">
              <w:t xml:space="preserve">The current submission </w:t>
            </w:r>
            <w:r w:rsidR="003A2357" w:rsidRPr="005E2A82">
              <w:t>est</w:t>
            </w:r>
            <w:r w:rsidR="00C83150" w:rsidRPr="005E2A82">
              <w:t xml:space="preserve">imates costs associated with increased </w:t>
            </w:r>
            <w:r w:rsidR="009C0CB2" w:rsidRPr="005E2A82">
              <w:t xml:space="preserve">bone densitometry scans (MBS item 12321), and decreased costs </w:t>
            </w:r>
            <w:r w:rsidR="008C350F" w:rsidRPr="005E2A82">
              <w:t xml:space="preserve">associated with bone densitometry scans, </w:t>
            </w:r>
            <w:r w:rsidR="000D09B6" w:rsidRPr="005E2A82">
              <w:t xml:space="preserve">hormone or living tissue implantation by cannula (MBS item </w:t>
            </w:r>
            <w:r w:rsidR="00CA6CEA" w:rsidRPr="005E2A82">
              <w:t xml:space="preserve">14206), and professional attendance by a GP between </w:t>
            </w:r>
            <w:r w:rsidR="008004BF" w:rsidRPr="005E2A82">
              <w:t xml:space="preserve">6 and 20 mins (MBS item 23). The submission noted the fee for bone densitometry scans was </w:t>
            </w:r>
            <w:r w:rsidR="00EA4BDE" w:rsidRPr="005E2A82">
              <w:t>$</w:t>
            </w:r>
            <w:r w:rsidR="008004BF" w:rsidRPr="005E2A82">
              <w:t>112.73</w:t>
            </w:r>
            <w:r w:rsidR="004E44AC" w:rsidRPr="005E2A82">
              <w:t xml:space="preserve">, however </w:t>
            </w:r>
            <w:r w:rsidR="00CA5405" w:rsidRPr="005E2A82">
              <w:t>from 1 July 2024 the fee</w:t>
            </w:r>
            <w:r w:rsidR="00EA4BDE" w:rsidRPr="005E2A82">
              <w:t xml:space="preserve"> </w:t>
            </w:r>
            <w:r w:rsidR="00CA5405" w:rsidRPr="005E2A82">
              <w:t>w</w:t>
            </w:r>
            <w:r w:rsidR="00F8150A" w:rsidRPr="005E2A82">
              <w:t xml:space="preserve">as </w:t>
            </w:r>
            <w:r w:rsidR="00A02BD3" w:rsidRPr="005E2A82">
              <w:t>$116.65</w:t>
            </w:r>
            <w:r w:rsidR="00F82826" w:rsidRPr="005E2A82">
              <w:t>, these fees were updated in Table 4</w:t>
            </w:r>
            <w:r w:rsidR="00A02BD3" w:rsidRPr="005E2A82">
              <w:t>.</w:t>
            </w:r>
            <w:r w:rsidR="008004BF" w:rsidRPr="005E2A82">
              <w:t xml:space="preserve"> </w:t>
            </w:r>
          </w:p>
        </w:tc>
      </w:tr>
    </w:tbl>
    <w:p w14:paraId="59153AFE" w14:textId="7F951FA5" w:rsidR="007A6D2E" w:rsidRPr="00E74E45" w:rsidRDefault="00E42F73" w:rsidP="007925DF">
      <w:pPr>
        <w:pStyle w:val="FooterTableFigure"/>
      </w:pPr>
      <w:r w:rsidRPr="00E74E45">
        <w:t xml:space="preserve">Source: </w:t>
      </w:r>
      <w:r w:rsidR="00DD29B5" w:rsidRPr="00E74E45">
        <w:t>Table 10, March 2024 PSD</w:t>
      </w:r>
      <w:r w:rsidR="0008760A" w:rsidRPr="00E74E45">
        <w:t xml:space="preserve">, pp42-44, </w:t>
      </w:r>
      <w:r w:rsidR="007A6D2E" w:rsidRPr="00E74E45">
        <w:t>Table</w:t>
      </w:r>
      <w:r w:rsidR="00D32992" w:rsidRPr="00E74E45">
        <w:t>s</w:t>
      </w:r>
      <w:r w:rsidR="007A6D2E" w:rsidRPr="00E74E45">
        <w:t xml:space="preserve"> 2-1</w:t>
      </w:r>
      <w:r w:rsidR="001C3932" w:rsidRPr="00E74E45">
        <w:t>, 2-2, 2-3</w:t>
      </w:r>
      <w:r w:rsidR="00E5450A" w:rsidRPr="00E74E45">
        <w:t>, 2-8, 2-9</w:t>
      </w:r>
      <w:r w:rsidR="00D32992" w:rsidRPr="00E74E45">
        <w:t xml:space="preserve"> pp4-10 of the submission, </w:t>
      </w:r>
      <w:r w:rsidR="00E74E45" w:rsidRPr="00E74E45">
        <w:t>Section 4 spreadsheet ‘7. Net changes – MBS’ of the submission</w:t>
      </w:r>
    </w:p>
    <w:p w14:paraId="38EC053C" w14:textId="0C173E43" w:rsidR="00C25D9C" w:rsidRPr="0098262F" w:rsidRDefault="00E16AD8" w:rsidP="007B1103">
      <w:pPr>
        <w:pStyle w:val="Caption"/>
      </w:pPr>
      <w:bookmarkStart w:id="24" w:name="_Ref104805295"/>
      <w:r w:rsidRPr="0098262F">
        <w:lastRenderedPageBreak/>
        <w:t xml:space="preserve">Table </w:t>
      </w:r>
      <w:r w:rsidR="000A2DB4">
        <w:fldChar w:fldCharType="begin" w:fldLock="1"/>
      </w:r>
      <w:r w:rsidR="000A2DB4">
        <w:instrText xml:space="preserve"> SEQ Table \* ARABIC </w:instrText>
      </w:r>
      <w:r w:rsidR="000A2DB4">
        <w:fldChar w:fldCharType="separate"/>
      </w:r>
      <w:r w:rsidR="000A2DB4">
        <w:rPr>
          <w:noProof/>
        </w:rPr>
        <w:t>4</w:t>
      </w:r>
      <w:r w:rsidR="000A2DB4">
        <w:rPr>
          <w:noProof/>
        </w:rPr>
        <w:fldChar w:fldCharType="end"/>
      </w:r>
      <w:bookmarkEnd w:id="24"/>
      <w:r w:rsidRPr="0098262F">
        <w:t>:</w:t>
      </w:r>
      <w:r w:rsidR="002A2F50" w:rsidRPr="0098262F">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385A9D" w:rsidRPr="000B7037" w14:paraId="43A2A3A1" w14:textId="77777777" w:rsidTr="008A3158">
        <w:trPr>
          <w:tblHeader/>
        </w:trPr>
        <w:tc>
          <w:tcPr>
            <w:tcW w:w="1334" w:type="pct"/>
            <w:shd w:val="clear" w:color="auto" w:fill="auto"/>
            <w:vAlign w:val="center"/>
          </w:tcPr>
          <w:p w14:paraId="0A4E41E1" w14:textId="77777777" w:rsidR="00385A9D" w:rsidRPr="000B7037" w:rsidRDefault="00385A9D" w:rsidP="007B1103">
            <w:pPr>
              <w:pStyle w:val="In-tableHeading"/>
              <w:jc w:val="center"/>
              <w:rPr>
                <w:szCs w:val="20"/>
                <w:lang w:val="en-AU"/>
              </w:rPr>
            </w:pPr>
          </w:p>
        </w:tc>
        <w:tc>
          <w:tcPr>
            <w:tcW w:w="611" w:type="pct"/>
            <w:shd w:val="clear" w:color="auto" w:fill="auto"/>
            <w:vAlign w:val="center"/>
          </w:tcPr>
          <w:p w14:paraId="77420B6F" w14:textId="77777777" w:rsidR="00385A9D" w:rsidRPr="000B7037" w:rsidRDefault="00385A9D" w:rsidP="007B1103">
            <w:pPr>
              <w:pStyle w:val="In-tableHeading"/>
              <w:jc w:val="center"/>
              <w:rPr>
                <w:szCs w:val="20"/>
                <w:lang w:val="en-AU"/>
              </w:rPr>
            </w:pPr>
            <w:r w:rsidRPr="000B7037">
              <w:rPr>
                <w:szCs w:val="20"/>
                <w:lang w:val="en-AU"/>
              </w:rPr>
              <w:t>Year 1</w:t>
            </w:r>
          </w:p>
        </w:tc>
        <w:tc>
          <w:tcPr>
            <w:tcW w:w="611" w:type="pct"/>
            <w:shd w:val="clear" w:color="auto" w:fill="auto"/>
            <w:vAlign w:val="center"/>
          </w:tcPr>
          <w:p w14:paraId="3BBD9218" w14:textId="77777777" w:rsidR="00385A9D" w:rsidRPr="000B7037" w:rsidRDefault="00385A9D" w:rsidP="007B1103">
            <w:pPr>
              <w:pStyle w:val="In-tableHeading"/>
              <w:jc w:val="center"/>
              <w:rPr>
                <w:szCs w:val="20"/>
                <w:lang w:val="en-AU"/>
              </w:rPr>
            </w:pPr>
            <w:r w:rsidRPr="000B7037">
              <w:rPr>
                <w:szCs w:val="20"/>
                <w:lang w:val="en-AU"/>
              </w:rPr>
              <w:t>Year 2</w:t>
            </w:r>
          </w:p>
        </w:tc>
        <w:tc>
          <w:tcPr>
            <w:tcW w:w="611" w:type="pct"/>
            <w:shd w:val="clear" w:color="auto" w:fill="auto"/>
            <w:vAlign w:val="center"/>
          </w:tcPr>
          <w:p w14:paraId="729A646E" w14:textId="77777777" w:rsidR="00385A9D" w:rsidRPr="000B7037" w:rsidRDefault="00385A9D" w:rsidP="007B1103">
            <w:pPr>
              <w:pStyle w:val="In-tableHeading"/>
              <w:jc w:val="center"/>
              <w:rPr>
                <w:szCs w:val="20"/>
                <w:lang w:val="en-AU"/>
              </w:rPr>
            </w:pPr>
            <w:r w:rsidRPr="000B7037">
              <w:rPr>
                <w:szCs w:val="20"/>
                <w:lang w:val="en-AU"/>
              </w:rPr>
              <w:t>Year 3</w:t>
            </w:r>
          </w:p>
        </w:tc>
        <w:tc>
          <w:tcPr>
            <w:tcW w:w="611" w:type="pct"/>
            <w:shd w:val="clear" w:color="auto" w:fill="auto"/>
            <w:vAlign w:val="center"/>
          </w:tcPr>
          <w:p w14:paraId="280BB544" w14:textId="77777777" w:rsidR="00385A9D" w:rsidRPr="000B7037" w:rsidRDefault="00385A9D" w:rsidP="007B1103">
            <w:pPr>
              <w:pStyle w:val="In-tableHeading"/>
              <w:jc w:val="center"/>
              <w:rPr>
                <w:szCs w:val="20"/>
                <w:lang w:val="en-AU"/>
              </w:rPr>
            </w:pPr>
            <w:r w:rsidRPr="000B7037">
              <w:rPr>
                <w:szCs w:val="20"/>
                <w:lang w:val="en-AU"/>
              </w:rPr>
              <w:t>Year 4</w:t>
            </w:r>
          </w:p>
        </w:tc>
        <w:tc>
          <w:tcPr>
            <w:tcW w:w="611" w:type="pct"/>
            <w:shd w:val="clear" w:color="auto" w:fill="auto"/>
            <w:vAlign w:val="center"/>
          </w:tcPr>
          <w:p w14:paraId="6435BB5B" w14:textId="77777777" w:rsidR="00385A9D" w:rsidRPr="000B7037" w:rsidRDefault="00385A9D" w:rsidP="007B1103">
            <w:pPr>
              <w:pStyle w:val="In-tableHeading"/>
              <w:jc w:val="center"/>
              <w:rPr>
                <w:szCs w:val="20"/>
                <w:lang w:val="en-AU"/>
              </w:rPr>
            </w:pPr>
            <w:r w:rsidRPr="000B7037">
              <w:rPr>
                <w:szCs w:val="20"/>
                <w:lang w:val="en-AU"/>
              </w:rPr>
              <w:t>Year 5</w:t>
            </w:r>
          </w:p>
        </w:tc>
        <w:tc>
          <w:tcPr>
            <w:tcW w:w="611" w:type="pct"/>
          </w:tcPr>
          <w:p w14:paraId="7C618119" w14:textId="77777777" w:rsidR="00385A9D" w:rsidRPr="000B7037" w:rsidRDefault="00385A9D" w:rsidP="007B1103">
            <w:pPr>
              <w:pStyle w:val="In-tableHeading"/>
              <w:jc w:val="center"/>
              <w:rPr>
                <w:szCs w:val="20"/>
                <w:lang w:val="en-AU"/>
              </w:rPr>
            </w:pPr>
            <w:r w:rsidRPr="000B7037">
              <w:rPr>
                <w:szCs w:val="20"/>
                <w:lang w:val="en-AU"/>
              </w:rPr>
              <w:t>Year 6</w:t>
            </w:r>
          </w:p>
        </w:tc>
      </w:tr>
      <w:tr w:rsidR="00385A9D" w:rsidRPr="000B7037" w14:paraId="3C519059" w14:textId="77777777" w:rsidTr="009C3A3A">
        <w:tc>
          <w:tcPr>
            <w:tcW w:w="5000" w:type="pct"/>
            <w:gridSpan w:val="7"/>
            <w:shd w:val="clear" w:color="auto" w:fill="auto"/>
            <w:vAlign w:val="center"/>
          </w:tcPr>
          <w:p w14:paraId="516C2197" w14:textId="77777777" w:rsidR="00385A9D" w:rsidRPr="000B7037" w:rsidRDefault="00385A9D" w:rsidP="007B1103">
            <w:pPr>
              <w:pStyle w:val="In-tableHeading"/>
              <w:rPr>
                <w:bCs/>
                <w:color w:val="000000"/>
                <w:szCs w:val="20"/>
                <w:lang w:val="en-AU"/>
              </w:rPr>
            </w:pPr>
            <w:r w:rsidRPr="000B7037">
              <w:rPr>
                <w:bCs/>
                <w:color w:val="000000"/>
                <w:szCs w:val="20"/>
                <w:lang w:val="en-AU"/>
              </w:rPr>
              <w:t>Estimated extent of use</w:t>
            </w:r>
          </w:p>
        </w:tc>
      </w:tr>
      <w:tr w:rsidR="00E718BC" w:rsidRPr="000B7037" w14:paraId="148A8EEF" w14:textId="77777777" w:rsidTr="002225BF">
        <w:tc>
          <w:tcPr>
            <w:tcW w:w="1334" w:type="pct"/>
            <w:shd w:val="clear" w:color="auto" w:fill="auto"/>
            <w:vAlign w:val="center"/>
          </w:tcPr>
          <w:p w14:paraId="201B6ECA" w14:textId="0E3EE6BC" w:rsidR="00E718BC" w:rsidRPr="000B7037" w:rsidRDefault="00E718BC" w:rsidP="007B1103">
            <w:pPr>
              <w:pStyle w:val="TableText0"/>
              <w:keepNext/>
            </w:pPr>
            <w:r w:rsidRPr="000B7037">
              <w:t xml:space="preserve">Number of patients </w:t>
            </w:r>
            <w:r w:rsidR="00EE1103">
              <w:t>initiating</w:t>
            </w:r>
          </w:p>
        </w:tc>
        <w:tc>
          <w:tcPr>
            <w:tcW w:w="611" w:type="pct"/>
            <w:shd w:val="clear" w:color="auto" w:fill="auto"/>
            <w:vAlign w:val="center"/>
          </w:tcPr>
          <w:p w14:paraId="577607A9" w14:textId="169EB214" w:rsidR="00E718BC" w:rsidRPr="002225BF" w:rsidRDefault="009B407F" w:rsidP="007B1103">
            <w:pPr>
              <w:pStyle w:val="TableText0"/>
              <w:keepNext/>
              <w:rPr>
                <w:vertAlign w:val="superscript"/>
              </w:rPr>
            </w:pPr>
            <w:r w:rsidRPr="009B407F">
              <w:rPr>
                <w:color w:val="000000"/>
                <w:spacing w:val="54"/>
                <w:shd w:val="solid" w:color="000000" w:fill="000000"/>
                <w:fitText w:val="333" w:id="-762061815"/>
                <w14:textFill>
                  <w14:solidFill>
                    <w14:srgbClr w14:val="000000">
                      <w14:alpha w14:val="100000"/>
                    </w14:srgbClr>
                  </w14:solidFill>
                </w14:textFill>
              </w:rPr>
              <w:t>|||</w:t>
            </w:r>
            <w:r w:rsidRPr="009B407F">
              <w:rPr>
                <w:color w:val="000000"/>
                <w:spacing w:val="1"/>
                <w:shd w:val="solid" w:color="000000" w:fill="000000"/>
                <w:fitText w:val="333" w:id="-762061815"/>
                <w14:textFill>
                  <w14:solidFill>
                    <w14:srgbClr w14:val="000000">
                      <w14:alpha w14:val="100000"/>
                    </w14:srgbClr>
                  </w14:solidFill>
                </w14:textFill>
              </w:rPr>
              <w:t>|</w:t>
            </w:r>
            <w:r w:rsidR="002225BF">
              <w:t xml:space="preserve"> </w:t>
            </w:r>
            <w:r w:rsidR="002225BF">
              <w:rPr>
                <w:vertAlign w:val="superscript"/>
              </w:rPr>
              <w:t>1</w:t>
            </w:r>
          </w:p>
        </w:tc>
        <w:tc>
          <w:tcPr>
            <w:tcW w:w="611" w:type="pct"/>
            <w:shd w:val="clear" w:color="auto" w:fill="auto"/>
            <w:vAlign w:val="center"/>
          </w:tcPr>
          <w:p w14:paraId="6610B4C9" w14:textId="78AEAD63" w:rsidR="00E718BC" w:rsidRPr="000B7037" w:rsidRDefault="009B407F" w:rsidP="007B1103">
            <w:pPr>
              <w:pStyle w:val="TableText0"/>
              <w:keepNext/>
            </w:pPr>
            <w:r w:rsidRPr="009B407F">
              <w:rPr>
                <w:color w:val="000000"/>
                <w:spacing w:val="54"/>
                <w:shd w:val="solid" w:color="000000" w:fill="000000"/>
                <w:fitText w:val="334" w:id="-762061814"/>
                <w14:textFill>
                  <w14:solidFill>
                    <w14:srgbClr w14:val="000000">
                      <w14:alpha w14:val="100000"/>
                    </w14:srgbClr>
                  </w14:solidFill>
                </w14:textFill>
              </w:rPr>
              <w:t>|||</w:t>
            </w:r>
            <w:r w:rsidRPr="009B407F">
              <w:rPr>
                <w:color w:val="000000"/>
                <w:spacing w:val="2"/>
                <w:shd w:val="solid" w:color="000000" w:fill="000000"/>
                <w:fitText w:val="334" w:id="-762061814"/>
                <w14:textFill>
                  <w14:solidFill>
                    <w14:srgbClr w14:val="000000">
                      <w14:alpha w14:val="100000"/>
                    </w14:srgbClr>
                  </w14:solidFill>
                </w14:textFill>
              </w:rPr>
              <w:t>|</w:t>
            </w:r>
            <w:r w:rsidR="002225BF">
              <w:t xml:space="preserve"> </w:t>
            </w:r>
            <w:r w:rsidR="002225BF">
              <w:rPr>
                <w:vertAlign w:val="superscript"/>
              </w:rPr>
              <w:t>1</w:t>
            </w:r>
          </w:p>
        </w:tc>
        <w:tc>
          <w:tcPr>
            <w:tcW w:w="611" w:type="pct"/>
            <w:shd w:val="clear" w:color="auto" w:fill="auto"/>
            <w:vAlign w:val="center"/>
          </w:tcPr>
          <w:p w14:paraId="29F46D6B" w14:textId="7AB5D413" w:rsidR="00E718BC" w:rsidRPr="000B7037" w:rsidRDefault="009B407F" w:rsidP="007B1103">
            <w:pPr>
              <w:pStyle w:val="TableText0"/>
              <w:keepNext/>
            </w:pPr>
            <w:r w:rsidRPr="009B407F">
              <w:rPr>
                <w:color w:val="000000"/>
                <w:spacing w:val="54"/>
                <w:shd w:val="solid" w:color="000000" w:fill="000000"/>
                <w:fitText w:val="333" w:id="-762061813"/>
                <w14:textFill>
                  <w14:solidFill>
                    <w14:srgbClr w14:val="000000">
                      <w14:alpha w14:val="100000"/>
                    </w14:srgbClr>
                  </w14:solidFill>
                </w14:textFill>
              </w:rPr>
              <w:t>|||</w:t>
            </w:r>
            <w:r w:rsidRPr="009B407F">
              <w:rPr>
                <w:color w:val="000000"/>
                <w:spacing w:val="1"/>
                <w:shd w:val="solid" w:color="000000" w:fill="000000"/>
                <w:fitText w:val="333" w:id="-762061813"/>
                <w14:textFill>
                  <w14:solidFill>
                    <w14:srgbClr w14:val="000000">
                      <w14:alpha w14:val="100000"/>
                    </w14:srgbClr>
                  </w14:solidFill>
                </w14:textFill>
              </w:rPr>
              <w:t>|</w:t>
            </w:r>
            <w:r w:rsidR="002225BF">
              <w:t xml:space="preserve"> </w:t>
            </w:r>
            <w:r w:rsidR="002225BF">
              <w:rPr>
                <w:vertAlign w:val="superscript"/>
              </w:rPr>
              <w:t>2</w:t>
            </w:r>
          </w:p>
        </w:tc>
        <w:tc>
          <w:tcPr>
            <w:tcW w:w="611" w:type="pct"/>
            <w:shd w:val="clear" w:color="auto" w:fill="auto"/>
            <w:vAlign w:val="center"/>
          </w:tcPr>
          <w:p w14:paraId="21167904" w14:textId="361021E5" w:rsidR="00E718BC" w:rsidRPr="000B7037" w:rsidRDefault="009B407F" w:rsidP="007B1103">
            <w:pPr>
              <w:pStyle w:val="TableText0"/>
              <w:keepNext/>
            </w:pPr>
            <w:r w:rsidRPr="009B407F">
              <w:rPr>
                <w:color w:val="000000"/>
                <w:spacing w:val="54"/>
                <w:shd w:val="solid" w:color="000000" w:fill="000000"/>
                <w:fitText w:val="334" w:id="-762061812"/>
                <w14:textFill>
                  <w14:solidFill>
                    <w14:srgbClr w14:val="000000">
                      <w14:alpha w14:val="100000"/>
                    </w14:srgbClr>
                  </w14:solidFill>
                </w14:textFill>
              </w:rPr>
              <w:t>|||</w:t>
            </w:r>
            <w:r w:rsidRPr="009B407F">
              <w:rPr>
                <w:color w:val="000000"/>
                <w:spacing w:val="2"/>
                <w:shd w:val="solid" w:color="000000" w:fill="000000"/>
                <w:fitText w:val="334" w:id="-762061812"/>
                <w14:textFill>
                  <w14:solidFill>
                    <w14:srgbClr w14:val="000000">
                      <w14:alpha w14:val="100000"/>
                    </w14:srgbClr>
                  </w14:solidFill>
                </w14:textFill>
              </w:rPr>
              <w:t>|</w:t>
            </w:r>
            <w:r w:rsidR="002225BF">
              <w:t xml:space="preserve"> </w:t>
            </w:r>
            <w:r w:rsidR="002225BF">
              <w:rPr>
                <w:vertAlign w:val="superscript"/>
              </w:rPr>
              <w:t>1</w:t>
            </w:r>
          </w:p>
        </w:tc>
        <w:tc>
          <w:tcPr>
            <w:tcW w:w="611" w:type="pct"/>
            <w:shd w:val="clear" w:color="auto" w:fill="auto"/>
            <w:vAlign w:val="center"/>
          </w:tcPr>
          <w:p w14:paraId="762D4B71" w14:textId="6A5E7169" w:rsidR="00E718BC" w:rsidRPr="000B7037" w:rsidRDefault="009B407F" w:rsidP="007B1103">
            <w:pPr>
              <w:pStyle w:val="TableText0"/>
              <w:keepNext/>
            </w:pPr>
            <w:r w:rsidRPr="009B407F">
              <w:rPr>
                <w:color w:val="000000"/>
                <w:spacing w:val="54"/>
                <w:shd w:val="solid" w:color="000000" w:fill="000000"/>
                <w:fitText w:val="333" w:id="-762061811"/>
                <w14:textFill>
                  <w14:solidFill>
                    <w14:srgbClr w14:val="000000">
                      <w14:alpha w14:val="100000"/>
                    </w14:srgbClr>
                  </w14:solidFill>
                </w14:textFill>
              </w:rPr>
              <w:t>|||</w:t>
            </w:r>
            <w:r w:rsidRPr="009B407F">
              <w:rPr>
                <w:color w:val="000000"/>
                <w:spacing w:val="1"/>
                <w:shd w:val="solid" w:color="000000" w:fill="000000"/>
                <w:fitText w:val="333" w:id="-762061811"/>
                <w14:textFill>
                  <w14:solidFill>
                    <w14:srgbClr w14:val="000000">
                      <w14:alpha w14:val="100000"/>
                    </w14:srgbClr>
                  </w14:solidFill>
                </w14:textFill>
              </w:rPr>
              <w:t>|</w:t>
            </w:r>
            <w:r w:rsidR="002225BF">
              <w:t xml:space="preserve"> </w:t>
            </w:r>
            <w:r w:rsidR="002225BF">
              <w:rPr>
                <w:vertAlign w:val="superscript"/>
              </w:rPr>
              <w:t>3</w:t>
            </w:r>
          </w:p>
        </w:tc>
        <w:tc>
          <w:tcPr>
            <w:tcW w:w="611" w:type="pct"/>
            <w:vAlign w:val="center"/>
          </w:tcPr>
          <w:p w14:paraId="42B428B5" w14:textId="10F65611" w:rsidR="00E718BC" w:rsidRPr="000B7037" w:rsidRDefault="009B407F" w:rsidP="007B1103">
            <w:pPr>
              <w:pStyle w:val="TableText0"/>
              <w:keepNext/>
            </w:pPr>
            <w:r w:rsidRPr="009B407F">
              <w:rPr>
                <w:color w:val="000000"/>
                <w:spacing w:val="54"/>
                <w:shd w:val="solid" w:color="000000" w:fill="000000"/>
                <w:fitText w:val="334" w:id="-762061810"/>
                <w14:textFill>
                  <w14:solidFill>
                    <w14:srgbClr w14:val="000000">
                      <w14:alpha w14:val="100000"/>
                    </w14:srgbClr>
                  </w14:solidFill>
                </w14:textFill>
              </w:rPr>
              <w:t>|||</w:t>
            </w:r>
            <w:r w:rsidRPr="009B407F">
              <w:rPr>
                <w:color w:val="000000"/>
                <w:spacing w:val="2"/>
                <w:shd w:val="solid" w:color="000000" w:fill="000000"/>
                <w:fitText w:val="334" w:id="-762061810"/>
                <w14:textFill>
                  <w14:solidFill>
                    <w14:srgbClr w14:val="000000">
                      <w14:alpha w14:val="100000"/>
                    </w14:srgbClr>
                  </w14:solidFill>
                </w14:textFill>
              </w:rPr>
              <w:t>|</w:t>
            </w:r>
            <w:r w:rsidR="002225BF">
              <w:t xml:space="preserve"> </w:t>
            </w:r>
            <w:r w:rsidR="002225BF">
              <w:rPr>
                <w:vertAlign w:val="superscript"/>
              </w:rPr>
              <w:t>1</w:t>
            </w:r>
          </w:p>
        </w:tc>
      </w:tr>
      <w:tr w:rsidR="00794955" w:rsidRPr="000B7037" w14:paraId="1CEE4D09" w14:textId="77777777" w:rsidTr="002225BF">
        <w:tc>
          <w:tcPr>
            <w:tcW w:w="1334" w:type="pct"/>
            <w:shd w:val="clear" w:color="auto" w:fill="auto"/>
            <w:vAlign w:val="center"/>
          </w:tcPr>
          <w:p w14:paraId="229A1EDF" w14:textId="77777777" w:rsidR="00794955" w:rsidRPr="000B7037" w:rsidRDefault="00794955" w:rsidP="007B1103">
            <w:pPr>
              <w:pStyle w:val="TableText0"/>
              <w:keepNext/>
            </w:pPr>
            <w:r w:rsidRPr="000B7037">
              <w:t>Number of scripts dispensed</w:t>
            </w:r>
            <w:r w:rsidRPr="000B7037">
              <w:rPr>
                <w:vertAlign w:val="superscript"/>
              </w:rPr>
              <w:t>a</w:t>
            </w:r>
          </w:p>
        </w:tc>
        <w:tc>
          <w:tcPr>
            <w:tcW w:w="611" w:type="pct"/>
            <w:shd w:val="clear" w:color="auto" w:fill="auto"/>
            <w:vAlign w:val="center"/>
          </w:tcPr>
          <w:p w14:paraId="0D9F25C2" w14:textId="0F9F3810" w:rsidR="00794955" w:rsidRPr="000B7037" w:rsidRDefault="009B407F" w:rsidP="007B1103">
            <w:pPr>
              <w:pStyle w:val="TableText0"/>
              <w:keepNext/>
            </w:pPr>
            <w:r w:rsidRPr="009B407F">
              <w:rPr>
                <w:color w:val="000000"/>
                <w:spacing w:val="54"/>
                <w:shd w:val="solid" w:color="000000" w:fill="000000"/>
                <w:fitText w:val="333" w:id="-762061809"/>
                <w14:textFill>
                  <w14:solidFill>
                    <w14:srgbClr w14:val="000000">
                      <w14:alpha w14:val="100000"/>
                    </w14:srgbClr>
                  </w14:solidFill>
                </w14:textFill>
              </w:rPr>
              <w:t>|||</w:t>
            </w:r>
            <w:r w:rsidRPr="009B407F">
              <w:rPr>
                <w:color w:val="000000"/>
                <w:spacing w:val="1"/>
                <w:shd w:val="solid" w:color="000000" w:fill="000000"/>
                <w:fitText w:val="333" w:id="-762061809"/>
                <w14:textFill>
                  <w14:solidFill>
                    <w14:srgbClr w14:val="000000">
                      <w14:alpha w14:val="100000"/>
                    </w14:srgbClr>
                  </w14:solidFill>
                </w14:textFill>
              </w:rPr>
              <w:t>|</w:t>
            </w:r>
            <w:r w:rsidR="002225BF">
              <w:t xml:space="preserve"> </w:t>
            </w:r>
            <w:r w:rsidR="002225BF">
              <w:rPr>
                <w:vertAlign w:val="superscript"/>
              </w:rPr>
              <w:t>4</w:t>
            </w:r>
          </w:p>
        </w:tc>
        <w:tc>
          <w:tcPr>
            <w:tcW w:w="611" w:type="pct"/>
            <w:shd w:val="clear" w:color="auto" w:fill="auto"/>
            <w:vAlign w:val="center"/>
          </w:tcPr>
          <w:p w14:paraId="2D7847AA" w14:textId="1249ADB3" w:rsidR="00794955" w:rsidRPr="000B7037" w:rsidRDefault="009B407F" w:rsidP="007B1103">
            <w:pPr>
              <w:pStyle w:val="TableText0"/>
              <w:keepNext/>
            </w:pPr>
            <w:r w:rsidRPr="009B407F">
              <w:rPr>
                <w:color w:val="000000"/>
                <w:spacing w:val="54"/>
                <w:shd w:val="solid" w:color="000000" w:fill="000000"/>
                <w:fitText w:val="334" w:id="-762061808"/>
                <w14:textFill>
                  <w14:solidFill>
                    <w14:srgbClr w14:val="000000">
                      <w14:alpha w14:val="100000"/>
                    </w14:srgbClr>
                  </w14:solidFill>
                </w14:textFill>
              </w:rPr>
              <w:t>|||</w:t>
            </w:r>
            <w:r w:rsidRPr="009B407F">
              <w:rPr>
                <w:color w:val="000000"/>
                <w:spacing w:val="2"/>
                <w:shd w:val="solid" w:color="000000" w:fill="000000"/>
                <w:fitText w:val="334" w:id="-762061808"/>
                <w14:textFill>
                  <w14:solidFill>
                    <w14:srgbClr w14:val="000000">
                      <w14:alpha w14:val="100000"/>
                    </w14:srgbClr>
                  </w14:solidFill>
                </w14:textFill>
              </w:rPr>
              <w:t>|</w:t>
            </w:r>
            <w:r w:rsidR="002225BF">
              <w:t xml:space="preserve"> </w:t>
            </w:r>
            <w:r w:rsidR="002225BF">
              <w:rPr>
                <w:vertAlign w:val="superscript"/>
              </w:rPr>
              <w:t>5</w:t>
            </w:r>
          </w:p>
        </w:tc>
        <w:tc>
          <w:tcPr>
            <w:tcW w:w="611" w:type="pct"/>
            <w:shd w:val="clear" w:color="auto" w:fill="auto"/>
            <w:vAlign w:val="center"/>
          </w:tcPr>
          <w:p w14:paraId="7A620378" w14:textId="09806C95" w:rsidR="00794955" w:rsidRPr="000B7037" w:rsidRDefault="009B407F" w:rsidP="007B1103">
            <w:pPr>
              <w:pStyle w:val="TableText0"/>
              <w:keepNext/>
            </w:pPr>
            <w:r w:rsidRPr="009B407F">
              <w:rPr>
                <w:color w:val="000000"/>
                <w:spacing w:val="54"/>
                <w:shd w:val="solid" w:color="000000" w:fill="000000"/>
                <w:fitText w:val="333" w:id="-762061824"/>
                <w14:textFill>
                  <w14:solidFill>
                    <w14:srgbClr w14:val="000000">
                      <w14:alpha w14:val="100000"/>
                    </w14:srgbClr>
                  </w14:solidFill>
                </w14:textFill>
              </w:rPr>
              <w:t>|||</w:t>
            </w:r>
            <w:r w:rsidRPr="009B407F">
              <w:rPr>
                <w:color w:val="000000"/>
                <w:spacing w:val="1"/>
                <w:shd w:val="solid" w:color="000000" w:fill="000000"/>
                <w:fitText w:val="333" w:id="-762061824"/>
                <w14:textFill>
                  <w14:solidFill>
                    <w14:srgbClr w14:val="000000">
                      <w14:alpha w14:val="100000"/>
                    </w14:srgbClr>
                  </w14:solidFill>
                </w14:textFill>
              </w:rPr>
              <w:t>|</w:t>
            </w:r>
            <w:r w:rsidR="002225BF">
              <w:t xml:space="preserve"> </w:t>
            </w:r>
            <w:r w:rsidR="002225BF">
              <w:rPr>
                <w:vertAlign w:val="superscript"/>
              </w:rPr>
              <w:t>6</w:t>
            </w:r>
          </w:p>
        </w:tc>
        <w:tc>
          <w:tcPr>
            <w:tcW w:w="611" w:type="pct"/>
            <w:shd w:val="clear" w:color="auto" w:fill="auto"/>
            <w:vAlign w:val="center"/>
          </w:tcPr>
          <w:p w14:paraId="1D2C1413" w14:textId="231DDAC8" w:rsidR="00794955" w:rsidRPr="000B7037" w:rsidRDefault="009B407F" w:rsidP="007B1103">
            <w:pPr>
              <w:pStyle w:val="TableText0"/>
              <w:keepNext/>
            </w:pPr>
            <w:r w:rsidRPr="009B407F">
              <w:rPr>
                <w:color w:val="000000"/>
                <w:spacing w:val="54"/>
                <w:shd w:val="solid" w:color="000000" w:fill="000000"/>
                <w:fitText w:val="334" w:id="-762061823"/>
                <w14:textFill>
                  <w14:solidFill>
                    <w14:srgbClr w14:val="000000">
                      <w14:alpha w14:val="100000"/>
                    </w14:srgbClr>
                  </w14:solidFill>
                </w14:textFill>
              </w:rPr>
              <w:t>|||</w:t>
            </w:r>
            <w:r w:rsidRPr="009B407F">
              <w:rPr>
                <w:color w:val="000000"/>
                <w:spacing w:val="2"/>
                <w:shd w:val="solid" w:color="000000" w:fill="000000"/>
                <w:fitText w:val="334" w:id="-762061823"/>
                <w14:textFill>
                  <w14:solidFill>
                    <w14:srgbClr w14:val="000000">
                      <w14:alpha w14:val="100000"/>
                    </w14:srgbClr>
                  </w14:solidFill>
                </w14:textFill>
              </w:rPr>
              <w:t>|</w:t>
            </w:r>
            <w:r w:rsidR="002225BF">
              <w:t xml:space="preserve"> </w:t>
            </w:r>
            <w:r w:rsidR="002225BF">
              <w:rPr>
                <w:vertAlign w:val="superscript"/>
              </w:rPr>
              <w:t>5</w:t>
            </w:r>
          </w:p>
        </w:tc>
        <w:tc>
          <w:tcPr>
            <w:tcW w:w="611" w:type="pct"/>
            <w:shd w:val="clear" w:color="auto" w:fill="auto"/>
            <w:vAlign w:val="center"/>
          </w:tcPr>
          <w:p w14:paraId="3F0ACB95" w14:textId="6B8451F4" w:rsidR="00794955" w:rsidRPr="000B7037" w:rsidRDefault="009B407F" w:rsidP="007B1103">
            <w:pPr>
              <w:pStyle w:val="TableText0"/>
              <w:keepNext/>
            </w:pPr>
            <w:r w:rsidRPr="009B407F">
              <w:rPr>
                <w:color w:val="000000"/>
                <w:spacing w:val="54"/>
                <w:shd w:val="solid" w:color="000000" w:fill="000000"/>
                <w:fitText w:val="333" w:id="-762061822"/>
                <w14:textFill>
                  <w14:solidFill>
                    <w14:srgbClr w14:val="000000">
                      <w14:alpha w14:val="100000"/>
                    </w14:srgbClr>
                  </w14:solidFill>
                </w14:textFill>
              </w:rPr>
              <w:t>|||</w:t>
            </w:r>
            <w:r w:rsidRPr="009B407F">
              <w:rPr>
                <w:color w:val="000000"/>
                <w:spacing w:val="1"/>
                <w:shd w:val="solid" w:color="000000" w:fill="000000"/>
                <w:fitText w:val="333" w:id="-762061822"/>
                <w14:textFill>
                  <w14:solidFill>
                    <w14:srgbClr w14:val="000000">
                      <w14:alpha w14:val="100000"/>
                    </w14:srgbClr>
                  </w14:solidFill>
                </w14:textFill>
              </w:rPr>
              <w:t>|</w:t>
            </w:r>
            <w:r w:rsidR="002225BF">
              <w:t xml:space="preserve"> </w:t>
            </w:r>
            <w:r w:rsidR="002225BF">
              <w:rPr>
                <w:vertAlign w:val="superscript"/>
              </w:rPr>
              <w:t>7</w:t>
            </w:r>
          </w:p>
        </w:tc>
        <w:tc>
          <w:tcPr>
            <w:tcW w:w="611" w:type="pct"/>
            <w:vAlign w:val="center"/>
          </w:tcPr>
          <w:p w14:paraId="1C30F331" w14:textId="5A6E9074" w:rsidR="00794955" w:rsidRPr="000B7037" w:rsidRDefault="009B407F" w:rsidP="007B1103">
            <w:pPr>
              <w:pStyle w:val="TableText0"/>
              <w:keepNext/>
            </w:pPr>
            <w:r w:rsidRPr="009B407F">
              <w:rPr>
                <w:color w:val="000000"/>
                <w:spacing w:val="54"/>
                <w:shd w:val="solid" w:color="000000" w:fill="000000"/>
                <w:fitText w:val="334" w:id="-762061821"/>
                <w14:textFill>
                  <w14:solidFill>
                    <w14:srgbClr w14:val="000000">
                      <w14:alpha w14:val="100000"/>
                    </w14:srgbClr>
                  </w14:solidFill>
                </w14:textFill>
              </w:rPr>
              <w:t>|||</w:t>
            </w:r>
            <w:r w:rsidRPr="009B407F">
              <w:rPr>
                <w:color w:val="000000"/>
                <w:spacing w:val="2"/>
                <w:shd w:val="solid" w:color="000000" w:fill="000000"/>
                <w:fitText w:val="334" w:id="-762061821"/>
                <w14:textFill>
                  <w14:solidFill>
                    <w14:srgbClr w14:val="000000">
                      <w14:alpha w14:val="100000"/>
                    </w14:srgbClr>
                  </w14:solidFill>
                </w14:textFill>
              </w:rPr>
              <w:t>|</w:t>
            </w:r>
            <w:r w:rsidR="002225BF">
              <w:t xml:space="preserve"> </w:t>
            </w:r>
            <w:r w:rsidR="002225BF">
              <w:rPr>
                <w:vertAlign w:val="superscript"/>
              </w:rPr>
              <w:t>7</w:t>
            </w:r>
          </w:p>
        </w:tc>
      </w:tr>
      <w:tr w:rsidR="00385A9D" w:rsidRPr="000B7037" w14:paraId="1E699D47" w14:textId="77777777" w:rsidTr="009C3A3A">
        <w:tc>
          <w:tcPr>
            <w:tcW w:w="5000" w:type="pct"/>
            <w:gridSpan w:val="7"/>
            <w:shd w:val="clear" w:color="auto" w:fill="auto"/>
            <w:vAlign w:val="center"/>
          </w:tcPr>
          <w:p w14:paraId="7D0E0884" w14:textId="31E2CF11" w:rsidR="00385A9D" w:rsidRPr="000B7037" w:rsidRDefault="00385A9D" w:rsidP="007B1103">
            <w:pPr>
              <w:pStyle w:val="In-tableHeading"/>
              <w:rPr>
                <w:szCs w:val="20"/>
                <w:lang w:val="en-AU"/>
              </w:rPr>
            </w:pPr>
            <w:r w:rsidRPr="000B7037">
              <w:rPr>
                <w:szCs w:val="20"/>
                <w:lang w:val="en-AU"/>
              </w:rPr>
              <w:t xml:space="preserve">Estimated financial implications of </w:t>
            </w:r>
            <w:r w:rsidR="00A46989">
              <w:rPr>
                <w:szCs w:val="20"/>
                <w:lang w:val="en-AU"/>
              </w:rPr>
              <w:t>Ryeqo</w:t>
            </w:r>
          </w:p>
        </w:tc>
      </w:tr>
      <w:tr w:rsidR="009B513D" w:rsidRPr="000B7037" w14:paraId="4B4ACF1A" w14:textId="77777777" w:rsidTr="002225BF">
        <w:tc>
          <w:tcPr>
            <w:tcW w:w="1334" w:type="pct"/>
            <w:shd w:val="clear" w:color="auto" w:fill="auto"/>
            <w:vAlign w:val="center"/>
          </w:tcPr>
          <w:p w14:paraId="467993BD" w14:textId="618A57F1" w:rsidR="009B513D" w:rsidRPr="000B7037" w:rsidRDefault="009B513D" w:rsidP="007B1103">
            <w:pPr>
              <w:pStyle w:val="TableText0"/>
              <w:keepNext/>
            </w:pPr>
            <w:r w:rsidRPr="000B7037">
              <w:t>Cost to PBS/RPBS less copayments</w:t>
            </w:r>
          </w:p>
        </w:tc>
        <w:tc>
          <w:tcPr>
            <w:tcW w:w="611" w:type="pct"/>
            <w:shd w:val="clear" w:color="auto" w:fill="auto"/>
            <w:vAlign w:val="center"/>
          </w:tcPr>
          <w:p w14:paraId="4125A2B6" w14:textId="540FB8C2" w:rsidR="009B513D" w:rsidRPr="000B7037" w:rsidRDefault="009B513D" w:rsidP="007B1103">
            <w:pPr>
              <w:pStyle w:val="TableText0"/>
              <w:keepNext/>
            </w:pPr>
            <w:r w:rsidRPr="000B7037">
              <w:t>$</w:t>
            </w:r>
            <w:r w:rsidR="009B407F" w:rsidRPr="009B407F">
              <w:rPr>
                <w:color w:val="000000"/>
                <w:spacing w:val="54"/>
                <w:shd w:val="solid" w:color="000000" w:fill="000000"/>
                <w:fitText w:val="333" w:id="-762061820"/>
                <w14:textFill>
                  <w14:solidFill>
                    <w14:srgbClr w14:val="000000">
                      <w14:alpha w14:val="100000"/>
                    </w14:srgbClr>
                  </w14:solidFill>
                </w14:textFill>
              </w:rPr>
              <w:t>|||</w:t>
            </w:r>
            <w:r w:rsidR="009B407F" w:rsidRPr="009B407F">
              <w:rPr>
                <w:color w:val="000000"/>
                <w:spacing w:val="1"/>
                <w:shd w:val="solid" w:color="000000" w:fill="000000"/>
                <w:fitText w:val="333" w:id="-762061820"/>
                <w14:textFill>
                  <w14:solidFill>
                    <w14:srgbClr w14:val="000000">
                      <w14:alpha w14:val="100000"/>
                    </w14:srgbClr>
                  </w14:solidFill>
                </w14:textFill>
              </w:rPr>
              <w:t>|</w:t>
            </w:r>
            <w:r w:rsidR="002225BF">
              <w:t xml:space="preserve"> </w:t>
            </w:r>
            <w:r w:rsidR="002225BF">
              <w:rPr>
                <w:vertAlign w:val="superscript"/>
              </w:rPr>
              <w:t>8</w:t>
            </w:r>
          </w:p>
        </w:tc>
        <w:tc>
          <w:tcPr>
            <w:tcW w:w="611" w:type="pct"/>
            <w:shd w:val="clear" w:color="auto" w:fill="auto"/>
            <w:vAlign w:val="center"/>
          </w:tcPr>
          <w:p w14:paraId="5BDFECEB" w14:textId="0FD643F6" w:rsidR="009B513D" w:rsidRPr="000B7037" w:rsidRDefault="009B513D" w:rsidP="007B1103">
            <w:pPr>
              <w:pStyle w:val="TableText0"/>
              <w:keepNext/>
            </w:pPr>
            <w:r w:rsidRPr="000B7037">
              <w:t>$</w:t>
            </w:r>
            <w:r w:rsidR="009B407F" w:rsidRPr="009B407F">
              <w:rPr>
                <w:color w:val="000000"/>
                <w:spacing w:val="54"/>
                <w:shd w:val="solid" w:color="000000" w:fill="000000"/>
                <w:fitText w:val="333" w:id="-762061819"/>
                <w14:textFill>
                  <w14:solidFill>
                    <w14:srgbClr w14:val="000000">
                      <w14:alpha w14:val="100000"/>
                    </w14:srgbClr>
                  </w14:solidFill>
                </w14:textFill>
              </w:rPr>
              <w:t>|||</w:t>
            </w:r>
            <w:r w:rsidR="009B407F" w:rsidRPr="009B407F">
              <w:rPr>
                <w:color w:val="000000"/>
                <w:spacing w:val="1"/>
                <w:shd w:val="solid" w:color="000000" w:fill="000000"/>
                <w:fitText w:val="333" w:id="-762061819"/>
                <w14:textFill>
                  <w14:solidFill>
                    <w14:srgbClr w14:val="000000">
                      <w14:alpha w14:val="100000"/>
                    </w14:srgbClr>
                  </w14:solidFill>
                </w14:textFill>
              </w:rPr>
              <w:t>|</w:t>
            </w:r>
            <w:r w:rsidR="002225BF">
              <w:t xml:space="preserve"> </w:t>
            </w:r>
            <w:r w:rsidR="002225BF">
              <w:rPr>
                <w:vertAlign w:val="superscript"/>
              </w:rPr>
              <w:t>9</w:t>
            </w:r>
          </w:p>
        </w:tc>
        <w:tc>
          <w:tcPr>
            <w:tcW w:w="611" w:type="pct"/>
            <w:shd w:val="clear" w:color="auto" w:fill="auto"/>
            <w:vAlign w:val="center"/>
          </w:tcPr>
          <w:p w14:paraId="3890D42E" w14:textId="7B1BB958" w:rsidR="009B513D" w:rsidRPr="000B7037" w:rsidRDefault="009B513D" w:rsidP="007B1103">
            <w:pPr>
              <w:pStyle w:val="TableText0"/>
              <w:keepNext/>
            </w:pPr>
            <w:r w:rsidRPr="000B7037">
              <w:t>$</w:t>
            </w:r>
            <w:r w:rsidR="009B407F" w:rsidRPr="009B407F">
              <w:rPr>
                <w:color w:val="000000"/>
                <w:spacing w:val="54"/>
                <w:shd w:val="solid" w:color="000000" w:fill="000000"/>
                <w:fitText w:val="333" w:id="-762061818"/>
                <w14:textFill>
                  <w14:solidFill>
                    <w14:srgbClr w14:val="000000">
                      <w14:alpha w14:val="100000"/>
                    </w14:srgbClr>
                  </w14:solidFill>
                </w14:textFill>
              </w:rPr>
              <w:t>|||</w:t>
            </w:r>
            <w:r w:rsidR="009B407F" w:rsidRPr="009B407F">
              <w:rPr>
                <w:color w:val="000000"/>
                <w:spacing w:val="1"/>
                <w:shd w:val="solid" w:color="000000" w:fill="000000"/>
                <w:fitText w:val="333" w:id="-762061818"/>
                <w14:textFill>
                  <w14:solidFill>
                    <w14:srgbClr w14:val="000000">
                      <w14:alpha w14:val="100000"/>
                    </w14:srgbClr>
                  </w14:solidFill>
                </w14:textFill>
              </w:rPr>
              <w:t>|</w:t>
            </w:r>
            <w:r w:rsidR="002225BF">
              <w:t xml:space="preserve"> </w:t>
            </w:r>
            <w:r w:rsidR="002225BF">
              <w:rPr>
                <w:vertAlign w:val="superscript"/>
              </w:rPr>
              <w:t>9</w:t>
            </w:r>
          </w:p>
        </w:tc>
        <w:tc>
          <w:tcPr>
            <w:tcW w:w="611" w:type="pct"/>
            <w:shd w:val="clear" w:color="auto" w:fill="auto"/>
            <w:vAlign w:val="center"/>
          </w:tcPr>
          <w:p w14:paraId="2728B643" w14:textId="5474C2D1" w:rsidR="009B513D" w:rsidRPr="000B7037" w:rsidRDefault="009B513D" w:rsidP="007B1103">
            <w:pPr>
              <w:pStyle w:val="TableText0"/>
              <w:keepNext/>
            </w:pPr>
            <w:r w:rsidRPr="000B7037">
              <w:t>$</w:t>
            </w:r>
            <w:r w:rsidR="009B407F" w:rsidRPr="009B407F">
              <w:rPr>
                <w:color w:val="000000"/>
                <w:spacing w:val="54"/>
                <w:shd w:val="solid" w:color="000000" w:fill="000000"/>
                <w:fitText w:val="333" w:id="-762061817"/>
                <w14:textFill>
                  <w14:solidFill>
                    <w14:srgbClr w14:val="000000">
                      <w14:alpha w14:val="100000"/>
                    </w14:srgbClr>
                  </w14:solidFill>
                </w14:textFill>
              </w:rPr>
              <w:t>|||</w:t>
            </w:r>
            <w:r w:rsidR="009B407F" w:rsidRPr="009B407F">
              <w:rPr>
                <w:color w:val="000000"/>
                <w:spacing w:val="1"/>
                <w:shd w:val="solid" w:color="000000" w:fill="000000"/>
                <w:fitText w:val="333" w:id="-762061817"/>
                <w14:textFill>
                  <w14:solidFill>
                    <w14:srgbClr w14:val="000000">
                      <w14:alpha w14:val="100000"/>
                    </w14:srgbClr>
                  </w14:solidFill>
                </w14:textFill>
              </w:rPr>
              <w:t>|</w:t>
            </w:r>
            <w:r w:rsidR="002225BF">
              <w:t xml:space="preserve"> </w:t>
            </w:r>
            <w:r w:rsidR="002225BF">
              <w:rPr>
                <w:vertAlign w:val="superscript"/>
              </w:rPr>
              <w:t>9</w:t>
            </w:r>
          </w:p>
        </w:tc>
        <w:tc>
          <w:tcPr>
            <w:tcW w:w="611" w:type="pct"/>
            <w:shd w:val="clear" w:color="auto" w:fill="auto"/>
            <w:vAlign w:val="center"/>
          </w:tcPr>
          <w:p w14:paraId="5FE5021A" w14:textId="1194CCA3" w:rsidR="009B513D" w:rsidRPr="000B7037" w:rsidRDefault="009B513D" w:rsidP="007B1103">
            <w:pPr>
              <w:pStyle w:val="TableText0"/>
              <w:keepNext/>
            </w:pPr>
            <w:r w:rsidRPr="000B7037">
              <w:t>$</w:t>
            </w:r>
            <w:r w:rsidR="009B407F" w:rsidRPr="009B407F">
              <w:rPr>
                <w:color w:val="000000"/>
                <w:spacing w:val="54"/>
                <w:shd w:val="solid" w:color="000000" w:fill="000000"/>
                <w:fitText w:val="333" w:id="-762061816"/>
                <w14:textFill>
                  <w14:solidFill>
                    <w14:srgbClr w14:val="000000">
                      <w14:alpha w14:val="100000"/>
                    </w14:srgbClr>
                  </w14:solidFill>
                </w14:textFill>
              </w:rPr>
              <w:t>|||</w:t>
            </w:r>
            <w:r w:rsidR="009B407F" w:rsidRPr="009B407F">
              <w:rPr>
                <w:color w:val="000000"/>
                <w:spacing w:val="1"/>
                <w:shd w:val="solid" w:color="000000" w:fill="000000"/>
                <w:fitText w:val="333" w:id="-762061816"/>
                <w14:textFill>
                  <w14:solidFill>
                    <w14:srgbClr w14:val="000000">
                      <w14:alpha w14:val="100000"/>
                    </w14:srgbClr>
                  </w14:solidFill>
                </w14:textFill>
              </w:rPr>
              <w:t>|</w:t>
            </w:r>
            <w:r w:rsidR="002225BF">
              <w:t xml:space="preserve"> </w:t>
            </w:r>
            <w:r w:rsidR="002225BF">
              <w:rPr>
                <w:vertAlign w:val="superscript"/>
              </w:rPr>
              <w:t>10</w:t>
            </w:r>
          </w:p>
        </w:tc>
        <w:tc>
          <w:tcPr>
            <w:tcW w:w="611" w:type="pct"/>
            <w:vAlign w:val="center"/>
          </w:tcPr>
          <w:p w14:paraId="6F8E9082" w14:textId="7CD6AEFD" w:rsidR="009B513D" w:rsidRPr="000B7037" w:rsidRDefault="009B513D" w:rsidP="007B1103">
            <w:pPr>
              <w:pStyle w:val="TableText0"/>
              <w:keepNext/>
            </w:pPr>
            <w:r w:rsidRPr="000B7037">
              <w:t>$</w:t>
            </w:r>
            <w:r w:rsidR="009B407F" w:rsidRPr="009B407F">
              <w:rPr>
                <w:color w:val="000000"/>
                <w:spacing w:val="54"/>
                <w:shd w:val="solid" w:color="000000" w:fill="000000"/>
                <w:fitText w:val="333" w:id="-762061815"/>
                <w14:textFill>
                  <w14:solidFill>
                    <w14:srgbClr w14:val="000000">
                      <w14:alpha w14:val="100000"/>
                    </w14:srgbClr>
                  </w14:solidFill>
                </w14:textFill>
              </w:rPr>
              <w:t>|||</w:t>
            </w:r>
            <w:r w:rsidR="009B407F" w:rsidRPr="009B407F">
              <w:rPr>
                <w:color w:val="000000"/>
                <w:spacing w:val="1"/>
                <w:shd w:val="solid" w:color="000000" w:fill="000000"/>
                <w:fitText w:val="333" w:id="-762061815"/>
                <w14:textFill>
                  <w14:solidFill>
                    <w14:srgbClr w14:val="000000">
                      <w14:alpha w14:val="100000"/>
                    </w14:srgbClr>
                  </w14:solidFill>
                </w14:textFill>
              </w:rPr>
              <w:t>|</w:t>
            </w:r>
            <w:r w:rsidR="002225BF">
              <w:t xml:space="preserve"> </w:t>
            </w:r>
            <w:r w:rsidR="002225BF">
              <w:rPr>
                <w:vertAlign w:val="superscript"/>
              </w:rPr>
              <w:t>10</w:t>
            </w:r>
          </w:p>
        </w:tc>
      </w:tr>
      <w:tr w:rsidR="00385A9D" w:rsidRPr="000B7037" w14:paraId="344AC0E2" w14:textId="77777777" w:rsidTr="009C3A3A">
        <w:tc>
          <w:tcPr>
            <w:tcW w:w="5000" w:type="pct"/>
            <w:gridSpan w:val="7"/>
            <w:shd w:val="clear" w:color="auto" w:fill="auto"/>
            <w:vAlign w:val="center"/>
          </w:tcPr>
          <w:p w14:paraId="0FF7E64D" w14:textId="77777777" w:rsidR="00385A9D" w:rsidRPr="000B7037" w:rsidRDefault="00385A9D" w:rsidP="007B1103">
            <w:pPr>
              <w:pStyle w:val="TableText0"/>
              <w:keepNext/>
            </w:pPr>
            <w:r w:rsidRPr="000B7037">
              <w:t>Estimated financial implications for {other medicines}</w:t>
            </w:r>
          </w:p>
        </w:tc>
      </w:tr>
      <w:tr w:rsidR="009B513D" w:rsidRPr="000B7037" w14:paraId="0CE077D9" w14:textId="77777777" w:rsidTr="002225BF">
        <w:tc>
          <w:tcPr>
            <w:tcW w:w="1334" w:type="pct"/>
            <w:shd w:val="clear" w:color="auto" w:fill="auto"/>
            <w:vAlign w:val="center"/>
          </w:tcPr>
          <w:p w14:paraId="40F6A2C5" w14:textId="135CB323" w:rsidR="009B513D" w:rsidRPr="000B7037" w:rsidRDefault="009B513D" w:rsidP="007B1103">
            <w:pPr>
              <w:pStyle w:val="TableText0"/>
              <w:keepNext/>
            </w:pPr>
            <w:r w:rsidRPr="000B7037">
              <w:t>Cost to PBS/RPBS less copayments</w:t>
            </w:r>
          </w:p>
        </w:tc>
        <w:tc>
          <w:tcPr>
            <w:tcW w:w="611" w:type="pct"/>
            <w:shd w:val="clear" w:color="auto" w:fill="auto"/>
            <w:vAlign w:val="center"/>
          </w:tcPr>
          <w:p w14:paraId="50CF2446" w14:textId="4DB2CD40" w:rsidR="009B513D" w:rsidRPr="00EB42D8" w:rsidRDefault="009B407F" w:rsidP="007B1103">
            <w:pPr>
              <w:pStyle w:val="TableText0"/>
              <w:keepNext/>
            </w:pPr>
            <w:r w:rsidRPr="009B407F">
              <w:rPr>
                <w:color w:val="000000"/>
                <w:spacing w:val="54"/>
                <w:shd w:val="solid" w:color="000000" w:fill="000000"/>
                <w:fitText w:val="333" w:id="-762061814"/>
                <w14:textFill>
                  <w14:solidFill>
                    <w14:srgbClr w14:val="000000">
                      <w14:alpha w14:val="100000"/>
                    </w14:srgbClr>
                  </w14:solidFill>
                </w14:textFill>
              </w:rPr>
              <w:t>|||</w:t>
            </w:r>
            <w:r w:rsidRPr="009B407F">
              <w:rPr>
                <w:color w:val="000000"/>
                <w:spacing w:val="1"/>
                <w:shd w:val="solid" w:color="000000" w:fill="000000"/>
                <w:fitText w:val="333" w:id="-762061814"/>
                <w14:textFill>
                  <w14:solidFill>
                    <w14:srgbClr w14:val="000000">
                      <w14:alpha w14:val="100000"/>
                    </w14:srgbClr>
                  </w14:solidFill>
                </w14:textFill>
              </w:rPr>
              <w:t>|</w:t>
            </w:r>
            <w:r w:rsidR="002225BF">
              <w:rPr>
                <w:color w:val="000000"/>
              </w:rPr>
              <w:t xml:space="preserve"> </w:t>
            </w:r>
            <w:r w:rsidR="002225BF">
              <w:rPr>
                <w:color w:val="000000"/>
                <w:vertAlign w:val="superscript"/>
              </w:rPr>
              <w:t>11</w:t>
            </w:r>
          </w:p>
        </w:tc>
        <w:tc>
          <w:tcPr>
            <w:tcW w:w="611" w:type="pct"/>
            <w:shd w:val="clear" w:color="auto" w:fill="auto"/>
            <w:vAlign w:val="center"/>
          </w:tcPr>
          <w:p w14:paraId="35AF80ED" w14:textId="6D4F27E6" w:rsidR="009B513D" w:rsidRPr="00EB42D8" w:rsidRDefault="009B407F" w:rsidP="007B1103">
            <w:pPr>
              <w:pStyle w:val="TableText0"/>
              <w:keepNext/>
            </w:pPr>
            <w:r w:rsidRPr="009B407F">
              <w:rPr>
                <w:color w:val="000000"/>
                <w:spacing w:val="54"/>
                <w:shd w:val="solid" w:color="000000" w:fill="000000"/>
                <w:fitText w:val="334" w:id="-762061813"/>
                <w14:textFill>
                  <w14:solidFill>
                    <w14:srgbClr w14:val="000000">
                      <w14:alpha w14:val="100000"/>
                    </w14:srgbClr>
                  </w14:solidFill>
                </w14:textFill>
              </w:rPr>
              <w:t>|||</w:t>
            </w:r>
            <w:r w:rsidRPr="009B407F">
              <w:rPr>
                <w:color w:val="000000"/>
                <w:spacing w:val="2"/>
                <w:shd w:val="solid" w:color="000000" w:fill="000000"/>
                <w:fitText w:val="334" w:id="-762061813"/>
                <w14:textFill>
                  <w14:solidFill>
                    <w14:srgbClr w14:val="000000">
                      <w14:alpha w14:val="100000"/>
                    </w14:srgbClr>
                  </w14:solidFill>
                </w14:textFill>
              </w:rPr>
              <w:t>|</w:t>
            </w:r>
            <w:r w:rsidR="002225BF">
              <w:rPr>
                <w:color w:val="000000"/>
              </w:rPr>
              <w:t xml:space="preserve"> </w:t>
            </w:r>
            <w:r w:rsidR="002225BF">
              <w:rPr>
                <w:color w:val="000000"/>
                <w:vertAlign w:val="superscript"/>
              </w:rPr>
              <w:t>11</w:t>
            </w:r>
          </w:p>
        </w:tc>
        <w:tc>
          <w:tcPr>
            <w:tcW w:w="611" w:type="pct"/>
            <w:shd w:val="clear" w:color="auto" w:fill="auto"/>
            <w:vAlign w:val="center"/>
          </w:tcPr>
          <w:p w14:paraId="28F1C25D" w14:textId="40CBE784" w:rsidR="009B513D" w:rsidRPr="00EB42D8" w:rsidRDefault="009B407F" w:rsidP="007B1103">
            <w:pPr>
              <w:pStyle w:val="TableText0"/>
              <w:keepNext/>
            </w:pPr>
            <w:r w:rsidRPr="009B407F">
              <w:rPr>
                <w:color w:val="000000"/>
                <w:spacing w:val="54"/>
                <w:shd w:val="solid" w:color="000000" w:fill="000000"/>
                <w:fitText w:val="333" w:id="-762061812"/>
                <w14:textFill>
                  <w14:solidFill>
                    <w14:srgbClr w14:val="000000">
                      <w14:alpha w14:val="100000"/>
                    </w14:srgbClr>
                  </w14:solidFill>
                </w14:textFill>
              </w:rPr>
              <w:t>|||</w:t>
            </w:r>
            <w:r w:rsidRPr="009B407F">
              <w:rPr>
                <w:color w:val="000000"/>
                <w:spacing w:val="1"/>
                <w:shd w:val="solid" w:color="000000" w:fill="000000"/>
                <w:fitText w:val="333" w:id="-762061812"/>
                <w14:textFill>
                  <w14:solidFill>
                    <w14:srgbClr w14:val="000000">
                      <w14:alpha w14:val="100000"/>
                    </w14:srgbClr>
                  </w14:solidFill>
                </w14:textFill>
              </w:rPr>
              <w:t>|</w:t>
            </w:r>
            <w:r w:rsidR="002225BF">
              <w:rPr>
                <w:color w:val="000000"/>
              </w:rPr>
              <w:t xml:space="preserve"> </w:t>
            </w:r>
            <w:r w:rsidR="002225BF">
              <w:rPr>
                <w:color w:val="000000"/>
                <w:vertAlign w:val="superscript"/>
              </w:rPr>
              <w:t>11</w:t>
            </w:r>
          </w:p>
        </w:tc>
        <w:tc>
          <w:tcPr>
            <w:tcW w:w="611" w:type="pct"/>
            <w:shd w:val="clear" w:color="auto" w:fill="auto"/>
            <w:vAlign w:val="center"/>
          </w:tcPr>
          <w:p w14:paraId="5DBA4173" w14:textId="282BEF88" w:rsidR="009B513D" w:rsidRPr="00EB42D8" w:rsidRDefault="009B407F" w:rsidP="007B1103">
            <w:pPr>
              <w:pStyle w:val="TableText0"/>
              <w:keepNext/>
            </w:pPr>
            <w:r w:rsidRPr="009B407F">
              <w:rPr>
                <w:color w:val="000000"/>
                <w:spacing w:val="54"/>
                <w:shd w:val="solid" w:color="000000" w:fill="000000"/>
                <w:fitText w:val="334" w:id="-762061811"/>
                <w14:textFill>
                  <w14:solidFill>
                    <w14:srgbClr w14:val="000000">
                      <w14:alpha w14:val="100000"/>
                    </w14:srgbClr>
                  </w14:solidFill>
                </w14:textFill>
              </w:rPr>
              <w:t>|||</w:t>
            </w:r>
            <w:r w:rsidRPr="009B407F">
              <w:rPr>
                <w:color w:val="000000"/>
                <w:spacing w:val="2"/>
                <w:shd w:val="solid" w:color="000000" w:fill="000000"/>
                <w:fitText w:val="334" w:id="-762061811"/>
                <w14:textFill>
                  <w14:solidFill>
                    <w14:srgbClr w14:val="000000">
                      <w14:alpha w14:val="100000"/>
                    </w14:srgbClr>
                  </w14:solidFill>
                </w14:textFill>
              </w:rPr>
              <w:t>|</w:t>
            </w:r>
            <w:r w:rsidR="002225BF">
              <w:rPr>
                <w:color w:val="000000"/>
              </w:rPr>
              <w:t xml:space="preserve"> </w:t>
            </w:r>
            <w:r w:rsidR="002225BF">
              <w:rPr>
                <w:color w:val="000000"/>
                <w:vertAlign w:val="superscript"/>
              </w:rPr>
              <w:t>11</w:t>
            </w:r>
          </w:p>
        </w:tc>
        <w:tc>
          <w:tcPr>
            <w:tcW w:w="611" w:type="pct"/>
            <w:shd w:val="clear" w:color="auto" w:fill="auto"/>
            <w:vAlign w:val="center"/>
          </w:tcPr>
          <w:p w14:paraId="4D6DC68C" w14:textId="53B5E74C" w:rsidR="009B513D" w:rsidRPr="00EB42D8" w:rsidRDefault="009B407F" w:rsidP="007B1103">
            <w:pPr>
              <w:pStyle w:val="TableText0"/>
              <w:keepNext/>
            </w:pPr>
            <w:r w:rsidRPr="009B407F">
              <w:rPr>
                <w:color w:val="000000"/>
                <w:spacing w:val="54"/>
                <w:shd w:val="solid" w:color="000000" w:fill="000000"/>
                <w:fitText w:val="333" w:id="-762061810"/>
                <w14:textFill>
                  <w14:solidFill>
                    <w14:srgbClr w14:val="000000">
                      <w14:alpha w14:val="100000"/>
                    </w14:srgbClr>
                  </w14:solidFill>
                </w14:textFill>
              </w:rPr>
              <w:t>|||</w:t>
            </w:r>
            <w:r w:rsidRPr="009B407F">
              <w:rPr>
                <w:color w:val="000000"/>
                <w:spacing w:val="1"/>
                <w:shd w:val="solid" w:color="000000" w:fill="000000"/>
                <w:fitText w:val="333" w:id="-762061810"/>
                <w14:textFill>
                  <w14:solidFill>
                    <w14:srgbClr w14:val="000000">
                      <w14:alpha w14:val="100000"/>
                    </w14:srgbClr>
                  </w14:solidFill>
                </w14:textFill>
              </w:rPr>
              <w:t>|</w:t>
            </w:r>
            <w:r w:rsidR="002225BF">
              <w:rPr>
                <w:color w:val="000000"/>
              </w:rPr>
              <w:t xml:space="preserve"> </w:t>
            </w:r>
            <w:r w:rsidR="002225BF">
              <w:rPr>
                <w:color w:val="000000"/>
                <w:vertAlign w:val="superscript"/>
              </w:rPr>
              <w:t>11</w:t>
            </w:r>
          </w:p>
        </w:tc>
        <w:tc>
          <w:tcPr>
            <w:tcW w:w="611" w:type="pct"/>
            <w:vAlign w:val="center"/>
          </w:tcPr>
          <w:p w14:paraId="0766C6AC" w14:textId="4EF29B4F" w:rsidR="009B513D" w:rsidRPr="00EB42D8" w:rsidRDefault="009B407F" w:rsidP="007B1103">
            <w:pPr>
              <w:pStyle w:val="TableText0"/>
              <w:keepNext/>
            </w:pPr>
            <w:r w:rsidRPr="009B407F">
              <w:rPr>
                <w:color w:val="000000"/>
                <w:spacing w:val="54"/>
                <w:shd w:val="solid" w:color="000000" w:fill="000000"/>
                <w:fitText w:val="334" w:id="-762061809"/>
                <w14:textFill>
                  <w14:solidFill>
                    <w14:srgbClr w14:val="000000">
                      <w14:alpha w14:val="100000"/>
                    </w14:srgbClr>
                  </w14:solidFill>
                </w14:textFill>
              </w:rPr>
              <w:t>|||</w:t>
            </w:r>
            <w:r w:rsidRPr="009B407F">
              <w:rPr>
                <w:color w:val="000000"/>
                <w:spacing w:val="2"/>
                <w:shd w:val="solid" w:color="000000" w:fill="000000"/>
                <w:fitText w:val="334" w:id="-762061809"/>
                <w14:textFill>
                  <w14:solidFill>
                    <w14:srgbClr w14:val="000000">
                      <w14:alpha w14:val="100000"/>
                    </w14:srgbClr>
                  </w14:solidFill>
                </w14:textFill>
              </w:rPr>
              <w:t>|</w:t>
            </w:r>
            <w:r w:rsidR="002225BF">
              <w:rPr>
                <w:color w:val="000000"/>
              </w:rPr>
              <w:t xml:space="preserve"> </w:t>
            </w:r>
            <w:r w:rsidR="002225BF">
              <w:rPr>
                <w:color w:val="000000"/>
                <w:vertAlign w:val="superscript"/>
              </w:rPr>
              <w:t>11</w:t>
            </w:r>
          </w:p>
        </w:tc>
      </w:tr>
      <w:tr w:rsidR="00385A9D" w:rsidRPr="000B7037" w14:paraId="4FA07BD8" w14:textId="77777777" w:rsidTr="009C3A3A">
        <w:tc>
          <w:tcPr>
            <w:tcW w:w="5000" w:type="pct"/>
            <w:gridSpan w:val="7"/>
            <w:shd w:val="clear" w:color="auto" w:fill="auto"/>
            <w:vAlign w:val="center"/>
          </w:tcPr>
          <w:p w14:paraId="1A627EA0" w14:textId="3FF7FA1C" w:rsidR="00385A9D" w:rsidRPr="000B7037" w:rsidRDefault="00385A9D" w:rsidP="007B1103">
            <w:pPr>
              <w:pStyle w:val="In-tableHeading"/>
              <w:rPr>
                <w:szCs w:val="20"/>
                <w:lang w:val="en-AU"/>
              </w:rPr>
            </w:pPr>
            <w:r w:rsidRPr="000B7037">
              <w:rPr>
                <w:szCs w:val="20"/>
                <w:lang w:val="en-AU"/>
              </w:rPr>
              <w:t>Net financial implications</w:t>
            </w:r>
          </w:p>
        </w:tc>
      </w:tr>
      <w:tr w:rsidR="009B513D" w:rsidRPr="000B7037" w14:paraId="3F33D4C6" w14:textId="77777777" w:rsidTr="002225BF">
        <w:tc>
          <w:tcPr>
            <w:tcW w:w="1334" w:type="pct"/>
            <w:shd w:val="clear" w:color="auto" w:fill="auto"/>
            <w:vAlign w:val="center"/>
          </w:tcPr>
          <w:p w14:paraId="5ABBDE64" w14:textId="77777777" w:rsidR="009B513D" w:rsidRPr="000B7037" w:rsidRDefault="009B513D" w:rsidP="007B1103">
            <w:pPr>
              <w:pStyle w:val="TableText0"/>
              <w:keepNext/>
            </w:pPr>
            <w:r w:rsidRPr="000B7037">
              <w:t>Net cost to PBS/RPBS</w:t>
            </w:r>
          </w:p>
        </w:tc>
        <w:tc>
          <w:tcPr>
            <w:tcW w:w="611" w:type="pct"/>
            <w:shd w:val="clear" w:color="auto" w:fill="auto"/>
            <w:vAlign w:val="center"/>
          </w:tcPr>
          <w:p w14:paraId="744F82C2" w14:textId="44B7F063" w:rsidR="009B513D" w:rsidRPr="000B7037" w:rsidRDefault="009B513D" w:rsidP="007B1103">
            <w:pPr>
              <w:pStyle w:val="TableText0"/>
              <w:keepNext/>
            </w:pPr>
            <w:r w:rsidRPr="000B7037">
              <w:t>$</w:t>
            </w:r>
            <w:r w:rsidR="009B407F" w:rsidRPr="009B407F">
              <w:rPr>
                <w:color w:val="000000"/>
                <w:spacing w:val="54"/>
                <w:shd w:val="solid" w:color="000000" w:fill="000000"/>
                <w:fitText w:val="333" w:id="-762061808"/>
                <w14:textFill>
                  <w14:solidFill>
                    <w14:srgbClr w14:val="000000">
                      <w14:alpha w14:val="100000"/>
                    </w14:srgbClr>
                  </w14:solidFill>
                </w14:textFill>
              </w:rPr>
              <w:t>|||</w:t>
            </w:r>
            <w:r w:rsidR="009B407F" w:rsidRPr="009B407F">
              <w:rPr>
                <w:color w:val="000000"/>
                <w:spacing w:val="1"/>
                <w:shd w:val="solid" w:color="000000" w:fill="000000"/>
                <w:fitText w:val="333" w:id="-762061808"/>
                <w14:textFill>
                  <w14:solidFill>
                    <w14:srgbClr w14:val="000000">
                      <w14:alpha w14:val="100000"/>
                    </w14:srgbClr>
                  </w14:solidFill>
                </w14:textFill>
              </w:rPr>
              <w:t>|</w:t>
            </w:r>
            <w:r w:rsidR="002225BF">
              <w:t xml:space="preserve"> </w:t>
            </w:r>
            <w:r w:rsidR="002225BF">
              <w:rPr>
                <w:vertAlign w:val="superscript"/>
              </w:rPr>
              <w:t>8</w:t>
            </w:r>
          </w:p>
        </w:tc>
        <w:tc>
          <w:tcPr>
            <w:tcW w:w="611" w:type="pct"/>
            <w:shd w:val="clear" w:color="auto" w:fill="auto"/>
            <w:vAlign w:val="center"/>
          </w:tcPr>
          <w:p w14:paraId="295843EA" w14:textId="4D029DFE" w:rsidR="009B513D" w:rsidRPr="000B7037" w:rsidRDefault="009B513D" w:rsidP="007B1103">
            <w:pPr>
              <w:pStyle w:val="TableText0"/>
              <w:keepNext/>
            </w:pPr>
            <w:r w:rsidRPr="000B7037">
              <w:t>$</w:t>
            </w:r>
            <w:r w:rsidR="009B407F" w:rsidRPr="009B407F">
              <w:rPr>
                <w:color w:val="000000"/>
                <w:spacing w:val="54"/>
                <w:shd w:val="solid" w:color="000000" w:fill="000000"/>
                <w:fitText w:val="333" w:id="-762061824"/>
                <w14:textFill>
                  <w14:solidFill>
                    <w14:srgbClr w14:val="000000">
                      <w14:alpha w14:val="100000"/>
                    </w14:srgbClr>
                  </w14:solidFill>
                </w14:textFill>
              </w:rPr>
              <w:t>|||</w:t>
            </w:r>
            <w:r w:rsidR="009B407F" w:rsidRPr="009B407F">
              <w:rPr>
                <w:color w:val="000000"/>
                <w:spacing w:val="1"/>
                <w:shd w:val="solid" w:color="000000" w:fill="000000"/>
                <w:fitText w:val="333" w:id="-762061824"/>
                <w14:textFill>
                  <w14:solidFill>
                    <w14:srgbClr w14:val="000000">
                      <w14:alpha w14:val="100000"/>
                    </w14:srgbClr>
                  </w14:solidFill>
                </w14:textFill>
              </w:rPr>
              <w:t>|</w:t>
            </w:r>
            <w:r w:rsidR="002225BF">
              <w:t xml:space="preserve"> </w:t>
            </w:r>
            <w:r w:rsidR="002225BF">
              <w:rPr>
                <w:vertAlign w:val="superscript"/>
              </w:rPr>
              <w:t>12</w:t>
            </w:r>
          </w:p>
        </w:tc>
        <w:tc>
          <w:tcPr>
            <w:tcW w:w="611" w:type="pct"/>
            <w:shd w:val="clear" w:color="auto" w:fill="auto"/>
            <w:vAlign w:val="center"/>
          </w:tcPr>
          <w:p w14:paraId="3A32302A" w14:textId="7D4672E8" w:rsidR="009B513D" w:rsidRPr="000B7037" w:rsidRDefault="009B513D" w:rsidP="007B1103">
            <w:pPr>
              <w:pStyle w:val="TableText0"/>
              <w:keepNext/>
            </w:pPr>
            <w:r w:rsidRPr="000B7037">
              <w:t>$</w:t>
            </w:r>
            <w:r w:rsidR="009B407F" w:rsidRPr="009B407F">
              <w:rPr>
                <w:color w:val="000000"/>
                <w:spacing w:val="54"/>
                <w:shd w:val="solid" w:color="000000" w:fill="000000"/>
                <w:fitText w:val="333" w:id="-762061823"/>
                <w14:textFill>
                  <w14:solidFill>
                    <w14:srgbClr w14:val="000000">
                      <w14:alpha w14:val="100000"/>
                    </w14:srgbClr>
                  </w14:solidFill>
                </w14:textFill>
              </w:rPr>
              <w:t>|||</w:t>
            </w:r>
            <w:r w:rsidR="009B407F" w:rsidRPr="009B407F">
              <w:rPr>
                <w:color w:val="000000"/>
                <w:spacing w:val="1"/>
                <w:shd w:val="solid" w:color="000000" w:fill="000000"/>
                <w:fitText w:val="333" w:id="-762061823"/>
                <w14:textFill>
                  <w14:solidFill>
                    <w14:srgbClr w14:val="000000">
                      <w14:alpha w14:val="100000"/>
                    </w14:srgbClr>
                  </w14:solidFill>
                </w14:textFill>
              </w:rPr>
              <w:t>|</w:t>
            </w:r>
            <w:r w:rsidR="002225BF">
              <w:t xml:space="preserve"> </w:t>
            </w:r>
            <w:r w:rsidR="002225BF">
              <w:rPr>
                <w:vertAlign w:val="superscript"/>
              </w:rPr>
              <w:t>9</w:t>
            </w:r>
          </w:p>
        </w:tc>
        <w:tc>
          <w:tcPr>
            <w:tcW w:w="611" w:type="pct"/>
            <w:shd w:val="clear" w:color="auto" w:fill="auto"/>
            <w:vAlign w:val="center"/>
          </w:tcPr>
          <w:p w14:paraId="326E9207" w14:textId="69647F85" w:rsidR="009B513D" w:rsidRPr="000B7037" w:rsidRDefault="009B513D" w:rsidP="007B1103">
            <w:pPr>
              <w:pStyle w:val="TableText0"/>
              <w:keepNext/>
            </w:pPr>
            <w:r w:rsidRPr="000B7037">
              <w:t>$</w:t>
            </w:r>
            <w:r w:rsidR="009B407F" w:rsidRPr="009B407F">
              <w:rPr>
                <w:color w:val="000000"/>
                <w:spacing w:val="54"/>
                <w:shd w:val="solid" w:color="000000" w:fill="000000"/>
                <w:fitText w:val="333" w:id="-762061822"/>
                <w14:textFill>
                  <w14:solidFill>
                    <w14:srgbClr w14:val="000000">
                      <w14:alpha w14:val="100000"/>
                    </w14:srgbClr>
                  </w14:solidFill>
                </w14:textFill>
              </w:rPr>
              <w:t>|||</w:t>
            </w:r>
            <w:r w:rsidR="009B407F" w:rsidRPr="009B407F">
              <w:rPr>
                <w:color w:val="000000"/>
                <w:spacing w:val="1"/>
                <w:shd w:val="solid" w:color="000000" w:fill="000000"/>
                <w:fitText w:val="333" w:id="-762061822"/>
                <w14:textFill>
                  <w14:solidFill>
                    <w14:srgbClr w14:val="000000">
                      <w14:alpha w14:val="100000"/>
                    </w14:srgbClr>
                  </w14:solidFill>
                </w14:textFill>
              </w:rPr>
              <w:t>|</w:t>
            </w:r>
            <w:r w:rsidR="002225BF">
              <w:t xml:space="preserve"> </w:t>
            </w:r>
            <w:r w:rsidR="002225BF">
              <w:rPr>
                <w:vertAlign w:val="superscript"/>
              </w:rPr>
              <w:t>9</w:t>
            </w:r>
          </w:p>
        </w:tc>
        <w:tc>
          <w:tcPr>
            <w:tcW w:w="611" w:type="pct"/>
            <w:shd w:val="clear" w:color="auto" w:fill="auto"/>
            <w:vAlign w:val="center"/>
          </w:tcPr>
          <w:p w14:paraId="56E4D70E" w14:textId="5943EDC5" w:rsidR="009B513D" w:rsidRPr="000B7037" w:rsidRDefault="009B513D" w:rsidP="007B1103">
            <w:pPr>
              <w:pStyle w:val="TableText0"/>
              <w:keepNext/>
            </w:pPr>
            <w:r w:rsidRPr="000B7037">
              <w:t>$</w:t>
            </w:r>
            <w:r w:rsidR="009B407F" w:rsidRPr="009B407F">
              <w:rPr>
                <w:color w:val="000000"/>
                <w:spacing w:val="54"/>
                <w:shd w:val="solid" w:color="000000" w:fill="000000"/>
                <w:fitText w:val="333" w:id="-762061821"/>
                <w14:textFill>
                  <w14:solidFill>
                    <w14:srgbClr w14:val="000000">
                      <w14:alpha w14:val="100000"/>
                    </w14:srgbClr>
                  </w14:solidFill>
                </w14:textFill>
              </w:rPr>
              <w:t>|||</w:t>
            </w:r>
            <w:r w:rsidR="009B407F" w:rsidRPr="009B407F">
              <w:rPr>
                <w:color w:val="000000"/>
                <w:spacing w:val="1"/>
                <w:shd w:val="solid" w:color="000000" w:fill="000000"/>
                <w:fitText w:val="333" w:id="-762061821"/>
                <w14:textFill>
                  <w14:solidFill>
                    <w14:srgbClr w14:val="000000">
                      <w14:alpha w14:val="100000"/>
                    </w14:srgbClr>
                  </w14:solidFill>
                </w14:textFill>
              </w:rPr>
              <w:t>|</w:t>
            </w:r>
            <w:r w:rsidR="002225BF">
              <w:t xml:space="preserve"> </w:t>
            </w:r>
            <w:r w:rsidR="002225BF">
              <w:rPr>
                <w:vertAlign w:val="superscript"/>
              </w:rPr>
              <w:t>10</w:t>
            </w:r>
          </w:p>
        </w:tc>
        <w:tc>
          <w:tcPr>
            <w:tcW w:w="611" w:type="pct"/>
            <w:vAlign w:val="center"/>
          </w:tcPr>
          <w:p w14:paraId="241B1CFD" w14:textId="431772E5" w:rsidR="009B513D" w:rsidRPr="000B7037" w:rsidRDefault="009B513D" w:rsidP="007B1103">
            <w:pPr>
              <w:pStyle w:val="TableText0"/>
              <w:keepNext/>
            </w:pPr>
            <w:r w:rsidRPr="000B7037">
              <w:t>$</w:t>
            </w:r>
            <w:r w:rsidR="009B407F" w:rsidRPr="009B407F">
              <w:rPr>
                <w:color w:val="000000"/>
                <w:spacing w:val="54"/>
                <w:shd w:val="solid" w:color="000000" w:fill="000000"/>
                <w:fitText w:val="333" w:id="-762061820"/>
                <w14:textFill>
                  <w14:solidFill>
                    <w14:srgbClr w14:val="000000">
                      <w14:alpha w14:val="100000"/>
                    </w14:srgbClr>
                  </w14:solidFill>
                </w14:textFill>
              </w:rPr>
              <w:t>|||</w:t>
            </w:r>
            <w:r w:rsidR="009B407F" w:rsidRPr="009B407F">
              <w:rPr>
                <w:color w:val="000000"/>
                <w:spacing w:val="1"/>
                <w:shd w:val="solid" w:color="000000" w:fill="000000"/>
                <w:fitText w:val="333" w:id="-762061820"/>
                <w14:textFill>
                  <w14:solidFill>
                    <w14:srgbClr w14:val="000000">
                      <w14:alpha w14:val="100000"/>
                    </w14:srgbClr>
                  </w14:solidFill>
                </w14:textFill>
              </w:rPr>
              <w:t>|</w:t>
            </w:r>
            <w:r w:rsidR="002225BF">
              <w:t xml:space="preserve"> </w:t>
            </w:r>
            <w:r w:rsidR="002225BF">
              <w:rPr>
                <w:vertAlign w:val="superscript"/>
              </w:rPr>
              <w:t>13</w:t>
            </w:r>
          </w:p>
        </w:tc>
      </w:tr>
      <w:tr w:rsidR="00CA6F2A" w:rsidRPr="000B7037" w14:paraId="123830C0" w14:textId="77777777" w:rsidTr="002225BF">
        <w:tc>
          <w:tcPr>
            <w:tcW w:w="1334" w:type="pct"/>
            <w:shd w:val="clear" w:color="auto" w:fill="auto"/>
            <w:vAlign w:val="center"/>
          </w:tcPr>
          <w:p w14:paraId="50FCDA47" w14:textId="5B9C10E9" w:rsidR="00CA6F2A" w:rsidRPr="000B7037" w:rsidRDefault="00CA6F2A" w:rsidP="007B1103">
            <w:pPr>
              <w:pStyle w:val="TableText0"/>
              <w:keepNext/>
            </w:pPr>
            <w:r w:rsidRPr="000B7037">
              <w:t>Net cost to MBS</w:t>
            </w:r>
          </w:p>
        </w:tc>
        <w:tc>
          <w:tcPr>
            <w:tcW w:w="611" w:type="pct"/>
            <w:shd w:val="clear" w:color="auto" w:fill="auto"/>
            <w:vAlign w:val="center"/>
          </w:tcPr>
          <w:p w14:paraId="0F4EB661" w14:textId="3AAA9AA6" w:rsidR="00CA6F2A" w:rsidRPr="000B7037" w:rsidRDefault="00CA6F2A" w:rsidP="007B1103">
            <w:pPr>
              <w:pStyle w:val="TableText0"/>
              <w:keepNext/>
            </w:pPr>
            <w:r w:rsidRPr="000B7037">
              <w:t>$</w:t>
            </w:r>
            <w:r w:rsidR="009B407F" w:rsidRPr="009B407F">
              <w:rPr>
                <w:color w:val="000000"/>
                <w:spacing w:val="54"/>
                <w:shd w:val="solid" w:color="000000" w:fill="000000"/>
                <w:fitText w:val="333" w:id="-762061819"/>
                <w14:textFill>
                  <w14:solidFill>
                    <w14:srgbClr w14:val="000000">
                      <w14:alpha w14:val="100000"/>
                    </w14:srgbClr>
                  </w14:solidFill>
                </w14:textFill>
              </w:rPr>
              <w:t>|||</w:t>
            </w:r>
            <w:r w:rsidR="009B407F" w:rsidRPr="009B407F">
              <w:rPr>
                <w:color w:val="000000"/>
                <w:spacing w:val="1"/>
                <w:shd w:val="solid" w:color="000000" w:fill="000000"/>
                <w:fitText w:val="333" w:id="-762061819"/>
                <w14:textFill>
                  <w14:solidFill>
                    <w14:srgbClr w14:val="000000">
                      <w14:alpha w14:val="100000"/>
                    </w14:srgbClr>
                  </w14:solidFill>
                </w14:textFill>
              </w:rPr>
              <w:t>|</w:t>
            </w:r>
            <w:r w:rsidR="00234F86">
              <w:t xml:space="preserve">  </w:t>
            </w:r>
            <w:r w:rsidR="00234F86">
              <w:rPr>
                <w:vertAlign w:val="superscript"/>
              </w:rPr>
              <w:t>14</w:t>
            </w:r>
          </w:p>
        </w:tc>
        <w:tc>
          <w:tcPr>
            <w:tcW w:w="611" w:type="pct"/>
            <w:shd w:val="clear" w:color="auto" w:fill="auto"/>
            <w:vAlign w:val="center"/>
          </w:tcPr>
          <w:p w14:paraId="59B75FE2" w14:textId="5E299789" w:rsidR="00CA6F2A" w:rsidRPr="000B7037" w:rsidRDefault="00CA6F2A" w:rsidP="007B1103">
            <w:pPr>
              <w:pStyle w:val="TableText0"/>
              <w:keepNext/>
            </w:pPr>
            <w:r w:rsidRPr="000B7037">
              <w:t>$3</w:t>
            </w:r>
            <w:r w:rsidR="009B407F" w:rsidRPr="009B407F">
              <w:rPr>
                <w:color w:val="000000"/>
                <w:spacing w:val="49"/>
                <w:shd w:val="solid" w:color="000000" w:fill="000000"/>
                <w:fitText w:val="320" w:id="-762061818"/>
                <w14:textFill>
                  <w14:solidFill>
                    <w14:srgbClr w14:val="000000">
                      <w14:alpha w14:val="100000"/>
                    </w14:srgbClr>
                  </w14:solidFill>
                </w14:textFill>
              </w:rPr>
              <w:t>|||</w:t>
            </w:r>
            <w:r w:rsidR="009B407F" w:rsidRPr="009B407F">
              <w:rPr>
                <w:color w:val="000000"/>
                <w:spacing w:val="3"/>
                <w:shd w:val="solid" w:color="000000" w:fill="000000"/>
                <w:fitText w:val="320" w:id="-762061818"/>
                <w14:textFill>
                  <w14:solidFill>
                    <w14:srgbClr w14:val="000000">
                      <w14:alpha w14:val="100000"/>
                    </w14:srgbClr>
                  </w14:solidFill>
                </w14:textFill>
              </w:rPr>
              <w:t>|</w:t>
            </w:r>
            <w:r w:rsidR="00234F86">
              <w:t xml:space="preserve"> </w:t>
            </w:r>
            <w:r w:rsidR="00234F86">
              <w:rPr>
                <w:vertAlign w:val="superscript"/>
              </w:rPr>
              <w:t>14</w:t>
            </w:r>
          </w:p>
        </w:tc>
        <w:tc>
          <w:tcPr>
            <w:tcW w:w="611" w:type="pct"/>
            <w:shd w:val="clear" w:color="auto" w:fill="auto"/>
            <w:vAlign w:val="center"/>
          </w:tcPr>
          <w:p w14:paraId="6AE6473A" w14:textId="373068BD" w:rsidR="00CA6F2A" w:rsidRPr="000B7037" w:rsidRDefault="00CA6F2A" w:rsidP="007B1103">
            <w:pPr>
              <w:pStyle w:val="TableText0"/>
              <w:keepNext/>
            </w:pPr>
            <w:r w:rsidRPr="000B7037">
              <w:t>$</w:t>
            </w:r>
            <w:r w:rsidR="009B407F" w:rsidRPr="009B407F">
              <w:rPr>
                <w:color w:val="000000"/>
                <w:spacing w:val="54"/>
                <w:shd w:val="solid" w:color="000000" w:fill="000000"/>
                <w:fitText w:val="333" w:id="-762061817"/>
                <w14:textFill>
                  <w14:solidFill>
                    <w14:srgbClr w14:val="000000">
                      <w14:alpha w14:val="100000"/>
                    </w14:srgbClr>
                  </w14:solidFill>
                </w14:textFill>
              </w:rPr>
              <w:t>|||</w:t>
            </w:r>
            <w:r w:rsidR="009B407F" w:rsidRPr="009B407F">
              <w:rPr>
                <w:color w:val="000000"/>
                <w:spacing w:val="1"/>
                <w:shd w:val="solid" w:color="000000" w:fill="000000"/>
                <w:fitText w:val="333" w:id="-762061817"/>
                <w14:textFill>
                  <w14:solidFill>
                    <w14:srgbClr w14:val="000000">
                      <w14:alpha w14:val="100000"/>
                    </w14:srgbClr>
                  </w14:solidFill>
                </w14:textFill>
              </w:rPr>
              <w:t>|</w:t>
            </w:r>
            <w:r w:rsidR="00234F86">
              <w:t xml:space="preserve"> </w:t>
            </w:r>
            <w:r w:rsidR="00234F86">
              <w:rPr>
                <w:vertAlign w:val="superscript"/>
              </w:rPr>
              <w:t>14</w:t>
            </w:r>
          </w:p>
        </w:tc>
        <w:tc>
          <w:tcPr>
            <w:tcW w:w="611" w:type="pct"/>
            <w:shd w:val="clear" w:color="auto" w:fill="auto"/>
            <w:vAlign w:val="center"/>
          </w:tcPr>
          <w:p w14:paraId="1F476C04" w14:textId="0954F60D" w:rsidR="00CA6F2A" w:rsidRPr="000B7037" w:rsidRDefault="00CA6F2A" w:rsidP="007B1103">
            <w:pPr>
              <w:pStyle w:val="TableText0"/>
              <w:keepNext/>
            </w:pPr>
            <w:r w:rsidRPr="000B7037">
              <w:t>$</w:t>
            </w:r>
            <w:r w:rsidR="009B407F" w:rsidRPr="009B407F">
              <w:rPr>
                <w:color w:val="000000"/>
                <w:spacing w:val="54"/>
                <w:shd w:val="solid" w:color="000000" w:fill="000000"/>
                <w:fitText w:val="333" w:id="-762061816"/>
                <w14:textFill>
                  <w14:solidFill>
                    <w14:srgbClr w14:val="000000">
                      <w14:alpha w14:val="100000"/>
                    </w14:srgbClr>
                  </w14:solidFill>
                </w14:textFill>
              </w:rPr>
              <w:t>|||</w:t>
            </w:r>
            <w:r w:rsidR="009B407F" w:rsidRPr="009B407F">
              <w:rPr>
                <w:color w:val="000000"/>
                <w:spacing w:val="1"/>
                <w:shd w:val="solid" w:color="000000" w:fill="000000"/>
                <w:fitText w:val="333" w:id="-762061816"/>
                <w14:textFill>
                  <w14:solidFill>
                    <w14:srgbClr w14:val="000000">
                      <w14:alpha w14:val="100000"/>
                    </w14:srgbClr>
                  </w14:solidFill>
                </w14:textFill>
              </w:rPr>
              <w:t>|</w:t>
            </w:r>
            <w:r w:rsidR="00234F86">
              <w:t xml:space="preserve"> </w:t>
            </w:r>
            <w:r w:rsidR="00234F86">
              <w:rPr>
                <w:vertAlign w:val="superscript"/>
              </w:rPr>
              <w:t>14</w:t>
            </w:r>
          </w:p>
        </w:tc>
        <w:tc>
          <w:tcPr>
            <w:tcW w:w="611" w:type="pct"/>
            <w:shd w:val="clear" w:color="auto" w:fill="auto"/>
            <w:vAlign w:val="center"/>
          </w:tcPr>
          <w:p w14:paraId="12079751" w14:textId="673FF524" w:rsidR="00CA6F2A" w:rsidRPr="000B7037" w:rsidRDefault="00CA6F2A" w:rsidP="007B1103">
            <w:pPr>
              <w:pStyle w:val="TableText0"/>
              <w:keepNext/>
            </w:pPr>
            <w:r w:rsidRPr="000B7037">
              <w:t>$</w:t>
            </w:r>
            <w:r w:rsidR="009B407F" w:rsidRPr="009B407F">
              <w:rPr>
                <w:color w:val="000000"/>
                <w:spacing w:val="54"/>
                <w:shd w:val="solid" w:color="000000" w:fill="000000"/>
                <w:fitText w:val="333" w:id="-762061815"/>
                <w14:textFill>
                  <w14:solidFill>
                    <w14:srgbClr w14:val="000000">
                      <w14:alpha w14:val="100000"/>
                    </w14:srgbClr>
                  </w14:solidFill>
                </w14:textFill>
              </w:rPr>
              <w:t>|||</w:t>
            </w:r>
            <w:r w:rsidR="009B407F" w:rsidRPr="009B407F">
              <w:rPr>
                <w:color w:val="000000"/>
                <w:spacing w:val="1"/>
                <w:shd w:val="solid" w:color="000000" w:fill="000000"/>
                <w:fitText w:val="333" w:id="-762061815"/>
                <w14:textFill>
                  <w14:solidFill>
                    <w14:srgbClr w14:val="000000">
                      <w14:alpha w14:val="100000"/>
                    </w14:srgbClr>
                  </w14:solidFill>
                </w14:textFill>
              </w:rPr>
              <w:t>|</w:t>
            </w:r>
            <w:r w:rsidR="00234F86">
              <w:t xml:space="preserve"> </w:t>
            </w:r>
            <w:r w:rsidR="00234F86">
              <w:rPr>
                <w:vertAlign w:val="superscript"/>
              </w:rPr>
              <w:t>14</w:t>
            </w:r>
          </w:p>
        </w:tc>
        <w:tc>
          <w:tcPr>
            <w:tcW w:w="611" w:type="pct"/>
            <w:vAlign w:val="center"/>
          </w:tcPr>
          <w:p w14:paraId="4844CB4D" w14:textId="2C22063F" w:rsidR="00CA6F2A" w:rsidRPr="000B7037" w:rsidRDefault="00CA6F2A" w:rsidP="007B1103">
            <w:pPr>
              <w:pStyle w:val="TableText0"/>
              <w:keepNext/>
            </w:pPr>
            <w:r w:rsidRPr="000B7037">
              <w:t>$</w:t>
            </w:r>
            <w:r w:rsidR="009B407F" w:rsidRPr="009B407F">
              <w:rPr>
                <w:color w:val="000000"/>
                <w:spacing w:val="54"/>
                <w:shd w:val="solid" w:color="000000" w:fill="000000"/>
                <w:fitText w:val="333" w:id="-762061814"/>
                <w14:textFill>
                  <w14:solidFill>
                    <w14:srgbClr w14:val="000000">
                      <w14:alpha w14:val="100000"/>
                    </w14:srgbClr>
                  </w14:solidFill>
                </w14:textFill>
              </w:rPr>
              <w:t>|||</w:t>
            </w:r>
            <w:r w:rsidR="009B407F" w:rsidRPr="009B407F">
              <w:rPr>
                <w:color w:val="000000"/>
                <w:spacing w:val="1"/>
                <w:shd w:val="solid" w:color="000000" w:fill="000000"/>
                <w:fitText w:val="333" w:id="-762061814"/>
                <w14:textFill>
                  <w14:solidFill>
                    <w14:srgbClr w14:val="000000">
                      <w14:alpha w14:val="100000"/>
                    </w14:srgbClr>
                  </w14:solidFill>
                </w14:textFill>
              </w:rPr>
              <w:t>|</w:t>
            </w:r>
            <w:r w:rsidR="00234F86">
              <w:t xml:space="preserve"> </w:t>
            </w:r>
            <w:r w:rsidR="00234F86">
              <w:rPr>
                <w:vertAlign w:val="superscript"/>
              </w:rPr>
              <w:t>14</w:t>
            </w:r>
          </w:p>
        </w:tc>
      </w:tr>
      <w:tr w:rsidR="007F4BE9" w:rsidRPr="000B7037" w14:paraId="3E0E43A6" w14:textId="77777777" w:rsidTr="00BD43EC">
        <w:tc>
          <w:tcPr>
            <w:tcW w:w="5000" w:type="pct"/>
            <w:gridSpan w:val="7"/>
            <w:shd w:val="clear" w:color="auto" w:fill="B8CCE4" w:themeFill="accent1" w:themeFillTint="66"/>
          </w:tcPr>
          <w:p w14:paraId="611A03BD" w14:textId="6048B2E7" w:rsidR="007F4BE9" w:rsidRPr="000B7037" w:rsidRDefault="007F4BE9" w:rsidP="007B1103">
            <w:pPr>
              <w:pStyle w:val="In-tableHeading"/>
              <w:rPr>
                <w:szCs w:val="20"/>
                <w:lang w:val="en-AU"/>
              </w:rPr>
            </w:pPr>
            <w:r w:rsidRPr="00727CEE">
              <w:t xml:space="preserve">Previous submission </w:t>
            </w:r>
            <w:r w:rsidR="00EE3FB6">
              <w:t>March 2024</w:t>
            </w:r>
          </w:p>
        </w:tc>
      </w:tr>
      <w:tr w:rsidR="00F41AC5" w:rsidRPr="000B7037" w14:paraId="363EA630" w14:textId="77777777" w:rsidTr="002225BF">
        <w:tc>
          <w:tcPr>
            <w:tcW w:w="1334" w:type="pct"/>
            <w:shd w:val="clear" w:color="auto" w:fill="B8CCE4" w:themeFill="accent1" w:themeFillTint="66"/>
            <w:vAlign w:val="center"/>
          </w:tcPr>
          <w:p w14:paraId="47CE9314" w14:textId="044A1381" w:rsidR="00F41AC5" w:rsidRPr="000B7037" w:rsidRDefault="00F41AC5" w:rsidP="007B1103">
            <w:pPr>
              <w:pStyle w:val="TableText0"/>
              <w:keepNext/>
            </w:pPr>
            <w:r w:rsidRPr="008A6810">
              <w:t>Net cost to PBS/RPBS</w:t>
            </w:r>
          </w:p>
        </w:tc>
        <w:tc>
          <w:tcPr>
            <w:tcW w:w="611" w:type="pct"/>
            <w:shd w:val="clear" w:color="auto" w:fill="B8CCE4" w:themeFill="accent1" w:themeFillTint="66"/>
            <w:vAlign w:val="center"/>
          </w:tcPr>
          <w:p w14:paraId="5AED3610" w14:textId="7285FBD9" w:rsidR="00F41AC5" w:rsidRPr="00F41AC5" w:rsidRDefault="00F41AC5" w:rsidP="007B1103">
            <w:pPr>
              <w:pStyle w:val="TableText0"/>
              <w:keepNext/>
            </w:pPr>
            <w:r w:rsidRPr="00F41AC5">
              <w:t>$</w:t>
            </w:r>
            <w:r w:rsidR="009B407F" w:rsidRPr="009B407F">
              <w:rPr>
                <w:color w:val="000000"/>
                <w:spacing w:val="54"/>
                <w:shd w:val="solid" w:color="000000" w:fill="000000"/>
                <w:fitText w:val="333" w:id="-762061813"/>
                <w14:textFill>
                  <w14:solidFill>
                    <w14:srgbClr w14:val="000000">
                      <w14:alpha w14:val="100000"/>
                    </w14:srgbClr>
                  </w14:solidFill>
                </w14:textFill>
              </w:rPr>
              <w:t>|||</w:t>
            </w:r>
            <w:r w:rsidR="009B407F" w:rsidRPr="009B407F">
              <w:rPr>
                <w:color w:val="000000"/>
                <w:spacing w:val="1"/>
                <w:shd w:val="solid" w:color="000000" w:fill="000000"/>
                <w:fitText w:val="333" w:id="-762061813"/>
                <w14:textFill>
                  <w14:solidFill>
                    <w14:srgbClr w14:val="000000">
                      <w14:alpha w14:val="100000"/>
                    </w14:srgbClr>
                  </w14:solidFill>
                </w14:textFill>
              </w:rPr>
              <w:t>|</w:t>
            </w:r>
            <w:r w:rsidR="00234F86">
              <w:t xml:space="preserve"> </w:t>
            </w:r>
            <w:r w:rsidR="00234F86">
              <w:rPr>
                <w:vertAlign w:val="superscript"/>
              </w:rPr>
              <w:t>15</w:t>
            </w:r>
          </w:p>
        </w:tc>
        <w:tc>
          <w:tcPr>
            <w:tcW w:w="611" w:type="pct"/>
            <w:shd w:val="clear" w:color="auto" w:fill="B8CCE4" w:themeFill="accent1" w:themeFillTint="66"/>
            <w:vAlign w:val="center"/>
          </w:tcPr>
          <w:p w14:paraId="593FEECF" w14:textId="658D014A" w:rsidR="00F41AC5" w:rsidRPr="00F41AC5" w:rsidRDefault="00F41AC5" w:rsidP="007B1103">
            <w:pPr>
              <w:pStyle w:val="TableText0"/>
              <w:keepNext/>
            </w:pPr>
            <w:r w:rsidRPr="00F41AC5">
              <w:t>$</w:t>
            </w:r>
            <w:r w:rsidR="009B407F" w:rsidRPr="009B407F">
              <w:rPr>
                <w:color w:val="000000"/>
                <w:spacing w:val="54"/>
                <w:shd w:val="solid" w:color="000000" w:fill="000000"/>
                <w:fitText w:val="333" w:id="-762061812"/>
                <w14:textFill>
                  <w14:solidFill>
                    <w14:srgbClr w14:val="000000">
                      <w14:alpha w14:val="100000"/>
                    </w14:srgbClr>
                  </w14:solidFill>
                </w14:textFill>
              </w:rPr>
              <w:t>|||</w:t>
            </w:r>
            <w:r w:rsidR="009B407F" w:rsidRPr="009B407F">
              <w:rPr>
                <w:color w:val="000000"/>
                <w:spacing w:val="1"/>
                <w:shd w:val="solid" w:color="000000" w:fill="000000"/>
                <w:fitText w:val="333" w:id="-762061812"/>
                <w14:textFill>
                  <w14:solidFill>
                    <w14:srgbClr w14:val="000000">
                      <w14:alpha w14:val="100000"/>
                    </w14:srgbClr>
                  </w14:solidFill>
                </w14:textFill>
              </w:rPr>
              <w:t>|</w:t>
            </w:r>
            <w:r w:rsidR="00234F86">
              <w:t xml:space="preserve"> </w:t>
            </w:r>
            <w:r w:rsidR="00234F86">
              <w:rPr>
                <w:vertAlign w:val="superscript"/>
              </w:rPr>
              <w:t>16</w:t>
            </w:r>
          </w:p>
        </w:tc>
        <w:tc>
          <w:tcPr>
            <w:tcW w:w="611" w:type="pct"/>
            <w:shd w:val="clear" w:color="auto" w:fill="B8CCE4" w:themeFill="accent1" w:themeFillTint="66"/>
            <w:vAlign w:val="center"/>
          </w:tcPr>
          <w:p w14:paraId="04B963BA" w14:textId="71470B88" w:rsidR="00F41AC5" w:rsidRPr="00F41AC5" w:rsidRDefault="00F41AC5" w:rsidP="007B1103">
            <w:pPr>
              <w:pStyle w:val="TableText0"/>
              <w:keepNext/>
            </w:pPr>
            <w:r w:rsidRPr="00F41AC5">
              <w:t>$</w:t>
            </w:r>
            <w:r w:rsidR="009B407F" w:rsidRPr="009B407F">
              <w:rPr>
                <w:color w:val="000000"/>
                <w:spacing w:val="54"/>
                <w:shd w:val="solid" w:color="000000" w:fill="000000"/>
                <w:fitText w:val="333" w:id="-762061811"/>
                <w14:textFill>
                  <w14:solidFill>
                    <w14:srgbClr w14:val="000000">
                      <w14:alpha w14:val="100000"/>
                    </w14:srgbClr>
                  </w14:solidFill>
                </w14:textFill>
              </w:rPr>
              <w:t>|||</w:t>
            </w:r>
            <w:r w:rsidR="009B407F" w:rsidRPr="009B407F">
              <w:rPr>
                <w:color w:val="000000"/>
                <w:spacing w:val="1"/>
                <w:shd w:val="solid" w:color="000000" w:fill="000000"/>
                <w:fitText w:val="333" w:id="-762061811"/>
                <w14:textFill>
                  <w14:solidFill>
                    <w14:srgbClr w14:val="000000">
                      <w14:alpha w14:val="100000"/>
                    </w14:srgbClr>
                  </w14:solidFill>
                </w14:textFill>
              </w:rPr>
              <w:t>|</w:t>
            </w:r>
            <w:r w:rsidR="002225BF">
              <w:t xml:space="preserve"> </w:t>
            </w:r>
            <w:r w:rsidR="002225BF">
              <w:rPr>
                <w:vertAlign w:val="superscript"/>
              </w:rPr>
              <w:t>8</w:t>
            </w:r>
          </w:p>
        </w:tc>
        <w:tc>
          <w:tcPr>
            <w:tcW w:w="611" w:type="pct"/>
            <w:shd w:val="clear" w:color="auto" w:fill="B8CCE4" w:themeFill="accent1" w:themeFillTint="66"/>
            <w:vAlign w:val="center"/>
          </w:tcPr>
          <w:p w14:paraId="573398F5" w14:textId="25BD78BE" w:rsidR="00F41AC5" w:rsidRPr="00F41AC5" w:rsidRDefault="00F41AC5" w:rsidP="007B1103">
            <w:pPr>
              <w:pStyle w:val="TableText0"/>
              <w:keepNext/>
            </w:pPr>
            <w:r w:rsidRPr="00F41AC5">
              <w:t>$</w:t>
            </w:r>
            <w:r w:rsidR="009B407F" w:rsidRPr="009B407F">
              <w:rPr>
                <w:color w:val="000000"/>
                <w:spacing w:val="54"/>
                <w:shd w:val="solid" w:color="000000" w:fill="000000"/>
                <w:fitText w:val="333" w:id="-762061810"/>
                <w14:textFill>
                  <w14:solidFill>
                    <w14:srgbClr w14:val="000000">
                      <w14:alpha w14:val="100000"/>
                    </w14:srgbClr>
                  </w14:solidFill>
                </w14:textFill>
              </w:rPr>
              <w:t>|||</w:t>
            </w:r>
            <w:r w:rsidR="009B407F" w:rsidRPr="009B407F">
              <w:rPr>
                <w:color w:val="000000"/>
                <w:spacing w:val="1"/>
                <w:shd w:val="solid" w:color="000000" w:fill="000000"/>
                <w:fitText w:val="333" w:id="-762061810"/>
                <w14:textFill>
                  <w14:solidFill>
                    <w14:srgbClr w14:val="000000">
                      <w14:alpha w14:val="100000"/>
                    </w14:srgbClr>
                  </w14:solidFill>
                </w14:textFill>
              </w:rPr>
              <w:t>|</w:t>
            </w:r>
            <w:r w:rsidR="002225BF">
              <w:t xml:space="preserve"> </w:t>
            </w:r>
            <w:r w:rsidR="002225BF">
              <w:rPr>
                <w:vertAlign w:val="superscript"/>
              </w:rPr>
              <w:t>8</w:t>
            </w:r>
          </w:p>
        </w:tc>
        <w:tc>
          <w:tcPr>
            <w:tcW w:w="611" w:type="pct"/>
            <w:shd w:val="clear" w:color="auto" w:fill="B8CCE4" w:themeFill="accent1" w:themeFillTint="66"/>
            <w:vAlign w:val="center"/>
          </w:tcPr>
          <w:p w14:paraId="717FC64B" w14:textId="1391C976" w:rsidR="00F41AC5" w:rsidRPr="00F41AC5" w:rsidRDefault="00F41AC5" w:rsidP="007B1103">
            <w:pPr>
              <w:pStyle w:val="TableText0"/>
              <w:keepNext/>
            </w:pPr>
            <w:r w:rsidRPr="00F41AC5">
              <w:t>$</w:t>
            </w:r>
            <w:r w:rsidR="009B407F" w:rsidRPr="009B407F">
              <w:rPr>
                <w:color w:val="000000"/>
                <w:spacing w:val="54"/>
                <w:shd w:val="solid" w:color="000000" w:fill="000000"/>
                <w:fitText w:val="333" w:id="-762061809"/>
                <w14:textFill>
                  <w14:solidFill>
                    <w14:srgbClr w14:val="000000">
                      <w14:alpha w14:val="100000"/>
                    </w14:srgbClr>
                  </w14:solidFill>
                </w14:textFill>
              </w:rPr>
              <w:t>|||</w:t>
            </w:r>
            <w:r w:rsidR="009B407F" w:rsidRPr="009B407F">
              <w:rPr>
                <w:color w:val="000000"/>
                <w:spacing w:val="1"/>
                <w:shd w:val="solid" w:color="000000" w:fill="000000"/>
                <w:fitText w:val="333" w:id="-762061809"/>
                <w14:textFill>
                  <w14:solidFill>
                    <w14:srgbClr w14:val="000000">
                      <w14:alpha w14:val="100000"/>
                    </w14:srgbClr>
                  </w14:solidFill>
                </w14:textFill>
              </w:rPr>
              <w:t>|</w:t>
            </w:r>
            <w:r w:rsidR="002225BF">
              <w:t xml:space="preserve"> </w:t>
            </w:r>
            <w:r w:rsidR="002225BF">
              <w:rPr>
                <w:vertAlign w:val="superscript"/>
              </w:rPr>
              <w:t>8</w:t>
            </w:r>
          </w:p>
        </w:tc>
        <w:tc>
          <w:tcPr>
            <w:tcW w:w="611" w:type="pct"/>
            <w:shd w:val="clear" w:color="auto" w:fill="B8CCE4" w:themeFill="accent1" w:themeFillTint="66"/>
            <w:vAlign w:val="center"/>
          </w:tcPr>
          <w:p w14:paraId="4DE71C8A" w14:textId="1B87FCBF" w:rsidR="00F41AC5" w:rsidRPr="00F41AC5" w:rsidRDefault="00F41AC5" w:rsidP="007B1103">
            <w:pPr>
              <w:pStyle w:val="TableText0"/>
              <w:keepNext/>
            </w:pPr>
            <w:r w:rsidRPr="00F41AC5">
              <w:t>$</w:t>
            </w:r>
            <w:r w:rsidR="009B407F" w:rsidRPr="009B407F">
              <w:rPr>
                <w:color w:val="000000"/>
                <w:spacing w:val="54"/>
                <w:shd w:val="solid" w:color="000000" w:fill="000000"/>
                <w:fitText w:val="333" w:id="-762061808"/>
                <w14:textFill>
                  <w14:solidFill>
                    <w14:srgbClr w14:val="000000">
                      <w14:alpha w14:val="100000"/>
                    </w14:srgbClr>
                  </w14:solidFill>
                </w14:textFill>
              </w:rPr>
              <w:t>|||</w:t>
            </w:r>
            <w:r w:rsidR="009B407F" w:rsidRPr="009B407F">
              <w:rPr>
                <w:color w:val="000000"/>
                <w:spacing w:val="1"/>
                <w:shd w:val="solid" w:color="000000" w:fill="000000"/>
                <w:fitText w:val="333" w:id="-762061808"/>
                <w14:textFill>
                  <w14:solidFill>
                    <w14:srgbClr w14:val="000000">
                      <w14:alpha w14:val="100000"/>
                    </w14:srgbClr>
                  </w14:solidFill>
                </w14:textFill>
              </w:rPr>
              <w:t>|</w:t>
            </w:r>
            <w:r w:rsidR="00234F86">
              <w:t xml:space="preserve"> </w:t>
            </w:r>
            <w:r w:rsidR="00234F86">
              <w:rPr>
                <w:vertAlign w:val="superscript"/>
              </w:rPr>
              <w:t>17</w:t>
            </w:r>
          </w:p>
        </w:tc>
      </w:tr>
      <w:tr w:rsidR="00EE3FB6" w:rsidRPr="000B7037" w14:paraId="4FE9E028" w14:textId="77777777" w:rsidTr="00BD43EC">
        <w:tc>
          <w:tcPr>
            <w:tcW w:w="5000" w:type="pct"/>
            <w:gridSpan w:val="7"/>
            <w:shd w:val="clear" w:color="auto" w:fill="B8CCE4" w:themeFill="accent1" w:themeFillTint="66"/>
          </w:tcPr>
          <w:p w14:paraId="444616EA" w14:textId="520EA014" w:rsidR="00EE3FB6" w:rsidRPr="000B7037" w:rsidRDefault="00EE3FB6" w:rsidP="007B1103">
            <w:pPr>
              <w:pStyle w:val="In-tableHeading"/>
              <w:rPr>
                <w:szCs w:val="20"/>
                <w:lang w:val="en-AU"/>
              </w:rPr>
            </w:pPr>
            <w:r w:rsidRPr="00EE3FB6">
              <w:rPr>
                <w:szCs w:val="20"/>
                <w:lang w:val="en-AU"/>
              </w:rPr>
              <w:t xml:space="preserve">Previous submission </w:t>
            </w:r>
            <w:r w:rsidR="003225ED">
              <w:rPr>
                <w:szCs w:val="20"/>
                <w:lang w:val="en-AU"/>
              </w:rPr>
              <w:t xml:space="preserve">March 2024 </w:t>
            </w:r>
            <w:r w:rsidR="003225ED" w:rsidRPr="003225ED">
              <w:rPr>
                <w:szCs w:val="20"/>
                <w:lang w:val="en-AU"/>
              </w:rPr>
              <w:t xml:space="preserve">– </w:t>
            </w:r>
            <w:r>
              <w:rPr>
                <w:szCs w:val="20"/>
                <w:lang w:val="en-AU"/>
              </w:rPr>
              <w:t>pre-PBAC Response</w:t>
            </w:r>
          </w:p>
        </w:tc>
      </w:tr>
      <w:tr w:rsidR="00FE7CE9" w:rsidRPr="000B7037" w14:paraId="60BB7B26" w14:textId="77777777" w:rsidTr="002225BF">
        <w:tc>
          <w:tcPr>
            <w:tcW w:w="1334" w:type="pct"/>
            <w:shd w:val="clear" w:color="auto" w:fill="B8CCE4" w:themeFill="accent1" w:themeFillTint="66"/>
            <w:vAlign w:val="center"/>
          </w:tcPr>
          <w:p w14:paraId="76E026D4" w14:textId="74A7F74B" w:rsidR="00FE7CE9" w:rsidRPr="000B7037" w:rsidRDefault="00FE7CE9" w:rsidP="007B1103">
            <w:pPr>
              <w:pStyle w:val="TableText0"/>
              <w:keepNext/>
            </w:pPr>
            <w:r w:rsidRPr="00EE3FB6">
              <w:t>Net cost to PBS/RPBS</w:t>
            </w:r>
          </w:p>
        </w:tc>
        <w:tc>
          <w:tcPr>
            <w:tcW w:w="611" w:type="pct"/>
            <w:shd w:val="clear" w:color="auto" w:fill="B8CCE4" w:themeFill="accent1" w:themeFillTint="66"/>
            <w:vAlign w:val="center"/>
          </w:tcPr>
          <w:p w14:paraId="103E7D1E" w14:textId="0E5D75A0" w:rsidR="00FE7CE9" w:rsidRPr="000B7037" w:rsidRDefault="00FE7CE9" w:rsidP="007B1103">
            <w:pPr>
              <w:pStyle w:val="TableText0"/>
              <w:keepNext/>
            </w:pPr>
            <w:r w:rsidRPr="00421615">
              <w:t>$</w:t>
            </w:r>
            <w:r w:rsidR="009B407F" w:rsidRPr="009B407F">
              <w:rPr>
                <w:color w:val="000000"/>
                <w:spacing w:val="54"/>
                <w:shd w:val="solid" w:color="000000" w:fill="000000"/>
                <w:fitText w:val="333" w:id="-762061824"/>
                <w14:textFill>
                  <w14:solidFill>
                    <w14:srgbClr w14:val="000000">
                      <w14:alpha w14:val="100000"/>
                    </w14:srgbClr>
                  </w14:solidFill>
                </w14:textFill>
              </w:rPr>
              <w:t>|||</w:t>
            </w:r>
            <w:r w:rsidR="009B407F" w:rsidRPr="009B407F">
              <w:rPr>
                <w:color w:val="000000"/>
                <w:spacing w:val="1"/>
                <w:shd w:val="solid" w:color="000000" w:fill="000000"/>
                <w:fitText w:val="333" w:id="-762061824"/>
                <w14:textFill>
                  <w14:solidFill>
                    <w14:srgbClr w14:val="000000">
                      <w14:alpha w14:val="100000"/>
                    </w14:srgbClr>
                  </w14:solidFill>
                </w14:textFill>
              </w:rPr>
              <w:t>|</w:t>
            </w:r>
            <w:r w:rsidR="002225BF">
              <w:rPr>
                <w:rFonts w:cs="Arial"/>
                <w:color w:val="000000"/>
              </w:rPr>
              <w:t xml:space="preserve"> </w:t>
            </w:r>
            <w:r w:rsidR="002225BF">
              <w:rPr>
                <w:rFonts w:cs="Arial"/>
                <w:color w:val="000000"/>
                <w:vertAlign w:val="superscript"/>
              </w:rPr>
              <w:t>9</w:t>
            </w:r>
          </w:p>
        </w:tc>
        <w:tc>
          <w:tcPr>
            <w:tcW w:w="611" w:type="pct"/>
            <w:shd w:val="clear" w:color="auto" w:fill="B8CCE4" w:themeFill="accent1" w:themeFillTint="66"/>
            <w:vAlign w:val="center"/>
          </w:tcPr>
          <w:p w14:paraId="4852A32B" w14:textId="271D26FA" w:rsidR="00FE7CE9" w:rsidRPr="000B7037" w:rsidRDefault="00FE7CE9" w:rsidP="007B1103">
            <w:pPr>
              <w:pStyle w:val="TableText0"/>
              <w:keepNext/>
            </w:pPr>
            <w:r w:rsidRPr="00421615">
              <w:t>$</w:t>
            </w:r>
            <w:r w:rsidR="009B407F" w:rsidRPr="009B407F">
              <w:rPr>
                <w:color w:val="000000"/>
                <w:spacing w:val="54"/>
                <w:shd w:val="solid" w:color="000000" w:fill="000000"/>
                <w:fitText w:val="333" w:id="-762061823"/>
                <w14:textFill>
                  <w14:solidFill>
                    <w14:srgbClr w14:val="000000">
                      <w14:alpha w14:val="100000"/>
                    </w14:srgbClr>
                  </w14:solidFill>
                </w14:textFill>
              </w:rPr>
              <w:t>|||</w:t>
            </w:r>
            <w:r w:rsidR="009B407F" w:rsidRPr="009B407F">
              <w:rPr>
                <w:color w:val="000000"/>
                <w:spacing w:val="1"/>
                <w:shd w:val="solid" w:color="000000" w:fill="000000"/>
                <w:fitText w:val="333" w:id="-762061823"/>
                <w14:textFill>
                  <w14:solidFill>
                    <w14:srgbClr w14:val="000000">
                      <w14:alpha w14:val="100000"/>
                    </w14:srgbClr>
                  </w14:solidFill>
                </w14:textFill>
              </w:rPr>
              <w:t>|</w:t>
            </w:r>
            <w:r w:rsidR="002225BF">
              <w:rPr>
                <w:rFonts w:cs="Arial"/>
                <w:color w:val="000000"/>
              </w:rPr>
              <w:t xml:space="preserve"> </w:t>
            </w:r>
            <w:r w:rsidR="002225BF">
              <w:rPr>
                <w:rFonts w:cs="Arial"/>
                <w:color w:val="000000"/>
                <w:vertAlign w:val="superscript"/>
              </w:rPr>
              <w:t>9</w:t>
            </w:r>
          </w:p>
        </w:tc>
        <w:tc>
          <w:tcPr>
            <w:tcW w:w="611" w:type="pct"/>
            <w:shd w:val="clear" w:color="auto" w:fill="B8CCE4" w:themeFill="accent1" w:themeFillTint="66"/>
            <w:vAlign w:val="center"/>
          </w:tcPr>
          <w:p w14:paraId="254A7619" w14:textId="721782C8" w:rsidR="00FE7CE9" w:rsidRPr="000B7037" w:rsidRDefault="00FE7CE9" w:rsidP="007B1103">
            <w:pPr>
              <w:pStyle w:val="TableText0"/>
              <w:keepNext/>
            </w:pPr>
            <w:r w:rsidRPr="00421615">
              <w:t>$</w:t>
            </w:r>
            <w:r w:rsidR="009B407F" w:rsidRPr="009B407F">
              <w:rPr>
                <w:color w:val="000000"/>
                <w:spacing w:val="54"/>
                <w:shd w:val="solid" w:color="000000" w:fill="000000"/>
                <w:fitText w:val="333" w:id="-762061822"/>
                <w14:textFill>
                  <w14:solidFill>
                    <w14:srgbClr w14:val="000000">
                      <w14:alpha w14:val="100000"/>
                    </w14:srgbClr>
                  </w14:solidFill>
                </w14:textFill>
              </w:rPr>
              <w:t>|||</w:t>
            </w:r>
            <w:r w:rsidR="009B407F" w:rsidRPr="009B407F">
              <w:rPr>
                <w:color w:val="000000"/>
                <w:spacing w:val="1"/>
                <w:shd w:val="solid" w:color="000000" w:fill="000000"/>
                <w:fitText w:val="333" w:id="-762061822"/>
                <w14:textFill>
                  <w14:solidFill>
                    <w14:srgbClr w14:val="000000">
                      <w14:alpha w14:val="100000"/>
                    </w14:srgbClr>
                  </w14:solidFill>
                </w14:textFill>
              </w:rPr>
              <w:t>|</w:t>
            </w:r>
            <w:r w:rsidR="002225BF">
              <w:rPr>
                <w:rFonts w:cs="Arial"/>
                <w:color w:val="000000"/>
              </w:rPr>
              <w:t xml:space="preserve"> </w:t>
            </w:r>
            <w:r w:rsidR="002225BF">
              <w:rPr>
                <w:rFonts w:cs="Arial"/>
                <w:color w:val="000000"/>
                <w:vertAlign w:val="superscript"/>
              </w:rPr>
              <w:t>9</w:t>
            </w:r>
          </w:p>
        </w:tc>
        <w:tc>
          <w:tcPr>
            <w:tcW w:w="611" w:type="pct"/>
            <w:shd w:val="clear" w:color="auto" w:fill="B8CCE4" w:themeFill="accent1" w:themeFillTint="66"/>
            <w:vAlign w:val="center"/>
          </w:tcPr>
          <w:p w14:paraId="34A16FE1" w14:textId="3C69EF18" w:rsidR="00FE7CE9" w:rsidRPr="000B7037" w:rsidRDefault="00FE7CE9" w:rsidP="007B1103">
            <w:pPr>
              <w:pStyle w:val="TableText0"/>
              <w:keepNext/>
            </w:pPr>
            <w:r w:rsidRPr="00421615">
              <w:t>$</w:t>
            </w:r>
            <w:r w:rsidR="009B407F" w:rsidRPr="009B407F">
              <w:rPr>
                <w:color w:val="000000"/>
                <w:spacing w:val="54"/>
                <w:shd w:val="solid" w:color="000000" w:fill="000000"/>
                <w:fitText w:val="333" w:id="-762061821"/>
                <w14:textFill>
                  <w14:solidFill>
                    <w14:srgbClr w14:val="000000">
                      <w14:alpha w14:val="100000"/>
                    </w14:srgbClr>
                  </w14:solidFill>
                </w14:textFill>
              </w:rPr>
              <w:t>|||</w:t>
            </w:r>
            <w:r w:rsidR="009B407F" w:rsidRPr="009B407F">
              <w:rPr>
                <w:color w:val="000000"/>
                <w:spacing w:val="1"/>
                <w:shd w:val="solid" w:color="000000" w:fill="000000"/>
                <w:fitText w:val="333" w:id="-762061821"/>
                <w14:textFill>
                  <w14:solidFill>
                    <w14:srgbClr w14:val="000000">
                      <w14:alpha w14:val="100000"/>
                    </w14:srgbClr>
                  </w14:solidFill>
                </w14:textFill>
              </w:rPr>
              <w:t>|</w:t>
            </w:r>
            <w:r w:rsidR="002225BF">
              <w:rPr>
                <w:rFonts w:cs="Arial"/>
                <w:color w:val="000000"/>
              </w:rPr>
              <w:t xml:space="preserve"> </w:t>
            </w:r>
            <w:r w:rsidR="002225BF">
              <w:rPr>
                <w:rFonts w:cs="Arial"/>
                <w:color w:val="000000"/>
                <w:vertAlign w:val="superscript"/>
              </w:rPr>
              <w:t>9</w:t>
            </w:r>
          </w:p>
        </w:tc>
        <w:tc>
          <w:tcPr>
            <w:tcW w:w="611" w:type="pct"/>
            <w:shd w:val="clear" w:color="auto" w:fill="B8CCE4" w:themeFill="accent1" w:themeFillTint="66"/>
            <w:vAlign w:val="center"/>
          </w:tcPr>
          <w:p w14:paraId="304DD990" w14:textId="45C4F522" w:rsidR="00FE7CE9" w:rsidRPr="000B7037" w:rsidRDefault="00FE7CE9" w:rsidP="007B1103">
            <w:pPr>
              <w:pStyle w:val="TableText0"/>
              <w:keepNext/>
            </w:pPr>
            <w:r w:rsidRPr="00421615">
              <w:t>$</w:t>
            </w:r>
            <w:r w:rsidR="009B407F" w:rsidRPr="009B407F">
              <w:rPr>
                <w:color w:val="000000"/>
                <w:spacing w:val="54"/>
                <w:shd w:val="solid" w:color="000000" w:fill="000000"/>
                <w:fitText w:val="333" w:id="-762061820"/>
                <w14:textFill>
                  <w14:solidFill>
                    <w14:srgbClr w14:val="000000">
                      <w14:alpha w14:val="100000"/>
                    </w14:srgbClr>
                  </w14:solidFill>
                </w14:textFill>
              </w:rPr>
              <w:t>|||</w:t>
            </w:r>
            <w:r w:rsidR="009B407F" w:rsidRPr="009B407F">
              <w:rPr>
                <w:color w:val="000000"/>
                <w:spacing w:val="1"/>
                <w:shd w:val="solid" w:color="000000" w:fill="000000"/>
                <w:fitText w:val="333" w:id="-762061820"/>
                <w14:textFill>
                  <w14:solidFill>
                    <w14:srgbClr w14:val="000000">
                      <w14:alpha w14:val="100000"/>
                    </w14:srgbClr>
                  </w14:solidFill>
                </w14:textFill>
              </w:rPr>
              <w:t>|</w:t>
            </w:r>
            <w:r w:rsidR="002225BF">
              <w:rPr>
                <w:rFonts w:cs="Arial"/>
                <w:color w:val="000000"/>
              </w:rPr>
              <w:t xml:space="preserve"> </w:t>
            </w:r>
            <w:r w:rsidR="002225BF">
              <w:rPr>
                <w:rFonts w:cs="Arial"/>
                <w:color w:val="000000"/>
                <w:vertAlign w:val="superscript"/>
              </w:rPr>
              <w:t>9</w:t>
            </w:r>
          </w:p>
        </w:tc>
        <w:tc>
          <w:tcPr>
            <w:tcW w:w="611" w:type="pct"/>
            <w:shd w:val="clear" w:color="auto" w:fill="B8CCE4" w:themeFill="accent1" w:themeFillTint="66"/>
            <w:vAlign w:val="center"/>
          </w:tcPr>
          <w:p w14:paraId="35A04673" w14:textId="12BD98CD" w:rsidR="00FE7CE9" w:rsidRPr="000B7037" w:rsidRDefault="00FE7CE9" w:rsidP="007B1103">
            <w:pPr>
              <w:pStyle w:val="TableText0"/>
              <w:keepNext/>
            </w:pPr>
            <w:r w:rsidRPr="00421615">
              <w:t>$</w:t>
            </w:r>
            <w:r w:rsidR="009B407F" w:rsidRPr="009B407F">
              <w:rPr>
                <w:color w:val="000000"/>
                <w:spacing w:val="54"/>
                <w:shd w:val="solid" w:color="000000" w:fill="000000"/>
                <w:fitText w:val="333" w:id="-762061819"/>
                <w14:textFill>
                  <w14:solidFill>
                    <w14:srgbClr w14:val="000000">
                      <w14:alpha w14:val="100000"/>
                    </w14:srgbClr>
                  </w14:solidFill>
                </w14:textFill>
              </w:rPr>
              <w:t>|||</w:t>
            </w:r>
            <w:r w:rsidR="009B407F" w:rsidRPr="009B407F">
              <w:rPr>
                <w:color w:val="000000"/>
                <w:spacing w:val="1"/>
                <w:shd w:val="solid" w:color="000000" w:fill="000000"/>
                <w:fitText w:val="333" w:id="-762061819"/>
                <w14:textFill>
                  <w14:solidFill>
                    <w14:srgbClr w14:val="000000">
                      <w14:alpha w14:val="100000"/>
                    </w14:srgbClr>
                  </w14:solidFill>
                </w14:textFill>
              </w:rPr>
              <w:t>|</w:t>
            </w:r>
            <w:r w:rsidR="002225BF">
              <w:rPr>
                <w:rFonts w:cs="Arial"/>
                <w:color w:val="000000"/>
              </w:rPr>
              <w:t xml:space="preserve"> </w:t>
            </w:r>
            <w:r w:rsidR="002225BF">
              <w:rPr>
                <w:rFonts w:cs="Arial"/>
                <w:color w:val="000000"/>
                <w:vertAlign w:val="superscript"/>
              </w:rPr>
              <w:t>9</w:t>
            </w:r>
          </w:p>
        </w:tc>
      </w:tr>
      <w:tr w:rsidR="000902D9" w:rsidRPr="000B7037" w14:paraId="6A99A43D" w14:textId="77777777" w:rsidTr="007925DF">
        <w:tc>
          <w:tcPr>
            <w:tcW w:w="5000" w:type="pct"/>
            <w:gridSpan w:val="7"/>
            <w:shd w:val="clear" w:color="auto" w:fill="B8CCE4" w:themeFill="accent1" w:themeFillTint="66"/>
            <w:vAlign w:val="center"/>
          </w:tcPr>
          <w:p w14:paraId="3DC5DC1A" w14:textId="5A662C1A" w:rsidR="000902D9" w:rsidRPr="000B7037" w:rsidRDefault="000902D9" w:rsidP="007B1103">
            <w:pPr>
              <w:pStyle w:val="In-tableHeading"/>
              <w:rPr>
                <w:szCs w:val="20"/>
                <w:lang w:val="en-AU"/>
              </w:rPr>
            </w:pPr>
            <w:r w:rsidRPr="000B7037">
              <w:rPr>
                <w:szCs w:val="20"/>
                <w:lang w:val="en-AU"/>
              </w:rPr>
              <w:t xml:space="preserve">Previous submission </w:t>
            </w:r>
            <w:r w:rsidR="00EE3FB6">
              <w:rPr>
                <w:szCs w:val="20"/>
                <w:lang w:val="en-AU"/>
              </w:rPr>
              <w:t>March 2024</w:t>
            </w:r>
            <w:r w:rsidR="001D247A">
              <w:rPr>
                <w:szCs w:val="20"/>
                <w:lang w:val="en-AU"/>
              </w:rPr>
              <w:t xml:space="preserve"> </w:t>
            </w:r>
            <w:r w:rsidR="00253CC7" w:rsidRPr="00253CC7">
              <w:rPr>
                <w:szCs w:val="20"/>
                <w:lang w:val="en-AU"/>
              </w:rPr>
              <w:t>– PBAC requested revisions</w:t>
            </w:r>
          </w:p>
        </w:tc>
      </w:tr>
      <w:tr w:rsidR="00B029A2" w:rsidRPr="000B7037" w14:paraId="746CCDBE" w14:textId="77777777" w:rsidTr="002225BF">
        <w:tc>
          <w:tcPr>
            <w:tcW w:w="1334" w:type="pct"/>
            <w:shd w:val="clear" w:color="auto" w:fill="B8CCE4" w:themeFill="accent1" w:themeFillTint="66"/>
            <w:vAlign w:val="center"/>
          </w:tcPr>
          <w:p w14:paraId="03B4C2BB" w14:textId="0E688AB3" w:rsidR="00B029A2" w:rsidRPr="000B7037" w:rsidRDefault="00B029A2" w:rsidP="007B1103">
            <w:pPr>
              <w:pStyle w:val="TableText0"/>
              <w:keepNext/>
            </w:pPr>
            <w:r w:rsidRPr="000B7037">
              <w:t>Net cost to PBS/RPBS</w:t>
            </w:r>
            <w:r w:rsidR="00FE7CE9">
              <w:t xml:space="preserve"> (indicative)</w:t>
            </w:r>
          </w:p>
        </w:tc>
        <w:tc>
          <w:tcPr>
            <w:tcW w:w="611" w:type="pct"/>
            <w:shd w:val="clear" w:color="auto" w:fill="B8CCE4" w:themeFill="accent1" w:themeFillTint="66"/>
            <w:vAlign w:val="center"/>
          </w:tcPr>
          <w:p w14:paraId="489F2BC4" w14:textId="0D74B8EF" w:rsidR="00B029A2" w:rsidRPr="000B7037" w:rsidRDefault="00B029A2" w:rsidP="007B1103">
            <w:pPr>
              <w:pStyle w:val="TableText0"/>
              <w:keepNext/>
            </w:pPr>
            <w:r w:rsidRPr="00421615">
              <w:t>$</w:t>
            </w:r>
            <w:r w:rsidR="009B407F" w:rsidRPr="009B407F">
              <w:rPr>
                <w:color w:val="000000"/>
                <w:spacing w:val="54"/>
                <w:shd w:val="solid" w:color="000000" w:fill="000000"/>
                <w:fitText w:val="333" w:id="-762061818"/>
                <w14:textFill>
                  <w14:solidFill>
                    <w14:srgbClr w14:val="000000">
                      <w14:alpha w14:val="100000"/>
                    </w14:srgbClr>
                  </w14:solidFill>
                </w14:textFill>
              </w:rPr>
              <w:t>|||</w:t>
            </w:r>
            <w:r w:rsidR="009B407F" w:rsidRPr="009B407F">
              <w:rPr>
                <w:color w:val="000000"/>
                <w:spacing w:val="1"/>
                <w:shd w:val="solid" w:color="000000" w:fill="000000"/>
                <w:fitText w:val="333" w:id="-762061818"/>
                <w14:textFill>
                  <w14:solidFill>
                    <w14:srgbClr w14:val="000000">
                      <w14:alpha w14:val="100000"/>
                    </w14:srgbClr>
                  </w14:solidFill>
                </w14:textFill>
              </w:rPr>
              <w:t>|</w:t>
            </w:r>
            <w:r w:rsidR="00234F86">
              <w:rPr>
                <w:rFonts w:cs="Arial"/>
              </w:rPr>
              <w:t xml:space="preserve"> </w:t>
            </w:r>
            <w:r w:rsidR="00234F86">
              <w:rPr>
                <w:rFonts w:cs="Arial"/>
                <w:vertAlign w:val="superscript"/>
              </w:rPr>
              <w:t>14</w:t>
            </w:r>
          </w:p>
        </w:tc>
        <w:tc>
          <w:tcPr>
            <w:tcW w:w="611" w:type="pct"/>
            <w:shd w:val="clear" w:color="auto" w:fill="B8CCE4" w:themeFill="accent1" w:themeFillTint="66"/>
            <w:vAlign w:val="center"/>
          </w:tcPr>
          <w:p w14:paraId="1D5EE203" w14:textId="15FC6B2A" w:rsidR="00B029A2" w:rsidRPr="000B7037" w:rsidRDefault="00B029A2" w:rsidP="007B1103">
            <w:pPr>
              <w:pStyle w:val="TableText0"/>
              <w:keepNext/>
            </w:pPr>
            <w:r w:rsidRPr="00421615">
              <w:t>$</w:t>
            </w:r>
            <w:r w:rsidR="009B407F" w:rsidRPr="009B407F">
              <w:rPr>
                <w:color w:val="000000"/>
                <w:spacing w:val="54"/>
                <w:shd w:val="solid" w:color="000000" w:fill="000000"/>
                <w:fitText w:val="333" w:id="-762061817"/>
                <w14:textFill>
                  <w14:solidFill>
                    <w14:srgbClr w14:val="000000">
                      <w14:alpha w14:val="100000"/>
                    </w14:srgbClr>
                  </w14:solidFill>
                </w14:textFill>
              </w:rPr>
              <w:t>|||</w:t>
            </w:r>
            <w:r w:rsidR="009B407F" w:rsidRPr="009B407F">
              <w:rPr>
                <w:color w:val="000000"/>
                <w:spacing w:val="1"/>
                <w:shd w:val="solid" w:color="000000" w:fill="000000"/>
                <w:fitText w:val="333" w:id="-762061817"/>
                <w14:textFill>
                  <w14:solidFill>
                    <w14:srgbClr w14:val="000000">
                      <w14:alpha w14:val="100000"/>
                    </w14:srgbClr>
                  </w14:solidFill>
                </w14:textFill>
              </w:rPr>
              <w:t>|</w:t>
            </w:r>
            <w:r w:rsidR="00234F86">
              <w:rPr>
                <w:rFonts w:cs="Arial"/>
              </w:rPr>
              <w:t xml:space="preserve"> </w:t>
            </w:r>
            <w:r w:rsidR="00234F86">
              <w:rPr>
                <w:rFonts w:cs="Arial"/>
                <w:vertAlign w:val="superscript"/>
              </w:rPr>
              <w:t>15</w:t>
            </w:r>
          </w:p>
        </w:tc>
        <w:tc>
          <w:tcPr>
            <w:tcW w:w="611" w:type="pct"/>
            <w:shd w:val="clear" w:color="auto" w:fill="B8CCE4" w:themeFill="accent1" w:themeFillTint="66"/>
            <w:vAlign w:val="center"/>
          </w:tcPr>
          <w:p w14:paraId="5C113E77" w14:textId="2E3DA842" w:rsidR="00B029A2" w:rsidRPr="000B7037" w:rsidRDefault="00B029A2" w:rsidP="007B1103">
            <w:pPr>
              <w:pStyle w:val="TableText0"/>
              <w:keepNext/>
            </w:pPr>
            <w:r w:rsidRPr="00421615">
              <w:t>$</w:t>
            </w:r>
            <w:r w:rsidR="009B407F" w:rsidRPr="009B407F">
              <w:rPr>
                <w:color w:val="000000"/>
                <w:spacing w:val="54"/>
                <w:shd w:val="solid" w:color="000000" w:fill="000000"/>
                <w:fitText w:val="333" w:id="-762061816"/>
                <w14:textFill>
                  <w14:solidFill>
                    <w14:srgbClr w14:val="000000">
                      <w14:alpha w14:val="100000"/>
                    </w14:srgbClr>
                  </w14:solidFill>
                </w14:textFill>
              </w:rPr>
              <w:t>|||</w:t>
            </w:r>
            <w:r w:rsidR="009B407F" w:rsidRPr="009B407F">
              <w:rPr>
                <w:color w:val="000000"/>
                <w:spacing w:val="1"/>
                <w:shd w:val="solid" w:color="000000" w:fill="000000"/>
                <w:fitText w:val="333" w:id="-762061816"/>
                <w14:textFill>
                  <w14:solidFill>
                    <w14:srgbClr w14:val="000000">
                      <w14:alpha w14:val="100000"/>
                    </w14:srgbClr>
                  </w14:solidFill>
                </w14:textFill>
              </w:rPr>
              <w:t>|</w:t>
            </w:r>
            <w:r w:rsidR="00234F86">
              <w:rPr>
                <w:rFonts w:cs="Arial"/>
              </w:rPr>
              <w:t xml:space="preserve"> </w:t>
            </w:r>
            <w:r w:rsidR="00234F86">
              <w:rPr>
                <w:rFonts w:cs="Arial"/>
                <w:vertAlign w:val="superscript"/>
              </w:rPr>
              <w:t>15</w:t>
            </w:r>
          </w:p>
        </w:tc>
        <w:tc>
          <w:tcPr>
            <w:tcW w:w="611" w:type="pct"/>
            <w:shd w:val="clear" w:color="auto" w:fill="B8CCE4" w:themeFill="accent1" w:themeFillTint="66"/>
            <w:vAlign w:val="center"/>
          </w:tcPr>
          <w:p w14:paraId="1C964FF9" w14:textId="6B0FF1C1" w:rsidR="00B029A2" w:rsidRPr="000B7037" w:rsidRDefault="00B029A2" w:rsidP="007B1103">
            <w:pPr>
              <w:pStyle w:val="TableText0"/>
              <w:keepNext/>
            </w:pPr>
            <w:r w:rsidRPr="00421615">
              <w:t>$</w:t>
            </w:r>
            <w:r w:rsidR="009B407F" w:rsidRPr="009B407F">
              <w:rPr>
                <w:color w:val="000000"/>
                <w:spacing w:val="54"/>
                <w:shd w:val="solid" w:color="000000" w:fill="000000"/>
                <w:fitText w:val="333" w:id="-762061815"/>
                <w14:textFill>
                  <w14:solidFill>
                    <w14:srgbClr w14:val="000000">
                      <w14:alpha w14:val="100000"/>
                    </w14:srgbClr>
                  </w14:solidFill>
                </w14:textFill>
              </w:rPr>
              <w:t>|||</w:t>
            </w:r>
            <w:r w:rsidR="009B407F" w:rsidRPr="009B407F">
              <w:rPr>
                <w:color w:val="000000"/>
                <w:spacing w:val="1"/>
                <w:shd w:val="solid" w:color="000000" w:fill="000000"/>
                <w:fitText w:val="333" w:id="-762061815"/>
                <w14:textFill>
                  <w14:solidFill>
                    <w14:srgbClr w14:val="000000">
                      <w14:alpha w14:val="100000"/>
                    </w14:srgbClr>
                  </w14:solidFill>
                </w14:textFill>
              </w:rPr>
              <w:t>|</w:t>
            </w:r>
            <w:r w:rsidR="00234F86">
              <w:rPr>
                <w:rFonts w:cs="Arial"/>
              </w:rPr>
              <w:t xml:space="preserve"> </w:t>
            </w:r>
            <w:r w:rsidR="00234F86">
              <w:rPr>
                <w:rFonts w:cs="Arial"/>
                <w:vertAlign w:val="superscript"/>
              </w:rPr>
              <w:t>15</w:t>
            </w:r>
          </w:p>
        </w:tc>
        <w:tc>
          <w:tcPr>
            <w:tcW w:w="611" w:type="pct"/>
            <w:shd w:val="clear" w:color="auto" w:fill="B8CCE4" w:themeFill="accent1" w:themeFillTint="66"/>
            <w:vAlign w:val="center"/>
          </w:tcPr>
          <w:p w14:paraId="4D86B6C8" w14:textId="5EFF2CD3" w:rsidR="00B029A2" w:rsidRPr="000B7037" w:rsidRDefault="00B029A2" w:rsidP="007B1103">
            <w:pPr>
              <w:pStyle w:val="TableText0"/>
              <w:keepNext/>
            </w:pPr>
            <w:r w:rsidRPr="00421615">
              <w:t>$</w:t>
            </w:r>
            <w:r w:rsidR="009B407F" w:rsidRPr="009B407F">
              <w:rPr>
                <w:color w:val="000000"/>
                <w:spacing w:val="54"/>
                <w:shd w:val="solid" w:color="000000" w:fill="000000"/>
                <w:fitText w:val="333" w:id="-762061814"/>
                <w14:textFill>
                  <w14:solidFill>
                    <w14:srgbClr w14:val="000000">
                      <w14:alpha w14:val="100000"/>
                    </w14:srgbClr>
                  </w14:solidFill>
                </w14:textFill>
              </w:rPr>
              <w:t>|||</w:t>
            </w:r>
            <w:r w:rsidR="009B407F" w:rsidRPr="009B407F">
              <w:rPr>
                <w:color w:val="000000"/>
                <w:spacing w:val="1"/>
                <w:shd w:val="solid" w:color="000000" w:fill="000000"/>
                <w:fitText w:val="333" w:id="-762061814"/>
                <w14:textFill>
                  <w14:solidFill>
                    <w14:srgbClr w14:val="000000">
                      <w14:alpha w14:val="100000"/>
                    </w14:srgbClr>
                  </w14:solidFill>
                </w14:textFill>
              </w:rPr>
              <w:t>|</w:t>
            </w:r>
            <w:r w:rsidR="00234F86">
              <w:rPr>
                <w:rFonts w:cs="Arial"/>
              </w:rPr>
              <w:t xml:space="preserve"> </w:t>
            </w:r>
            <w:r w:rsidR="00234F86">
              <w:rPr>
                <w:rFonts w:cs="Arial"/>
                <w:vertAlign w:val="superscript"/>
              </w:rPr>
              <w:t>1</w:t>
            </w:r>
            <w:r w:rsidR="00685D05">
              <w:rPr>
                <w:rFonts w:cs="Arial"/>
                <w:vertAlign w:val="superscript"/>
              </w:rPr>
              <w:t>8</w:t>
            </w:r>
          </w:p>
        </w:tc>
        <w:tc>
          <w:tcPr>
            <w:tcW w:w="611" w:type="pct"/>
            <w:shd w:val="clear" w:color="auto" w:fill="B8CCE4" w:themeFill="accent1" w:themeFillTint="66"/>
            <w:vAlign w:val="center"/>
          </w:tcPr>
          <w:p w14:paraId="441F00C1" w14:textId="5001C008" w:rsidR="00B029A2" w:rsidRPr="000B7037" w:rsidRDefault="00B029A2" w:rsidP="007B1103">
            <w:pPr>
              <w:pStyle w:val="TableText0"/>
              <w:keepNext/>
            </w:pPr>
            <w:r w:rsidRPr="00421615">
              <w:t>$</w:t>
            </w:r>
            <w:r w:rsidR="009B407F" w:rsidRPr="009B407F">
              <w:rPr>
                <w:color w:val="000000"/>
                <w:spacing w:val="54"/>
                <w:shd w:val="solid" w:color="000000" w:fill="000000"/>
                <w:fitText w:val="333" w:id="-762061568"/>
                <w14:textFill>
                  <w14:solidFill>
                    <w14:srgbClr w14:val="000000">
                      <w14:alpha w14:val="100000"/>
                    </w14:srgbClr>
                  </w14:solidFill>
                </w14:textFill>
              </w:rPr>
              <w:t>|||</w:t>
            </w:r>
            <w:r w:rsidR="009B407F" w:rsidRPr="009B407F">
              <w:rPr>
                <w:color w:val="000000"/>
                <w:spacing w:val="1"/>
                <w:shd w:val="solid" w:color="000000" w:fill="000000"/>
                <w:fitText w:val="333" w:id="-762061568"/>
                <w14:textFill>
                  <w14:solidFill>
                    <w14:srgbClr w14:val="000000">
                      <w14:alpha w14:val="100000"/>
                    </w14:srgbClr>
                  </w14:solidFill>
                </w14:textFill>
              </w:rPr>
              <w:t>|</w:t>
            </w:r>
            <w:r w:rsidR="00685D05">
              <w:rPr>
                <w:rFonts w:cs="Arial"/>
              </w:rPr>
              <w:t xml:space="preserve"> </w:t>
            </w:r>
            <w:r w:rsidR="00685D05">
              <w:rPr>
                <w:rFonts w:cs="Arial"/>
                <w:vertAlign w:val="superscript"/>
              </w:rPr>
              <w:t>18</w:t>
            </w:r>
          </w:p>
        </w:tc>
      </w:tr>
    </w:tbl>
    <w:p w14:paraId="5877AD87" w14:textId="607CB071" w:rsidR="00C922E5" w:rsidRDefault="00620C25" w:rsidP="007B1103">
      <w:pPr>
        <w:pStyle w:val="FooterTableFigure"/>
        <w:keepNext/>
        <w:keepLines/>
      </w:pPr>
      <w:r w:rsidRPr="0098262F">
        <w:t xml:space="preserve">Source: </w:t>
      </w:r>
      <w:r w:rsidR="00C922E5">
        <w:t>Table</w:t>
      </w:r>
      <w:r w:rsidR="00EE1103">
        <w:t>s</w:t>
      </w:r>
      <w:r w:rsidR="00C922E5">
        <w:t xml:space="preserve"> 2-8</w:t>
      </w:r>
      <w:r w:rsidR="00EE1103">
        <w:t xml:space="preserve">, 2-10, </w:t>
      </w:r>
      <w:r w:rsidR="009550D4">
        <w:t>2-13</w:t>
      </w:r>
      <w:r w:rsidR="00310CF7">
        <w:t xml:space="preserve"> pp10-13 of the submission</w:t>
      </w:r>
      <w:r w:rsidR="00AF735F">
        <w:t xml:space="preserve">, </w:t>
      </w:r>
      <w:r w:rsidR="00D97DA5">
        <w:t>‘</w:t>
      </w:r>
      <w:r w:rsidR="00D97DA5" w:rsidRPr="00D97DA5">
        <w:t>4b. Impact - affected (pub)</w:t>
      </w:r>
      <w:r w:rsidR="00D97DA5">
        <w:t>’ and ‘</w:t>
      </w:r>
      <w:r w:rsidR="00D97DA5" w:rsidRPr="00D97DA5">
        <w:t xml:space="preserve">5. Impact </w:t>
      </w:r>
      <w:r w:rsidR="00D97DA5">
        <w:t>–</w:t>
      </w:r>
      <w:r w:rsidR="00D97DA5" w:rsidRPr="00D97DA5">
        <w:t xml:space="preserve"> net</w:t>
      </w:r>
      <w:r w:rsidR="00D97DA5">
        <w:t xml:space="preserve">’, </w:t>
      </w:r>
      <w:r w:rsidR="00AF735F">
        <w:t>Section 4 spreadsheet</w:t>
      </w:r>
      <w:r w:rsidR="00D97DA5">
        <w:t xml:space="preserve"> </w:t>
      </w:r>
    </w:p>
    <w:p w14:paraId="49E437C3" w14:textId="1AD7D8F2" w:rsidR="00C307A7" w:rsidRDefault="00E870B7" w:rsidP="007B1103">
      <w:pPr>
        <w:pStyle w:val="FooterTableFigure"/>
        <w:keepNext/>
        <w:keepLines/>
      </w:pPr>
      <w:r>
        <w:t>R</w:t>
      </w:r>
      <w:r w:rsidR="00C307A7">
        <w:t xml:space="preserve">atified PBAC minutes </w:t>
      </w:r>
      <w:r w:rsidRPr="00E870B7">
        <w:t xml:space="preserve">relugolix with estradiol and with norethisterone acetate </w:t>
      </w:r>
      <w:r>
        <w:t>March 2024</w:t>
      </w:r>
    </w:p>
    <w:p w14:paraId="65E99FBE" w14:textId="356296C1" w:rsidR="00E466F3" w:rsidRDefault="00E466F3" w:rsidP="007B1103">
      <w:pPr>
        <w:pStyle w:val="FooterTableFigure"/>
        <w:keepNext/>
        <w:keepLines/>
        <w:spacing w:after="0"/>
      </w:pPr>
      <w:r w:rsidRPr="0098262F">
        <w:rPr>
          <w:vertAlign w:val="superscript"/>
        </w:rPr>
        <w:t>a</w:t>
      </w:r>
      <w:r w:rsidR="00606FBA" w:rsidRPr="0098262F">
        <w:t xml:space="preserve"> </w:t>
      </w:r>
      <w:r w:rsidRPr="0098262F">
        <w:t xml:space="preserve">Assuming </w:t>
      </w:r>
      <w:r w:rsidR="00C307A7">
        <w:t xml:space="preserve">10.44 </w:t>
      </w:r>
      <w:r w:rsidRPr="0098262F">
        <w:t>scripts per year as estimated by the submission.</w:t>
      </w:r>
    </w:p>
    <w:p w14:paraId="15D0485E" w14:textId="77777777" w:rsidR="003267B9" w:rsidRPr="00F56B14" w:rsidRDefault="003267B9" w:rsidP="007B1103">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7274F6F2" w14:textId="638E1A3C" w:rsidR="003267B9" w:rsidRPr="00F56B14" w:rsidRDefault="003267B9" w:rsidP="007B1103">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007F65CB" w:rsidRPr="007F65CB">
        <w:rPr>
          <w:rFonts w:ascii="Arial Narrow" w:hAnsi="Arial Narrow" w:cstheme="minorHAnsi"/>
          <w:bCs/>
          <w:i/>
          <w:iCs/>
          <w:sz w:val="18"/>
          <w:szCs w:val="18"/>
        </w:rPr>
        <w:t>20,000 to &lt; 30,000</w:t>
      </w:r>
    </w:p>
    <w:p w14:paraId="0C32869F" w14:textId="785E53DF" w:rsidR="003267B9" w:rsidRPr="00F56B14" w:rsidRDefault="003267B9" w:rsidP="007B1103">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2</w:t>
      </w:r>
      <w:r w:rsidRPr="00F56B14">
        <w:rPr>
          <w:rFonts w:ascii="Arial Narrow" w:hAnsi="Arial Narrow" w:cstheme="minorHAnsi"/>
          <w:bCs/>
          <w:i/>
          <w:iCs/>
          <w:sz w:val="18"/>
          <w:szCs w:val="18"/>
        </w:rPr>
        <w:t xml:space="preserve"> </w:t>
      </w:r>
      <w:r w:rsidR="004F2AED" w:rsidRPr="004F2AED">
        <w:rPr>
          <w:rFonts w:ascii="Arial Narrow" w:hAnsi="Arial Narrow" w:cstheme="minorHAnsi"/>
          <w:bCs/>
          <w:i/>
          <w:iCs/>
          <w:sz w:val="18"/>
          <w:szCs w:val="18"/>
        </w:rPr>
        <w:t>30,000 to &lt; 40,000</w:t>
      </w:r>
    </w:p>
    <w:p w14:paraId="09633A09" w14:textId="5577A3BC" w:rsidR="003267B9" w:rsidRPr="00F56B14" w:rsidRDefault="003267B9" w:rsidP="007B1103">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3</w:t>
      </w:r>
      <w:r w:rsidRPr="00F56B14">
        <w:rPr>
          <w:rFonts w:ascii="Arial Narrow" w:hAnsi="Arial Narrow" w:cstheme="minorHAnsi"/>
          <w:bCs/>
          <w:i/>
          <w:iCs/>
          <w:sz w:val="18"/>
          <w:szCs w:val="18"/>
        </w:rPr>
        <w:t xml:space="preserve"> </w:t>
      </w:r>
      <w:r w:rsidR="00CE3639" w:rsidRPr="00CE3639">
        <w:rPr>
          <w:rFonts w:ascii="Arial Narrow" w:hAnsi="Arial Narrow" w:cstheme="minorHAnsi"/>
          <w:bCs/>
          <w:i/>
          <w:iCs/>
          <w:sz w:val="18"/>
          <w:szCs w:val="18"/>
        </w:rPr>
        <w:t>10,000 to &lt; 20,000</w:t>
      </w:r>
      <w:r w:rsidRPr="00F56B14">
        <w:rPr>
          <w:rFonts w:ascii="Arial Narrow" w:hAnsi="Arial Narrow" w:cstheme="minorHAnsi"/>
          <w:bCs/>
          <w:i/>
          <w:iCs/>
          <w:sz w:val="18"/>
          <w:szCs w:val="18"/>
        </w:rPr>
        <w:t xml:space="preserve"> </w:t>
      </w:r>
    </w:p>
    <w:p w14:paraId="21059F21" w14:textId="64F469A8" w:rsidR="003267B9" w:rsidRPr="00F56B14" w:rsidRDefault="003267B9" w:rsidP="007B1103">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4</w:t>
      </w:r>
      <w:r w:rsidRPr="00F56B14">
        <w:rPr>
          <w:rFonts w:ascii="Arial Narrow" w:hAnsi="Arial Narrow" w:cstheme="minorHAnsi"/>
          <w:bCs/>
          <w:i/>
          <w:iCs/>
          <w:sz w:val="18"/>
          <w:szCs w:val="18"/>
        </w:rPr>
        <w:t xml:space="preserve"> </w:t>
      </w:r>
      <w:r w:rsidR="005F1D1E" w:rsidRPr="005F1D1E">
        <w:rPr>
          <w:rFonts w:ascii="Arial Narrow" w:hAnsi="Arial Narrow" w:cstheme="minorHAnsi"/>
          <w:bCs/>
          <w:i/>
          <w:iCs/>
          <w:sz w:val="18"/>
          <w:szCs w:val="18"/>
        </w:rPr>
        <w:t>200,000 to &lt; 300,000</w:t>
      </w:r>
    </w:p>
    <w:p w14:paraId="6FB68A2E" w14:textId="3D0C4A46" w:rsidR="003267B9" w:rsidRPr="00F56B14" w:rsidRDefault="003267B9" w:rsidP="007B1103">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5</w:t>
      </w:r>
      <w:r w:rsidRPr="00F56B14">
        <w:rPr>
          <w:rFonts w:ascii="Arial Narrow" w:hAnsi="Arial Narrow" w:cstheme="minorHAnsi"/>
          <w:bCs/>
          <w:i/>
          <w:iCs/>
          <w:sz w:val="18"/>
          <w:szCs w:val="18"/>
        </w:rPr>
        <w:t xml:space="preserve"> </w:t>
      </w:r>
      <w:r w:rsidR="005B090F" w:rsidRPr="005B090F">
        <w:rPr>
          <w:rFonts w:ascii="Arial Narrow" w:hAnsi="Arial Narrow" w:cstheme="minorHAnsi"/>
          <w:bCs/>
          <w:i/>
          <w:iCs/>
          <w:sz w:val="18"/>
          <w:szCs w:val="18"/>
        </w:rPr>
        <w:t>500,000 to &lt; 600,000</w:t>
      </w:r>
    </w:p>
    <w:p w14:paraId="48DFF4B5" w14:textId="513B1359" w:rsidR="003267B9" w:rsidRPr="00F56B14" w:rsidRDefault="003267B9" w:rsidP="007B1103">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6</w:t>
      </w:r>
      <w:r w:rsidRPr="00F56B14">
        <w:rPr>
          <w:rFonts w:ascii="Arial Narrow" w:hAnsi="Arial Narrow" w:cstheme="minorHAnsi"/>
          <w:bCs/>
          <w:i/>
          <w:iCs/>
          <w:sz w:val="18"/>
          <w:szCs w:val="18"/>
        </w:rPr>
        <w:t xml:space="preserve"> </w:t>
      </w:r>
      <w:r w:rsidR="00B5794B" w:rsidRPr="00B5794B">
        <w:rPr>
          <w:rFonts w:ascii="Arial Narrow" w:hAnsi="Arial Narrow" w:cstheme="minorHAnsi"/>
          <w:bCs/>
          <w:i/>
          <w:iCs/>
          <w:sz w:val="18"/>
          <w:szCs w:val="18"/>
        </w:rPr>
        <w:t>600,000 to &lt; 700,000</w:t>
      </w:r>
    </w:p>
    <w:p w14:paraId="47E864A7" w14:textId="5CEFE758" w:rsidR="003267B9" w:rsidRPr="00F56B14" w:rsidRDefault="003267B9" w:rsidP="007B1103">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7</w:t>
      </w:r>
      <w:r w:rsidRPr="00F56B14">
        <w:rPr>
          <w:rFonts w:ascii="Arial Narrow" w:hAnsi="Arial Narrow" w:cstheme="minorHAnsi"/>
          <w:bCs/>
          <w:i/>
          <w:iCs/>
          <w:sz w:val="18"/>
          <w:szCs w:val="18"/>
        </w:rPr>
        <w:t xml:space="preserve"> </w:t>
      </w:r>
      <w:r w:rsidR="00CF2351" w:rsidRPr="00CF2351">
        <w:rPr>
          <w:rFonts w:ascii="Arial Narrow" w:hAnsi="Arial Narrow" w:cstheme="minorHAnsi"/>
          <w:bCs/>
          <w:i/>
          <w:iCs/>
          <w:sz w:val="18"/>
          <w:szCs w:val="18"/>
        </w:rPr>
        <w:t>400,000 to &lt; 500,000</w:t>
      </w:r>
    </w:p>
    <w:p w14:paraId="396A399A" w14:textId="2DF07B65" w:rsidR="003267B9" w:rsidRPr="00F56B14" w:rsidRDefault="00922EF1" w:rsidP="007B1103">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8</w:t>
      </w:r>
      <w:r w:rsidR="003267B9" w:rsidRPr="00F56B14">
        <w:rPr>
          <w:rFonts w:ascii="Arial Narrow" w:hAnsi="Arial Narrow" w:cstheme="minorHAnsi"/>
          <w:bCs/>
          <w:i/>
          <w:iCs/>
          <w:sz w:val="18"/>
          <w:szCs w:val="18"/>
        </w:rPr>
        <w:t xml:space="preserve"> </w:t>
      </w:r>
      <w:r w:rsidR="003113DC" w:rsidRPr="003113DC">
        <w:rPr>
          <w:rFonts w:ascii="Arial Narrow" w:hAnsi="Arial Narrow" w:cstheme="minorHAnsi"/>
          <w:bCs/>
          <w:i/>
          <w:iCs/>
          <w:sz w:val="18"/>
          <w:szCs w:val="18"/>
        </w:rPr>
        <w:t>$40 million to &lt; $50 million</w:t>
      </w:r>
    </w:p>
    <w:p w14:paraId="3B30A81B" w14:textId="36BFCC77" w:rsidR="003267B9" w:rsidRPr="00F56B14" w:rsidRDefault="00922EF1" w:rsidP="007B1103">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9</w:t>
      </w:r>
      <w:r w:rsidR="003267B9" w:rsidRPr="00F56B14">
        <w:rPr>
          <w:rFonts w:ascii="Arial Narrow" w:hAnsi="Arial Narrow" w:cstheme="minorHAnsi"/>
          <w:bCs/>
          <w:i/>
          <w:iCs/>
          <w:sz w:val="18"/>
          <w:szCs w:val="18"/>
        </w:rPr>
        <w:t xml:space="preserve"> </w:t>
      </w:r>
      <w:r w:rsidR="00DA7172" w:rsidRPr="00DA7172">
        <w:rPr>
          <w:rFonts w:ascii="Arial Narrow" w:hAnsi="Arial Narrow" w:cstheme="minorHAnsi"/>
          <w:bCs/>
          <w:i/>
          <w:iCs/>
          <w:sz w:val="18"/>
          <w:szCs w:val="18"/>
        </w:rPr>
        <w:t>$100 million to &lt; $200 million</w:t>
      </w:r>
      <w:r w:rsidR="003267B9" w:rsidRPr="00F56B14">
        <w:rPr>
          <w:rFonts w:ascii="Arial Narrow" w:hAnsi="Arial Narrow" w:cstheme="minorHAnsi"/>
          <w:bCs/>
          <w:i/>
          <w:iCs/>
          <w:sz w:val="18"/>
          <w:szCs w:val="18"/>
        </w:rPr>
        <w:t xml:space="preserve"> </w:t>
      </w:r>
    </w:p>
    <w:p w14:paraId="48D38640" w14:textId="138FCDD9" w:rsidR="003267B9" w:rsidRPr="00F56B14" w:rsidRDefault="003267B9" w:rsidP="007B1103">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00922EF1">
        <w:rPr>
          <w:rFonts w:ascii="Arial Narrow" w:hAnsi="Arial Narrow" w:cstheme="minorHAnsi"/>
          <w:bCs/>
          <w:i/>
          <w:iCs/>
          <w:sz w:val="18"/>
          <w:szCs w:val="18"/>
          <w:vertAlign w:val="superscript"/>
        </w:rPr>
        <w:t>0</w:t>
      </w:r>
      <w:r w:rsidRPr="00F56B14">
        <w:rPr>
          <w:rFonts w:ascii="Arial Narrow" w:hAnsi="Arial Narrow" w:cstheme="minorHAnsi"/>
          <w:bCs/>
          <w:i/>
          <w:iCs/>
          <w:sz w:val="18"/>
          <w:szCs w:val="18"/>
        </w:rPr>
        <w:t xml:space="preserve"> </w:t>
      </w:r>
      <w:r w:rsidR="002C4209" w:rsidRPr="002C4209">
        <w:rPr>
          <w:rFonts w:ascii="Arial Narrow" w:hAnsi="Arial Narrow" w:cstheme="minorHAnsi"/>
          <w:bCs/>
          <w:i/>
          <w:iCs/>
          <w:sz w:val="18"/>
          <w:szCs w:val="18"/>
        </w:rPr>
        <w:t>$80 million to &lt; $90 million</w:t>
      </w:r>
    </w:p>
    <w:p w14:paraId="75D22501" w14:textId="35CFACF5" w:rsidR="003267B9" w:rsidRPr="00F56B14" w:rsidRDefault="00922EF1" w:rsidP="007B1103">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11</w:t>
      </w:r>
      <w:r w:rsidR="003267B9" w:rsidRPr="00F56B14">
        <w:rPr>
          <w:rFonts w:ascii="Arial Narrow" w:hAnsi="Arial Narrow" w:cstheme="minorHAnsi"/>
          <w:bCs/>
          <w:i/>
          <w:iCs/>
          <w:sz w:val="18"/>
          <w:szCs w:val="18"/>
        </w:rPr>
        <w:t xml:space="preserve"> </w:t>
      </w:r>
      <w:r w:rsidR="00504F8F" w:rsidRPr="00504F8F">
        <w:rPr>
          <w:rFonts w:ascii="Arial Narrow" w:hAnsi="Arial Narrow" w:cstheme="minorHAnsi"/>
          <w:bCs/>
          <w:i/>
          <w:iCs/>
          <w:sz w:val="18"/>
          <w:szCs w:val="18"/>
        </w:rPr>
        <w:t>net cost saving</w:t>
      </w:r>
    </w:p>
    <w:p w14:paraId="19E29CD0" w14:textId="0C7B51B2" w:rsidR="003267B9" w:rsidRPr="00F56B14" w:rsidRDefault="00922EF1" w:rsidP="007B1103">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12</w:t>
      </w:r>
      <w:r w:rsidR="003267B9" w:rsidRPr="00F56B14">
        <w:rPr>
          <w:rFonts w:ascii="Arial Narrow" w:hAnsi="Arial Narrow" w:cstheme="minorHAnsi"/>
          <w:bCs/>
          <w:i/>
          <w:iCs/>
          <w:sz w:val="18"/>
          <w:szCs w:val="18"/>
        </w:rPr>
        <w:t xml:space="preserve"> </w:t>
      </w:r>
      <w:r w:rsidR="00A31C7F">
        <w:rPr>
          <w:rFonts w:ascii="Arial Narrow" w:hAnsi="Arial Narrow" w:cstheme="minorHAnsi"/>
          <w:bCs/>
          <w:i/>
          <w:iCs/>
          <w:sz w:val="18"/>
          <w:szCs w:val="18"/>
        </w:rPr>
        <w:t>$</w:t>
      </w:r>
      <w:r w:rsidR="00A31C7F" w:rsidRPr="00A31C7F">
        <w:rPr>
          <w:rFonts w:ascii="Arial Narrow" w:hAnsi="Arial Narrow" w:cstheme="minorHAnsi"/>
          <w:bCs/>
          <w:i/>
          <w:iCs/>
          <w:sz w:val="18"/>
          <w:szCs w:val="18"/>
        </w:rPr>
        <w:t>90 million to &lt; $100 million</w:t>
      </w:r>
      <w:r w:rsidR="003267B9" w:rsidRPr="00F56B14">
        <w:rPr>
          <w:rFonts w:ascii="Arial Narrow" w:hAnsi="Arial Narrow" w:cstheme="minorHAnsi"/>
          <w:bCs/>
          <w:i/>
          <w:iCs/>
          <w:sz w:val="18"/>
          <w:szCs w:val="18"/>
        </w:rPr>
        <w:t xml:space="preserve"> </w:t>
      </w:r>
    </w:p>
    <w:p w14:paraId="67FFA841" w14:textId="539F9047" w:rsidR="003267B9" w:rsidRPr="00F56B14" w:rsidRDefault="003267B9" w:rsidP="007B1103">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00922EF1">
        <w:rPr>
          <w:rFonts w:ascii="Arial Narrow" w:hAnsi="Arial Narrow" w:cstheme="minorHAnsi"/>
          <w:bCs/>
          <w:i/>
          <w:iCs/>
          <w:sz w:val="18"/>
          <w:szCs w:val="18"/>
          <w:vertAlign w:val="superscript"/>
        </w:rPr>
        <w:t>3</w:t>
      </w:r>
      <w:r w:rsidRPr="00F56B14">
        <w:rPr>
          <w:rFonts w:ascii="Arial Narrow" w:hAnsi="Arial Narrow" w:cstheme="minorHAnsi"/>
          <w:bCs/>
          <w:i/>
          <w:iCs/>
          <w:sz w:val="18"/>
          <w:szCs w:val="18"/>
        </w:rPr>
        <w:t xml:space="preserve"> </w:t>
      </w:r>
      <w:r w:rsidR="00921EF7" w:rsidRPr="00921EF7">
        <w:rPr>
          <w:rFonts w:ascii="Arial Narrow" w:hAnsi="Arial Narrow" w:cstheme="minorHAnsi"/>
          <w:bCs/>
          <w:i/>
          <w:iCs/>
          <w:sz w:val="18"/>
          <w:szCs w:val="18"/>
        </w:rPr>
        <w:t>$70 million to &lt; $80 million</w:t>
      </w:r>
    </w:p>
    <w:p w14:paraId="55E6A9A4" w14:textId="1636514A" w:rsidR="003267B9" w:rsidRPr="00F56B14" w:rsidRDefault="00922EF1" w:rsidP="007B1103">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14</w:t>
      </w:r>
      <w:r w:rsidR="003267B9" w:rsidRPr="00F56B14">
        <w:rPr>
          <w:rFonts w:ascii="Arial Narrow" w:hAnsi="Arial Narrow" w:cstheme="minorHAnsi"/>
          <w:bCs/>
          <w:i/>
          <w:iCs/>
          <w:sz w:val="18"/>
          <w:szCs w:val="18"/>
        </w:rPr>
        <w:t xml:space="preserve"> </w:t>
      </w:r>
      <w:r w:rsidR="00546CBA" w:rsidRPr="00546CBA">
        <w:rPr>
          <w:rFonts w:ascii="Arial Narrow" w:hAnsi="Arial Narrow" w:cstheme="minorHAnsi"/>
          <w:bCs/>
          <w:i/>
          <w:iCs/>
          <w:sz w:val="18"/>
          <w:szCs w:val="18"/>
        </w:rPr>
        <w:t>$0 to &lt; $10 million</w:t>
      </w:r>
    </w:p>
    <w:p w14:paraId="0D06E53A" w14:textId="5D613CBB" w:rsidR="003267B9" w:rsidRPr="00F56B14" w:rsidRDefault="00922EF1" w:rsidP="007B1103">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15</w:t>
      </w:r>
      <w:r w:rsidR="003267B9" w:rsidRPr="00F56B14">
        <w:rPr>
          <w:rFonts w:ascii="Arial Narrow" w:hAnsi="Arial Narrow" w:cstheme="minorHAnsi"/>
          <w:bCs/>
          <w:i/>
          <w:iCs/>
          <w:sz w:val="18"/>
          <w:szCs w:val="18"/>
        </w:rPr>
        <w:t xml:space="preserve"> </w:t>
      </w:r>
      <w:r w:rsidR="004C6532" w:rsidRPr="004C6532">
        <w:rPr>
          <w:rFonts w:ascii="Arial Narrow" w:hAnsi="Arial Narrow" w:cstheme="minorHAnsi"/>
          <w:bCs/>
          <w:i/>
          <w:iCs/>
          <w:sz w:val="18"/>
          <w:szCs w:val="18"/>
        </w:rPr>
        <w:t>$20 million to &lt; $30 million</w:t>
      </w:r>
      <w:r w:rsidR="003267B9" w:rsidRPr="00F56B14">
        <w:rPr>
          <w:rFonts w:ascii="Arial Narrow" w:hAnsi="Arial Narrow" w:cstheme="minorHAnsi"/>
          <w:bCs/>
          <w:i/>
          <w:iCs/>
          <w:sz w:val="18"/>
          <w:szCs w:val="18"/>
        </w:rPr>
        <w:t xml:space="preserve"> </w:t>
      </w:r>
    </w:p>
    <w:p w14:paraId="17635CE3" w14:textId="27B4C43D" w:rsidR="003267B9" w:rsidRPr="00F56B14" w:rsidRDefault="003267B9" w:rsidP="007B1103">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00922EF1">
        <w:rPr>
          <w:rFonts w:ascii="Arial Narrow" w:hAnsi="Arial Narrow" w:cstheme="minorHAnsi"/>
          <w:bCs/>
          <w:i/>
          <w:iCs/>
          <w:sz w:val="18"/>
          <w:szCs w:val="18"/>
          <w:vertAlign w:val="superscript"/>
        </w:rPr>
        <w:t>6</w:t>
      </w:r>
      <w:r w:rsidRPr="00F56B14">
        <w:rPr>
          <w:rFonts w:ascii="Arial Narrow" w:hAnsi="Arial Narrow" w:cstheme="minorHAnsi"/>
          <w:bCs/>
          <w:i/>
          <w:iCs/>
          <w:sz w:val="18"/>
          <w:szCs w:val="18"/>
        </w:rPr>
        <w:t xml:space="preserve"> </w:t>
      </w:r>
      <w:r w:rsidR="00155C2E" w:rsidRPr="00155C2E">
        <w:rPr>
          <w:rFonts w:ascii="Arial Narrow" w:hAnsi="Arial Narrow" w:cstheme="minorHAnsi"/>
          <w:bCs/>
          <w:i/>
          <w:iCs/>
          <w:sz w:val="18"/>
          <w:szCs w:val="18"/>
        </w:rPr>
        <w:t>$30 million to &lt; $40 million</w:t>
      </w:r>
    </w:p>
    <w:p w14:paraId="59EF2583" w14:textId="65C4E26D" w:rsidR="003267B9" w:rsidRPr="00F56B14" w:rsidRDefault="00922EF1" w:rsidP="007B1103">
      <w:pPr>
        <w:keepNext/>
        <w:keepLines/>
        <w:jc w:val="left"/>
        <w:rPr>
          <w:rFonts w:ascii="Arial Narrow" w:hAnsi="Arial Narrow" w:cstheme="minorHAnsi"/>
          <w:bCs/>
          <w:i/>
          <w:iCs/>
          <w:sz w:val="18"/>
          <w:szCs w:val="18"/>
        </w:rPr>
      </w:pPr>
      <w:r>
        <w:rPr>
          <w:rFonts w:ascii="Arial Narrow" w:hAnsi="Arial Narrow" w:cstheme="minorHAnsi"/>
          <w:bCs/>
          <w:i/>
          <w:iCs/>
          <w:sz w:val="18"/>
          <w:szCs w:val="18"/>
          <w:vertAlign w:val="superscript"/>
        </w:rPr>
        <w:t>17</w:t>
      </w:r>
      <w:r w:rsidR="003267B9" w:rsidRPr="00F56B14">
        <w:rPr>
          <w:rFonts w:ascii="Arial Narrow" w:hAnsi="Arial Narrow" w:cstheme="minorHAnsi"/>
          <w:bCs/>
          <w:i/>
          <w:iCs/>
          <w:sz w:val="18"/>
          <w:szCs w:val="18"/>
        </w:rPr>
        <w:t xml:space="preserve"> </w:t>
      </w:r>
      <w:r w:rsidR="00A67F31" w:rsidRPr="00A67F31">
        <w:rPr>
          <w:rFonts w:ascii="Arial Narrow" w:hAnsi="Arial Narrow" w:cstheme="minorHAnsi"/>
          <w:bCs/>
          <w:i/>
          <w:iCs/>
          <w:sz w:val="18"/>
          <w:szCs w:val="18"/>
        </w:rPr>
        <w:t>$50 million to &lt; $60 million</w:t>
      </w:r>
    </w:p>
    <w:p w14:paraId="5499D6B1" w14:textId="1BAA3492" w:rsidR="00E50391" w:rsidRDefault="00922EF1" w:rsidP="00F71662">
      <w:pPr>
        <w:spacing w:after="120"/>
        <w:jc w:val="left"/>
      </w:pPr>
      <w:r>
        <w:rPr>
          <w:rFonts w:ascii="Arial Narrow" w:hAnsi="Arial Narrow" w:cstheme="minorHAnsi"/>
          <w:bCs/>
          <w:i/>
          <w:iCs/>
          <w:sz w:val="18"/>
          <w:szCs w:val="18"/>
          <w:vertAlign w:val="superscript"/>
        </w:rPr>
        <w:t>18</w:t>
      </w:r>
      <w:r w:rsidR="003267B9" w:rsidRPr="00F56B14">
        <w:rPr>
          <w:rFonts w:ascii="Arial Narrow" w:hAnsi="Arial Narrow" w:cstheme="minorHAnsi"/>
          <w:bCs/>
          <w:i/>
          <w:iCs/>
          <w:sz w:val="18"/>
          <w:szCs w:val="18"/>
        </w:rPr>
        <w:t xml:space="preserve"> </w:t>
      </w:r>
      <w:r w:rsidR="00EE501F" w:rsidRPr="00EE501F">
        <w:rPr>
          <w:rFonts w:ascii="Arial Narrow" w:hAnsi="Arial Narrow" w:cstheme="minorHAnsi"/>
          <w:bCs/>
          <w:i/>
          <w:iCs/>
          <w:sz w:val="18"/>
          <w:szCs w:val="18"/>
        </w:rPr>
        <w:t>$10 million to &lt; $20 million</w:t>
      </w:r>
      <w:r w:rsidR="003267B9" w:rsidRPr="00F56B14">
        <w:rPr>
          <w:rFonts w:ascii="Arial Narrow" w:hAnsi="Arial Narrow" w:cstheme="minorHAnsi"/>
          <w:bCs/>
          <w:i/>
          <w:iCs/>
          <w:sz w:val="18"/>
          <w:szCs w:val="18"/>
        </w:rPr>
        <w:t xml:space="preserve"> </w:t>
      </w:r>
    </w:p>
    <w:p w14:paraId="0468983E" w14:textId="3EAA3642" w:rsidR="00E50391" w:rsidRPr="00127E83" w:rsidRDefault="00E50391" w:rsidP="007B1103">
      <w:pPr>
        <w:pStyle w:val="TableFigureHeading"/>
        <w:keepLines/>
        <w:rPr>
          <w:rStyle w:val="CommentReference"/>
          <w:b/>
          <w:bCs w:val="0"/>
          <w:szCs w:val="24"/>
        </w:rPr>
      </w:pPr>
      <w:r w:rsidRPr="00127E83">
        <w:rPr>
          <w:rStyle w:val="CommentReference"/>
          <w:b/>
          <w:bCs w:val="0"/>
          <w:szCs w:val="24"/>
        </w:rPr>
        <w:lastRenderedPageBreak/>
        <w:t xml:space="preserve">Table </w:t>
      </w:r>
      <w:r w:rsidR="000A2DB4">
        <w:rPr>
          <w:rStyle w:val="CommentReference"/>
          <w:b/>
          <w:bCs w:val="0"/>
          <w:szCs w:val="24"/>
        </w:rPr>
        <w:t>5</w:t>
      </w:r>
      <w:r w:rsidRPr="00127E83">
        <w:rPr>
          <w:rStyle w:val="CommentReference"/>
          <w:b/>
          <w:bCs w:val="0"/>
          <w:szCs w:val="24"/>
        </w:rPr>
        <w:t>: Comparison of previous and current submission</w:t>
      </w:r>
    </w:p>
    <w:tbl>
      <w:tblPr>
        <w:tblStyle w:val="MSDTableGrid1"/>
        <w:tblW w:w="0" w:type="auto"/>
        <w:tblLook w:val="04A0" w:firstRow="1" w:lastRow="0" w:firstColumn="1" w:lastColumn="0" w:noHBand="0" w:noVBand="1"/>
      </w:tblPr>
      <w:tblGrid>
        <w:gridCol w:w="1980"/>
        <w:gridCol w:w="1759"/>
        <w:gridCol w:w="1759"/>
        <w:gridCol w:w="1759"/>
        <w:gridCol w:w="1760"/>
      </w:tblGrid>
      <w:tr w:rsidR="00E50391" w:rsidRPr="006F5229" w14:paraId="42942770" w14:textId="77777777" w:rsidTr="0006533D">
        <w:tc>
          <w:tcPr>
            <w:tcW w:w="1980" w:type="dxa"/>
            <w:shd w:val="clear" w:color="auto" w:fill="auto"/>
          </w:tcPr>
          <w:p w14:paraId="3BA5340D" w14:textId="77777777" w:rsidR="00E50391" w:rsidRPr="00200FF5" w:rsidRDefault="00E50391" w:rsidP="007B1103">
            <w:pPr>
              <w:pStyle w:val="TableText0"/>
              <w:keepNext/>
              <w:rPr>
                <w:sz w:val="20"/>
                <w:szCs w:val="20"/>
              </w:rPr>
            </w:pPr>
          </w:p>
        </w:tc>
        <w:tc>
          <w:tcPr>
            <w:tcW w:w="1759" w:type="dxa"/>
            <w:shd w:val="clear" w:color="auto" w:fill="auto"/>
          </w:tcPr>
          <w:p w14:paraId="4BCAB309" w14:textId="77777777" w:rsidR="00E50391" w:rsidRPr="00200FF5" w:rsidRDefault="00E50391" w:rsidP="00AE1834">
            <w:pPr>
              <w:pStyle w:val="TableFigureHeading"/>
            </w:pPr>
            <w:r w:rsidRPr="00200FF5">
              <w:t>Original submission</w:t>
            </w:r>
          </w:p>
        </w:tc>
        <w:tc>
          <w:tcPr>
            <w:tcW w:w="1759" w:type="dxa"/>
            <w:shd w:val="clear" w:color="auto" w:fill="auto"/>
          </w:tcPr>
          <w:p w14:paraId="3A4331B8" w14:textId="77777777" w:rsidR="00E50391" w:rsidRPr="00200FF5" w:rsidRDefault="00E50391" w:rsidP="00AE1834">
            <w:pPr>
              <w:pStyle w:val="TableFigureHeading"/>
            </w:pPr>
            <w:r w:rsidRPr="00200FF5">
              <w:t>Pre-PBAC response</w:t>
            </w:r>
          </w:p>
        </w:tc>
        <w:tc>
          <w:tcPr>
            <w:tcW w:w="1759" w:type="dxa"/>
            <w:shd w:val="clear" w:color="auto" w:fill="auto"/>
          </w:tcPr>
          <w:p w14:paraId="3ED72454" w14:textId="77777777" w:rsidR="00E50391" w:rsidRPr="00200FF5" w:rsidRDefault="00E50391" w:rsidP="00AE1834">
            <w:pPr>
              <w:pStyle w:val="TableFigureHeading"/>
            </w:pPr>
            <w:r w:rsidRPr="00200FF5">
              <w:t>PBAC</w:t>
            </w:r>
          </w:p>
        </w:tc>
        <w:tc>
          <w:tcPr>
            <w:tcW w:w="1760" w:type="dxa"/>
            <w:shd w:val="clear" w:color="auto" w:fill="auto"/>
          </w:tcPr>
          <w:p w14:paraId="5E99851A" w14:textId="77777777" w:rsidR="00E50391" w:rsidRPr="00200FF5" w:rsidRDefault="00E50391" w:rsidP="00AE1834">
            <w:pPr>
              <w:pStyle w:val="TableFigureHeading"/>
            </w:pPr>
            <w:r w:rsidRPr="00200FF5">
              <w:t>Current submission</w:t>
            </w:r>
          </w:p>
        </w:tc>
      </w:tr>
      <w:tr w:rsidR="00E50391" w:rsidRPr="006F5229" w14:paraId="2B7CDF1A" w14:textId="77777777" w:rsidTr="0006533D">
        <w:tc>
          <w:tcPr>
            <w:tcW w:w="1980" w:type="dxa"/>
            <w:shd w:val="clear" w:color="auto" w:fill="auto"/>
          </w:tcPr>
          <w:p w14:paraId="48B9CA3B" w14:textId="77777777" w:rsidR="00E50391" w:rsidRPr="00825310" w:rsidRDefault="00E50391" w:rsidP="007B1103">
            <w:pPr>
              <w:pStyle w:val="TableText0"/>
              <w:keepNext/>
              <w:rPr>
                <w:sz w:val="20"/>
                <w:szCs w:val="20"/>
              </w:rPr>
            </w:pPr>
            <w:r w:rsidRPr="00825310">
              <w:rPr>
                <w:sz w:val="20"/>
                <w:szCs w:val="20"/>
              </w:rPr>
              <w:t>Australian women</w:t>
            </w:r>
          </w:p>
        </w:tc>
        <w:tc>
          <w:tcPr>
            <w:tcW w:w="1759" w:type="dxa"/>
            <w:shd w:val="clear" w:color="auto" w:fill="auto"/>
          </w:tcPr>
          <w:p w14:paraId="1A900B68" w14:textId="77777777" w:rsidR="00E50391" w:rsidRPr="00825310" w:rsidRDefault="00E50391" w:rsidP="007B1103">
            <w:pPr>
              <w:pStyle w:val="TableText0"/>
              <w:keepNext/>
              <w:rPr>
                <w:sz w:val="20"/>
                <w:szCs w:val="20"/>
              </w:rPr>
            </w:pPr>
            <w:r w:rsidRPr="00825310">
              <w:rPr>
                <w:sz w:val="20"/>
                <w:szCs w:val="20"/>
              </w:rPr>
              <w:t>Aged 30-55 years</w:t>
            </w:r>
          </w:p>
        </w:tc>
        <w:tc>
          <w:tcPr>
            <w:tcW w:w="1759" w:type="dxa"/>
            <w:shd w:val="clear" w:color="auto" w:fill="auto"/>
          </w:tcPr>
          <w:p w14:paraId="231263AF" w14:textId="77777777" w:rsidR="00E50391" w:rsidRPr="00825310" w:rsidRDefault="00E50391" w:rsidP="007B1103">
            <w:pPr>
              <w:pStyle w:val="TableText0"/>
              <w:keepNext/>
              <w:rPr>
                <w:sz w:val="20"/>
                <w:szCs w:val="20"/>
              </w:rPr>
            </w:pPr>
            <w:r w:rsidRPr="00825310">
              <w:rPr>
                <w:sz w:val="20"/>
                <w:szCs w:val="20"/>
              </w:rPr>
              <w:t>Aged 18-55 years</w:t>
            </w:r>
          </w:p>
        </w:tc>
        <w:tc>
          <w:tcPr>
            <w:tcW w:w="1759" w:type="dxa"/>
            <w:shd w:val="clear" w:color="auto" w:fill="auto"/>
          </w:tcPr>
          <w:p w14:paraId="1386EE51" w14:textId="77777777" w:rsidR="00E50391" w:rsidRPr="00825310" w:rsidRDefault="00E50391" w:rsidP="007B1103">
            <w:pPr>
              <w:pStyle w:val="TableText0"/>
              <w:keepNext/>
              <w:rPr>
                <w:sz w:val="20"/>
                <w:szCs w:val="20"/>
              </w:rPr>
            </w:pPr>
            <w:r w:rsidRPr="00825310">
              <w:rPr>
                <w:sz w:val="20"/>
                <w:szCs w:val="20"/>
              </w:rPr>
              <w:t>Aged 18-55 years</w:t>
            </w:r>
          </w:p>
        </w:tc>
        <w:tc>
          <w:tcPr>
            <w:tcW w:w="1760" w:type="dxa"/>
            <w:shd w:val="clear" w:color="auto" w:fill="auto"/>
          </w:tcPr>
          <w:p w14:paraId="3A7166AD" w14:textId="77777777" w:rsidR="00E50391" w:rsidRPr="00825310" w:rsidRDefault="00E50391" w:rsidP="007B1103">
            <w:pPr>
              <w:pStyle w:val="TableText0"/>
              <w:keepNext/>
              <w:rPr>
                <w:sz w:val="20"/>
                <w:szCs w:val="20"/>
              </w:rPr>
            </w:pPr>
            <w:r w:rsidRPr="00825310">
              <w:rPr>
                <w:sz w:val="20"/>
                <w:szCs w:val="20"/>
              </w:rPr>
              <w:t>Aged 18-55 years</w:t>
            </w:r>
          </w:p>
        </w:tc>
      </w:tr>
      <w:tr w:rsidR="00E50391" w:rsidRPr="006F5229" w14:paraId="6B8722E6" w14:textId="77777777" w:rsidTr="0006533D">
        <w:tc>
          <w:tcPr>
            <w:tcW w:w="1980" w:type="dxa"/>
            <w:shd w:val="clear" w:color="auto" w:fill="auto"/>
          </w:tcPr>
          <w:p w14:paraId="7087C3A1" w14:textId="77777777" w:rsidR="00E50391" w:rsidRPr="00825310" w:rsidRDefault="00E50391" w:rsidP="007B1103">
            <w:pPr>
              <w:pStyle w:val="TableText0"/>
              <w:keepNext/>
              <w:rPr>
                <w:sz w:val="20"/>
                <w:szCs w:val="20"/>
              </w:rPr>
            </w:pPr>
            <w:r w:rsidRPr="00825310">
              <w:rPr>
                <w:sz w:val="20"/>
                <w:szCs w:val="20"/>
              </w:rPr>
              <w:t>% diagnosed with endometriosis</w:t>
            </w:r>
          </w:p>
        </w:tc>
        <w:tc>
          <w:tcPr>
            <w:tcW w:w="1759" w:type="dxa"/>
            <w:shd w:val="clear" w:color="auto" w:fill="auto"/>
          </w:tcPr>
          <w:p w14:paraId="2368F9DE" w14:textId="77777777" w:rsidR="00E50391" w:rsidRPr="00825310" w:rsidRDefault="00E50391" w:rsidP="007B1103">
            <w:pPr>
              <w:pStyle w:val="TableText0"/>
              <w:keepNext/>
              <w:rPr>
                <w:sz w:val="20"/>
                <w:szCs w:val="20"/>
              </w:rPr>
            </w:pPr>
            <w:r w:rsidRPr="00825310">
              <w:rPr>
                <w:sz w:val="20"/>
                <w:szCs w:val="20"/>
              </w:rPr>
              <w:t>14%</w:t>
            </w:r>
          </w:p>
        </w:tc>
        <w:tc>
          <w:tcPr>
            <w:tcW w:w="1759" w:type="dxa"/>
            <w:shd w:val="clear" w:color="auto" w:fill="auto"/>
          </w:tcPr>
          <w:p w14:paraId="0D466F3A" w14:textId="77777777" w:rsidR="00E50391" w:rsidRPr="00825310" w:rsidRDefault="00E50391" w:rsidP="007B1103">
            <w:pPr>
              <w:pStyle w:val="TableText0"/>
              <w:keepNext/>
              <w:rPr>
                <w:sz w:val="20"/>
                <w:szCs w:val="20"/>
              </w:rPr>
            </w:pPr>
            <w:r w:rsidRPr="00825310">
              <w:rPr>
                <w:sz w:val="20"/>
                <w:szCs w:val="20"/>
              </w:rPr>
              <w:t>14%</w:t>
            </w:r>
          </w:p>
        </w:tc>
        <w:tc>
          <w:tcPr>
            <w:tcW w:w="1759" w:type="dxa"/>
            <w:shd w:val="clear" w:color="auto" w:fill="auto"/>
          </w:tcPr>
          <w:p w14:paraId="6225B2AD" w14:textId="77777777" w:rsidR="00E50391" w:rsidRPr="00825310" w:rsidRDefault="00E50391" w:rsidP="007B1103">
            <w:pPr>
              <w:pStyle w:val="TableText0"/>
              <w:keepNext/>
              <w:rPr>
                <w:sz w:val="20"/>
                <w:szCs w:val="20"/>
              </w:rPr>
            </w:pPr>
            <w:r w:rsidRPr="00825310">
              <w:rPr>
                <w:sz w:val="20"/>
                <w:szCs w:val="20"/>
              </w:rPr>
              <w:t>12%</w:t>
            </w:r>
          </w:p>
        </w:tc>
        <w:tc>
          <w:tcPr>
            <w:tcW w:w="1760" w:type="dxa"/>
            <w:shd w:val="clear" w:color="auto" w:fill="auto"/>
          </w:tcPr>
          <w:p w14:paraId="5B446FF0" w14:textId="77777777" w:rsidR="00E50391" w:rsidRPr="00825310" w:rsidRDefault="00E50391" w:rsidP="007B1103">
            <w:pPr>
              <w:pStyle w:val="TableText0"/>
              <w:keepNext/>
              <w:rPr>
                <w:sz w:val="20"/>
                <w:szCs w:val="20"/>
              </w:rPr>
            </w:pPr>
            <w:r w:rsidRPr="00825310">
              <w:rPr>
                <w:sz w:val="20"/>
                <w:szCs w:val="20"/>
              </w:rPr>
              <w:t>12%</w:t>
            </w:r>
          </w:p>
        </w:tc>
      </w:tr>
      <w:tr w:rsidR="00E50391" w:rsidRPr="006F5229" w14:paraId="1557D1FC" w14:textId="77777777" w:rsidTr="0006533D">
        <w:tc>
          <w:tcPr>
            <w:tcW w:w="1980" w:type="dxa"/>
            <w:shd w:val="clear" w:color="auto" w:fill="auto"/>
          </w:tcPr>
          <w:p w14:paraId="3A52D428" w14:textId="77777777" w:rsidR="00E50391" w:rsidRPr="00825310" w:rsidRDefault="00E50391" w:rsidP="007B1103">
            <w:pPr>
              <w:pStyle w:val="TableText0"/>
              <w:keepNext/>
              <w:rPr>
                <w:sz w:val="20"/>
                <w:szCs w:val="20"/>
              </w:rPr>
            </w:pPr>
            <w:r w:rsidRPr="00825310">
              <w:rPr>
                <w:sz w:val="20"/>
                <w:szCs w:val="20"/>
              </w:rPr>
              <w:t>% with moderate to severe pain</w:t>
            </w:r>
          </w:p>
        </w:tc>
        <w:tc>
          <w:tcPr>
            <w:tcW w:w="1759" w:type="dxa"/>
            <w:shd w:val="clear" w:color="auto" w:fill="auto"/>
          </w:tcPr>
          <w:p w14:paraId="16A1CD16" w14:textId="77777777" w:rsidR="00E50391" w:rsidRPr="00825310" w:rsidRDefault="00E50391" w:rsidP="007B1103">
            <w:pPr>
              <w:pStyle w:val="TableText0"/>
              <w:keepNext/>
              <w:rPr>
                <w:sz w:val="20"/>
                <w:szCs w:val="20"/>
              </w:rPr>
            </w:pPr>
            <w:r w:rsidRPr="00825310">
              <w:rPr>
                <w:sz w:val="20"/>
                <w:szCs w:val="20"/>
              </w:rPr>
              <w:t>30%</w:t>
            </w:r>
          </w:p>
        </w:tc>
        <w:tc>
          <w:tcPr>
            <w:tcW w:w="1759" w:type="dxa"/>
            <w:shd w:val="clear" w:color="auto" w:fill="auto"/>
          </w:tcPr>
          <w:p w14:paraId="58459491" w14:textId="77777777" w:rsidR="00E50391" w:rsidRPr="00825310" w:rsidRDefault="00E50391" w:rsidP="007B1103">
            <w:pPr>
              <w:pStyle w:val="TableText0"/>
              <w:keepNext/>
              <w:rPr>
                <w:sz w:val="20"/>
                <w:szCs w:val="20"/>
              </w:rPr>
            </w:pPr>
            <w:r w:rsidRPr="00825310">
              <w:rPr>
                <w:sz w:val="20"/>
                <w:szCs w:val="20"/>
              </w:rPr>
              <w:t>50%</w:t>
            </w:r>
          </w:p>
        </w:tc>
        <w:tc>
          <w:tcPr>
            <w:tcW w:w="1759" w:type="dxa"/>
            <w:shd w:val="clear" w:color="auto" w:fill="auto"/>
          </w:tcPr>
          <w:p w14:paraId="006154C6" w14:textId="77777777" w:rsidR="00E50391" w:rsidRPr="00825310" w:rsidRDefault="00E50391" w:rsidP="007B1103">
            <w:pPr>
              <w:pStyle w:val="TableText0"/>
              <w:keepNext/>
              <w:rPr>
                <w:sz w:val="20"/>
                <w:szCs w:val="20"/>
              </w:rPr>
            </w:pPr>
            <w:r w:rsidRPr="00825310">
              <w:rPr>
                <w:sz w:val="20"/>
                <w:szCs w:val="20"/>
              </w:rPr>
              <w:t>30%</w:t>
            </w:r>
          </w:p>
        </w:tc>
        <w:tc>
          <w:tcPr>
            <w:tcW w:w="1760" w:type="dxa"/>
            <w:shd w:val="clear" w:color="auto" w:fill="auto"/>
          </w:tcPr>
          <w:p w14:paraId="30FDD818" w14:textId="77777777" w:rsidR="00E50391" w:rsidRPr="00825310" w:rsidRDefault="00E50391" w:rsidP="007B1103">
            <w:pPr>
              <w:pStyle w:val="TableText0"/>
              <w:keepNext/>
              <w:rPr>
                <w:sz w:val="20"/>
                <w:szCs w:val="20"/>
              </w:rPr>
            </w:pPr>
            <w:r w:rsidRPr="00825310">
              <w:rPr>
                <w:sz w:val="20"/>
                <w:szCs w:val="20"/>
              </w:rPr>
              <w:t>57.94%</w:t>
            </w:r>
          </w:p>
        </w:tc>
      </w:tr>
      <w:tr w:rsidR="00E50391" w:rsidRPr="006F5229" w14:paraId="3014D257" w14:textId="77777777" w:rsidTr="0006533D">
        <w:tc>
          <w:tcPr>
            <w:tcW w:w="1980" w:type="dxa"/>
            <w:shd w:val="clear" w:color="auto" w:fill="auto"/>
          </w:tcPr>
          <w:p w14:paraId="651F7A6D" w14:textId="77777777" w:rsidR="00E50391" w:rsidRPr="00825310" w:rsidRDefault="00E50391" w:rsidP="007B1103">
            <w:pPr>
              <w:pStyle w:val="TableText0"/>
              <w:keepNext/>
              <w:rPr>
                <w:sz w:val="20"/>
                <w:szCs w:val="20"/>
              </w:rPr>
            </w:pPr>
            <w:r w:rsidRPr="00825310">
              <w:rPr>
                <w:sz w:val="20"/>
                <w:szCs w:val="20"/>
              </w:rPr>
              <w:t>% failed or for whom first line treated was inadequate</w:t>
            </w:r>
          </w:p>
        </w:tc>
        <w:tc>
          <w:tcPr>
            <w:tcW w:w="1759" w:type="dxa"/>
            <w:shd w:val="clear" w:color="auto" w:fill="auto"/>
          </w:tcPr>
          <w:p w14:paraId="03A88530" w14:textId="77777777" w:rsidR="00E50391" w:rsidRPr="00825310" w:rsidRDefault="00E50391" w:rsidP="007B1103">
            <w:pPr>
              <w:pStyle w:val="TableText0"/>
              <w:keepNext/>
              <w:rPr>
                <w:sz w:val="20"/>
                <w:szCs w:val="20"/>
              </w:rPr>
            </w:pPr>
            <w:r w:rsidRPr="00825310">
              <w:rPr>
                <w:sz w:val="20"/>
                <w:szCs w:val="20"/>
              </w:rPr>
              <w:t>Year 1: 50.00%</w:t>
            </w:r>
          </w:p>
          <w:p w14:paraId="730A30E4" w14:textId="77777777" w:rsidR="00E50391" w:rsidRPr="00825310" w:rsidRDefault="00E50391" w:rsidP="007B1103">
            <w:pPr>
              <w:pStyle w:val="TableText0"/>
              <w:keepNext/>
              <w:rPr>
                <w:sz w:val="20"/>
                <w:szCs w:val="20"/>
              </w:rPr>
            </w:pPr>
            <w:r w:rsidRPr="00825310">
              <w:rPr>
                <w:sz w:val="20"/>
                <w:szCs w:val="20"/>
              </w:rPr>
              <w:t>Year 2: 52.50%</w:t>
            </w:r>
          </w:p>
          <w:p w14:paraId="69028C58" w14:textId="77777777" w:rsidR="00E50391" w:rsidRPr="00825310" w:rsidRDefault="00E50391" w:rsidP="007B1103">
            <w:pPr>
              <w:pStyle w:val="TableText0"/>
              <w:keepNext/>
              <w:rPr>
                <w:sz w:val="20"/>
                <w:szCs w:val="20"/>
              </w:rPr>
            </w:pPr>
            <w:r w:rsidRPr="00825310">
              <w:rPr>
                <w:sz w:val="20"/>
                <w:szCs w:val="20"/>
              </w:rPr>
              <w:t>Year 3: 55.13%</w:t>
            </w:r>
          </w:p>
          <w:p w14:paraId="21CEED01" w14:textId="77777777" w:rsidR="00E50391" w:rsidRPr="00825310" w:rsidRDefault="00E50391" w:rsidP="007B1103">
            <w:pPr>
              <w:pStyle w:val="TableText0"/>
              <w:keepNext/>
              <w:rPr>
                <w:sz w:val="20"/>
                <w:szCs w:val="20"/>
              </w:rPr>
            </w:pPr>
            <w:r w:rsidRPr="00825310">
              <w:rPr>
                <w:sz w:val="20"/>
                <w:szCs w:val="20"/>
              </w:rPr>
              <w:t>Year 4: 57.88%</w:t>
            </w:r>
          </w:p>
          <w:p w14:paraId="1A66FB75" w14:textId="77777777" w:rsidR="00E50391" w:rsidRPr="00825310" w:rsidRDefault="00E50391" w:rsidP="007B1103">
            <w:pPr>
              <w:pStyle w:val="TableText0"/>
              <w:keepNext/>
              <w:rPr>
                <w:sz w:val="20"/>
                <w:szCs w:val="20"/>
              </w:rPr>
            </w:pPr>
            <w:r w:rsidRPr="00825310">
              <w:rPr>
                <w:sz w:val="20"/>
                <w:szCs w:val="20"/>
              </w:rPr>
              <w:t>Year 5: 60.78%</w:t>
            </w:r>
          </w:p>
          <w:p w14:paraId="7BC984E7" w14:textId="77777777" w:rsidR="00E50391" w:rsidRPr="00825310" w:rsidRDefault="00E50391" w:rsidP="007B1103">
            <w:pPr>
              <w:pStyle w:val="TableText0"/>
              <w:keepNext/>
              <w:rPr>
                <w:sz w:val="20"/>
                <w:szCs w:val="20"/>
              </w:rPr>
            </w:pPr>
            <w:r w:rsidRPr="00825310">
              <w:rPr>
                <w:sz w:val="20"/>
                <w:szCs w:val="20"/>
              </w:rPr>
              <w:t>Year 6: 63.80%</w:t>
            </w:r>
          </w:p>
        </w:tc>
        <w:tc>
          <w:tcPr>
            <w:tcW w:w="1759" w:type="dxa"/>
            <w:shd w:val="clear" w:color="auto" w:fill="auto"/>
          </w:tcPr>
          <w:p w14:paraId="7CFC841B" w14:textId="77777777" w:rsidR="00E50391" w:rsidRPr="00825310" w:rsidRDefault="00E50391" w:rsidP="007B1103">
            <w:pPr>
              <w:pStyle w:val="TableText0"/>
              <w:keepNext/>
              <w:rPr>
                <w:sz w:val="20"/>
                <w:szCs w:val="20"/>
              </w:rPr>
            </w:pPr>
            <w:r w:rsidRPr="00825310">
              <w:rPr>
                <w:sz w:val="20"/>
                <w:szCs w:val="20"/>
              </w:rPr>
              <w:t>Year 1: 50.00%</w:t>
            </w:r>
          </w:p>
          <w:p w14:paraId="7E64F91D" w14:textId="77777777" w:rsidR="00E50391" w:rsidRPr="00825310" w:rsidRDefault="00E50391" w:rsidP="007B1103">
            <w:pPr>
              <w:pStyle w:val="TableText0"/>
              <w:keepNext/>
              <w:rPr>
                <w:sz w:val="20"/>
                <w:szCs w:val="20"/>
              </w:rPr>
            </w:pPr>
            <w:r w:rsidRPr="00825310">
              <w:rPr>
                <w:sz w:val="20"/>
                <w:szCs w:val="20"/>
              </w:rPr>
              <w:t>Year 2: 52.50%</w:t>
            </w:r>
          </w:p>
          <w:p w14:paraId="02B5D0BD" w14:textId="77777777" w:rsidR="00E50391" w:rsidRPr="00825310" w:rsidRDefault="00E50391" w:rsidP="007B1103">
            <w:pPr>
              <w:pStyle w:val="TableText0"/>
              <w:keepNext/>
              <w:rPr>
                <w:sz w:val="20"/>
                <w:szCs w:val="20"/>
              </w:rPr>
            </w:pPr>
            <w:r w:rsidRPr="00825310">
              <w:rPr>
                <w:sz w:val="20"/>
                <w:szCs w:val="20"/>
              </w:rPr>
              <w:t>Year 3: 55.13%</w:t>
            </w:r>
          </w:p>
          <w:p w14:paraId="1415983D" w14:textId="77777777" w:rsidR="00E50391" w:rsidRPr="00825310" w:rsidRDefault="00E50391" w:rsidP="007B1103">
            <w:pPr>
              <w:pStyle w:val="TableText0"/>
              <w:keepNext/>
              <w:rPr>
                <w:sz w:val="20"/>
                <w:szCs w:val="20"/>
              </w:rPr>
            </w:pPr>
            <w:r w:rsidRPr="00825310">
              <w:rPr>
                <w:sz w:val="20"/>
                <w:szCs w:val="20"/>
              </w:rPr>
              <w:t>Year 4: 57.88%</w:t>
            </w:r>
          </w:p>
          <w:p w14:paraId="1B7E0AC5" w14:textId="77777777" w:rsidR="00E50391" w:rsidRPr="00825310" w:rsidRDefault="00E50391" w:rsidP="007B1103">
            <w:pPr>
              <w:pStyle w:val="TableText0"/>
              <w:keepNext/>
              <w:rPr>
                <w:sz w:val="20"/>
                <w:szCs w:val="20"/>
              </w:rPr>
            </w:pPr>
            <w:r w:rsidRPr="00825310">
              <w:rPr>
                <w:sz w:val="20"/>
                <w:szCs w:val="20"/>
              </w:rPr>
              <w:t>Year 5: 60.78%</w:t>
            </w:r>
          </w:p>
          <w:p w14:paraId="4D6FF14C" w14:textId="77777777" w:rsidR="00E50391" w:rsidRPr="00825310" w:rsidRDefault="00E50391" w:rsidP="007B1103">
            <w:pPr>
              <w:pStyle w:val="TableText0"/>
              <w:keepNext/>
              <w:rPr>
                <w:sz w:val="20"/>
                <w:szCs w:val="20"/>
              </w:rPr>
            </w:pPr>
            <w:r w:rsidRPr="00825310">
              <w:rPr>
                <w:sz w:val="20"/>
                <w:szCs w:val="20"/>
              </w:rPr>
              <w:t>Year 6: 63.80%</w:t>
            </w:r>
          </w:p>
        </w:tc>
        <w:tc>
          <w:tcPr>
            <w:tcW w:w="1759" w:type="dxa"/>
            <w:shd w:val="clear" w:color="auto" w:fill="auto"/>
          </w:tcPr>
          <w:p w14:paraId="5A88C042" w14:textId="77777777" w:rsidR="00E50391" w:rsidRPr="00825310" w:rsidRDefault="00E50391" w:rsidP="007B1103">
            <w:pPr>
              <w:pStyle w:val="TableText0"/>
              <w:keepNext/>
              <w:rPr>
                <w:sz w:val="20"/>
                <w:szCs w:val="20"/>
              </w:rPr>
            </w:pPr>
            <w:r w:rsidRPr="00825310">
              <w:rPr>
                <w:sz w:val="20"/>
                <w:szCs w:val="20"/>
              </w:rPr>
              <w:t>Year 1: 50.00%</w:t>
            </w:r>
          </w:p>
          <w:p w14:paraId="4B44810A" w14:textId="77777777" w:rsidR="00E50391" w:rsidRPr="00825310" w:rsidRDefault="00E50391" w:rsidP="007B1103">
            <w:pPr>
              <w:pStyle w:val="TableText0"/>
              <w:keepNext/>
              <w:rPr>
                <w:sz w:val="20"/>
                <w:szCs w:val="20"/>
              </w:rPr>
            </w:pPr>
            <w:r w:rsidRPr="00825310">
              <w:rPr>
                <w:sz w:val="20"/>
                <w:szCs w:val="20"/>
              </w:rPr>
              <w:t>Year 2: 52.50%</w:t>
            </w:r>
          </w:p>
          <w:p w14:paraId="1E17270A" w14:textId="77777777" w:rsidR="00E50391" w:rsidRPr="00825310" w:rsidRDefault="00E50391" w:rsidP="007B1103">
            <w:pPr>
              <w:pStyle w:val="TableText0"/>
              <w:keepNext/>
              <w:rPr>
                <w:sz w:val="20"/>
                <w:szCs w:val="20"/>
              </w:rPr>
            </w:pPr>
            <w:r w:rsidRPr="00825310">
              <w:rPr>
                <w:sz w:val="20"/>
                <w:szCs w:val="20"/>
              </w:rPr>
              <w:t>Year 3: 55.13%</w:t>
            </w:r>
          </w:p>
          <w:p w14:paraId="79416C44" w14:textId="77777777" w:rsidR="00E50391" w:rsidRPr="00825310" w:rsidRDefault="00E50391" w:rsidP="007B1103">
            <w:pPr>
              <w:pStyle w:val="TableText0"/>
              <w:keepNext/>
              <w:rPr>
                <w:sz w:val="20"/>
                <w:szCs w:val="20"/>
              </w:rPr>
            </w:pPr>
            <w:r w:rsidRPr="00825310">
              <w:rPr>
                <w:sz w:val="20"/>
                <w:szCs w:val="20"/>
              </w:rPr>
              <w:t>Year 4: 57.88%</w:t>
            </w:r>
          </w:p>
          <w:p w14:paraId="5DE37166" w14:textId="77777777" w:rsidR="00E50391" w:rsidRPr="00825310" w:rsidRDefault="00E50391" w:rsidP="007B1103">
            <w:pPr>
              <w:pStyle w:val="TableText0"/>
              <w:keepNext/>
              <w:rPr>
                <w:sz w:val="20"/>
                <w:szCs w:val="20"/>
              </w:rPr>
            </w:pPr>
            <w:r w:rsidRPr="00825310">
              <w:rPr>
                <w:sz w:val="20"/>
                <w:szCs w:val="20"/>
              </w:rPr>
              <w:t>Year 5: 60.78%</w:t>
            </w:r>
          </w:p>
          <w:p w14:paraId="79824A44" w14:textId="77777777" w:rsidR="00E50391" w:rsidRPr="00825310" w:rsidRDefault="00E50391" w:rsidP="007B1103">
            <w:pPr>
              <w:pStyle w:val="TableText0"/>
              <w:keepNext/>
              <w:rPr>
                <w:sz w:val="20"/>
                <w:szCs w:val="20"/>
              </w:rPr>
            </w:pPr>
            <w:r w:rsidRPr="00825310">
              <w:rPr>
                <w:sz w:val="20"/>
                <w:szCs w:val="20"/>
              </w:rPr>
              <w:t>Year 6: 63.80%</w:t>
            </w:r>
          </w:p>
        </w:tc>
        <w:tc>
          <w:tcPr>
            <w:tcW w:w="1760" w:type="dxa"/>
            <w:shd w:val="clear" w:color="auto" w:fill="auto"/>
          </w:tcPr>
          <w:p w14:paraId="16680858" w14:textId="77777777" w:rsidR="00E50391" w:rsidRPr="00825310" w:rsidRDefault="00E50391" w:rsidP="007B1103">
            <w:pPr>
              <w:pStyle w:val="TableText0"/>
              <w:keepNext/>
              <w:rPr>
                <w:sz w:val="20"/>
                <w:szCs w:val="20"/>
              </w:rPr>
            </w:pPr>
            <w:r w:rsidRPr="00825310">
              <w:rPr>
                <w:sz w:val="20"/>
                <w:szCs w:val="20"/>
              </w:rPr>
              <w:t>39.6%</w:t>
            </w:r>
          </w:p>
        </w:tc>
      </w:tr>
      <w:tr w:rsidR="00090807" w:rsidRPr="00326362" w14:paraId="19E0E661" w14:textId="77777777" w:rsidTr="0006533D">
        <w:tc>
          <w:tcPr>
            <w:tcW w:w="1980" w:type="dxa"/>
            <w:shd w:val="clear" w:color="auto" w:fill="auto"/>
          </w:tcPr>
          <w:p w14:paraId="107C9187" w14:textId="61543722" w:rsidR="00090807" w:rsidRPr="00825310" w:rsidRDefault="00090807" w:rsidP="007B1103">
            <w:pPr>
              <w:pStyle w:val="TableText0"/>
              <w:keepNext/>
              <w:rPr>
                <w:sz w:val="20"/>
                <w:szCs w:val="20"/>
              </w:rPr>
            </w:pPr>
            <w:r w:rsidRPr="00825310">
              <w:rPr>
                <w:sz w:val="20"/>
                <w:szCs w:val="20"/>
              </w:rPr>
              <w:t>Overall eligibility</w:t>
            </w:r>
          </w:p>
        </w:tc>
        <w:tc>
          <w:tcPr>
            <w:tcW w:w="1759" w:type="dxa"/>
            <w:shd w:val="clear" w:color="auto" w:fill="auto"/>
          </w:tcPr>
          <w:p w14:paraId="15E7B0A4" w14:textId="6AB6E6B5" w:rsidR="00090807" w:rsidRPr="00825310" w:rsidRDefault="00700F30" w:rsidP="007B1103">
            <w:pPr>
              <w:pStyle w:val="TableText0"/>
              <w:keepNext/>
              <w:rPr>
                <w:sz w:val="20"/>
                <w:szCs w:val="20"/>
              </w:rPr>
            </w:pPr>
            <w:r w:rsidRPr="00825310">
              <w:rPr>
                <w:sz w:val="20"/>
                <w:szCs w:val="20"/>
              </w:rPr>
              <w:t xml:space="preserve">15% </w:t>
            </w:r>
            <w:r w:rsidR="00AD45F5" w:rsidRPr="00825310">
              <w:rPr>
                <w:sz w:val="20"/>
                <w:szCs w:val="20"/>
              </w:rPr>
              <w:t>to 19.14%</w:t>
            </w:r>
          </w:p>
        </w:tc>
        <w:tc>
          <w:tcPr>
            <w:tcW w:w="1759" w:type="dxa"/>
            <w:shd w:val="clear" w:color="auto" w:fill="auto"/>
          </w:tcPr>
          <w:p w14:paraId="74704E8A" w14:textId="0F66F13C" w:rsidR="00090807" w:rsidRPr="00825310" w:rsidRDefault="00AD45F5" w:rsidP="007B1103">
            <w:pPr>
              <w:pStyle w:val="TableText0"/>
              <w:keepNext/>
              <w:rPr>
                <w:sz w:val="20"/>
                <w:szCs w:val="20"/>
              </w:rPr>
            </w:pPr>
            <w:r w:rsidRPr="00825310">
              <w:rPr>
                <w:sz w:val="20"/>
                <w:szCs w:val="20"/>
              </w:rPr>
              <w:t xml:space="preserve">25% to </w:t>
            </w:r>
            <w:r w:rsidR="00B63796" w:rsidRPr="00825310">
              <w:rPr>
                <w:sz w:val="20"/>
                <w:szCs w:val="20"/>
              </w:rPr>
              <w:t>31.9</w:t>
            </w:r>
            <w:r w:rsidRPr="00825310">
              <w:rPr>
                <w:sz w:val="20"/>
                <w:szCs w:val="20"/>
              </w:rPr>
              <w:t>%</w:t>
            </w:r>
          </w:p>
        </w:tc>
        <w:tc>
          <w:tcPr>
            <w:tcW w:w="1759" w:type="dxa"/>
            <w:shd w:val="clear" w:color="auto" w:fill="auto"/>
          </w:tcPr>
          <w:p w14:paraId="13820D38" w14:textId="7B9FF5C3" w:rsidR="00090807" w:rsidRPr="00825310" w:rsidRDefault="00AD45F5" w:rsidP="007B1103">
            <w:pPr>
              <w:pStyle w:val="TableText0"/>
              <w:keepNext/>
              <w:rPr>
                <w:sz w:val="20"/>
                <w:szCs w:val="20"/>
              </w:rPr>
            </w:pPr>
            <w:r w:rsidRPr="00825310">
              <w:rPr>
                <w:sz w:val="20"/>
                <w:szCs w:val="20"/>
              </w:rPr>
              <w:t>15% to 19.14%</w:t>
            </w:r>
          </w:p>
        </w:tc>
        <w:tc>
          <w:tcPr>
            <w:tcW w:w="1760" w:type="dxa"/>
            <w:shd w:val="clear" w:color="auto" w:fill="auto"/>
          </w:tcPr>
          <w:p w14:paraId="7F41C99F" w14:textId="5C2E6850" w:rsidR="00090807" w:rsidRPr="00825310" w:rsidRDefault="00AD45F5" w:rsidP="007B1103">
            <w:pPr>
              <w:pStyle w:val="TableText0"/>
              <w:keepNext/>
              <w:rPr>
                <w:sz w:val="20"/>
                <w:szCs w:val="20"/>
              </w:rPr>
            </w:pPr>
            <w:r w:rsidRPr="00825310">
              <w:rPr>
                <w:sz w:val="20"/>
                <w:szCs w:val="20"/>
              </w:rPr>
              <w:t>22.94%</w:t>
            </w:r>
          </w:p>
        </w:tc>
      </w:tr>
      <w:tr w:rsidR="00E50391" w:rsidRPr="006F5229" w14:paraId="664D3D73" w14:textId="77777777" w:rsidTr="0006533D">
        <w:tc>
          <w:tcPr>
            <w:tcW w:w="1980" w:type="dxa"/>
            <w:shd w:val="clear" w:color="auto" w:fill="auto"/>
          </w:tcPr>
          <w:p w14:paraId="29D61A31" w14:textId="77777777" w:rsidR="00E50391" w:rsidRPr="00825310" w:rsidRDefault="00E50391" w:rsidP="007B1103">
            <w:pPr>
              <w:pStyle w:val="TableText0"/>
              <w:keepNext/>
              <w:rPr>
                <w:sz w:val="20"/>
                <w:szCs w:val="20"/>
              </w:rPr>
            </w:pPr>
            <w:r w:rsidRPr="00825310">
              <w:rPr>
                <w:sz w:val="20"/>
                <w:szCs w:val="20"/>
              </w:rPr>
              <w:t>Uptake rates</w:t>
            </w:r>
          </w:p>
        </w:tc>
        <w:tc>
          <w:tcPr>
            <w:tcW w:w="1759" w:type="dxa"/>
            <w:shd w:val="clear" w:color="auto" w:fill="auto"/>
          </w:tcPr>
          <w:p w14:paraId="15B78153" w14:textId="0F79994F" w:rsidR="00E50391" w:rsidRPr="00F11750" w:rsidRDefault="00E50391" w:rsidP="007B1103">
            <w:pPr>
              <w:pStyle w:val="TableText0"/>
              <w:keepNext/>
              <w:rPr>
                <w:sz w:val="20"/>
                <w:szCs w:val="20"/>
              </w:rPr>
            </w:pPr>
            <w:r w:rsidRPr="00F11750">
              <w:rPr>
                <w:sz w:val="20"/>
                <w:szCs w:val="20"/>
              </w:rPr>
              <w:t xml:space="preserve">Yr 1: </w:t>
            </w:r>
            <w:r w:rsidR="009B407F" w:rsidRPr="009B407F">
              <w:rPr>
                <w:color w:val="000000"/>
                <w:spacing w:val="49"/>
                <w:sz w:val="20"/>
                <w:szCs w:val="20"/>
                <w:shd w:val="solid" w:color="000000" w:fill="000000"/>
                <w:fitText w:val="320" w:id="-762061567"/>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7"/>
                <w14:textFill>
                  <w14:solidFill>
                    <w14:srgbClr w14:val="000000">
                      <w14:alpha w14:val="100000"/>
                    </w14:srgbClr>
                  </w14:solidFill>
                </w14:textFill>
              </w:rPr>
              <w:t>|</w:t>
            </w:r>
            <w:r w:rsidRPr="00F11750">
              <w:rPr>
                <w:sz w:val="20"/>
                <w:szCs w:val="20"/>
              </w:rPr>
              <w:t>%</w:t>
            </w:r>
          </w:p>
          <w:p w14:paraId="3BE9177B" w14:textId="0A565502" w:rsidR="00E50391" w:rsidRPr="00F11750" w:rsidRDefault="00E50391" w:rsidP="007B1103">
            <w:pPr>
              <w:pStyle w:val="TableText0"/>
              <w:keepNext/>
              <w:rPr>
                <w:sz w:val="20"/>
                <w:szCs w:val="20"/>
              </w:rPr>
            </w:pPr>
            <w:r w:rsidRPr="00F11750">
              <w:rPr>
                <w:sz w:val="20"/>
                <w:szCs w:val="20"/>
              </w:rPr>
              <w:t xml:space="preserve">Yr 2: </w:t>
            </w:r>
            <w:r w:rsidR="009B407F" w:rsidRPr="009B407F">
              <w:rPr>
                <w:color w:val="000000"/>
                <w:spacing w:val="49"/>
                <w:sz w:val="20"/>
                <w:szCs w:val="20"/>
                <w:shd w:val="solid" w:color="000000" w:fill="000000"/>
                <w:fitText w:val="320" w:id="-762061566"/>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6"/>
                <w14:textFill>
                  <w14:solidFill>
                    <w14:srgbClr w14:val="000000">
                      <w14:alpha w14:val="100000"/>
                    </w14:srgbClr>
                  </w14:solidFill>
                </w14:textFill>
              </w:rPr>
              <w:t>|</w:t>
            </w:r>
            <w:r w:rsidRPr="00F11750">
              <w:rPr>
                <w:sz w:val="20"/>
                <w:szCs w:val="20"/>
              </w:rPr>
              <w:t>%</w:t>
            </w:r>
          </w:p>
          <w:p w14:paraId="7836AAB6" w14:textId="3CCAAAEC" w:rsidR="00E50391" w:rsidRPr="00F11750" w:rsidRDefault="00E50391" w:rsidP="007B1103">
            <w:pPr>
              <w:pStyle w:val="TableText0"/>
              <w:keepNext/>
              <w:rPr>
                <w:sz w:val="20"/>
                <w:szCs w:val="20"/>
              </w:rPr>
            </w:pPr>
            <w:r w:rsidRPr="00F11750">
              <w:rPr>
                <w:sz w:val="20"/>
                <w:szCs w:val="20"/>
              </w:rPr>
              <w:t xml:space="preserve">Yr 3: </w:t>
            </w:r>
            <w:r w:rsidR="009B407F" w:rsidRPr="009B407F">
              <w:rPr>
                <w:color w:val="000000"/>
                <w:spacing w:val="49"/>
                <w:sz w:val="20"/>
                <w:szCs w:val="20"/>
                <w:shd w:val="solid" w:color="000000" w:fill="000000"/>
                <w:fitText w:val="320" w:id="-762061565"/>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5"/>
                <w14:textFill>
                  <w14:solidFill>
                    <w14:srgbClr w14:val="000000">
                      <w14:alpha w14:val="100000"/>
                    </w14:srgbClr>
                  </w14:solidFill>
                </w14:textFill>
              </w:rPr>
              <w:t>|</w:t>
            </w:r>
            <w:r w:rsidRPr="00F11750">
              <w:rPr>
                <w:sz w:val="20"/>
                <w:szCs w:val="20"/>
              </w:rPr>
              <w:t>%</w:t>
            </w:r>
          </w:p>
          <w:p w14:paraId="644010EF" w14:textId="02F832D8" w:rsidR="00E50391" w:rsidRPr="00F11750" w:rsidRDefault="00E50391" w:rsidP="007B1103">
            <w:pPr>
              <w:pStyle w:val="TableText0"/>
              <w:keepNext/>
              <w:rPr>
                <w:sz w:val="20"/>
                <w:szCs w:val="20"/>
              </w:rPr>
            </w:pPr>
            <w:r w:rsidRPr="00F11750">
              <w:rPr>
                <w:sz w:val="20"/>
                <w:szCs w:val="20"/>
              </w:rPr>
              <w:t xml:space="preserve">Yr 4: </w:t>
            </w:r>
            <w:r w:rsidR="009B407F" w:rsidRPr="009B407F">
              <w:rPr>
                <w:color w:val="000000"/>
                <w:spacing w:val="49"/>
                <w:sz w:val="20"/>
                <w:szCs w:val="20"/>
                <w:shd w:val="solid" w:color="000000" w:fill="000000"/>
                <w:fitText w:val="320" w:id="-762061564"/>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4"/>
                <w14:textFill>
                  <w14:solidFill>
                    <w14:srgbClr w14:val="000000">
                      <w14:alpha w14:val="100000"/>
                    </w14:srgbClr>
                  </w14:solidFill>
                </w14:textFill>
              </w:rPr>
              <w:t>|</w:t>
            </w:r>
            <w:r w:rsidRPr="00F11750">
              <w:rPr>
                <w:sz w:val="20"/>
                <w:szCs w:val="20"/>
              </w:rPr>
              <w:t>%</w:t>
            </w:r>
          </w:p>
          <w:p w14:paraId="08D694BE" w14:textId="06D4FB85" w:rsidR="00E50391" w:rsidRPr="00F11750" w:rsidRDefault="00E50391" w:rsidP="007B1103">
            <w:pPr>
              <w:pStyle w:val="TableText0"/>
              <w:keepNext/>
              <w:rPr>
                <w:sz w:val="20"/>
                <w:szCs w:val="20"/>
              </w:rPr>
            </w:pPr>
            <w:r w:rsidRPr="00F11750">
              <w:rPr>
                <w:sz w:val="20"/>
                <w:szCs w:val="20"/>
              </w:rPr>
              <w:t xml:space="preserve">Yr 5: </w:t>
            </w:r>
            <w:r w:rsidR="009B407F" w:rsidRPr="009B407F">
              <w:rPr>
                <w:color w:val="000000"/>
                <w:spacing w:val="49"/>
                <w:sz w:val="20"/>
                <w:szCs w:val="20"/>
                <w:shd w:val="solid" w:color="000000" w:fill="000000"/>
                <w:fitText w:val="320" w:id="-762061563"/>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3"/>
                <w14:textFill>
                  <w14:solidFill>
                    <w14:srgbClr w14:val="000000">
                      <w14:alpha w14:val="100000"/>
                    </w14:srgbClr>
                  </w14:solidFill>
                </w14:textFill>
              </w:rPr>
              <w:t>|</w:t>
            </w:r>
            <w:r w:rsidRPr="00F11750">
              <w:rPr>
                <w:sz w:val="20"/>
                <w:szCs w:val="20"/>
              </w:rPr>
              <w:t>%</w:t>
            </w:r>
          </w:p>
          <w:p w14:paraId="2B14F06D" w14:textId="23A1BD6A" w:rsidR="00E50391" w:rsidRPr="00F11750" w:rsidRDefault="00E50391" w:rsidP="007B1103">
            <w:pPr>
              <w:pStyle w:val="TableText0"/>
              <w:keepNext/>
              <w:rPr>
                <w:sz w:val="20"/>
                <w:szCs w:val="20"/>
              </w:rPr>
            </w:pPr>
            <w:r w:rsidRPr="00F11750">
              <w:rPr>
                <w:sz w:val="20"/>
                <w:szCs w:val="20"/>
              </w:rPr>
              <w:t xml:space="preserve">Yr 6: </w:t>
            </w:r>
            <w:r w:rsidR="009B407F" w:rsidRPr="009B407F">
              <w:rPr>
                <w:color w:val="000000"/>
                <w:spacing w:val="49"/>
                <w:sz w:val="20"/>
                <w:szCs w:val="20"/>
                <w:shd w:val="solid" w:color="000000" w:fill="000000"/>
                <w:fitText w:val="320" w:id="-762061562"/>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2"/>
                <w14:textFill>
                  <w14:solidFill>
                    <w14:srgbClr w14:val="000000">
                      <w14:alpha w14:val="100000"/>
                    </w14:srgbClr>
                  </w14:solidFill>
                </w14:textFill>
              </w:rPr>
              <w:t>|</w:t>
            </w:r>
            <w:r w:rsidRPr="00F11750">
              <w:rPr>
                <w:sz w:val="20"/>
                <w:szCs w:val="20"/>
              </w:rPr>
              <w:t>%</w:t>
            </w:r>
          </w:p>
        </w:tc>
        <w:tc>
          <w:tcPr>
            <w:tcW w:w="1759" w:type="dxa"/>
            <w:shd w:val="clear" w:color="auto" w:fill="auto"/>
          </w:tcPr>
          <w:p w14:paraId="5D58504D" w14:textId="4580650F" w:rsidR="00E50391" w:rsidRPr="00F11750" w:rsidRDefault="00E50391" w:rsidP="007B1103">
            <w:pPr>
              <w:pStyle w:val="TableText0"/>
              <w:keepNext/>
              <w:rPr>
                <w:sz w:val="20"/>
                <w:szCs w:val="20"/>
              </w:rPr>
            </w:pPr>
            <w:r w:rsidRPr="00F11750">
              <w:rPr>
                <w:sz w:val="20"/>
                <w:szCs w:val="20"/>
              </w:rPr>
              <w:t xml:space="preserve">Yr 1: </w:t>
            </w:r>
            <w:r w:rsidR="009B407F" w:rsidRPr="009B407F">
              <w:rPr>
                <w:color w:val="000000"/>
                <w:spacing w:val="49"/>
                <w:sz w:val="20"/>
                <w:szCs w:val="20"/>
                <w:shd w:val="solid" w:color="000000" w:fill="000000"/>
                <w:fitText w:val="320" w:id="-762061561"/>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1"/>
                <w14:textFill>
                  <w14:solidFill>
                    <w14:srgbClr w14:val="000000">
                      <w14:alpha w14:val="100000"/>
                    </w14:srgbClr>
                  </w14:solidFill>
                </w14:textFill>
              </w:rPr>
              <w:t>|</w:t>
            </w:r>
            <w:r w:rsidRPr="00F11750">
              <w:rPr>
                <w:sz w:val="20"/>
                <w:szCs w:val="20"/>
              </w:rPr>
              <w:t>%</w:t>
            </w:r>
          </w:p>
          <w:p w14:paraId="200D777C" w14:textId="79861FB8" w:rsidR="00E50391" w:rsidRPr="00F11750" w:rsidRDefault="00E50391" w:rsidP="007B1103">
            <w:pPr>
              <w:pStyle w:val="TableText0"/>
              <w:keepNext/>
              <w:rPr>
                <w:sz w:val="20"/>
                <w:szCs w:val="20"/>
              </w:rPr>
            </w:pPr>
            <w:r w:rsidRPr="00F11750">
              <w:rPr>
                <w:sz w:val="20"/>
                <w:szCs w:val="20"/>
              </w:rPr>
              <w:t xml:space="preserve">Yr 2: </w:t>
            </w:r>
            <w:r w:rsidR="009B407F" w:rsidRPr="009B407F">
              <w:rPr>
                <w:color w:val="000000"/>
                <w:spacing w:val="49"/>
                <w:sz w:val="20"/>
                <w:szCs w:val="20"/>
                <w:shd w:val="solid" w:color="000000" w:fill="000000"/>
                <w:fitText w:val="320" w:id="-762061560"/>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0"/>
                <w14:textFill>
                  <w14:solidFill>
                    <w14:srgbClr w14:val="000000">
                      <w14:alpha w14:val="100000"/>
                    </w14:srgbClr>
                  </w14:solidFill>
                </w14:textFill>
              </w:rPr>
              <w:t>|</w:t>
            </w:r>
            <w:r w:rsidRPr="00F11750">
              <w:rPr>
                <w:sz w:val="20"/>
                <w:szCs w:val="20"/>
              </w:rPr>
              <w:t>%</w:t>
            </w:r>
          </w:p>
          <w:p w14:paraId="3FAD9DE6" w14:textId="2AAE28E3" w:rsidR="00E50391" w:rsidRPr="00F11750" w:rsidRDefault="00E50391" w:rsidP="007B1103">
            <w:pPr>
              <w:pStyle w:val="TableText0"/>
              <w:keepNext/>
              <w:rPr>
                <w:sz w:val="20"/>
                <w:szCs w:val="20"/>
              </w:rPr>
            </w:pPr>
            <w:r w:rsidRPr="00F11750">
              <w:rPr>
                <w:sz w:val="20"/>
                <w:szCs w:val="20"/>
              </w:rPr>
              <w:t xml:space="preserve">Yr 3: </w:t>
            </w:r>
            <w:r w:rsidR="009B407F" w:rsidRPr="009B407F">
              <w:rPr>
                <w:color w:val="000000"/>
                <w:spacing w:val="49"/>
                <w:sz w:val="20"/>
                <w:szCs w:val="20"/>
                <w:shd w:val="solid" w:color="000000" w:fill="000000"/>
                <w:fitText w:val="320" w:id="-762061559"/>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59"/>
                <w14:textFill>
                  <w14:solidFill>
                    <w14:srgbClr w14:val="000000">
                      <w14:alpha w14:val="100000"/>
                    </w14:srgbClr>
                  </w14:solidFill>
                </w14:textFill>
              </w:rPr>
              <w:t>|</w:t>
            </w:r>
            <w:r w:rsidRPr="00F11750">
              <w:rPr>
                <w:sz w:val="20"/>
                <w:szCs w:val="20"/>
              </w:rPr>
              <w:t>%</w:t>
            </w:r>
          </w:p>
          <w:p w14:paraId="028F4FD5" w14:textId="04D8EE11" w:rsidR="00E50391" w:rsidRPr="00F11750" w:rsidRDefault="00E50391" w:rsidP="007B1103">
            <w:pPr>
              <w:pStyle w:val="TableText0"/>
              <w:keepNext/>
              <w:rPr>
                <w:sz w:val="20"/>
                <w:szCs w:val="20"/>
              </w:rPr>
            </w:pPr>
            <w:r w:rsidRPr="00F11750">
              <w:rPr>
                <w:sz w:val="20"/>
                <w:szCs w:val="20"/>
              </w:rPr>
              <w:t xml:space="preserve">Yr 4: </w:t>
            </w:r>
            <w:r w:rsidR="009B407F" w:rsidRPr="009B407F">
              <w:rPr>
                <w:color w:val="000000"/>
                <w:spacing w:val="49"/>
                <w:sz w:val="20"/>
                <w:szCs w:val="20"/>
                <w:shd w:val="solid" w:color="000000" w:fill="000000"/>
                <w:fitText w:val="320" w:id="-762061558"/>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58"/>
                <w14:textFill>
                  <w14:solidFill>
                    <w14:srgbClr w14:val="000000">
                      <w14:alpha w14:val="100000"/>
                    </w14:srgbClr>
                  </w14:solidFill>
                </w14:textFill>
              </w:rPr>
              <w:t>|</w:t>
            </w:r>
            <w:r w:rsidRPr="00F11750">
              <w:rPr>
                <w:sz w:val="20"/>
                <w:szCs w:val="20"/>
              </w:rPr>
              <w:t>%</w:t>
            </w:r>
          </w:p>
          <w:p w14:paraId="4EF65899" w14:textId="6F384258" w:rsidR="00E50391" w:rsidRPr="00F11750" w:rsidRDefault="00E50391" w:rsidP="007B1103">
            <w:pPr>
              <w:pStyle w:val="TableText0"/>
              <w:keepNext/>
              <w:rPr>
                <w:sz w:val="20"/>
                <w:szCs w:val="20"/>
              </w:rPr>
            </w:pPr>
            <w:r w:rsidRPr="00F11750">
              <w:rPr>
                <w:sz w:val="20"/>
                <w:szCs w:val="20"/>
              </w:rPr>
              <w:t xml:space="preserve">Yr 5: </w:t>
            </w:r>
            <w:r w:rsidR="009B407F" w:rsidRPr="009B407F">
              <w:rPr>
                <w:color w:val="000000"/>
                <w:spacing w:val="49"/>
                <w:sz w:val="20"/>
                <w:szCs w:val="20"/>
                <w:shd w:val="solid" w:color="000000" w:fill="000000"/>
                <w:fitText w:val="320" w:id="-762061557"/>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57"/>
                <w14:textFill>
                  <w14:solidFill>
                    <w14:srgbClr w14:val="000000">
                      <w14:alpha w14:val="100000"/>
                    </w14:srgbClr>
                  </w14:solidFill>
                </w14:textFill>
              </w:rPr>
              <w:t>|</w:t>
            </w:r>
            <w:r w:rsidRPr="00F11750">
              <w:rPr>
                <w:sz w:val="20"/>
                <w:szCs w:val="20"/>
              </w:rPr>
              <w:t>%</w:t>
            </w:r>
          </w:p>
          <w:p w14:paraId="5BB1C498" w14:textId="2C697BC8" w:rsidR="00E50391" w:rsidRPr="00F11750" w:rsidRDefault="00E50391" w:rsidP="007B1103">
            <w:pPr>
              <w:pStyle w:val="TableText0"/>
              <w:keepNext/>
              <w:rPr>
                <w:sz w:val="20"/>
                <w:szCs w:val="20"/>
              </w:rPr>
            </w:pPr>
            <w:r w:rsidRPr="00F11750">
              <w:rPr>
                <w:sz w:val="20"/>
                <w:szCs w:val="20"/>
              </w:rPr>
              <w:t xml:space="preserve">Yr 6: </w:t>
            </w:r>
            <w:r w:rsidR="009B407F" w:rsidRPr="009B407F">
              <w:rPr>
                <w:color w:val="000000"/>
                <w:spacing w:val="49"/>
                <w:sz w:val="20"/>
                <w:szCs w:val="20"/>
                <w:shd w:val="solid" w:color="000000" w:fill="000000"/>
                <w:fitText w:val="320" w:id="-762061556"/>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56"/>
                <w14:textFill>
                  <w14:solidFill>
                    <w14:srgbClr w14:val="000000">
                      <w14:alpha w14:val="100000"/>
                    </w14:srgbClr>
                  </w14:solidFill>
                </w14:textFill>
              </w:rPr>
              <w:t>|</w:t>
            </w:r>
            <w:r w:rsidRPr="00F11750">
              <w:rPr>
                <w:sz w:val="20"/>
                <w:szCs w:val="20"/>
              </w:rPr>
              <w:t>%</w:t>
            </w:r>
          </w:p>
        </w:tc>
        <w:tc>
          <w:tcPr>
            <w:tcW w:w="1759" w:type="dxa"/>
            <w:shd w:val="clear" w:color="auto" w:fill="auto"/>
          </w:tcPr>
          <w:p w14:paraId="4DCFD1FC" w14:textId="77777777" w:rsidR="00E50391" w:rsidRPr="00F11750" w:rsidRDefault="00E50391" w:rsidP="007B1103">
            <w:pPr>
              <w:pStyle w:val="TableText0"/>
              <w:keepNext/>
              <w:rPr>
                <w:sz w:val="20"/>
                <w:szCs w:val="20"/>
              </w:rPr>
            </w:pPr>
            <w:r w:rsidRPr="00F11750">
              <w:rPr>
                <w:sz w:val="20"/>
                <w:szCs w:val="20"/>
              </w:rPr>
              <w:t>PBAC revised:</w:t>
            </w:r>
          </w:p>
          <w:p w14:paraId="38B7976D" w14:textId="65267E83" w:rsidR="00E50391" w:rsidRPr="00F11750" w:rsidRDefault="00E50391" w:rsidP="007B1103">
            <w:pPr>
              <w:pStyle w:val="TableText0"/>
              <w:keepNext/>
              <w:rPr>
                <w:sz w:val="20"/>
                <w:szCs w:val="20"/>
              </w:rPr>
            </w:pPr>
            <w:r w:rsidRPr="00F11750">
              <w:rPr>
                <w:sz w:val="20"/>
                <w:szCs w:val="20"/>
              </w:rPr>
              <w:t>Yr 1</w:t>
            </w:r>
            <w:r w:rsidR="009B407F" w:rsidRPr="009B407F">
              <w:rPr>
                <w:color w:val="000000"/>
                <w:spacing w:val="49"/>
                <w:sz w:val="20"/>
                <w:szCs w:val="20"/>
                <w:shd w:val="solid" w:color="000000" w:fill="000000"/>
                <w:fitText w:val="320" w:id="-762061555"/>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55"/>
                <w14:textFill>
                  <w14:solidFill>
                    <w14:srgbClr w14:val="000000">
                      <w14:alpha w14:val="100000"/>
                    </w14:srgbClr>
                  </w14:solidFill>
                </w14:textFill>
              </w:rPr>
              <w:t>|</w:t>
            </w:r>
            <w:r w:rsidRPr="00F11750">
              <w:rPr>
                <w:sz w:val="20"/>
                <w:szCs w:val="20"/>
              </w:rPr>
              <w:t>%</w:t>
            </w:r>
          </w:p>
          <w:p w14:paraId="7638F322" w14:textId="732E5A88" w:rsidR="00E50391" w:rsidRPr="00F11750" w:rsidRDefault="00E50391" w:rsidP="007B1103">
            <w:pPr>
              <w:pStyle w:val="TableText0"/>
              <w:keepNext/>
              <w:rPr>
                <w:sz w:val="20"/>
                <w:szCs w:val="20"/>
              </w:rPr>
            </w:pPr>
            <w:r w:rsidRPr="00F11750">
              <w:rPr>
                <w:sz w:val="20"/>
                <w:szCs w:val="20"/>
              </w:rPr>
              <w:t xml:space="preserve">Yr 2: </w:t>
            </w:r>
            <w:r w:rsidR="009B407F" w:rsidRPr="009B407F">
              <w:rPr>
                <w:color w:val="000000"/>
                <w:spacing w:val="49"/>
                <w:sz w:val="20"/>
                <w:szCs w:val="20"/>
                <w:shd w:val="solid" w:color="000000" w:fill="000000"/>
                <w:fitText w:val="320" w:id="-762061554"/>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54"/>
                <w14:textFill>
                  <w14:solidFill>
                    <w14:srgbClr w14:val="000000">
                      <w14:alpha w14:val="100000"/>
                    </w14:srgbClr>
                  </w14:solidFill>
                </w14:textFill>
              </w:rPr>
              <w:t>|</w:t>
            </w:r>
            <w:r w:rsidRPr="00F11750">
              <w:rPr>
                <w:sz w:val="20"/>
                <w:szCs w:val="20"/>
              </w:rPr>
              <w:t>%</w:t>
            </w:r>
          </w:p>
          <w:p w14:paraId="01D44495" w14:textId="5B937E90" w:rsidR="00E50391" w:rsidRPr="00F11750" w:rsidRDefault="00E50391" w:rsidP="007B1103">
            <w:pPr>
              <w:pStyle w:val="TableText0"/>
              <w:keepNext/>
              <w:rPr>
                <w:sz w:val="20"/>
                <w:szCs w:val="20"/>
              </w:rPr>
            </w:pPr>
            <w:r w:rsidRPr="00F11750">
              <w:rPr>
                <w:sz w:val="20"/>
                <w:szCs w:val="20"/>
              </w:rPr>
              <w:t xml:space="preserve">Yr 3: </w:t>
            </w:r>
            <w:r w:rsidR="009B407F" w:rsidRPr="009B407F">
              <w:rPr>
                <w:color w:val="000000"/>
                <w:spacing w:val="49"/>
                <w:sz w:val="20"/>
                <w:szCs w:val="20"/>
                <w:shd w:val="solid" w:color="000000" w:fill="000000"/>
                <w:fitText w:val="320" w:id="-762061553"/>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53"/>
                <w14:textFill>
                  <w14:solidFill>
                    <w14:srgbClr w14:val="000000">
                      <w14:alpha w14:val="100000"/>
                    </w14:srgbClr>
                  </w14:solidFill>
                </w14:textFill>
              </w:rPr>
              <w:t>|</w:t>
            </w:r>
            <w:r w:rsidRPr="00F11750">
              <w:rPr>
                <w:sz w:val="20"/>
                <w:szCs w:val="20"/>
              </w:rPr>
              <w:t>%</w:t>
            </w:r>
          </w:p>
          <w:p w14:paraId="4757CAE4" w14:textId="5DCA1460" w:rsidR="00E50391" w:rsidRPr="00F11750" w:rsidRDefault="00E50391" w:rsidP="007B1103">
            <w:pPr>
              <w:pStyle w:val="TableText0"/>
              <w:keepNext/>
              <w:rPr>
                <w:sz w:val="20"/>
                <w:szCs w:val="20"/>
              </w:rPr>
            </w:pPr>
            <w:r w:rsidRPr="00F11750">
              <w:rPr>
                <w:sz w:val="20"/>
                <w:szCs w:val="20"/>
              </w:rPr>
              <w:t xml:space="preserve">Yr 4: </w:t>
            </w:r>
            <w:r w:rsidR="009B407F" w:rsidRPr="009B407F">
              <w:rPr>
                <w:color w:val="000000"/>
                <w:spacing w:val="49"/>
                <w:sz w:val="20"/>
                <w:szCs w:val="20"/>
                <w:shd w:val="solid" w:color="000000" w:fill="000000"/>
                <w:fitText w:val="320" w:id="-762061552"/>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52"/>
                <w14:textFill>
                  <w14:solidFill>
                    <w14:srgbClr w14:val="000000">
                      <w14:alpha w14:val="100000"/>
                    </w14:srgbClr>
                  </w14:solidFill>
                </w14:textFill>
              </w:rPr>
              <w:t>|</w:t>
            </w:r>
            <w:r w:rsidRPr="00F11750">
              <w:rPr>
                <w:sz w:val="20"/>
                <w:szCs w:val="20"/>
              </w:rPr>
              <w:t>%</w:t>
            </w:r>
          </w:p>
          <w:p w14:paraId="0E0F609B" w14:textId="2004D357" w:rsidR="00E50391" w:rsidRPr="00F11750" w:rsidRDefault="00E50391" w:rsidP="007B1103">
            <w:pPr>
              <w:pStyle w:val="TableText0"/>
              <w:keepNext/>
              <w:rPr>
                <w:sz w:val="20"/>
                <w:szCs w:val="20"/>
              </w:rPr>
            </w:pPr>
            <w:r w:rsidRPr="00F11750">
              <w:rPr>
                <w:sz w:val="20"/>
                <w:szCs w:val="20"/>
              </w:rPr>
              <w:t xml:space="preserve">Yr 5: </w:t>
            </w:r>
            <w:r w:rsidR="009B407F" w:rsidRPr="009B407F">
              <w:rPr>
                <w:color w:val="000000"/>
                <w:spacing w:val="49"/>
                <w:sz w:val="20"/>
                <w:szCs w:val="20"/>
                <w:shd w:val="solid" w:color="000000" w:fill="000000"/>
                <w:fitText w:val="320" w:id="-762061568"/>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8"/>
                <w14:textFill>
                  <w14:solidFill>
                    <w14:srgbClr w14:val="000000">
                      <w14:alpha w14:val="100000"/>
                    </w14:srgbClr>
                  </w14:solidFill>
                </w14:textFill>
              </w:rPr>
              <w:t>|</w:t>
            </w:r>
            <w:r w:rsidRPr="00F11750">
              <w:rPr>
                <w:sz w:val="20"/>
                <w:szCs w:val="20"/>
              </w:rPr>
              <w:t>%</w:t>
            </w:r>
          </w:p>
          <w:p w14:paraId="7EF9C145" w14:textId="642E85BD" w:rsidR="00E50391" w:rsidRPr="00F11750" w:rsidRDefault="00E50391" w:rsidP="007B1103">
            <w:pPr>
              <w:pStyle w:val="TableText0"/>
              <w:keepNext/>
              <w:rPr>
                <w:sz w:val="20"/>
                <w:szCs w:val="20"/>
              </w:rPr>
            </w:pPr>
            <w:r w:rsidRPr="00F11750">
              <w:rPr>
                <w:sz w:val="20"/>
                <w:szCs w:val="20"/>
              </w:rPr>
              <w:t xml:space="preserve">Yr 6: </w:t>
            </w:r>
            <w:r w:rsidR="009B407F" w:rsidRPr="009B407F">
              <w:rPr>
                <w:color w:val="000000"/>
                <w:spacing w:val="49"/>
                <w:sz w:val="20"/>
                <w:szCs w:val="20"/>
                <w:shd w:val="solid" w:color="000000" w:fill="000000"/>
                <w:fitText w:val="320" w:id="-762061567"/>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7"/>
                <w14:textFill>
                  <w14:solidFill>
                    <w14:srgbClr w14:val="000000">
                      <w14:alpha w14:val="100000"/>
                    </w14:srgbClr>
                  </w14:solidFill>
                </w14:textFill>
              </w:rPr>
              <w:t>|</w:t>
            </w:r>
            <w:r w:rsidRPr="00F11750">
              <w:rPr>
                <w:sz w:val="20"/>
                <w:szCs w:val="20"/>
              </w:rPr>
              <w:t>%</w:t>
            </w:r>
          </w:p>
          <w:p w14:paraId="4E785F4A" w14:textId="77777777" w:rsidR="00E50391" w:rsidRPr="00F11750" w:rsidRDefault="00E50391" w:rsidP="007B1103">
            <w:pPr>
              <w:pStyle w:val="TableText0"/>
              <w:keepNext/>
              <w:rPr>
                <w:sz w:val="20"/>
                <w:szCs w:val="20"/>
              </w:rPr>
            </w:pPr>
          </w:p>
          <w:p w14:paraId="7AEC7105" w14:textId="77777777" w:rsidR="00E50391" w:rsidRPr="00F11750" w:rsidRDefault="00E50391" w:rsidP="007B1103">
            <w:pPr>
              <w:pStyle w:val="TableText0"/>
              <w:keepNext/>
              <w:rPr>
                <w:sz w:val="20"/>
                <w:szCs w:val="20"/>
              </w:rPr>
            </w:pPr>
            <w:r w:rsidRPr="00F11750">
              <w:rPr>
                <w:sz w:val="20"/>
                <w:szCs w:val="20"/>
              </w:rPr>
              <w:t>PBAC cumulative uptake:</w:t>
            </w:r>
          </w:p>
          <w:p w14:paraId="5BB8D689" w14:textId="1D2A4674" w:rsidR="00E50391" w:rsidRPr="00F11750" w:rsidRDefault="00E50391" w:rsidP="007B1103">
            <w:pPr>
              <w:pStyle w:val="TableText0"/>
              <w:keepNext/>
              <w:rPr>
                <w:sz w:val="20"/>
                <w:szCs w:val="20"/>
              </w:rPr>
            </w:pPr>
            <w:r w:rsidRPr="00F11750">
              <w:rPr>
                <w:sz w:val="20"/>
                <w:szCs w:val="20"/>
              </w:rPr>
              <w:t xml:space="preserve">Yr 1: </w:t>
            </w:r>
            <w:r w:rsidR="009B407F" w:rsidRPr="009B407F">
              <w:rPr>
                <w:color w:val="000000"/>
                <w:spacing w:val="49"/>
                <w:sz w:val="20"/>
                <w:szCs w:val="20"/>
                <w:shd w:val="solid" w:color="000000" w:fill="000000"/>
                <w:fitText w:val="320" w:id="-762061566"/>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6"/>
                <w14:textFill>
                  <w14:solidFill>
                    <w14:srgbClr w14:val="000000">
                      <w14:alpha w14:val="100000"/>
                    </w14:srgbClr>
                  </w14:solidFill>
                </w14:textFill>
              </w:rPr>
              <w:t>|</w:t>
            </w:r>
            <w:r w:rsidRPr="00F11750">
              <w:rPr>
                <w:sz w:val="20"/>
                <w:szCs w:val="20"/>
              </w:rPr>
              <w:t>%</w:t>
            </w:r>
          </w:p>
          <w:p w14:paraId="5D0B1A36" w14:textId="36B11656" w:rsidR="00E50391" w:rsidRPr="00F11750" w:rsidRDefault="00E50391" w:rsidP="007B1103">
            <w:pPr>
              <w:pStyle w:val="TableText0"/>
              <w:keepNext/>
              <w:rPr>
                <w:sz w:val="20"/>
                <w:szCs w:val="20"/>
              </w:rPr>
            </w:pPr>
            <w:r w:rsidRPr="00F11750">
              <w:rPr>
                <w:sz w:val="20"/>
                <w:szCs w:val="20"/>
              </w:rPr>
              <w:t xml:space="preserve">Yr 2: </w:t>
            </w:r>
            <w:r w:rsidR="009B407F" w:rsidRPr="009B407F">
              <w:rPr>
                <w:color w:val="000000"/>
                <w:spacing w:val="49"/>
                <w:sz w:val="20"/>
                <w:szCs w:val="20"/>
                <w:shd w:val="solid" w:color="000000" w:fill="000000"/>
                <w:fitText w:val="320" w:id="-762061565"/>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5"/>
                <w14:textFill>
                  <w14:solidFill>
                    <w14:srgbClr w14:val="000000">
                      <w14:alpha w14:val="100000"/>
                    </w14:srgbClr>
                  </w14:solidFill>
                </w14:textFill>
              </w:rPr>
              <w:t>|</w:t>
            </w:r>
            <w:r w:rsidRPr="00F11750">
              <w:rPr>
                <w:sz w:val="20"/>
                <w:szCs w:val="20"/>
              </w:rPr>
              <w:t>%</w:t>
            </w:r>
          </w:p>
          <w:p w14:paraId="0DF97EA9" w14:textId="31DB3635" w:rsidR="00E50391" w:rsidRPr="00F11750" w:rsidRDefault="00E50391" w:rsidP="007B1103">
            <w:pPr>
              <w:pStyle w:val="TableText0"/>
              <w:keepNext/>
              <w:rPr>
                <w:sz w:val="20"/>
                <w:szCs w:val="20"/>
              </w:rPr>
            </w:pPr>
            <w:r w:rsidRPr="00F11750">
              <w:rPr>
                <w:sz w:val="20"/>
                <w:szCs w:val="20"/>
              </w:rPr>
              <w:t xml:space="preserve">Yr 3: </w:t>
            </w:r>
            <w:r w:rsidR="009B407F" w:rsidRPr="009B407F">
              <w:rPr>
                <w:color w:val="000000"/>
                <w:spacing w:val="49"/>
                <w:sz w:val="20"/>
                <w:szCs w:val="20"/>
                <w:shd w:val="solid" w:color="000000" w:fill="000000"/>
                <w:fitText w:val="320" w:id="-762061564"/>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4"/>
                <w14:textFill>
                  <w14:solidFill>
                    <w14:srgbClr w14:val="000000">
                      <w14:alpha w14:val="100000"/>
                    </w14:srgbClr>
                  </w14:solidFill>
                </w14:textFill>
              </w:rPr>
              <w:t>|</w:t>
            </w:r>
            <w:r w:rsidRPr="00F11750">
              <w:rPr>
                <w:sz w:val="20"/>
                <w:szCs w:val="20"/>
              </w:rPr>
              <w:t>%</w:t>
            </w:r>
          </w:p>
          <w:p w14:paraId="377CC23B" w14:textId="7E92E626" w:rsidR="00E50391" w:rsidRPr="00F11750" w:rsidRDefault="00E50391" w:rsidP="007B1103">
            <w:pPr>
              <w:pStyle w:val="TableText0"/>
              <w:keepNext/>
              <w:rPr>
                <w:sz w:val="20"/>
                <w:szCs w:val="20"/>
              </w:rPr>
            </w:pPr>
            <w:r w:rsidRPr="00F11750">
              <w:rPr>
                <w:sz w:val="20"/>
                <w:szCs w:val="20"/>
              </w:rPr>
              <w:t xml:space="preserve">Yr 4: </w:t>
            </w:r>
            <w:r w:rsidR="009B407F" w:rsidRPr="009B407F">
              <w:rPr>
                <w:color w:val="000000"/>
                <w:spacing w:val="49"/>
                <w:sz w:val="20"/>
                <w:szCs w:val="20"/>
                <w:shd w:val="solid" w:color="000000" w:fill="000000"/>
                <w:fitText w:val="320" w:id="-762061563"/>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3"/>
                <w14:textFill>
                  <w14:solidFill>
                    <w14:srgbClr w14:val="000000">
                      <w14:alpha w14:val="100000"/>
                    </w14:srgbClr>
                  </w14:solidFill>
                </w14:textFill>
              </w:rPr>
              <w:t>|</w:t>
            </w:r>
            <w:r w:rsidRPr="00F11750">
              <w:rPr>
                <w:sz w:val="20"/>
                <w:szCs w:val="20"/>
              </w:rPr>
              <w:t>%</w:t>
            </w:r>
          </w:p>
          <w:p w14:paraId="48342B0C" w14:textId="1EC34BDE" w:rsidR="00E50391" w:rsidRPr="00F11750" w:rsidRDefault="00E50391" w:rsidP="007B1103">
            <w:pPr>
              <w:pStyle w:val="TableText0"/>
              <w:keepNext/>
              <w:rPr>
                <w:sz w:val="20"/>
                <w:szCs w:val="20"/>
              </w:rPr>
            </w:pPr>
            <w:r w:rsidRPr="00F11750">
              <w:rPr>
                <w:sz w:val="20"/>
                <w:szCs w:val="20"/>
              </w:rPr>
              <w:t xml:space="preserve">Yr 5: </w:t>
            </w:r>
            <w:r w:rsidR="009B407F" w:rsidRPr="009B407F">
              <w:rPr>
                <w:color w:val="000000"/>
                <w:spacing w:val="49"/>
                <w:sz w:val="20"/>
                <w:szCs w:val="20"/>
                <w:shd w:val="solid" w:color="000000" w:fill="000000"/>
                <w:fitText w:val="320" w:id="-762061562"/>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2"/>
                <w14:textFill>
                  <w14:solidFill>
                    <w14:srgbClr w14:val="000000">
                      <w14:alpha w14:val="100000"/>
                    </w14:srgbClr>
                  </w14:solidFill>
                </w14:textFill>
              </w:rPr>
              <w:t>|</w:t>
            </w:r>
            <w:r w:rsidRPr="00F11750">
              <w:rPr>
                <w:sz w:val="20"/>
                <w:szCs w:val="20"/>
              </w:rPr>
              <w:t>%</w:t>
            </w:r>
          </w:p>
          <w:p w14:paraId="14644E7E" w14:textId="651A0C38" w:rsidR="00E50391" w:rsidRPr="00F11750" w:rsidRDefault="00E50391" w:rsidP="007B1103">
            <w:pPr>
              <w:pStyle w:val="TableText0"/>
              <w:keepNext/>
              <w:rPr>
                <w:sz w:val="20"/>
                <w:szCs w:val="20"/>
              </w:rPr>
            </w:pPr>
            <w:r w:rsidRPr="00F11750">
              <w:rPr>
                <w:sz w:val="20"/>
                <w:szCs w:val="20"/>
              </w:rPr>
              <w:t xml:space="preserve">Yr 6: </w:t>
            </w:r>
            <w:r w:rsidR="009B407F" w:rsidRPr="009B407F">
              <w:rPr>
                <w:color w:val="000000"/>
                <w:spacing w:val="49"/>
                <w:sz w:val="20"/>
                <w:szCs w:val="20"/>
                <w:shd w:val="solid" w:color="000000" w:fill="000000"/>
                <w:fitText w:val="320" w:id="-762061561"/>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1"/>
                <w14:textFill>
                  <w14:solidFill>
                    <w14:srgbClr w14:val="000000">
                      <w14:alpha w14:val="100000"/>
                    </w14:srgbClr>
                  </w14:solidFill>
                </w14:textFill>
              </w:rPr>
              <w:t>|</w:t>
            </w:r>
            <w:r w:rsidRPr="00F11750">
              <w:rPr>
                <w:sz w:val="20"/>
                <w:szCs w:val="20"/>
              </w:rPr>
              <w:t>%</w:t>
            </w:r>
          </w:p>
        </w:tc>
        <w:tc>
          <w:tcPr>
            <w:tcW w:w="1760" w:type="dxa"/>
            <w:shd w:val="clear" w:color="auto" w:fill="auto"/>
          </w:tcPr>
          <w:p w14:paraId="6723F729" w14:textId="77777777" w:rsidR="00E50391" w:rsidRPr="00F11750" w:rsidRDefault="00E50391" w:rsidP="007B1103">
            <w:pPr>
              <w:pStyle w:val="TableText0"/>
              <w:keepNext/>
              <w:rPr>
                <w:sz w:val="20"/>
                <w:szCs w:val="20"/>
              </w:rPr>
            </w:pPr>
            <w:r w:rsidRPr="00F11750">
              <w:rPr>
                <w:sz w:val="20"/>
                <w:szCs w:val="20"/>
              </w:rPr>
              <w:t>Cumulative rates stated in the main body:</w:t>
            </w:r>
          </w:p>
          <w:p w14:paraId="69CDD35B" w14:textId="323B8495" w:rsidR="00E50391" w:rsidRPr="00F11750" w:rsidRDefault="00E50391" w:rsidP="007B1103">
            <w:pPr>
              <w:pStyle w:val="TableText0"/>
              <w:keepNext/>
              <w:rPr>
                <w:sz w:val="20"/>
                <w:szCs w:val="20"/>
              </w:rPr>
            </w:pPr>
            <w:r w:rsidRPr="00F11750">
              <w:rPr>
                <w:sz w:val="20"/>
                <w:szCs w:val="20"/>
              </w:rPr>
              <w:t xml:space="preserve">Yr 1: </w:t>
            </w:r>
            <w:r w:rsidR="009B407F" w:rsidRPr="009B407F">
              <w:rPr>
                <w:color w:val="000000"/>
                <w:spacing w:val="49"/>
                <w:sz w:val="20"/>
                <w:szCs w:val="20"/>
                <w:shd w:val="solid" w:color="000000" w:fill="000000"/>
                <w:fitText w:val="320" w:id="-762061560"/>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60"/>
                <w14:textFill>
                  <w14:solidFill>
                    <w14:srgbClr w14:val="000000">
                      <w14:alpha w14:val="100000"/>
                    </w14:srgbClr>
                  </w14:solidFill>
                </w14:textFill>
              </w:rPr>
              <w:t>|</w:t>
            </w:r>
            <w:r w:rsidRPr="00F11750">
              <w:rPr>
                <w:sz w:val="20"/>
                <w:szCs w:val="20"/>
              </w:rPr>
              <w:t>%</w:t>
            </w:r>
          </w:p>
          <w:p w14:paraId="183246BE" w14:textId="7CB467B7" w:rsidR="00E50391" w:rsidRPr="00F11750" w:rsidRDefault="00E50391" w:rsidP="007B1103">
            <w:pPr>
              <w:pStyle w:val="TableText0"/>
              <w:keepNext/>
              <w:rPr>
                <w:sz w:val="20"/>
                <w:szCs w:val="20"/>
              </w:rPr>
            </w:pPr>
            <w:r w:rsidRPr="00F11750">
              <w:rPr>
                <w:sz w:val="20"/>
                <w:szCs w:val="20"/>
              </w:rPr>
              <w:t xml:space="preserve">Yr 2: </w:t>
            </w:r>
            <w:r w:rsidR="009B407F" w:rsidRPr="009B407F">
              <w:rPr>
                <w:color w:val="000000"/>
                <w:spacing w:val="49"/>
                <w:sz w:val="20"/>
                <w:szCs w:val="20"/>
                <w:shd w:val="solid" w:color="000000" w:fill="000000"/>
                <w:fitText w:val="320" w:id="-762061559"/>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59"/>
                <w14:textFill>
                  <w14:solidFill>
                    <w14:srgbClr w14:val="000000">
                      <w14:alpha w14:val="100000"/>
                    </w14:srgbClr>
                  </w14:solidFill>
                </w14:textFill>
              </w:rPr>
              <w:t>|</w:t>
            </w:r>
            <w:r w:rsidRPr="00F11750">
              <w:rPr>
                <w:sz w:val="20"/>
                <w:szCs w:val="20"/>
              </w:rPr>
              <w:t>%</w:t>
            </w:r>
          </w:p>
          <w:p w14:paraId="5BD0A417" w14:textId="56D4E583" w:rsidR="00E50391" w:rsidRPr="00F11750" w:rsidRDefault="00E50391" w:rsidP="007B1103">
            <w:pPr>
              <w:pStyle w:val="TableText0"/>
              <w:keepNext/>
              <w:rPr>
                <w:sz w:val="20"/>
                <w:szCs w:val="20"/>
              </w:rPr>
            </w:pPr>
            <w:r w:rsidRPr="00F11750">
              <w:rPr>
                <w:sz w:val="20"/>
                <w:szCs w:val="20"/>
              </w:rPr>
              <w:t xml:space="preserve">Yr 3: </w:t>
            </w:r>
            <w:r w:rsidR="009B407F" w:rsidRPr="009B407F">
              <w:rPr>
                <w:color w:val="000000"/>
                <w:spacing w:val="49"/>
                <w:sz w:val="20"/>
                <w:szCs w:val="20"/>
                <w:shd w:val="solid" w:color="000000" w:fill="000000"/>
                <w:fitText w:val="320" w:id="-762061558"/>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58"/>
                <w14:textFill>
                  <w14:solidFill>
                    <w14:srgbClr w14:val="000000">
                      <w14:alpha w14:val="100000"/>
                    </w14:srgbClr>
                  </w14:solidFill>
                </w14:textFill>
              </w:rPr>
              <w:t>|</w:t>
            </w:r>
            <w:r w:rsidRPr="00F11750">
              <w:rPr>
                <w:sz w:val="20"/>
                <w:szCs w:val="20"/>
              </w:rPr>
              <w:t>%</w:t>
            </w:r>
          </w:p>
          <w:p w14:paraId="6E33E19E" w14:textId="631D7F8F" w:rsidR="00E50391" w:rsidRPr="00F11750" w:rsidRDefault="00E50391" w:rsidP="007B1103">
            <w:pPr>
              <w:pStyle w:val="TableText0"/>
              <w:keepNext/>
              <w:rPr>
                <w:sz w:val="20"/>
                <w:szCs w:val="20"/>
              </w:rPr>
            </w:pPr>
            <w:r w:rsidRPr="00F11750">
              <w:rPr>
                <w:sz w:val="20"/>
                <w:szCs w:val="20"/>
              </w:rPr>
              <w:t xml:space="preserve">Yr 4: </w:t>
            </w:r>
            <w:r w:rsidR="009B407F" w:rsidRPr="009B407F">
              <w:rPr>
                <w:color w:val="000000"/>
                <w:spacing w:val="49"/>
                <w:sz w:val="20"/>
                <w:szCs w:val="20"/>
                <w:shd w:val="solid" w:color="000000" w:fill="000000"/>
                <w:fitText w:val="320" w:id="-762061557"/>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57"/>
                <w14:textFill>
                  <w14:solidFill>
                    <w14:srgbClr w14:val="000000">
                      <w14:alpha w14:val="100000"/>
                    </w14:srgbClr>
                  </w14:solidFill>
                </w14:textFill>
              </w:rPr>
              <w:t>|</w:t>
            </w:r>
            <w:r w:rsidRPr="00F11750">
              <w:rPr>
                <w:sz w:val="20"/>
                <w:szCs w:val="20"/>
              </w:rPr>
              <w:t>%</w:t>
            </w:r>
          </w:p>
          <w:p w14:paraId="57634D61" w14:textId="09D2014D" w:rsidR="00E50391" w:rsidRPr="00F11750" w:rsidRDefault="00E50391" w:rsidP="007B1103">
            <w:pPr>
              <w:pStyle w:val="TableText0"/>
              <w:keepNext/>
              <w:rPr>
                <w:sz w:val="20"/>
                <w:szCs w:val="20"/>
              </w:rPr>
            </w:pPr>
            <w:r w:rsidRPr="00F11750">
              <w:rPr>
                <w:sz w:val="20"/>
                <w:szCs w:val="20"/>
              </w:rPr>
              <w:t xml:space="preserve">Yr 5: </w:t>
            </w:r>
            <w:r w:rsidR="009B407F" w:rsidRPr="009B407F">
              <w:rPr>
                <w:color w:val="000000"/>
                <w:spacing w:val="49"/>
                <w:sz w:val="20"/>
                <w:szCs w:val="20"/>
                <w:shd w:val="solid" w:color="000000" w:fill="000000"/>
                <w:fitText w:val="320" w:id="-762061556"/>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56"/>
                <w14:textFill>
                  <w14:solidFill>
                    <w14:srgbClr w14:val="000000">
                      <w14:alpha w14:val="100000"/>
                    </w14:srgbClr>
                  </w14:solidFill>
                </w14:textFill>
              </w:rPr>
              <w:t>|</w:t>
            </w:r>
            <w:r w:rsidRPr="00F11750">
              <w:rPr>
                <w:sz w:val="20"/>
                <w:szCs w:val="20"/>
              </w:rPr>
              <w:t>%</w:t>
            </w:r>
          </w:p>
          <w:p w14:paraId="179C5A22" w14:textId="091AE20B" w:rsidR="00E50391" w:rsidRPr="00F11750" w:rsidRDefault="00E50391" w:rsidP="007B1103">
            <w:pPr>
              <w:pStyle w:val="TableText0"/>
              <w:keepNext/>
              <w:rPr>
                <w:sz w:val="20"/>
                <w:szCs w:val="20"/>
              </w:rPr>
            </w:pPr>
            <w:r w:rsidRPr="00F11750">
              <w:rPr>
                <w:sz w:val="20"/>
                <w:szCs w:val="20"/>
              </w:rPr>
              <w:t xml:space="preserve">Yr 6: </w:t>
            </w:r>
            <w:r w:rsidR="009B407F" w:rsidRPr="009B407F">
              <w:rPr>
                <w:color w:val="000000"/>
                <w:spacing w:val="49"/>
                <w:sz w:val="20"/>
                <w:szCs w:val="20"/>
                <w:shd w:val="solid" w:color="000000" w:fill="000000"/>
                <w:fitText w:val="320" w:id="-762061555"/>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55"/>
                <w14:textFill>
                  <w14:solidFill>
                    <w14:srgbClr w14:val="000000">
                      <w14:alpha w14:val="100000"/>
                    </w14:srgbClr>
                  </w14:solidFill>
                </w14:textFill>
              </w:rPr>
              <w:t>|</w:t>
            </w:r>
            <w:r w:rsidRPr="00F11750">
              <w:rPr>
                <w:sz w:val="20"/>
                <w:szCs w:val="20"/>
              </w:rPr>
              <w:t>%</w:t>
            </w:r>
          </w:p>
          <w:p w14:paraId="643A804C" w14:textId="77777777" w:rsidR="00E50391" w:rsidRPr="00F11750" w:rsidRDefault="00E50391" w:rsidP="007B1103">
            <w:pPr>
              <w:pStyle w:val="TableText0"/>
              <w:keepNext/>
              <w:rPr>
                <w:sz w:val="20"/>
                <w:szCs w:val="20"/>
              </w:rPr>
            </w:pPr>
          </w:p>
          <w:p w14:paraId="3358DB6C" w14:textId="77777777" w:rsidR="00E50391" w:rsidRPr="00F11750" w:rsidRDefault="00E50391" w:rsidP="007B1103">
            <w:pPr>
              <w:pStyle w:val="TableText0"/>
              <w:keepNext/>
              <w:rPr>
                <w:sz w:val="20"/>
                <w:szCs w:val="20"/>
              </w:rPr>
            </w:pPr>
            <w:r w:rsidRPr="00F11750">
              <w:rPr>
                <w:sz w:val="20"/>
                <w:szCs w:val="20"/>
              </w:rPr>
              <w:t>Rates applied in the Section 4 workbook (cumulative</w:t>
            </w:r>
            <w:r w:rsidRPr="00F11750">
              <w:rPr>
                <w:i/>
                <w:iCs/>
                <w:sz w:val="20"/>
                <w:szCs w:val="20"/>
              </w:rPr>
              <w:t xml:space="preserve"> including new patients</w:t>
            </w:r>
            <w:r w:rsidRPr="00F11750">
              <w:rPr>
                <w:sz w:val="20"/>
                <w:szCs w:val="20"/>
              </w:rPr>
              <w:t>)</w:t>
            </w:r>
          </w:p>
          <w:p w14:paraId="72E682B7" w14:textId="1EE04698" w:rsidR="00E50391" w:rsidRPr="00F11750" w:rsidRDefault="00E50391" w:rsidP="007B1103">
            <w:pPr>
              <w:pStyle w:val="TableText0"/>
              <w:keepNext/>
              <w:rPr>
                <w:sz w:val="20"/>
                <w:szCs w:val="20"/>
              </w:rPr>
            </w:pPr>
            <w:r w:rsidRPr="00F11750">
              <w:rPr>
                <w:sz w:val="20"/>
                <w:szCs w:val="20"/>
              </w:rPr>
              <w:t xml:space="preserve">Yr 1: </w:t>
            </w:r>
            <w:r w:rsidR="009B407F" w:rsidRPr="009B407F">
              <w:rPr>
                <w:color w:val="000000"/>
                <w:spacing w:val="49"/>
                <w:sz w:val="20"/>
                <w:szCs w:val="20"/>
                <w:shd w:val="solid" w:color="000000" w:fill="000000"/>
                <w:fitText w:val="320" w:id="-762061554"/>
                <w14:textFill>
                  <w14:solidFill>
                    <w14:srgbClr w14:val="000000">
                      <w14:alpha w14:val="100000"/>
                    </w14:srgbClr>
                  </w14:solidFill>
                </w14:textFill>
              </w:rPr>
              <w:t>|||</w:t>
            </w:r>
            <w:r w:rsidR="009B407F" w:rsidRPr="009B407F">
              <w:rPr>
                <w:color w:val="000000"/>
                <w:spacing w:val="3"/>
                <w:sz w:val="20"/>
                <w:szCs w:val="20"/>
                <w:shd w:val="solid" w:color="000000" w:fill="000000"/>
                <w:fitText w:val="320" w:id="-762061554"/>
                <w14:textFill>
                  <w14:solidFill>
                    <w14:srgbClr w14:val="000000">
                      <w14:alpha w14:val="100000"/>
                    </w14:srgbClr>
                  </w14:solidFill>
                </w14:textFill>
              </w:rPr>
              <w:t>|</w:t>
            </w:r>
            <w:r w:rsidRPr="00F11750">
              <w:rPr>
                <w:sz w:val="20"/>
                <w:szCs w:val="20"/>
              </w:rPr>
              <w:t>% (</w:t>
            </w:r>
            <w:r w:rsidR="009B407F" w:rsidRPr="009B407F">
              <w:rPr>
                <w:i/>
                <w:iCs/>
                <w:color w:val="000000"/>
                <w:spacing w:val="54"/>
                <w:sz w:val="20"/>
                <w:szCs w:val="20"/>
                <w:shd w:val="solid" w:color="000000" w:fill="000000"/>
                <w:fitText w:val="334" w:id="-762061553"/>
                <w14:textFill>
                  <w14:solidFill>
                    <w14:srgbClr w14:val="000000">
                      <w14:alpha w14:val="100000"/>
                    </w14:srgbClr>
                  </w14:solidFill>
                </w14:textFill>
              </w:rPr>
              <w:t>|||</w:t>
            </w:r>
            <w:r w:rsidR="009B407F" w:rsidRPr="009B407F">
              <w:rPr>
                <w:i/>
                <w:iCs/>
                <w:color w:val="000000"/>
                <w:spacing w:val="2"/>
                <w:sz w:val="20"/>
                <w:szCs w:val="20"/>
                <w:shd w:val="solid" w:color="000000" w:fill="000000"/>
                <w:fitText w:val="334" w:id="-762061553"/>
                <w14:textFill>
                  <w14:solidFill>
                    <w14:srgbClr w14:val="000000">
                      <w14:alpha w14:val="100000"/>
                    </w14:srgbClr>
                  </w14:solidFill>
                </w14:textFill>
              </w:rPr>
              <w:t>|</w:t>
            </w:r>
            <w:r w:rsidRPr="00F11750">
              <w:rPr>
                <w:i/>
                <w:iCs/>
                <w:sz w:val="20"/>
                <w:szCs w:val="20"/>
              </w:rPr>
              <w:t>%</w:t>
            </w:r>
            <w:r w:rsidRPr="00F11750">
              <w:rPr>
                <w:sz w:val="20"/>
                <w:szCs w:val="20"/>
              </w:rPr>
              <w:t>)</w:t>
            </w:r>
          </w:p>
          <w:p w14:paraId="1031A76F" w14:textId="2F3F0ADE" w:rsidR="00E50391" w:rsidRPr="00F11750" w:rsidRDefault="00E50391" w:rsidP="007B1103">
            <w:pPr>
              <w:pStyle w:val="TableText0"/>
              <w:keepNext/>
              <w:rPr>
                <w:sz w:val="20"/>
                <w:szCs w:val="20"/>
              </w:rPr>
            </w:pPr>
            <w:r w:rsidRPr="00F11750">
              <w:rPr>
                <w:sz w:val="20"/>
                <w:szCs w:val="20"/>
              </w:rPr>
              <w:t xml:space="preserve">Yr 2: </w:t>
            </w:r>
            <w:r w:rsidR="009B407F" w:rsidRPr="009B407F">
              <w:rPr>
                <w:i/>
                <w:iCs/>
                <w:color w:val="000000"/>
                <w:spacing w:val="49"/>
                <w:sz w:val="20"/>
                <w:szCs w:val="20"/>
                <w:shd w:val="solid" w:color="000000" w:fill="000000"/>
                <w:fitText w:val="320" w:id="-762061552"/>
                <w14:textFill>
                  <w14:solidFill>
                    <w14:srgbClr w14:val="000000">
                      <w14:alpha w14:val="100000"/>
                    </w14:srgbClr>
                  </w14:solidFill>
                </w14:textFill>
              </w:rPr>
              <w:t>|||</w:t>
            </w:r>
            <w:r w:rsidR="009B407F" w:rsidRPr="009B407F">
              <w:rPr>
                <w:i/>
                <w:iCs/>
                <w:color w:val="000000"/>
                <w:spacing w:val="3"/>
                <w:sz w:val="20"/>
                <w:szCs w:val="20"/>
                <w:shd w:val="solid" w:color="000000" w:fill="000000"/>
                <w:fitText w:val="320" w:id="-762061552"/>
                <w14:textFill>
                  <w14:solidFill>
                    <w14:srgbClr w14:val="000000">
                      <w14:alpha w14:val="100000"/>
                    </w14:srgbClr>
                  </w14:solidFill>
                </w14:textFill>
              </w:rPr>
              <w:t>|</w:t>
            </w:r>
            <w:r w:rsidRPr="00F11750">
              <w:rPr>
                <w:sz w:val="20"/>
                <w:szCs w:val="20"/>
              </w:rPr>
              <w:t>% (</w:t>
            </w:r>
            <w:r w:rsidR="009B407F" w:rsidRPr="009B407F">
              <w:rPr>
                <w:i/>
                <w:iCs/>
                <w:color w:val="000000"/>
                <w:spacing w:val="54"/>
                <w:sz w:val="20"/>
                <w:szCs w:val="20"/>
                <w:shd w:val="solid" w:color="000000" w:fill="000000"/>
                <w:fitText w:val="334" w:id="-762061568"/>
                <w14:textFill>
                  <w14:solidFill>
                    <w14:srgbClr w14:val="000000">
                      <w14:alpha w14:val="100000"/>
                    </w14:srgbClr>
                  </w14:solidFill>
                </w14:textFill>
              </w:rPr>
              <w:t>|||</w:t>
            </w:r>
            <w:r w:rsidR="009B407F" w:rsidRPr="009B407F">
              <w:rPr>
                <w:i/>
                <w:iCs/>
                <w:color w:val="000000"/>
                <w:spacing w:val="2"/>
                <w:sz w:val="20"/>
                <w:szCs w:val="20"/>
                <w:shd w:val="solid" w:color="000000" w:fill="000000"/>
                <w:fitText w:val="334" w:id="-762061568"/>
                <w14:textFill>
                  <w14:solidFill>
                    <w14:srgbClr w14:val="000000">
                      <w14:alpha w14:val="100000"/>
                    </w14:srgbClr>
                  </w14:solidFill>
                </w14:textFill>
              </w:rPr>
              <w:t>|</w:t>
            </w:r>
            <w:r w:rsidRPr="00F11750">
              <w:rPr>
                <w:i/>
                <w:iCs/>
                <w:sz w:val="20"/>
                <w:szCs w:val="20"/>
              </w:rPr>
              <w:t>%</w:t>
            </w:r>
            <w:r w:rsidRPr="00F11750">
              <w:rPr>
                <w:sz w:val="20"/>
                <w:szCs w:val="20"/>
              </w:rPr>
              <w:t>)</w:t>
            </w:r>
          </w:p>
          <w:p w14:paraId="5BF11807" w14:textId="319E8B2F" w:rsidR="00E50391" w:rsidRPr="00F11750" w:rsidRDefault="00E50391" w:rsidP="007B1103">
            <w:pPr>
              <w:pStyle w:val="TableText0"/>
              <w:keepNext/>
              <w:rPr>
                <w:sz w:val="20"/>
                <w:szCs w:val="20"/>
              </w:rPr>
            </w:pPr>
            <w:r w:rsidRPr="00F11750">
              <w:rPr>
                <w:sz w:val="20"/>
                <w:szCs w:val="20"/>
              </w:rPr>
              <w:t xml:space="preserve">Yr 3: </w:t>
            </w:r>
            <w:r w:rsidR="009B407F" w:rsidRPr="009B407F">
              <w:rPr>
                <w:i/>
                <w:iCs/>
                <w:color w:val="000000"/>
                <w:spacing w:val="49"/>
                <w:sz w:val="20"/>
                <w:szCs w:val="20"/>
                <w:shd w:val="solid" w:color="000000" w:fill="000000"/>
                <w:fitText w:val="320" w:id="-762061567"/>
                <w14:textFill>
                  <w14:solidFill>
                    <w14:srgbClr w14:val="000000">
                      <w14:alpha w14:val="100000"/>
                    </w14:srgbClr>
                  </w14:solidFill>
                </w14:textFill>
              </w:rPr>
              <w:t>|||</w:t>
            </w:r>
            <w:r w:rsidR="009B407F" w:rsidRPr="009B407F">
              <w:rPr>
                <w:i/>
                <w:iCs/>
                <w:color w:val="000000"/>
                <w:spacing w:val="3"/>
                <w:sz w:val="20"/>
                <w:szCs w:val="20"/>
                <w:shd w:val="solid" w:color="000000" w:fill="000000"/>
                <w:fitText w:val="320" w:id="-762061567"/>
                <w14:textFill>
                  <w14:solidFill>
                    <w14:srgbClr w14:val="000000">
                      <w14:alpha w14:val="100000"/>
                    </w14:srgbClr>
                  </w14:solidFill>
                </w14:textFill>
              </w:rPr>
              <w:t>|</w:t>
            </w:r>
            <w:r w:rsidRPr="00F11750">
              <w:rPr>
                <w:sz w:val="20"/>
                <w:szCs w:val="20"/>
              </w:rPr>
              <w:t>% (</w:t>
            </w:r>
            <w:r w:rsidR="009B407F" w:rsidRPr="009B407F">
              <w:rPr>
                <w:i/>
                <w:iCs/>
                <w:color w:val="000000"/>
                <w:spacing w:val="54"/>
                <w:sz w:val="20"/>
                <w:szCs w:val="20"/>
                <w:shd w:val="solid" w:color="000000" w:fill="000000"/>
                <w:fitText w:val="334" w:id="-762061566"/>
                <w14:textFill>
                  <w14:solidFill>
                    <w14:srgbClr w14:val="000000">
                      <w14:alpha w14:val="100000"/>
                    </w14:srgbClr>
                  </w14:solidFill>
                </w14:textFill>
              </w:rPr>
              <w:t>|||</w:t>
            </w:r>
            <w:r w:rsidR="009B407F" w:rsidRPr="009B407F">
              <w:rPr>
                <w:i/>
                <w:iCs/>
                <w:color w:val="000000"/>
                <w:spacing w:val="2"/>
                <w:sz w:val="20"/>
                <w:szCs w:val="20"/>
                <w:shd w:val="solid" w:color="000000" w:fill="000000"/>
                <w:fitText w:val="334" w:id="-762061566"/>
                <w14:textFill>
                  <w14:solidFill>
                    <w14:srgbClr w14:val="000000">
                      <w14:alpha w14:val="100000"/>
                    </w14:srgbClr>
                  </w14:solidFill>
                </w14:textFill>
              </w:rPr>
              <w:t>|</w:t>
            </w:r>
            <w:r w:rsidRPr="00F11750">
              <w:rPr>
                <w:i/>
                <w:iCs/>
                <w:sz w:val="20"/>
                <w:szCs w:val="20"/>
              </w:rPr>
              <w:t>%</w:t>
            </w:r>
            <w:r w:rsidRPr="00F11750">
              <w:rPr>
                <w:sz w:val="20"/>
                <w:szCs w:val="20"/>
              </w:rPr>
              <w:t>)</w:t>
            </w:r>
          </w:p>
          <w:p w14:paraId="4B33A20E" w14:textId="17E5733F" w:rsidR="00E50391" w:rsidRPr="00F11750" w:rsidRDefault="00E50391" w:rsidP="007B1103">
            <w:pPr>
              <w:pStyle w:val="TableText0"/>
              <w:keepNext/>
              <w:rPr>
                <w:sz w:val="20"/>
                <w:szCs w:val="20"/>
              </w:rPr>
            </w:pPr>
            <w:r w:rsidRPr="00F11750">
              <w:rPr>
                <w:sz w:val="20"/>
                <w:szCs w:val="20"/>
              </w:rPr>
              <w:t xml:space="preserve">Yr 4: </w:t>
            </w:r>
            <w:r w:rsidR="009B407F" w:rsidRPr="009B407F">
              <w:rPr>
                <w:i/>
                <w:iCs/>
                <w:color w:val="000000"/>
                <w:spacing w:val="49"/>
                <w:sz w:val="20"/>
                <w:szCs w:val="20"/>
                <w:shd w:val="solid" w:color="000000" w:fill="000000"/>
                <w:fitText w:val="320" w:id="-762061565"/>
                <w14:textFill>
                  <w14:solidFill>
                    <w14:srgbClr w14:val="000000">
                      <w14:alpha w14:val="100000"/>
                    </w14:srgbClr>
                  </w14:solidFill>
                </w14:textFill>
              </w:rPr>
              <w:t>|||</w:t>
            </w:r>
            <w:r w:rsidR="009B407F" w:rsidRPr="009B407F">
              <w:rPr>
                <w:i/>
                <w:iCs/>
                <w:color w:val="000000"/>
                <w:spacing w:val="3"/>
                <w:sz w:val="20"/>
                <w:szCs w:val="20"/>
                <w:shd w:val="solid" w:color="000000" w:fill="000000"/>
                <w:fitText w:val="320" w:id="-762061565"/>
                <w14:textFill>
                  <w14:solidFill>
                    <w14:srgbClr w14:val="000000">
                      <w14:alpha w14:val="100000"/>
                    </w14:srgbClr>
                  </w14:solidFill>
                </w14:textFill>
              </w:rPr>
              <w:t>|</w:t>
            </w:r>
            <w:r w:rsidRPr="00F11750">
              <w:rPr>
                <w:sz w:val="20"/>
                <w:szCs w:val="20"/>
              </w:rPr>
              <w:t>% (</w:t>
            </w:r>
            <w:r w:rsidR="009B407F" w:rsidRPr="009B407F">
              <w:rPr>
                <w:i/>
                <w:iCs/>
                <w:color w:val="000000"/>
                <w:spacing w:val="54"/>
                <w:sz w:val="20"/>
                <w:szCs w:val="20"/>
                <w:shd w:val="solid" w:color="000000" w:fill="000000"/>
                <w:fitText w:val="334" w:id="-762061564"/>
                <w14:textFill>
                  <w14:solidFill>
                    <w14:srgbClr w14:val="000000">
                      <w14:alpha w14:val="100000"/>
                    </w14:srgbClr>
                  </w14:solidFill>
                </w14:textFill>
              </w:rPr>
              <w:t>|||</w:t>
            </w:r>
            <w:r w:rsidR="009B407F" w:rsidRPr="009B407F">
              <w:rPr>
                <w:i/>
                <w:iCs/>
                <w:color w:val="000000"/>
                <w:spacing w:val="2"/>
                <w:sz w:val="20"/>
                <w:szCs w:val="20"/>
                <w:shd w:val="solid" w:color="000000" w:fill="000000"/>
                <w:fitText w:val="334" w:id="-762061564"/>
                <w14:textFill>
                  <w14:solidFill>
                    <w14:srgbClr w14:val="000000">
                      <w14:alpha w14:val="100000"/>
                    </w14:srgbClr>
                  </w14:solidFill>
                </w14:textFill>
              </w:rPr>
              <w:t>|</w:t>
            </w:r>
            <w:r w:rsidRPr="00F11750">
              <w:rPr>
                <w:i/>
                <w:iCs/>
                <w:sz w:val="20"/>
                <w:szCs w:val="20"/>
              </w:rPr>
              <w:t>%</w:t>
            </w:r>
            <w:r w:rsidRPr="00F11750">
              <w:rPr>
                <w:sz w:val="20"/>
                <w:szCs w:val="20"/>
              </w:rPr>
              <w:t>)</w:t>
            </w:r>
          </w:p>
          <w:p w14:paraId="16DCC0F0" w14:textId="1EB3891C" w:rsidR="00E50391" w:rsidRPr="00F11750" w:rsidRDefault="00E50391" w:rsidP="007B1103">
            <w:pPr>
              <w:pStyle w:val="TableText0"/>
              <w:keepNext/>
              <w:rPr>
                <w:sz w:val="20"/>
                <w:szCs w:val="20"/>
              </w:rPr>
            </w:pPr>
            <w:r w:rsidRPr="00F11750">
              <w:rPr>
                <w:sz w:val="20"/>
                <w:szCs w:val="20"/>
              </w:rPr>
              <w:t xml:space="preserve">Yr 5: </w:t>
            </w:r>
            <w:r w:rsidR="009B407F" w:rsidRPr="009B407F">
              <w:rPr>
                <w:i/>
                <w:iCs/>
                <w:color w:val="000000"/>
                <w:spacing w:val="49"/>
                <w:sz w:val="20"/>
                <w:szCs w:val="20"/>
                <w:shd w:val="solid" w:color="000000" w:fill="000000"/>
                <w:fitText w:val="320" w:id="-762061563"/>
                <w14:textFill>
                  <w14:solidFill>
                    <w14:srgbClr w14:val="000000">
                      <w14:alpha w14:val="100000"/>
                    </w14:srgbClr>
                  </w14:solidFill>
                </w14:textFill>
              </w:rPr>
              <w:t>|||</w:t>
            </w:r>
            <w:r w:rsidR="009B407F" w:rsidRPr="009B407F">
              <w:rPr>
                <w:i/>
                <w:iCs/>
                <w:color w:val="000000"/>
                <w:spacing w:val="3"/>
                <w:sz w:val="20"/>
                <w:szCs w:val="20"/>
                <w:shd w:val="solid" w:color="000000" w:fill="000000"/>
                <w:fitText w:val="320" w:id="-762061563"/>
                <w14:textFill>
                  <w14:solidFill>
                    <w14:srgbClr w14:val="000000">
                      <w14:alpha w14:val="100000"/>
                    </w14:srgbClr>
                  </w14:solidFill>
                </w14:textFill>
              </w:rPr>
              <w:t>|</w:t>
            </w:r>
            <w:r w:rsidRPr="00F11750">
              <w:rPr>
                <w:sz w:val="20"/>
                <w:szCs w:val="20"/>
              </w:rPr>
              <w:t>% (</w:t>
            </w:r>
            <w:r w:rsidR="009B407F" w:rsidRPr="009B407F">
              <w:rPr>
                <w:i/>
                <w:iCs/>
                <w:color w:val="000000"/>
                <w:spacing w:val="54"/>
                <w:sz w:val="20"/>
                <w:szCs w:val="20"/>
                <w:shd w:val="solid" w:color="000000" w:fill="000000"/>
                <w:fitText w:val="334" w:id="-762061562"/>
                <w14:textFill>
                  <w14:solidFill>
                    <w14:srgbClr w14:val="000000">
                      <w14:alpha w14:val="100000"/>
                    </w14:srgbClr>
                  </w14:solidFill>
                </w14:textFill>
              </w:rPr>
              <w:t>|||</w:t>
            </w:r>
            <w:r w:rsidR="009B407F" w:rsidRPr="009B407F">
              <w:rPr>
                <w:i/>
                <w:iCs/>
                <w:color w:val="000000"/>
                <w:spacing w:val="2"/>
                <w:sz w:val="20"/>
                <w:szCs w:val="20"/>
                <w:shd w:val="solid" w:color="000000" w:fill="000000"/>
                <w:fitText w:val="334" w:id="-762061562"/>
                <w14:textFill>
                  <w14:solidFill>
                    <w14:srgbClr w14:val="000000">
                      <w14:alpha w14:val="100000"/>
                    </w14:srgbClr>
                  </w14:solidFill>
                </w14:textFill>
              </w:rPr>
              <w:t>|</w:t>
            </w:r>
            <w:r w:rsidRPr="00F11750">
              <w:rPr>
                <w:i/>
                <w:iCs/>
                <w:sz w:val="20"/>
                <w:szCs w:val="20"/>
              </w:rPr>
              <w:t>%</w:t>
            </w:r>
            <w:r w:rsidRPr="00F11750">
              <w:rPr>
                <w:sz w:val="20"/>
                <w:szCs w:val="20"/>
              </w:rPr>
              <w:t>)</w:t>
            </w:r>
          </w:p>
          <w:p w14:paraId="2DE28677" w14:textId="0ADDCA85" w:rsidR="00E50391" w:rsidRPr="00F11750" w:rsidRDefault="00E50391" w:rsidP="007B1103">
            <w:pPr>
              <w:pStyle w:val="TableText0"/>
              <w:keepNext/>
              <w:rPr>
                <w:sz w:val="20"/>
                <w:szCs w:val="20"/>
              </w:rPr>
            </w:pPr>
            <w:r w:rsidRPr="00F11750">
              <w:rPr>
                <w:sz w:val="20"/>
                <w:szCs w:val="20"/>
              </w:rPr>
              <w:t xml:space="preserve">Yr 6: </w:t>
            </w:r>
            <w:r w:rsidR="009B407F" w:rsidRPr="009B407F">
              <w:rPr>
                <w:i/>
                <w:iCs/>
                <w:color w:val="000000"/>
                <w:spacing w:val="49"/>
                <w:sz w:val="20"/>
                <w:szCs w:val="20"/>
                <w:shd w:val="solid" w:color="000000" w:fill="000000"/>
                <w:fitText w:val="320" w:id="-762061561"/>
                <w14:textFill>
                  <w14:solidFill>
                    <w14:srgbClr w14:val="000000">
                      <w14:alpha w14:val="100000"/>
                    </w14:srgbClr>
                  </w14:solidFill>
                </w14:textFill>
              </w:rPr>
              <w:t>|||</w:t>
            </w:r>
            <w:r w:rsidR="009B407F" w:rsidRPr="009B407F">
              <w:rPr>
                <w:i/>
                <w:iCs/>
                <w:color w:val="000000"/>
                <w:spacing w:val="3"/>
                <w:sz w:val="20"/>
                <w:szCs w:val="20"/>
                <w:shd w:val="solid" w:color="000000" w:fill="000000"/>
                <w:fitText w:val="320" w:id="-762061561"/>
                <w14:textFill>
                  <w14:solidFill>
                    <w14:srgbClr w14:val="000000">
                      <w14:alpha w14:val="100000"/>
                    </w14:srgbClr>
                  </w14:solidFill>
                </w14:textFill>
              </w:rPr>
              <w:t>|</w:t>
            </w:r>
            <w:r w:rsidRPr="00F11750">
              <w:rPr>
                <w:sz w:val="20"/>
                <w:szCs w:val="20"/>
              </w:rPr>
              <w:t>% (</w:t>
            </w:r>
            <w:r w:rsidR="009B407F">
              <w:rPr>
                <w:i/>
                <w:iCs/>
                <w:color w:val="000000"/>
                <w:spacing w:val="54"/>
                <w:sz w:val="20"/>
                <w:szCs w:val="20"/>
                <w:shd w:val="solid" w:color="000000" w:fill="000000"/>
                <w:fitText w:val="334" w:id="-762061560"/>
                <w14:textFill>
                  <w14:solidFill>
                    <w14:srgbClr w14:val="000000">
                      <w14:alpha w14:val="100000"/>
                    </w14:srgbClr>
                  </w14:solidFill>
                </w14:textFill>
              </w:rPr>
              <w:t>|||</w:t>
            </w:r>
            <w:r w:rsidR="009B407F">
              <w:rPr>
                <w:i/>
                <w:iCs/>
                <w:color w:val="000000"/>
                <w:sz w:val="20"/>
                <w:szCs w:val="20"/>
                <w:shd w:val="solid" w:color="000000" w:fill="000000"/>
                <w:fitText w:val="334" w:id="-762061560"/>
                <w14:textFill>
                  <w14:solidFill>
                    <w14:srgbClr w14:val="000000">
                      <w14:alpha w14:val="100000"/>
                    </w14:srgbClr>
                  </w14:solidFill>
                </w14:textFill>
              </w:rPr>
              <w:t>|</w:t>
            </w:r>
            <w:r w:rsidRPr="00F11750">
              <w:rPr>
                <w:i/>
                <w:iCs/>
                <w:sz w:val="20"/>
                <w:szCs w:val="20"/>
              </w:rPr>
              <w:t>%</w:t>
            </w:r>
            <w:r w:rsidRPr="00F11750">
              <w:rPr>
                <w:sz w:val="20"/>
                <w:szCs w:val="20"/>
              </w:rPr>
              <w:t>)</w:t>
            </w:r>
          </w:p>
        </w:tc>
      </w:tr>
      <w:tr w:rsidR="00EC1C19" w:rsidRPr="00075DBD" w14:paraId="37F85593" w14:textId="77777777" w:rsidTr="0006533D">
        <w:tc>
          <w:tcPr>
            <w:tcW w:w="1980" w:type="dxa"/>
            <w:shd w:val="clear" w:color="auto" w:fill="auto"/>
          </w:tcPr>
          <w:p w14:paraId="7F5274F3" w14:textId="5764A551" w:rsidR="00EC1C19" w:rsidRPr="00825310" w:rsidRDefault="00EC1C19" w:rsidP="007B1103">
            <w:pPr>
              <w:pStyle w:val="TableText0"/>
              <w:keepNext/>
              <w:rPr>
                <w:sz w:val="20"/>
                <w:szCs w:val="20"/>
              </w:rPr>
            </w:pPr>
            <w:r w:rsidRPr="00825310">
              <w:rPr>
                <w:sz w:val="20"/>
                <w:szCs w:val="20"/>
              </w:rPr>
              <w:t>Duration of treatment</w:t>
            </w:r>
          </w:p>
        </w:tc>
        <w:tc>
          <w:tcPr>
            <w:tcW w:w="1759" w:type="dxa"/>
            <w:shd w:val="clear" w:color="auto" w:fill="auto"/>
          </w:tcPr>
          <w:p w14:paraId="195D9BE5" w14:textId="1EAA163A" w:rsidR="00EC1C19" w:rsidRPr="00825310" w:rsidRDefault="00EC1C19" w:rsidP="007B1103">
            <w:pPr>
              <w:pStyle w:val="TableText0"/>
              <w:keepNext/>
              <w:rPr>
                <w:sz w:val="20"/>
                <w:szCs w:val="20"/>
              </w:rPr>
            </w:pPr>
            <w:r w:rsidRPr="00825310">
              <w:rPr>
                <w:sz w:val="20"/>
                <w:szCs w:val="20"/>
              </w:rPr>
              <w:t>1 year</w:t>
            </w:r>
          </w:p>
        </w:tc>
        <w:tc>
          <w:tcPr>
            <w:tcW w:w="1759" w:type="dxa"/>
            <w:shd w:val="clear" w:color="auto" w:fill="auto"/>
          </w:tcPr>
          <w:p w14:paraId="37325F5B" w14:textId="2F94CA54" w:rsidR="00EC1C19" w:rsidRPr="00825310" w:rsidRDefault="003528D1" w:rsidP="007B1103">
            <w:pPr>
              <w:pStyle w:val="TableText0"/>
              <w:keepNext/>
              <w:rPr>
                <w:sz w:val="20"/>
                <w:szCs w:val="20"/>
              </w:rPr>
            </w:pPr>
            <w:r w:rsidRPr="00825310">
              <w:rPr>
                <w:sz w:val="20"/>
                <w:szCs w:val="20"/>
              </w:rPr>
              <w:t>2 years</w:t>
            </w:r>
          </w:p>
        </w:tc>
        <w:tc>
          <w:tcPr>
            <w:tcW w:w="1759" w:type="dxa"/>
            <w:shd w:val="clear" w:color="auto" w:fill="auto"/>
          </w:tcPr>
          <w:p w14:paraId="2281049F" w14:textId="17D1FE74" w:rsidR="00EC1C19" w:rsidRPr="00825310" w:rsidRDefault="00075DBD" w:rsidP="007B1103">
            <w:pPr>
              <w:pStyle w:val="TableText0"/>
              <w:keepNext/>
              <w:rPr>
                <w:sz w:val="20"/>
                <w:szCs w:val="20"/>
              </w:rPr>
            </w:pPr>
            <w:r w:rsidRPr="00825310">
              <w:rPr>
                <w:sz w:val="20"/>
                <w:szCs w:val="20"/>
              </w:rPr>
              <w:t>2 years</w:t>
            </w:r>
          </w:p>
        </w:tc>
        <w:tc>
          <w:tcPr>
            <w:tcW w:w="1760" w:type="dxa"/>
            <w:shd w:val="clear" w:color="auto" w:fill="auto"/>
          </w:tcPr>
          <w:p w14:paraId="4A9B0414" w14:textId="043443BE" w:rsidR="00EC1C19" w:rsidRPr="00825310" w:rsidRDefault="00075DBD" w:rsidP="007B1103">
            <w:pPr>
              <w:pStyle w:val="TableText0"/>
              <w:keepNext/>
              <w:rPr>
                <w:sz w:val="20"/>
                <w:szCs w:val="20"/>
              </w:rPr>
            </w:pPr>
            <w:r w:rsidRPr="00825310">
              <w:rPr>
                <w:sz w:val="20"/>
                <w:szCs w:val="20"/>
              </w:rPr>
              <w:t>2 years</w:t>
            </w:r>
          </w:p>
        </w:tc>
      </w:tr>
    </w:tbl>
    <w:p w14:paraId="586A6319" w14:textId="11792D08" w:rsidR="00E50391" w:rsidRPr="00835552" w:rsidRDefault="00E50391" w:rsidP="007B1103">
      <w:pPr>
        <w:pStyle w:val="TableFigureFooter"/>
      </w:pPr>
      <w:r w:rsidRPr="00835552">
        <w:t>Source: Ratified Minutes par 6.76 - 6.80, 5.18 DUSC ADV.4-7 (Appendix 1)</w:t>
      </w:r>
    </w:p>
    <w:p w14:paraId="75586731" w14:textId="40329FC8" w:rsidR="000902D9" w:rsidRPr="000858FD" w:rsidRDefault="000902D9" w:rsidP="00D75ABC">
      <w:pPr>
        <w:pStyle w:val="3-BodyText"/>
        <w:spacing w:before="0"/>
      </w:pPr>
      <w:r w:rsidRPr="0098262F">
        <w:t xml:space="preserve">The total cost to the PBS/RPBS of listing </w:t>
      </w:r>
      <w:r w:rsidR="006F4A79">
        <w:t>R</w:t>
      </w:r>
      <w:r w:rsidR="00F82826">
        <w:t>ye</w:t>
      </w:r>
      <w:r w:rsidR="006F4A79">
        <w:t>qo</w:t>
      </w:r>
      <w:r w:rsidRPr="0098262F">
        <w:t xml:space="preserve"> was estimated </w:t>
      </w:r>
      <w:r w:rsidR="00A05C32" w:rsidRPr="0098262F">
        <w:t>to be</w:t>
      </w:r>
      <w:r w:rsidRPr="0098262F">
        <w:t xml:space="preserve"> </w:t>
      </w:r>
      <w:r w:rsidR="00426EE4" w:rsidRPr="00426EE4">
        <w:t>$80 million to &lt; $90 million</w:t>
      </w:r>
      <w:r w:rsidR="00426EE4" w:rsidRPr="00426EE4" w:rsidDel="00426EE4">
        <w:t xml:space="preserve"> </w:t>
      </w:r>
      <w:r w:rsidRPr="0098262F">
        <w:t>in Year</w:t>
      </w:r>
      <w:r w:rsidR="001E6623">
        <w:t> </w:t>
      </w:r>
      <w:r w:rsidRPr="0098262F">
        <w:t xml:space="preserve">6, </w:t>
      </w:r>
      <w:r w:rsidRPr="000858FD">
        <w:t xml:space="preserve">and a total of </w:t>
      </w:r>
      <w:r w:rsidR="008B6AC0" w:rsidRPr="008B6AC0">
        <w:t>$500 million to &lt; $600 million</w:t>
      </w:r>
      <w:r w:rsidR="008B6AC0" w:rsidRPr="008B6AC0" w:rsidDel="008B6AC0">
        <w:t xml:space="preserve"> </w:t>
      </w:r>
      <w:r w:rsidRPr="000858FD">
        <w:t xml:space="preserve">in the first 6 years of listing. </w:t>
      </w:r>
    </w:p>
    <w:p w14:paraId="601FC1DB" w14:textId="75F1B256" w:rsidR="00D42357" w:rsidRPr="000858FD" w:rsidRDefault="00387FF7" w:rsidP="00D244B6">
      <w:pPr>
        <w:pStyle w:val="3-BodyText"/>
      </w:pPr>
      <w:r w:rsidRPr="000858FD">
        <w:t>The submission relie</w:t>
      </w:r>
      <w:r w:rsidR="00A951B6" w:rsidRPr="000858FD">
        <w:t>d</w:t>
      </w:r>
      <w:r w:rsidRPr="000858FD">
        <w:t xml:space="preserve"> on the results </w:t>
      </w:r>
      <w:r w:rsidR="00E35B32" w:rsidRPr="000858FD">
        <w:t>from commissioned market research</w:t>
      </w:r>
      <w:r w:rsidRPr="000858FD">
        <w:t xml:space="preserve"> </w:t>
      </w:r>
      <w:r w:rsidR="00A951B6" w:rsidRPr="000858FD">
        <w:t>to re</w:t>
      </w:r>
      <w:r w:rsidR="001E6623" w:rsidRPr="000858FD">
        <w:noBreakHyphen/>
      </w:r>
      <w:r w:rsidR="00A951B6" w:rsidRPr="000858FD">
        <w:t xml:space="preserve">estimate </w:t>
      </w:r>
      <w:r w:rsidR="00521CBC" w:rsidRPr="000858FD">
        <w:t xml:space="preserve">the number of treated patients. The submission provided a copy of the survey questions and results </w:t>
      </w:r>
      <w:r w:rsidR="00904A11" w:rsidRPr="000858FD">
        <w:t xml:space="preserve">for each question separately </w:t>
      </w:r>
      <w:r w:rsidR="00521CBC" w:rsidRPr="000858FD">
        <w:t xml:space="preserve">as graphs and descriptive statistics. </w:t>
      </w:r>
      <w:r w:rsidR="00D42357" w:rsidRPr="000858FD">
        <w:t>The five questions asked by the survey were:</w:t>
      </w:r>
    </w:p>
    <w:p w14:paraId="2CEDD24E" w14:textId="0087B2B8" w:rsidR="00D42357" w:rsidRPr="000858FD" w:rsidRDefault="00032234" w:rsidP="00F71662">
      <w:pPr>
        <w:pStyle w:val="3-BodyText"/>
        <w:numPr>
          <w:ilvl w:val="0"/>
          <w:numId w:val="31"/>
        </w:numPr>
        <w:ind w:left="1134"/>
      </w:pPr>
      <w:r w:rsidRPr="000858FD">
        <w:t>How many pre-menopausal women aged at least 18 years old, with endometriosis are currently under your care</w:t>
      </w:r>
      <w:r w:rsidR="00942466" w:rsidRPr="000858FD">
        <w:t>.</w:t>
      </w:r>
    </w:p>
    <w:p w14:paraId="44A6EC34" w14:textId="18AB5926" w:rsidR="00943671" w:rsidRPr="000858FD" w:rsidRDefault="00943671" w:rsidP="00F71662">
      <w:pPr>
        <w:pStyle w:val="3-BodyText"/>
        <w:numPr>
          <w:ilvl w:val="0"/>
          <w:numId w:val="31"/>
        </w:numPr>
        <w:ind w:left="1134"/>
      </w:pPr>
      <w:r w:rsidRPr="000858FD">
        <w:t>Of these patients, how many have visually proven endometriosis and experience moderate to sever</w:t>
      </w:r>
      <w:r w:rsidR="00942466" w:rsidRPr="000858FD">
        <w:t>e pain from endometriosis.</w:t>
      </w:r>
    </w:p>
    <w:p w14:paraId="56DD3073" w14:textId="01B77A63" w:rsidR="00942466" w:rsidRPr="000858FD" w:rsidRDefault="00942466" w:rsidP="00F71662">
      <w:pPr>
        <w:pStyle w:val="3-BodyText"/>
        <w:numPr>
          <w:ilvl w:val="0"/>
          <w:numId w:val="31"/>
        </w:numPr>
        <w:ind w:left="1134"/>
      </w:pPr>
      <w:r w:rsidRPr="000858FD">
        <w:t>Of these patients, how many also meet all of the following criteria</w:t>
      </w:r>
    </w:p>
    <w:p w14:paraId="5ECECD23" w14:textId="62F2509E" w:rsidR="00942466" w:rsidRPr="000858FD" w:rsidRDefault="00E525D5" w:rsidP="00F71662">
      <w:pPr>
        <w:pStyle w:val="3-BodyText"/>
        <w:numPr>
          <w:ilvl w:val="1"/>
          <w:numId w:val="31"/>
        </w:numPr>
        <w:ind w:left="1701"/>
      </w:pPr>
      <w:r w:rsidRPr="000858FD">
        <w:lastRenderedPageBreak/>
        <w:t>Have not had surgery in the last three months</w:t>
      </w:r>
    </w:p>
    <w:p w14:paraId="2CD1E180" w14:textId="45FC6E9B" w:rsidR="00E525D5" w:rsidRPr="000858FD" w:rsidRDefault="00E525D5" w:rsidP="00F71662">
      <w:pPr>
        <w:pStyle w:val="3-BodyText"/>
        <w:numPr>
          <w:ilvl w:val="1"/>
          <w:numId w:val="31"/>
        </w:numPr>
        <w:ind w:left="1701"/>
      </w:pPr>
      <w:r w:rsidRPr="000858FD">
        <w:t>Do not have a history of (or currently have) either osteoporosis and/or risk of other metabolic bone disease</w:t>
      </w:r>
    </w:p>
    <w:p w14:paraId="21D373D9" w14:textId="09B6A0E7" w:rsidR="00ED6D07" w:rsidRPr="000858FD" w:rsidRDefault="00ED6D07" w:rsidP="00F71662">
      <w:pPr>
        <w:pStyle w:val="3-BodyText"/>
        <w:numPr>
          <w:ilvl w:val="1"/>
          <w:numId w:val="31"/>
        </w:numPr>
        <w:ind w:left="1701"/>
      </w:pPr>
      <w:r w:rsidRPr="000858FD">
        <w:t>Have responded inadequately to, or have been intolerant to, previous first line therapies for endometriosis including at least one of the following (i) hormonal contraceptives, (ii) analge</w:t>
      </w:r>
      <w:r w:rsidR="007B787C" w:rsidRPr="000858FD">
        <w:t>sics</w:t>
      </w:r>
    </w:p>
    <w:p w14:paraId="550FAA49" w14:textId="03D1E5D7" w:rsidR="007B787C" w:rsidRPr="000858FD" w:rsidRDefault="007B787C" w:rsidP="00F71662">
      <w:pPr>
        <w:pStyle w:val="3-BodyText"/>
        <w:numPr>
          <w:ilvl w:val="0"/>
          <w:numId w:val="31"/>
        </w:numPr>
        <w:ind w:left="1134"/>
      </w:pPr>
      <w:r w:rsidRPr="000858FD">
        <w:t>And of the above patients how many of these would you prescribe Ryeqo to</w:t>
      </w:r>
    </w:p>
    <w:p w14:paraId="66D233A5" w14:textId="6E75BB71" w:rsidR="00DD178F" w:rsidRPr="000858FD" w:rsidRDefault="00DD178F" w:rsidP="00F71662">
      <w:pPr>
        <w:pStyle w:val="3-BodyText"/>
        <w:numPr>
          <w:ilvl w:val="0"/>
          <w:numId w:val="31"/>
        </w:numPr>
        <w:ind w:left="1134"/>
      </w:pPr>
      <w:r w:rsidRPr="000858FD">
        <w:t>Please tell us your specialty. Options were:</w:t>
      </w:r>
    </w:p>
    <w:p w14:paraId="3AB0B78D" w14:textId="3F4D2935" w:rsidR="00DD178F" w:rsidRPr="000858FD" w:rsidRDefault="00DD178F" w:rsidP="00F71662">
      <w:pPr>
        <w:pStyle w:val="3-BodyText"/>
        <w:numPr>
          <w:ilvl w:val="1"/>
          <w:numId w:val="31"/>
        </w:numPr>
        <w:ind w:left="1701"/>
      </w:pPr>
      <w:r w:rsidRPr="000858FD">
        <w:t>Gynaecology</w:t>
      </w:r>
    </w:p>
    <w:p w14:paraId="474FF4C6" w14:textId="658AB560" w:rsidR="00DD178F" w:rsidRPr="000858FD" w:rsidRDefault="00DD178F" w:rsidP="00F71662">
      <w:pPr>
        <w:pStyle w:val="3-BodyText"/>
        <w:numPr>
          <w:ilvl w:val="1"/>
          <w:numId w:val="31"/>
        </w:numPr>
        <w:ind w:left="1701"/>
      </w:pPr>
      <w:r w:rsidRPr="000858FD">
        <w:t>Obste</w:t>
      </w:r>
      <w:r w:rsidR="00D30B38" w:rsidRPr="000858FD">
        <w:t>trics and gynaecology</w:t>
      </w:r>
    </w:p>
    <w:p w14:paraId="07F23521" w14:textId="4ED4412B" w:rsidR="00D30B38" w:rsidRPr="000858FD" w:rsidRDefault="00D30B38" w:rsidP="00F71662">
      <w:pPr>
        <w:pStyle w:val="ListParagraph"/>
        <w:numPr>
          <w:ilvl w:val="1"/>
          <w:numId w:val="31"/>
        </w:numPr>
        <w:ind w:left="1701"/>
        <w:jc w:val="both"/>
        <w:rPr>
          <w:rFonts w:eastAsiaTheme="minorHAnsi" w:cstheme="minorBidi"/>
          <w:snapToGrid/>
          <w:szCs w:val="22"/>
        </w:rPr>
      </w:pPr>
      <w:r w:rsidRPr="000858FD">
        <w:rPr>
          <w:rFonts w:eastAsiaTheme="minorHAnsi" w:cstheme="minorBidi"/>
          <w:snapToGrid/>
          <w:szCs w:val="22"/>
        </w:rPr>
        <w:t>Gynaecological oncology</w:t>
      </w:r>
    </w:p>
    <w:p w14:paraId="6933E284" w14:textId="506B39F0" w:rsidR="00D30B38" w:rsidRPr="000858FD" w:rsidRDefault="00D30B38" w:rsidP="00F71662">
      <w:pPr>
        <w:pStyle w:val="ListParagraph"/>
        <w:numPr>
          <w:ilvl w:val="1"/>
          <w:numId w:val="31"/>
        </w:numPr>
        <w:ind w:left="1701"/>
        <w:rPr>
          <w:rFonts w:eastAsiaTheme="minorHAnsi" w:cstheme="minorBidi"/>
          <w:snapToGrid/>
          <w:szCs w:val="22"/>
        </w:rPr>
      </w:pPr>
      <w:r w:rsidRPr="000858FD">
        <w:rPr>
          <w:rFonts w:eastAsiaTheme="minorHAnsi" w:cstheme="minorBidi"/>
          <w:snapToGrid/>
          <w:szCs w:val="22"/>
        </w:rPr>
        <w:t>General Practice</w:t>
      </w:r>
    </w:p>
    <w:p w14:paraId="2DA8EE32" w14:textId="11EDB181" w:rsidR="00D30B38" w:rsidRPr="000858FD" w:rsidRDefault="00D30B38" w:rsidP="00F71662">
      <w:pPr>
        <w:pStyle w:val="ListParagraph"/>
        <w:numPr>
          <w:ilvl w:val="1"/>
          <w:numId w:val="31"/>
        </w:numPr>
        <w:ind w:left="1701"/>
        <w:rPr>
          <w:rFonts w:eastAsiaTheme="minorHAnsi" w:cstheme="minorBidi"/>
          <w:snapToGrid/>
          <w:szCs w:val="22"/>
        </w:rPr>
      </w:pPr>
      <w:r w:rsidRPr="000858FD">
        <w:rPr>
          <w:rFonts w:eastAsiaTheme="minorHAnsi" w:cstheme="minorBidi"/>
          <w:snapToGrid/>
          <w:szCs w:val="22"/>
        </w:rPr>
        <w:t>Other (please specify)</w:t>
      </w:r>
    </w:p>
    <w:p w14:paraId="4E6E79FC" w14:textId="6AAF882B" w:rsidR="006D7402" w:rsidRPr="000858FD" w:rsidRDefault="00521CBC" w:rsidP="00D244B6">
      <w:pPr>
        <w:pStyle w:val="3-BodyText"/>
      </w:pPr>
      <w:r w:rsidRPr="000858FD">
        <w:t xml:space="preserve">The </w:t>
      </w:r>
      <w:r w:rsidR="00C91617" w:rsidRPr="000858FD">
        <w:t xml:space="preserve">questions appear reasonable, however the </w:t>
      </w:r>
      <w:r w:rsidRPr="000858FD">
        <w:t>submission did not provide any information regarding possible or actual conflicts of interest</w:t>
      </w:r>
      <w:r w:rsidR="00E20583" w:rsidRPr="000858FD">
        <w:t xml:space="preserve"> of those surveyed</w:t>
      </w:r>
      <w:r w:rsidR="00B90876" w:rsidRPr="000858FD">
        <w:t xml:space="preserve">, </w:t>
      </w:r>
      <w:r w:rsidR="00E20583" w:rsidRPr="000858FD">
        <w:t>and it did not ask if they were already familiar with R</w:t>
      </w:r>
      <w:r w:rsidR="00F82826" w:rsidRPr="000858FD">
        <w:t>ye</w:t>
      </w:r>
      <w:r w:rsidR="003F2151" w:rsidRPr="000858FD">
        <w:t xml:space="preserve">qo. </w:t>
      </w:r>
      <w:r w:rsidR="00342199" w:rsidRPr="000858FD">
        <w:t xml:space="preserve">In recommending Ryeqo, PBAC (March 2024) agreed with the submission that gynaecologists’ perceptions would be skewed towards estimating a higher proportion </w:t>
      </w:r>
      <w:r w:rsidR="00BE6737" w:rsidRPr="000858FD">
        <w:t>of patients experienc</w:t>
      </w:r>
      <w:r w:rsidR="00921EA0" w:rsidRPr="000858FD">
        <w:t>ing</w:t>
      </w:r>
      <w:r w:rsidR="00BE6737" w:rsidRPr="000858FD">
        <w:t xml:space="preserve"> moderate to severe pain</w:t>
      </w:r>
      <w:r w:rsidR="00CA1FE0" w:rsidRPr="000858FD">
        <w:t xml:space="preserve">. </w:t>
      </w:r>
      <w:r w:rsidR="00B772C4" w:rsidRPr="000858FD">
        <w:t xml:space="preserve">The submission </w:t>
      </w:r>
      <w:r w:rsidR="00502CBA" w:rsidRPr="000858FD">
        <w:t xml:space="preserve">provided the mean result for </w:t>
      </w:r>
      <w:r w:rsidR="00C91617" w:rsidRPr="000858FD">
        <w:t xml:space="preserve">each question for </w:t>
      </w:r>
      <w:r w:rsidR="00502CBA" w:rsidRPr="000858FD">
        <w:t xml:space="preserve">all responders to the survey and </w:t>
      </w:r>
      <w:r w:rsidR="00B772C4" w:rsidRPr="000858FD">
        <w:t xml:space="preserve">did not note </w:t>
      </w:r>
      <w:r w:rsidR="00C91617" w:rsidRPr="000858FD">
        <w:t xml:space="preserve">whether there were </w:t>
      </w:r>
      <w:r w:rsidR="006D7402" w:rsidRPr="000858FD">
        <w:t>differences between</w:t>
      </w:r>
      <w:r w:rsidR="00502CBA" w:rsidRPr="000858FD">
        <w:t xml:space="preserve"> </w:t>
      </w:r>
      <w:r w:rsidR="006D7402" w:rsidRPr="000858FD">
        <w:t>results for different specialties.</w:t>
      </w:r>
    </w:p>
    <w:p w14:paraId="2D395234" w14:textId="142A8275" w:rsidR="00387FF7" w:rsidRPr="000858FD" w:rsidRDefault="00DD359D" w:rsidP="00D244B6">
      <w:pPr>
        <w:pStyle w:val="3-BodyText"/>
      </w:pPr>
      <w:r w:rsidRPr="000858FD">
        <w:t xml:space="preserve">The submission noted that the patient organisation for those living with endometriosis and pelvic pain, QENDO, recently conducted a national survey, which noted that 95% of patients would utilise new treatments if available on the </w:t>
      </w:r>
      <w:r w:rsidR="00142F6B" w:rsidRPr="000858FD">
        <w:t>PBS</w:t>
      </w:r>
      <w:r w:rsidRPr="000858FD">
        <w:t xml:space="preserve"> (Appendix 4 of the submission). The </w:t>
      </w:r>
      <w:r w:rsidR="00531568" w:rsidRPr="000858FD">
        <w:t xml:space="preserve">results of this survey were provided as a </w:t>
      </w:r>
      <w:r w:rsidR="002D7A86" w:rsidRPr="000858FD">
        <w:t>four page summary</w:t>
      </w:r>
      <w:r w:rsidR="00C46816" w:rsidRPr="000858FD">
        <w:t xml:space="preserve">, including the result that 95% of patients would utilise new treatments if available on the </w:t>
      </w:r>
      <w:r w:rsidR="00142F6B" w:rsidRPr="000858FD">
        <w:t>PBS</w:t>
      </w:r>
      <w:r w:rsidR="00C46816" w:rsidRPr="000858FD">
        <w:t>. The submission did not include any</w:t>
      </w:r>
      <w:r w:rsidR="002D7A86" w:rsidRPr="000858FD">
        <w:t xml:space="preserve"> </w:t>
      </w:r>
      <w:r w:rsidR="00E35B32" w:rsidRPr="000858FD">
        <w:t xml:space="preserve">details about the </w:t>
      </w:r>
      <w:r w:rsidRPr="000858FD">
        <w:t xml:space="preserve">methods </w:t>
      </w:r>
      <w:r w:rsidR="00A66C87" w:rsidRPr="000858FD">
        <w:t>or the</w:t>
      </w:r>
      <w:r w:rsidRPr="000858FD">
        <w:t xml:space="preserve"> questions </w:t>
      </w:r>
      <w:r w:rsidR="009E75AD" w:rsidRPr="000858FD">
        <w:t xml:space="preserve">asked </w:t>
      </w:r>
      <w:r w:rsidR="00CD45E0" w:rsidRPr="000858FD">
        <w:t>during</w:t>
      </w:r>
      <w:r w:rsidR="009E75AD" w:rsidRPr="000858FD">
        <w:t xml:space="preserve"> the</w:t>
      </w:r>
      <w:r w:rsidR="00CD45E0" w:rsidRPr="000858FD">
        <w:t xml:space="preserve"> survey</w:t>
      </w:r>
      <w:r w:rsidRPr="000858FD">
        <w:t>.</w:t>
      </w:r>
      <w:r w:rsidR="00182B73" w:rsidRPr="000858FD">
        <w:t xml:space="preserve"> It is likely that </w:t>
      </w:r>
      <w:r w:rsidR="00A33BE0" w:rsidRPr="000858FD">
        <w:t xml:space="preserve">a high proportion of responders would agree that they would </w:t>
      </w:r>
      <w:r w:rsidR="00142F6B" w:rsidRPr="000858FD">
        <w:t xml:space="preserve">utilise new treatments available on the PBS if they are not given any </w:t>
      </w:r>
      <w:r w:rsidR="00CD45E0" w:rsidRPr="000858FD">
        <w:t xml:space="preserve">further </w:t>
      </w:r>
      <w:r w:rsidR="00142F6B" w:rsidRPr="000858FD">
        <w:t xml:space="preserve">information regarding the </w:t>
      </w:r>
      <w:r w:rsidR="009048B0" w:rsidRPr="000858FD">
        <w:t xml:space="preserve">number of treatments they would </w:t>
      </w:r>
      <w:r w:rsidR="008A6439" w:rsidRPr="000858FD">
        <w:t xml:space="preserve">be </w:t>
      </w:r>
      <w:r w:rsidR="009048B0" w:rsidRPr="000858FD">
        <w:t>allowed in their lifetime</w:t>
      </w:r>
      <w:r w:rsidR="00F82826" w:rsidRPr="000858FD">
        <w:t>, however it is unlikely that the uptake of Ryeqo would be as high as 95% in practice.</w:t>
      </w:r>
    </w:p>
    <w:p w14:paraId="0C6C3687" w14:textId="06D8A073" w:rsidR="00901660" w:rsidRPr="000858FD" w:rsidRDefault="00C947DF" w:rsidP="00606FBA">
      <w:pPr>
        <w:pStyle w:val="3-BodyText"/>
      </w:pPr>
      <w:r w:rsidRPr="000858FD">
        <w:t>The submission estimate</w:t>
      </w:r>
      <w:r w:rsidR="00E31D2B" w:rsidRPr="000858FD">
        <w:t>d the net cost to PBS/RPBS</w:t>
      </w:r>
      <w:r w:rsidR="00570A6C" w:rsidRPr="000858FD">
        <w:t xml:space="preserve"> to be </w:t>
      </w:r>
      <w:r w:rsidR="00E747DE" w:rsidRPr="008B6AC0">
        <w:t>$500 million to &lt; $600 million</w:t>
      </w:r>
      <w:r w:rsidR="00E747DE" w:rsidRPr="008B6AC0" w:rsidDel="008B6AC0">
        <w:t xml:space="preserve"> </w:t>
      </w:r>
      <w:r w:rsidR="00570A6C" w:rsidRPr="000858FD">
        <w:t>over 6 years</w:t>
      </w:r>
      <w:r w:rsidR="006A0E34" w:rsidRPr="000858FD">
        <w:t xml:space="preserve">, which was a substantial increase from the PBAC </w:t>
      </w:r>
      <w:r w:rsidR="00A67AE5" w:rsidRPr="000858FD">
        <w:t>revised</w:t>
      </w:r>
      <w:r w:rsidR="006A0E34" w:rsidRPr="000858FD">
        <w:t xml:space="preserve"> estimate of </w:t>
      </w:r>
      <w:r w:rsidR="00D7255F" w:rsidRPr="00D7255F">
        <w:t>$90 million to &lt; $100 million</w:t>
      </w:r>
      <w:r w:rsidR="00D7255F" w:rsidRPr="00D7255F" w:rsidDel="00D7255F">
        <w:t xml:space="preserve"> </w:t>
      </w:r>
      <w:r w:rsidR="006A0E34" w:rsidRPr="000858FD">
        <w:t xml:space="preserve">over </w:t>
      </w:r>
      <w:r w:rsidR="00F54360" w:rsidRPr="000858FD">
        <w:t>6 years.</w:t>
      </w:r>
      <w:r w:rsidRPr="000858FD">
        <w:t xml:space="preserve"> </w:t>
      </w:r>
      <w:r w:rsidR="00F54360" w:rsidRPr="000858FD">
        <w:t xml:space="preserve">The </w:t>
      </w:r>
      <w:r w:rsidR="009C01E8" w:rsidRPr="000858FD">
        <w:t xml:space="preserve">increase of 4-8% </w:t>
      </w:r>
      <w:r w:rsidR="00F83FE2" w:rsidRPr="000858FD">
        <w:t xml:space="preserve">in overall eligibility </w:t>
      </w:r>
      <w:r w:rsidR="002839FD" w:rsidRPr="000858FD">
        <w:t xml:space="preserve">of prevalent patients </w:t>
      </w:r>
      <w:r w:rsidR="00FA3151" w:rsidRPr="000858FD">
        <w:t>contribute</w:t>
      </w:r>
      <w:r w:rsidR="00BF3C91">
        <w:t xml:space="preserve">d to the </w:t>
      </w:r>
      <w:r w:rsidR="00991F62" w:rsidRPr="00991F62">
        <w:t>increased estimates</w:t>
      </w:r>
      <w:r w:rsidR="00FA3151" w:rsidRPr="000858FD">
        <w:t>, but t</w:t>
      </w:r>
      <w:r w:rsidR="00C85419" w:rsidRPr="000858FD">
        <w:t xml:space="preserve">he difference in financial estimates is largely </w:t>
      </w:r>
      <w:r w:rsidR="00AA37B2" w:rsidRPr="000858FD">
        <w:t xml:space="preserve">due </w:t>
      </w:r>
      <w:r w:rsidR="00C85419" w:rsidRPr="000858FD">
        <w:t xml:space="preserve">to the increased uptake </w:t>
      </w:r>
      <w:r w:rsidR="00C66F9B" w:rsidRPr="000858FD">
        <w:t xml:space="preserve">rates </w:t>
      </w:r>
      <w:r w:rsidR="00C85419" w:rsidRPr="000858FD">
        <w:t>applied.</w:t>
      </w:r>
    </w:p>
    <w:p w14:paraId="6F66E9DF" w14:textId="7723819E" w:rsidR="00BE3230" w:rsidRDefault="00F82311" w:rsidP="00752210">
      <w:pPr>
        <w:pStyle w:val="3-BodyText"/>
      </w:pPr>
      <w:r w:rsidRPr="000858FD">
        <w:lastRenderedPageBreak/>
        <w:t>The submission has claimed cost offsets from goserelin</w:t>
      </w:r>
      <w:r w:rsidR="00FA34DC" w:rsidRPr="000858FD">
        <w:t xml:space="preserve">, </w:t>
      </w:r>
      <w:r w:rsidRPr="000858FD">
        <w:t>nafarelin</w:t>
      </w:r>
      <w:r w:rsidR="0099625B" w:rsidRPr="000858FD">
        <w:t xml:space="preserve"> and </w:t>
      </w:r>
      <w:r w:rsidR="00463C32" w:rsidRPr="000858FD">
        <w:t>l</w:t>
      </w:r>
      <w:r w:rsidR="00FA34DC" w:rsidRPr="000858FD">
        <w:t xml:space="preserve">evonorgestrel </w:t>
      </w:r>
      <w:r w:rsidR="00463C32" w:rsidRPr="000858FD">
        <w:t>plus</w:t>
      </w:r>
      <w:r w:rsidR="00FA34DC" w:rsidRPr="000858FD">
        <w:t xml:space="preserve"> ethinylestradiol</w:t>
      </w:r>
      <w:r w:rsidR="00834C7D" w:rsidRPr="000858FD">
        <w:t>,</w:t>
      </w:r>
      <w:r w:rsidR="009163BE" w:rsidRPr="000858FD">
        <w:t xml:space="preserve"> and did not include cost offsets from analgesics</w:t>
      </w:r>
      <w:r w:rsidR="00463C32" w:rsidRPr="000858FD">
        <w:t xml:space="preserve">. The </w:t>
      </w:r>
      <w:r w:rsidR="00E827C7" w:rsidRPr="000858FD">
        <w:t>submission noted that i</w:t>
      </w:r>
      <w:r w:rsidR="006C38BE" w:rsidRPr="000858FD">
        <w:t>t was assumed that</w:t>
      </w:r>
      <w:r w:rsidR="00FA6019" w:rsidRPr="000858FD">
        <w:t>, “</w:t>
      </w:r>
      <w:r w:rsidR="006C38BE" w:rsidRPr="000858FD">
        <w:t>11% of the total eligible population for Ryeqo would no longer use goserelin/nafarelin.</w:t>
      </w:r>
      <w:r w:rsidR="0036250B" w:rsidRPr="000858FD">
        <w:t xml:space="preserve"> </w:t>
      </w:r>
      <w:r w:rsidR="006C38BE" w:rsidRPr="000858FD">
        <w:t xml:space="preserve">The </w:t>
      </w:r>
      <w:r w:rsidR="0036250B" w:rsidRPr="000858FD">
        <w:t xml:space="preserve">estimate of </w:t>
      </w:r>
      <w:r w:rsidR="006C38BE" w:rsidRPr="000858FD">
        <w:t xml:space="preserve">11% was based on the PBAC's comment that '…the offsets should be reduced to be consistent with the current PBS usage of GnRH therapy for endometriosis and hence to account for additional patients accessing treatment.' </w:t>
      </w:r>
      <w:r w:rsidR="000D50C8" w:rsidRPr="000858FD">
        <w:t>(</w:t>
      </w:r>
      <w:r w:rsidR="00605440">
        <w:t>P</w:t>
      </w:r>
      <w:r w:rsidR="006C38BE" w:rsidRPr="000858FD">
        <w:t>ar</w:t>
      </w:r>
      <w:r w:rsidR="00605440">
        <w:t>agraph</w:t>
      </w:r>
      <w:r w:rsidR="006C38BE" w:rsidRPr="000858FD">
        <w:t xml:space="preserve"> 6.82</w:t>
      </w:r>
      <w:r w:rsidR="00605440">
        <w:t>,</w:t>
      </w:r>
      <w:r w:rsidR="00605440" w:rsidRPr="00605440">
        <w:t xml:space="preserve"> </w:t>
      </w:r>
      <w:r w:rsidR="00605440">
        <w:t>relugolix with estradiol and with norethisterone acetate</w:t>
      </w:r>
      <w:r w:rsidR="00605440" w:rsidRPr="004532C5">
        <w:t xml:space="preserve">, </w:t>
      </w:r>
      <w:r w:rsidR="00605440">
        <w:t>PSD</w:t>
      </w:r>
      <w:r w:rsidR="00605440" w:rsidRPr="004532C5">
        <w:t xml:space="preserve">, </w:t>
      </w:r>
      <w:r w:rsidR="00605440">
        <w:t>March 2024</w:t>
      </w:r>
      <w:r w:rsidR="00605440" w:rsidRPr="004532C5">
        <w:t xml:space="preserve"> PBAC meeting</w:t>
      </w:r>
      <w:r w:rsidR="000D50C8" w:rsidRPr="000858FD">
        <w:t>)</w:t>
      </w:r>
      <w:r w:rsidR="00605440">
        <w:t>.</w:t>
      </w:r>
      <w:r w:rsidR="000D50C8" w:rsidRPr="000858FD">
        <w:t xml:space="preserve"> </w:t>
      </w:r>
      <w:r w:rsidR="006C38BE" w:rsidRPr="000858FD">
        <w:t>Specifically, applying 11% to the treated population gives a total number of prescriptions for goserelin that aligns with those dispensed for endometriosis through the PBS.</w:t>
      </w:r>
      <w:r w:rsidR="009A6E36" w:rsidRPr="000858FD">
        <w:t xml:space="preserve"> </w:t>
      </w:r>
      <w:r w:rsidR="006C38BE" w:rsidRPr="000858FD">
        <w:t>Noting that the original submission estimated that only 15% of all PBS prescriptions for goserelin were for endometriosis</w:t>
      </w:r>
      <w:r w:rsidR="00FA6019" w:rsidRPr="000858FD">
        <w:t>”</w:t>
      </w:r>
      <w:r w:rsidR="009A6E36" w:rsidRPr="000858FD">
        <w:t>. (</w:t>
      </w:r>
      <w:r w:rsidR="009825DE" w:rsidRPr="000858FD">
        <w:t>Section 4 spreadsheet, ‘4a. Scripts – affected, rows 431 to 436).</w:t>
      </w:r>
      <w:r w:rsidR="001F57CA" w:rsidRPr="000858FD">
        <w:t xml:space="preserve"> As the </w:t>
      </w:r>
      <w:r w:rsidR="00BE3230" w:rsidRPr="000858FD">
        <w:t xml:space="preserve">PBS listing for </w:t>
      </w:r>
      <w:r w:rsidR="001F57CA" w:rsidRPr="000858FD">
        <w:t xml:space="preserve">goserelin </w:t>
      </w:r>
      <w:r w:rsidR="00BE3230" w:rsidRPr="000858FD">
        <w:t>is a Restricted Benefit for carcinoma of the prostate</w:t>
      </w:r>
      <w:r w:rsidR="00743366" w:rsidRPr="000858FD">
        <w:t>, breast cancer, e</w:t>
      </w:r>
      <w:r w:rsidR="00BE3230" w:rsidRPr="000858FD">
        <w:t>ndometriosis</w:t>
      </w:r>
      <w:r w:rsidR="00743366" w:rsidRPr="000858FD">
        <w:t>, and a</w:t>
      </w:r>
      <w:r w:rsidR="00BE3230" w:rsidRPr="000858FD">
        <w:t>nticipated premature ovarian failure</w:t>
      </w:r>
      <w:r w:rsidR="00743366" w:rsidRPr="000858FD">
        <w:t xml:space="preserve">, it is unclear </w:t>
      </w:r>
      <w:r w:rsidR="00EB5258" w:rsidRPr="000858FD">
        <w:t>how the submission determined</w:t>
      </w:r>
      <w:r w:rsidR="00870D20" w:rsidRPr="000858FD">
        <w:t xml:space="preserve"> how many prescriptions of goserelin were </w:t>
      </w:r>
      <w:r w:rsidR="00DB4520" w:rsidRPr="000858FD">
        <w:t>dispensed for endometriosis</w:t>
      </w:r>
      <w:r w:rsidR="00870D20" w:rsidRPr="000858FD">
        <w:t>.</w:t>
      </w:r>
    </w:p>
    <w:p w14:paraId="4B146FD8" w14:textId="0F48F00E" w:rsidR="0070187A" w:rsidRDefault="0070187A" w:rsidP="00752210">
      <w:pPr>
        <w:pStyle w:val="3-BodyText"/>
      </w:pPr>
      <w:r w:rsidRPr="0070187A">
        <w:t xml:space="preserve">At year 6, the estimated number of </w:t>
      </w:r>
      <w:r w:rsidR="00A53C59">
        <w:t xml:space="preserve">initiating </w:t>
      </w:r>
      <w:r w:rsidRPr="0070187A">
        <w:t xml:space="preserve">patients was </w:t>
      </w:r>
      <w:r w:rsidR="00B66F4E" w:rsidRPr="00B66F4E">
        <w:t>20,000 to &lt; 30,000</w:t>
      </w:r>
      <w:r w:rsidR="007E54AC">
        <w:t xml:space="preserve"> </w:t>
      </w:r>
      <w:r w:rsidRPr="0070187A">
        <w:t xml:space="preserve">and the net cost to the PBS would be </w:t>
      </w:r>
      <w:r w:rsidR="00371D6D" w:rsidRPr="00371D6D">
        <w:t>$70 million to &lt; $80 million</w:t>
      </w:r>
      <w:r w:rsidRPr="0070187A">
        <w:t>.</w:t>
      </w:r>
    </w:p>
    <w:p w14:paraId="4CA4ABA6" w14:textId="45ABB4D2" w:rsidR="000858FD" w:rsidRPr="000858FD" w:rsidRDefault="000858FD" w:rsidP="009041C4">
      <w:pPr>
        <w:pStyle w:val="3-BodyText"/>
        <w:numPr>
          <w:ilvl w:val="0"/>
          <w:numId w:val="0"/>
        </w:numPr>
        <w:ind w:left="720"/>
        <w:rPr>
          <w:i/>
          <w:iCs/>
        </w:rPr>
      </w:pPr>
      <w:r w:rsidRPr="000858FD">
        <w:rPr>
          <w:i/>
          <w:iCs/>
        </w:rPr>
        <w:t>For more detail on PBAC’s view, see section 7 PBAC outcome.</w:t>
      </w:r>
    </w:p>
    <w:p w14:paraId="2238DEE9" w14:textId="3E6A228B" w:rsidR="00576972" w:rsidRPr="0098262F" w:rsidRDefault="00576972" w:rsidP="00606FBA">
      <w:pPr>
        <w:pStyle w:val="4-SubsectionHeading"/>
      </w:pPr>
      <w:bookmarkStart w:id="25" w:name="_Toc22897648"/>
      <w:bookmarkStart w:id="26" w:name="_Toc177553037"/>
      <w:r w:rsidRPr="0098262F">
        <w:t>Quality Use of Medicines</w:t>
      </w:r>
      <w:bookmarkEnd w:id="25"/>
      <w:bookmarkEnd w:id="26"/>
    </w:p>
    <w:p w14:paraId="34E1835D" w14:textId="77777777" w:rsidR="007501AD" w:rsidRPr="00421615" w:rsidRDefault="007501AD" w:rsidP="007501AD">
      <w:pPr>
        <w:pStyle w:val="3-BodyText"/>
      </w:pPr>
      <w:r w:rsidRPr="00421615">
        <w:t>No quality use of medicines issues were identified in the submission and no QUM activities were proposed in the submission. DUSC commented that patients should understand the implications of BMD loss before initiating Ryeqo treatment.</w:t>
      </w:r>
    </w:p>
    <w:p w14:paraId="4A794919" w14:textId="77777777" w:rsidR="007501AD" w:rsidRPr="00421615" w:rsidRDefault="007501AD" w:rsidP="007501AD">
      <w:pPr>
        <w:pStyle w:val="3-BodyText"/>
      </w:pPr>
      <w:r w:rsidRPr="00421615">
        <w:t xml:space="preserve">DUSC also noted the submission did not propose a treatment pathway for patients following 24 months of Ryeqo treatment, given Ryeqo only manages the symptoms of pain. </w:t>
      </w:r>
    </w:p>
    <w:p w14:paraId="38BD0AEF" w14:textId="4713446E" w:rsidR="00576972" w:rsidRPr="0095579D" w:rsidRDefault="007501AD" w:rsidP="00606FBA">
      <w:pPr>
        <w:pStyle w:val="3-BodyText"/>
      </w:pPr>
      <w:r w:rsidRPr="0095579D">
        <w:t xml:space="preserve">The submission did not provide any further information regarding </w:t>
      </w:r>
      <w:r w:rsidR="0095579D" w:rsidRPr="0095579D">
        <w:t>QUM.</w:t>
      </w:r>
    </w:p>
    <w:p w14:paraId="6015A395" w14:textId="2EDB6A4E" w:rsidR="00576972" w:rsidRPr="0098262F" w:rsidRDefault="00576972" w:rsidP="00606FBA">
      <w:pPr>
        <w:pStyle w:val="4-SubsectionHeading"/>
      </w:pPr>
      <w:bookmarkStart w:id="27" w:name="_Toc22897649"/>
      <w:bookmarkStart w:id="28" w:name="_Toc177553038"/>
      <w:r w:rsidRPr="0098262F">
        <w:t>Financial Management – Risk Sharing Arrangements</w:t>
      </w:r>
      <w:bookmarkEnd w:id="27"/>
      <w:bookmarkEnd w:id="28"/>
    </w:p>
    <w:p w14:paraId="25BA2464" w14:textId="10511996" w:rsidR="00894CD6" w:rsidRPr="00082CA0" w:rsidRDefault="00504C44" w:rsidP="00082CA0">
      <w:pPr>
        <w:pStyle w:val="3-BodyText"/>
      </w:pPr>
      <w:r w:rsidRPr="00082CA0">
        <w:t xml:space="preserve">The PBAC </w:t>
      </w:r>
      <w:r w:rsidR="00A54B20">
        <w:t xml:space="preserve">(March 2024) </w:t>
      </w:r>
      <w:r w:rsidRPr="00082CA0">
        <w:t xml:space="preserve">advised that additional revisions to prevalence and uptake were required as well as a risk sharing arrangement (RSA) with </w:t>
      </w:r>
      <w:r w:rsidR="009B407F" w:rsidRPr="00D87A8D">
        <w:rPr>
          <w:color w:val="000000"/>
          <w:w w:val="15"/>
          <w:shd w:val="solid" w:color="000000" w:fill="000000"/>
          <w:fitText w:val="-20" w:id="-762061559"/>
          <w14:textFill>
            <w14:solidFill>
              <w14:srgbClr w14:val="000000">
                <w14:alpha w14:val="100000"/>
              </w14:srgbClr>
            </w14:solidFill>
          </w14:textFill>
        </w:rPr>
        <w:t xml:space="preserve">|  </w:t>
      </w:r>
      <w:r w:rsidR="009B407F" w:rsidRPr="00D87A8D">
        <w:rPr>
          <w:color w:val="000000"/>
          <w:spacing w:val="-69"/>
          <w:w w:val="15"/>
          <w:shd w:val="solid" w:color="000000" w:fill="000000"/>
          <w:fitText w:val="-20" w:id="-762061559"/>
          <w14:textFill>
            <w14:solidFill>
              <w14:srgbClr w14:val="000000">
                <w14:alpha w14:val="100000"/>
              </w14:srgbClr>
            </w14:solidFill>
          </w14:textFill>
        </w:rPr>
        <w:t>|</w:t>
      </w:r>
      <w:r w:rsidRPr="00082CA0">
        <w:t>% caps to manage the uncertainties in the financial estimates.</w:t>
      </w:r>
      <w:r w:rsidR="003478EA">
        <w:t xml:space="preserve"> </w:t>
      </w:r>
    </w:p>
    <w:p w14:paraId="69550FEB" w14:textId="74001C47" w:rsidR="00317ABA" w:rsidRDefault="0047216C" w:rsidP="00D63E4D">
      <w:pPr>
        <w:pStyle w:val="3-BodyText"/>
      </w:pPr>
      <w:r>
        <w:t xml:space="preserve">The submission noted that the </w:t>
      </w:r>
      <w:r w:rsidR="00C41E6E" w:rsidRPr="00C41E6E">
        <w:t xml:space="preserve">PBAC’s proposed expenditure caps ensures that all the financial risk of a mean treatment duration longer than 2 years is carried by </w:t>
      </w:r>
      <w:r w:rsidR="00C41E6E">
        <w:t>the sponsor</w:t>
      </w:r>
      <w:r w:rsidR="00FF3B5E">
        <w:t xml:space="preserve">, and stated that this is </w:t>
      </w:r>
      <w:r w:rsidR="00F6382F">
        <w:t xml:space="preserve">a </w:t>
      </w:r>
      <w:r w:rsidR="00F6382F" w:rsidRPr="00F6382F">
        <w:t xml:space="preserve">level of risk that </w:t>
      </w:r>
      <w:r w:rsidR="00F6382F">
        <w:t>the sponsor</w:t>
      </w:r>
      <w:r w:rsidR="00F6382F" w:rsidRPr="00F6382F">
        <w:t xml:space="preserve"> cannot accept as it jeopardizes the long-term commercial viability of Ryeqo as well as the company</w:t>
      </w:r>
      <w:r w:rsidR="00C41E6E">
        <w:t>.</w:t>
      </w:r>
      <w:r w:rsidR="000672AB">
        <w:t xml:space="preserve"> </w:t>
      </w:r>
      <w:r w:rsidR="00F71D1E">
        <w:t xml:space="preserve">The </w:t>
      </w:r>
      <w:r w:rsidR="0013656B">
        <w:t>submission</w:t>
      </w:r>
      <w:r w:rsidR="00F71D1E">
        <w:t xml:space="preserve"> suggested it would be </w:t>
      </w:r>
      <w:r w:rsidR="0013656B" w:rsidRPr="0013656B">
        <w:t xml:space="preserve">appropriate for </w:t>
      </w:r>
      <w:r w:rsidR="0013656B">
        <w:t>the sponsor</w:t>
      </w:r>
      <w:r w:rsidR="0013656B" w:rsidRPr="0013656B">
        <w:t xml:space="preserve"> and the PBAC to agree on a likely mean duration of treatment and revise the expenditure caps accordingly. However, </w:t>
      </w:r>
      <w:r w:rsidR="003758BC">
        <w:t xml:space="preserve">the submission noted </w:t>
      </w:r>
      <w:r w:rsidR="0013656B" w:rsidRPr="0013656B">
        <w:t xml:space="preserve">there are currently no clinical trial data or real-world evidence globally that may be used to determine a reasonable estimate of the mean </w:t>
      </w:r>
      <w:r w:rsidR="0013656B" w:rsidRPr="0013656B">
        <w:lastRenderedPageBreak/>
        <w:t>duration of treatment.</w:t>
      </w:r>
      <w:r w:rsidR="001914F6">
        <w:t xml:space="preserve"> The sponsor therefore </w:t>
      </w:r>
      <w:r w:rsidR="00B72DCC">
        <w:t xml:space="preserve">proposed an additional clinical criterion be added to the PBS restriction to limit lifetime treatment to </w:t>
      </w:r>
      <w:r w:rsidR="00317ABA">
        <w:t xml:space="preserve">24 months, and </w:t>
      </w:r>
      <w:r w:rsidR="00BF1740">
        <w:t xml:space="preserve">that the rebate beyond the caps be changed from </w:t>
      </w:r>
      <w:r w:rsidR="009B407F" w:rsidRPr="00D87A8D">
        <w:rPr>
          <w:color w:val="000000"/>
          <w:w w:val="15"/>
          <w:shd w:val="solid" w:color="000000" w:fill="000000"/>
          <w:fitText w:val="-20" w:id="-762061558"/>
          <w14:textFill>
            <w14:solidFill>
              <w14:srgbClr w14:val="000000">
                <w14:alpha w14:val="100000"/>
              </w14:srgbClr>
            </w14:solidFill>
          </w14:textFill>
        </w:rPr>
        <w:t xml:space="preserve">|  </w:t>
      </w:r>
      <w:r w:rsidR="009B407F" w:rsidRPr="00D87A8D">
        <w:rPr>
          <w:color w:val="000000"/>
          <w:spacing w:val="-69"/>
          <w:w w:val="15"/>
          <w:shd w:val="solid" w:color="000000" w:fill="000000"/>
          <w:fitText w:val="-20" w:id="-762061558"/>
          <w14:textFill>
            <w14:solidFill>
              <w14:srgbClr w14:val="000000">
                <w14:alpha w14:val="100000"/>
              </w14:srgbClr>
            </w14:solidFill>
          </w14:textFill>
        </w:rPr>
        <w:t>|</w:t>
      </w:r>
      <w:r w:rsidR="00BF1740">
        <w:t xml:space="preserve">% </w:t>
      </w:r>
      <w:r w:rsidR="00BF1740" w:rsidRPr="008754B2">
        <w:t xml:space="preserve">to </w:t>
      </w:r>
      <w:r w:rsidR="009B407F" w:rsidRPr="00D87A8D">
        <w:rPr>
          <w:color w:val="000000"/>
          <w:w w:val="15"/>
          <w:shd w:val="solid" w:color="000000" w:fill="000000"/>
          <w:fitText w:val="-20" w:id="-762061557"/>
          <w14:textFill>
            <w14:solidFill>
              <w14:srgbClr w14:val="000000">
                <w14:alpha w14:val="100000"/>
              </w14:srgbClr>
            </w14:solidFill>
          </w14:textFill>
        </w:rPr>
        <w:t xml:space="preserve">|  </w:t>
      </w:r>
      <w:r w:rsidR="009B407F" w:rsidRPr="00D87A8D">
        <w:rPr>
          <w:color w:val="000000"/>
          <w:spacing w:val="-69"/>
          <w:w w:val="15"/>
          <w:shd w:val="solid" w:color="000000" w:fill="000000"/>
          <w:fitText w:val="-20" w:id="-762061557"/>
          <w14:textFill>
            <w14:solidFill>
              <w14:srgbClr w14:val="000000">
                <w14:alpha w14:val="100000"/>
              </w14:srgbClr>
            </w14:solidFill>
          </w14:textFill>
        </w:rPr>
        <w:t>|</w:t>
      </w:r>
      <w:r w:rsidR="00BF1740" w:rsidRPr="008754B2">
        <w:t>%</w:t>
      </w:r>
      <w:r w:rsidR="00317ABA" w:rsidRPr="008754B2">
        <w:t>.</w:t>
      </w:r>
    </w:p>
    <w:p w14:paraId="5CC90BB3" w14:textId="77777777" w:rsidR="00125448" w:rsidRPr="00125448" w:rsidRDefault="00125448" w:rsidP="00125448">
      <w:pPr>
        <w:keepNext/>
        <w:numPr>
          <w:ilvl w:val="0"/>
          <w:numId w:val="1"/>
        </w:numPr>
        <w:spacing w:before="240" w:after="120"/>
        <w:jc w:val="left"/>
        <w:outlineLvl w:val="0"/>
        <w:rPr>
          <w:rFonts w:asciiTheme="minorHAnsi" w:hAnsiTheme="minorHAnsi"/>
          <w:b/>
          <w:snapToGrid w:val="0"/>
          <w:sz w:val="32"/>
          <w:szCs w:val="32"/>
        </w:rPr>
      </w:pPr>
      <w:r w:rsidRPr="00125448">
        <w:rPr>
          <w:rFonts w:asciiTheme="minorHAnsi" w:hAnsiTheme="minorHAnsi"/>
          <w:b/>
          <w:snapToGrid w:val="0"/>
          <w:sz w:val="32"/>
          <w:szCs w:val="32"/>
        </w:rPr>
        <w:t>PBAC Outcome</w:t>
      </w:r>
    </w:p>
    <w:p w14:paraId="5CA740D0" w14:textId="79D06FCA" w:rsidR="00125448" w:rsidRDefault="00125448" w:rsidP="00AC6BB0">
      <w:pPr>
        <w:widowControl w:val="0"/>
        <w:numPr>
          <w:ilvl w:val="1"/>
          <w:numId w:val="1"/>
        </w:numPr>
        <w:spacing w:after="120"/>
        <w:rPr>
          <w:rFonts w:asciiTheme="minorHAnsi" w:hAnsiTheme="minorHAnsi"/>
          <w:snapToGrid w:val="0"/>
          <w:lang w:val="en-GB" w:eastAsia="en-US"/>
        </w:rPr>
      </w:pPr>
      <w:r w:rsidRPr="00125448">
        <w:rPr>
          <w:rFonts w:asciiTheme="minorHAnsi" w:hAnsiTheme="minorHAnsi"/>
          <w:snapToGrid w:val="0"/>
          <w:lang w:val="en-GB" w:eastAsia="en-US"/>
        </w:rPr>
        <w:t>The PBAC did not re</w:t>
      </w:r>
      <w:r w:rsidR="00B352B7">
        <w:rPr>
          <w:rFonts w:asciiTheme="minorHAnsi" w:hAnsiTheme="minorHAnsi"/>
          <w:snapToGrid w:val="0"/>
          <w:lang w:val="en-GB" w:eastAsia="en-US"/>
        </w:rPr>
        <w:t xml:space="preserve">vise </w:t>
      </w:r>
      <w:r w:rsidR="00C37309">
        <w:rPr>
          <w:rFonts w:asciiTheme="minorHAnsi" w:hAnsiTheme="minorHAnsi"/>
          <w:snapToGrid w:val="0"/>
          <w:lang w:val="en-GB" w:eastAsia="en-US"/>
        </w:rPr>
        <w:t xml:space="preserve">its </w:t>
      </w:r>
      <w:r w:rsidR="005250FE">
        <w:rPr>
          <w:rFonts w:asciiTheme="minorHAnsi" w:hAnsiTheme="minorHAnsi"/>
          <w:snapToGrid w:val="0"/>
          <w:lang w:val="en-GB" w:eastAsia="en-US"/>
        </w:rPr>
        <w:t xml:space="preserve">March 2024 </w:t>
      </w:r>
      <w:r w:rsidR="00C37309">
        <w:rPr>
          <w:rFonts w:asciiTheme="minorHAnsi" w:hAnsiTheme="minorHAnsi"/>
          <w:snapToGrid w:val="0"/>
          <w:lang w:val="en-GB" w:eastAsia="en-US"/>
        </w:rPr>
        <w:t>advice</w:t>
      </w:r>
      <w:r w:rsidR="005250FE">
        <w:rPr>
          <w:rFonts w:asciiTheme="minorHAnsi" w:hAnsiTheme="minorHAnsi"/>
          <w:snapToGrid w:val="0"/>
          <w:lang w:val="en-GB" w:eastAsia="en-US"/>
        </w:rPr>
        <w:t xml:space="preserve"> in relation to the </w:t>
      </w:r>
      <w:r w:rsidR="00B352B7">
        <w:rPr>
          <w:rFonts w:asciiTheme="minorHAnsi" w:hAnsiTheme="minorHAnsi"/>
          <w:snapToGrid w:val="0"/>
          <w:lang w:val="en-GB" w:eastAsia="en-US"/>
        </w:rPr>
        <w:t xml:space="preserve">utilisation estimates </w:t>
      </w:r>
      <w:r w:rsidR="005250FE">
        <w:rPr>
          <w:rFonts w:asciiTheme="minorHAnsi" w:hAnsiTheme="minorHAnsi"/>
          <w:snapToGrid w:val="0"/>
          <w:lang w:val="en-GB" w:eastAsia="en-US"/>
        </w:rPr>
        <w:t>of relugolix with estradiol and with norethisterone.</w:t>
      </w:r>
      <w:r w:rsidR="00C37309">
        <w:rPr>
          <w:rFonts w:asciiTheme="minorHAnsi" w:hAnsiTheme="minorHAnsi"/>
          <w:snapToGrid w:val="0"/>
          <w:lang w:val="en-GB" w:eastAsia="en-US"/>
        </w:rPr>
        <w:t xml:space="preserve"> </w:t>
      </w:r>
      <w:r w:rsidR="005250FE">
        <w:rPr>
          <w:rFonts w:asciiTheme="minorHAnsi" w:hAnsiTheme="minorHAnsi"/>
          <w:snapToGrid w:val="0"/>
          <w:lang w:val="en-GB" w:eastAsia="en-US"/>
        </w:rPr>
        <w:t>The PBAC considered that the submission did not provide sufficient justification to support</w:t>
      </w:r>
      <w:r w:rsidR="00C37309">
        <w:rPr>
          <w:rFonts w:asciiTheme="minorHAnsi" w:hAnsiTheme="minorHAnsi"/>
          <w:snapToGrid w:val="0"/>
          <w:lang w:val="en-GB" w:eastAsia="en-US"/>
        </w:rPr>
        <w:t xml:space="preserve"> </w:t>
      </w:r>
      <w:r w:rsidR="00467F51">
        <w:rPr>
          <w:rFonts w:asciiTheme="minorHAnsi" w:hAnsiTheme="minorHAnsi"/>
          <w:snapToGrid w:val="0"/>
          <w:lang w:val="en-GB" w:eastAsia="en-US"/>
        </w:rPr>
        <w:t xml:space="preserve">the </w:t>
      </w:r>
      <w:r w:rsidR="005250FE">
        <w:rPr>
          <w:rFonts w:asciiTheme="minorHAnsi" w:hAnsiTheme="minorHAnsi"/>
          <w:snapToGrid w:val="0"/>
          <w:lang w:val="en-GB" w:eastAsia="en-US"/>
        </w:rPr>
        <w:t xml:space="preserve">proposed </w:t>
      </w:r>
      <w:r w:rsidR="00937B89">
        <w:rPr>
          <w:rFonts w:asciiTheme="minorHAnsi" w:hAnsiTheme="minorHAnsi"/>
          <w:snapToGrid w:val="0"/>
          <w:lang w:val="en-GB" w:eastAsia="en-US"/>
        </w:rPr>
        <w:t xml:space="preserve">financial estimates </w:t>
      </w:r>
      <w:r w:rsidR="006D3CEC">
        <w:rPr>
          <w:rFonts w:asciiTheme="minorHAnsi" w:hAnsiTheme="minorHAnsi"/>
          <w:snapToGrid w:val="0"/>
          <w:lang w:val="en-GB" w:eastAsia="en-US"/>
        </w:rPr>
        <w:t>and RSA</w:t>
      </w:r>
      <w:r w:rsidR="004A66B8" w:rsidRPr="004A66B8">
        <w:rPr>
          <w:rFonts w:asciiTheme="minorHAnsi" w:hAnsiTheme="minorHAnsi"/>
          <w:snapToGrid w:val="0"/>
          <w:lang w:val="en-GB" w:eastAsia="en-US"/>
        </w:rPr>
        <w:t>.</w:t>
      </w:r>
      <w:r w:rsidR="005F2E6B">
        <w:rPr>
          <w:rFonts w:asciiTheme="minorHAnsi" w:hAnsiTheme="minorHAnsi"/>
          <w:snapToGrid w:val="0"/>
          <w:lang w:val="en-GB" w:eastAsia="en-US"/>
        </w:rPr>
        <w:t xml:space="preserve"> </w:t>
      </w:r>
    </w:p>
    <w:p w14:paraId="2EF5394B" w14:textId="15A3AF9B" w:rsidR="00BB19A1" w:rsidRDefault="00464202" w:rsidP="00AC6BB0">
      <w:pPr>
        <w:widowControl w:val="0"/>
        <w:numPr>
          <w:ilvl w:val="1"/>
          <w:numId w:val="1"/>
        </w:numPr>
        <w:spacing w:after="120"/>
        <w:rPr>
          <w:rFonts w:asciiTheme="minorHAnsi" w:hAnsiTheme="minorHAnsi"/>
          <w:snapToGrid w:val="0"/>
          <w:lang w:val="en-GB" w:eastAsia="en-US"/>
        </w:rPr>
      </w:pPr>
      <w:r w:rsidRPr="00464202">
        <w:rPr>
          <w:rFonts w:asciiTheme="minorHAnsi" w:hAnsiTheme="minorHAnsi"/>
          <w:snapToGrid w:val="0"/>
          <w:lang w:val="en-GB" w:eastAsia="en-US"/>
        </w:rPr>
        <w:t xml:space="preserve">The PBAC </w:t>
      </w:r>
      <w:r>
        <w:rPr>
          <w:rFonts w:asciiTheme="minorHAnsi" w:hAnsiTheme="minorHAnsi"/>
          <w:snapToGrid w:val="0"/>
          <w:lang w:val="en-GB" w:eastAsia="en-US"/>
        </w:rPr>
        <w:t>noted that the</w:t>
      </w:r>
      <w:r w:rsidRPr="00464202">
        <w:rPr>
          <w:rFonts w:asciiTheme="minorHAnsi" w:hAnsiTheme="minorHAnsi"/>
          <w:snapToGrid w:val="0"/>
          <w:lang w:val="en-GB" w:eastAsia="en-US"/>
        </w:rPr>
        <w:t xml:space="preserve"> submission estimated the net cost to </w:t>
      </w:r>
      <w:r w:rsidR="003E69EF">
        <w:rPr>
          <w:rFonts w:asciiTheme="minorHAnsi" w:hAnsiTheme="minorHAnsi"/>
          <w:snapToGrid w:val="0"/>
          <w:lang w:val="en-GB" w:eastAsia="en-US"/>
        </w:rPr>
        <w:t xml:space="preserve">the </w:t>
      </w:r>
      <w:r w:rsidRPr="00464202">
        <w:rPr>
          <w:rFonts w:asciiTheme="minorHAnsi" w:hAnsiTheme="minorHAnsi"/>
          <w:snapToGrid w:val="0"/>
          <w:lang w:val="en-GB" w:eastAsia="en-US"/>
        </w:rPr>
        <w:t xml:space="preserve">PBS/RPBS to be </w:t>
      </w:r>
      <w:r w:rsidR="00007862" w:rsidRPr="008B6AC0">
        <w:t>$500 million to &lt; $600 million</w:t>
      </w:r>
      <w:r w:rsidR="00007862" w:rsidRPr="008B6AC0" w:rsidDel="008B6AC0">
        <w:t xml:space="preserve"> </w:t>
      </w:r>
      <w:r w:rsidRPr="00464202">
        <w:rPr>
          <w:rFonts w:asciiTheme="minorHAnsi" w:hAnsiTheme="minorHAnsi"/>
          <w:snapToGrid w:val="0"/>
          <w:lang w:val="en-GB" w:eastAsia="en-US"/>
        </w:rPr>
        <w:t xml:space="preserve">over 6 years, which was a substantial increase from the March 2024 PBAC recommendation of </w:t>
      </w:r>
      <w:r w:rsidR="004D75C7" w:rsidRPr="00D7255F">
        <w:t>$90 million to &lt; $100 million</w:t>
      </w:r>
      <w:r w:rsidR="004D75C7" w:rsidRPr="00D7255F" w:rsidDel="00D7255F">
        <w:t xml:space="preserve"> </w:t>
      </w:r>
      <w:r w:rsidRPr="00464202">
        <w:rPr>
          <w:rFonts w:asciiTheme="minorHAnsi" w:hAnsiTheme="minorHAnsi"/>
          <w:snapToGrid w:val="0"/>
          <w:lang w:val="en-GB" w:eastAsia="en-US"/>
        </w:rPr>
        <w:t>over 6 years.</w:t>
      </w:r>
      <w:r w:rsidR="003E69EF">
        <w:rPr>
          <w:rFonts w:asciiTheme="minorHAnsi" w:hAnsiTheme="minorHAnsi"/>
          <w:snapToGrid w:val="0"/>
          <w:lang w:val="en-GB" w:eastAsia="en-US"/>
        </w:rPr>
        <w:t xml:space="preserve"> </w:t>
      </w:r>
      <w:r w:rsidR="00E246A6" w:rsidRPr="00E246A6">
        <w:rPr>
          <w:rFonts w:asciiTheme="minorHAnsi" w:hAnsiTheme="minorHAnsi"/>
          <w:snapToGrid w:val="0"/>
          <w:lang w:val="en-GB" w:eastAsia="en-US"/>
        </w:rPr>
        <w:t xml:space="preserve">The increase of 4-8% in overall eligibility of prevalent patients contributed to the </w:t>
      </w:r>
      <w:r w:rsidR="00991F62" w:rsidRPr="00991F62">
        <w:rPr>
          <w:rFonts w:asciiTheme="minorHAnsi" w:hAnsiTheme="minorHAnsi"/>
          <w:snapToGrid w:val="0"/>
          <w:lang w:val="en-GB" w:eastAsia="en-US"/>
        </w:rPr>
        <w:t>increased estimates</w:t>
      </w:r>
      <w:r w:rsidR="00E246A6" w:rsidRPr="00E246A6">
        <w:rPr>
          <w:rFonts w:asciiTheme="minorHAnsi" w:hAnsiTheme="minorHAnsi"/>
          <w:snapToGrid w:val="0"/>
          <w:lang w:val="en-GB" w:eastAsia="en-US"/>
        </w:rPr>
        <w:t xml:space="preserve">, but the difference in financial estimates </w:t>
      </w:r>
      <w:r w:rsidR="00991F62">
        <w:rPr>
          <w:rFonts w:asciiTheme="minorHAnsi" w:hAnsiTheme="minorHAnsi"/>
          <w:snapToGrid w:val="0"/>
          <w:lang w:val="en-GB" w:eastAsia="en-US"/>
        </w:rPr>
        <w:t>wa</w:t>
      </w:r>
      <w:r w:rsidR="00E246A6" w:rsidRPr="00E246A6">
        <w:rPr>
          <w:rFonts w:asciiTheme="minorHAnsi" w:hAnsiTheme="minorHAnsi"/>
          <w:snapToGrid w:val="0"/>
          <w:lang w:val="en-GB" w:eastAsia="en-US"/>
        </w:rPr>
        <w:t>s largely due to the increased uptake rates applied.</w:t>
      </w:r>
      <w:r w:rsidR="00CB602E">
        <w:rPr>
          <w:rFonts w:asciiTheme="minorHAnsi" w:hAnsiTheme="minorHAnsi"/>
          <w:snapToGrid w:val="0"/>
          <w:lang w:val="en-GB" w:eastAsia="en-US"/>
        </w:rPr>
        <w:t xml:space="preserve"> The PBAC noted the clinician survey </w:t>
      </w:r>
      <w:r w:rsidR="008B6A55">
        <w:rPr>
          <w:rFonts w:asciiTheme="minorHAnsi" w:hAnsiTheme="minorHAnsi"/>
          <w:snapToGrid w:val="0"/>
          <w:lang w:val="en-GB" w:eastAsia="en-US"/>
        </w:rPr>
        <w:t>presented by the submission as justification for the changes in the utilisation inputs was unreliable.</w:t>
      </w:r>
      <w:r w:rsidR="00EE27CE" w:rsidRPr="00EE27CE">
        <w:rPr>
          <w:rFonts w:asciiTheme="minorHAnsi" w:hAnsiTheme="minorHAnsi"/>
          <w:snapToGrid w:val="0"/>
          <w:lang w:val="en-GB" w:eastAsia="en-US"/>
        </w:rPr>
        <w:t xml:space="preserve"> </w:t>
      </w:r>
      <w:r w:rsidR="00EE27CE">
        <w:rPr>
          <w:rFonts w:asciiTheme="minorHAnsi" w:hAnsiTheme="minorHAnsi"/>
          <w:snapToGrid w:val="0"/>
          <w:lang w:val="en-GB" w:eastAsia="en-US"/>
        </w:rPr>
        <w:t xml:space="preserve">The PBAC reiterated that there was a high level of uncertainty in relation to the prevalence and uptakes estimates, however the submission’s proposed estimates appeared to be substantially overestimated. </w:t>
      </w:r>
      <w:r w:rsidR="00017D76">
        <w:rPr>
          <w:rFonts w:asciiTheme="minorHAnsi" w:hAnsiTheme="minorHAnsi"/>
          <w:snapToGrid w:val="0"/>
          <w:lang w:val="en-GB" w:eastAsia="en-US"/>
        </w:rPr>
        <w:t xml:space="preserve">The PBAC considered that the </w:t>
      </w:r>
      <w:r w:rsidR="009332A5">
        <w:rPr>
          <w:rFonts w:asciiTheme="minorHAnsi" w:hAnsiTheme="minorHAnsi"/>
          <w:snapToGrid w:val="0"/>
          <w:lang w:val="en-GB" w:eastAsia="en-US"/>
        </w:rPr>
        <w:t xml:space="preserve">utilisation </w:t>
      </w:r>
      <w:proofErr w:type="gramStart"/>
      <w:r w:rsidR="009332A5">
        <w:rPr>
          <w:rFonts w:asciiTheme="minorHAnsi" w:hAnsiTheme="minorHAnsi"/>
          <w:snapToGrid w:val="0"/>
          <w:lang w:val="en-GB" w:eastAsia="en-US"/>
        </w:rPr>
        <w:t>estimates</w:t>
      </w:r>
      <w:proofErr w:type="gramEnd"/>
      <w:r w:rsidR="00017D76">
        <w:rPr>
          <w:rFonts w:asciiTheme="minorHAnsi" w:hAnsiTheme="minorHAnsi"/>
          <w:snapToGrid w:val="0"/>
          <w:lang w:val="en-GB" w:eastAsia="en-US"/>
        </w:rPr>
        <w:t xml:space="preserve"> </w:t>
      </w:r>
      <w:r w:rsidR="009332A5">
        <w:rPr>
          <w:rFonts w:asciiTheme="minorHAnsi" w:hAnsiTheme="minorHAnsi"/>
          <w:snapToGrid w:val="0"/>
          <w:lang w:val="en-GB" w:eastAsia="en-US"/>
        </w:rPr>
        <w:t xml:space="preserve">and consequent subsidisation caps </w:t>
      </w:r>
      <w:r w:rsidR="00017D76" w:rsidRPr="00C35F2F">
        <w:rPr>
          <w:rFonts w:asciiTheme="minorHAnsi" w:hAnsiTheme="minorHAnsi"/>
          <w:snapToGrid w:val="0"/>
          <w:lang w:val="en-GB" w:eastAsia="en-US"/>
        </w:rPr>
        <w:t xml:space="preserve">recommended </w:t>
      </w:r>
      <w:r w:rsidR="00017D76">
        <w:rPr>
          <w:rFonts w:asciiTheme="minorHAnsi" w:hAnsiTheme="minorHAnsi"/>
          <w:snapToGrid w:val="0"/>
          <w:lang w:val="en-GB" w:eastAsia="en-US"/>
        </w:rPr>
        <w:t>at its</w:t>
      </w:r>
      <w:r w:rsidR="00017D76" w:rsidRPr="00C35F2F">
        <w:rPr>
          <w:rFonts w:asciiTheme="minorHAnsi" w:hAnsiTheme="minorHAnsi"/>
          <w:snapToGrid w:val="0"/>
          <w:lang w:val="en-GB" w:eastAsia="en-US"/>
        </w:rPr>
        <w:t xml:space="preserve"> March 2024</w:t>
      </w:r>
      <w:r w:rsidR="00017D76">
        <w:rPr>
          <w:rFonts w:asciiTheme="minorHAnsi" w:hAnsiTheme="minorHAnsi"/>
          <w:snapToGrid w:val="0"/>
          <w:lang w:val="en-GB" w:eastAsia="en-US"/>
        </w:rPr>
        <w:t xml:space="preserve"> meeting</w:t>
      </w:r>
      <w:r w:rsidR="00017D76" w:rsidRPr="00C35F2F">
        <w:rPr>
          <w:rFonts w:asciiTheme="minorHAnsi" w:hAnsiTheme="minorHAnsi"/>
          <w:snapToGrid w:val="0"/>
          <w:lang w:val="en-GB" w:eastAsia="en-US"/>
        </w:rPr>
        <w:t xml:space="preserve"> </w:t>
      </w:r>
      <w:r w:rsidR="00017D76">
        <w:rPr>
          <w:rFonts w:asciiTheme="minorHAnsi" w:hAnsiTheme="minorHAnsi"/>
          <w:snapToGrid w:val="0"/>
          <w:lang w:val="en-GB" w:eastAsia="en-US"/>
        </w:rPr>
        <w:t xml:space="preserve">should not </w:t>
      </w:r>
      <w:r w:rsidR="00017D76" w:rsidRPr="00C35F2F">
        <w:rPr>
          <w:rFonts w:asciiTheme="minorHAnsi" w:hAnsiTheme="minorHAnsi"/>
          <w:snapToGrid w:val="0"/>
          <w:lang w:val="en-GB" w:eastAsia="en-US"/>
        </w:rPr>
        <w:t>be increased</w:t>
      </w:r>
      <w:r w:rsidR="00017D76">
        <w:rPr>
          <w:rFonts w:asciiTheme="minorHAnsi" w:hAnsiTheme="minorHAnsi"/>
          <w:snapToGrid w:val="0"/>
          <w:lang w:val="en-GB" w:eastAsia="en-US"/>
        </w:rPr>
        <w:t>.</w:t>
      </w:r>
      <w:r w:rsidR="00EE27CE">
        <w:rPr>
          <w:rFonts w:asciiTheme="minorHAnsi" w:hAnsiTheme="minorHAnsi"/>
          <w:snapToGrid w:val="0"/>
          <w:lang w:val="en-GB" w:eastAsia="en-US"/>
        </w:rPr>
        <w:t xml:space="preserve"> </w:t>
      </w:r>
    </w:p>
    <w:p w14:paraId="6FAF268A" w14:textId="6134B947" w:rsidR="00703BE7" w:rsidRPr="008B6A55" w:rsidRDefault="00BB19A1" w:rsidP="00AC6BB0">
      <w:pPr>
        <w:widowControl w:val="0"/>
        <w:numPr>
          <w:ilvl w:val="1"/>
          <w:numId w:val="1"/>
        </w:numPr>
        <w:spacing w:after="120"/>
        <w:rPr>
          <w:rFonts w:asciiTheme="minorHAnsi" w:hAnsiTheme="minorHAnsi"/>
          <w:snapToGrid w:val="0"/>
          <w:lang w:eastAsia="en-US"/>
        </w:rPr>
      </w:pPr>
      <w:r>
        <w:rPr>
          <w:rFonts w:asciiTheme="minorHAnsi" w:hAnsiTheme="minorHAnsi"/>
          <w:snapToGrid w:val="0"/>
          <w:lang w:val="en-GB" w:eastAsia="en-US"/>
        </w:rPr>
        <w:t xml:space="preserve">The PBAC </w:t>
      </w:r>
      <w:r w:rsidR="00780C45">
        <w:rPr>
          <w:rFonts w:asciiTheme="minorHAnsi" w:hAnsiTheme="minorHAnsi"/>
          <w:snapToGrid w:val="0"/>
          <w:lang w:val="en-GB" w:eastAsia="en-US"/>
        </w:rPr>
        <w:t xml:space="preserve">noted </w:t>
      </w:r>
      <w:r w:rsidR="005E2A82">
        <w:rPr>
          <w:rFonts w:asciiTheme="minorHAnsi" w:hAnsiTheme="minorHAnsi"/>
          <w:snapToGrid w:val="0"/>
          <w:lang w:val="en-GB" w:eastAsia="en-US"/>
        </w:rPr>
        <w:t xml:space="preserve">the </w:t>
      </w:r>
      <w:r w:rsidR="00356ADF">
        <w:rPr>
          <w:rFonts w:asciiTheme="minorHAnsi" w:hAnsiTheme="minorHAnsi"/>
          <w:snapToGrid w:val="0"/>
          <w:lang w:val="en-GB" w:eastAsia="en-US"/>
        </w:rPr>
        <w:t>su</w:t>
      </w:r>
      <w:r w:rsidR="00C35F2F">
        <w:rPr>
          <w:rFonts w:asciiTheme="minorHAnsi" w:hAnsiTheme="minorHAnsi"/>
          <w:snapToGrid w:val="0"/>
          <w:lang w:val="en-GB" w:eastAsia="en-US"/>
        </w:rPr>
        <w:t>bmission’s request</w:t>
      </w:r>
      <w:r w:rsidR="009332A5">
        <w:rPr>
          <w:rFonts w:asciiTheme="minorHAnsi" w:hAnsiTheme="minorHAnsi"/>
          <w:snapToGrid w:val="0"/>
          <w:lang w:val="en-GB" w:eastAsia="en-US"/>
        </w:rPr>
        <w:t xml:space="preserve"> that</w:t>
      </w:r>
      <w:r w:rsidR="00C35F2F">
        <w:rPr>
          <w:rFonts w:asciiTheme="minorHAnsi" w:hAnsiTheme="minorHAnsi"/>
          <w:snapToGrid w:val="0"/>
          <w:lang w:val="en-GB" w:eastAsia="en-US"/>
        </w:rPr>
        <w:t xml:space="preserve"> </w:t>
      </w:r>
      <w:r w:rsidR="00A22FB6">
        <w:rPr>
          <w:rFonts w:asciiTheme="minorHAnsi" w:hAnsiTheme="minorHAnsi"/>
          <w:snapToGrid w:val="0"/>
          <w:lang w:val="en-GB" w:eastAsia="en-US"/>
        </w:rPr>
        <w:t xml:space="preserve">the </w:t>
      </w:r>
      <w:r w:rsidR="00C35F2F" w:rsidRPr="00C35F2F">
        <w:rPr>
          <w:rFonts w:asciiTheme="minorHAnsi" w:hAnsiTheme="minorHAnsi"/>
          <w:snapToGrid w:val="0"/>
          <w:lang w:val="en-GB" w:eastAsia="en-US"/>
        </w:rPr>
        <w:t>rebate beyond the</w:t>
      </w:r>
      <w:r w:rsidR="00017D76">
        <w:rPr>
          <w:rFonts w:asciiTheme="minorHAnsi" w:hAnsiTheme="minorHAnsi"/>
          <w:snapToGrid w:val="0"/>
          <w:lang w:val="en-GB" w:eastAsia="en-US"/>
        </w:rPr>
        <w:t xml:space="preserve"> </w:t>
      </w:r>
      <w:r w:rsidR="009332A5">
        <w:rPr>
          <w:rFonts w:asciiTheme="minorHAnsi" w:hAnsiTheme="minorHAnsi"/>
          <w:snapToGrid w:val="0"/>
          <w:lang w:val="en-GB" w:eastAsia="en-US"/>
        </w:rPr>
        <w:t>RSA</w:t>
      </w:r>
      <w:r w:rsidR="00C35F2F" w:rsidRPr="00C35F2F">
        <w:rPr>
          <w:rFonts w:asciiTheme="minorHAnsi" w:hAnsiTheme="minorHAnsi"/>
          <w:snapToGrid w:val="0"/>
          <w:lang w:val="en-GB" w:eastAsia="en-US"/>
        </w:rPr>
        <w:t xml:space="preserve"> caps be changed from </w:t>
      </w:r>
      <w:r w:rsidR="009B407F" w:rsidRPr="00D87A8D">
        <w:rPr>
          <w:rFonts w:asciiTheme="minorHAnsi" w:hAnsiTheme="minorHAnsi"/>
          <w:snapToGrid w:val="0"/>
          <w:color w:val="000000"/>
          <w:w w:val="15"/>
          <w:shd w:val="solid" w:color="000000" w:fill="000000"/>
          <w:fitText w:val="-20" w:id="-762061556"/>
          <w:lang w:val="en-GB" w:eastAsia="en-US"/>
          <w14:textFill>
            <w14:solidFill>
              <w14:srgbClr w14:val="000000">
                <w14:alpha w14:val="100000"/>
              </w14:srgbClr>
            </w14:solidFill>
          </w14:textFill>
        </w:rPr>
        <w:t xml:space="preserve">|  </w:t>
      </w:r>
      <w:r w:rsidR="009B407F" w:rsidRPr="00D87A8D">
        <w:rPr>
          <w:rFonts w:asciiTheme="minorHAnsi" w:hAnsiTheme="minorHAnsi"/>
          <w:snapToGrid w:val="0"/>
          <w:color w:val="000000"/>
          <w:spacing w:val="-69"/>
          <w:w w:val="15"/>
          <w:shd w:val="solid" w:color="000000" w:fill="000000"/>
          <w:fitText w:val="-20" w:id="-762061556"/>
          <w:lang w:val="en-GB" w:eastAsia="en-US"/>
          <w14:textFill>
            <w14:solidFill>
              <w14:srgbClr w14:val="000000">
                <w14:alpha w14:val="100000"/>
              </w14:srgbClr>
            </w14:solidFill>
          </w14:textFill>
        </w:rPr>
        <w:t>|</w:t>
      </w:r>
      <w:r w:rsidR="00C35F2F" w:rsidRPr="00C35F2F">
        <w:rPr>
          <w:rFonts w:asciiTheme="minorHAnsi" w:hAnsiTheme="minorHAnsi"/>
          <w:snapToGrid w:val="0"/>
          <w:lang w:val="en-GB" w:eastAsia="en-US"/>
        </w:rPr>
        <w:t xml:space="preserve">% to </w:t>
      </w:r>
      <w:r w:rsidR="009B407F" w:rsidRPr="00D87A8D">
        <w:rPr>
          <w:rFonts w:asciiTheme="minorHAnsi" w:hAnsiTheme="minorHAnsi"/>
          <w:snapToGrid w:val="0"/>
          <w:color w:val="000000"/>
          <w:w w:val="15"/>
          <w:shd w:val="solid" w:color="000000" w:fill="000000"/>
          <w:fitText w:val="-20" w:id="-762061555"/>
          <w:lang w:val="en-GB" w:eastAsia="en-US"/>
          <w14:textFill>
            <w14:solidFill>
              <w14:srgbClr w14:val="000000">
                <w14:alpha w14:val="100000"/>
              </w14:srgbClr>
            </w14:solidFill>
          </w14:textFill>
        </w:rPr>
        <w:t xml:space="preserve">|  </w:t>
      </w:r>
      <w:r w:rsidR="009B407F" w:rsidRPr="00D87A8D">
        <w:rPr>
          <w:rFonts w:asciiTheme="minorHAnsi" w:hAnsiTheme="minorHAnsi"/>
          <w:snapToGrid w:val="0"/>
          <w:color w:val="000000"/>
          <w:spacing w:val="-69"/>
          <w:w w:val="15"/>
          <w:shd w:val="solid" w:color="000000" w:fill="000000"/>
          <w:fitText w:val="-20" w:id="-762061555"/>
          <w:lang w:val="en-GB" w:eastAsia="en-US"/>
          <w14:textFill>
            <w14:solidFill>
              <w14:srgbClr w14:val="000000">
                <w14:alpha w14:val="100000"/>
              </w14:srgbClr>
            </w14:solidFill>
          </w14:textFill>
        </w:rPr>
        <w:t>|</w:t>
      </w:r>
      <w:r w:rsidR="00C35F2F" w:rsidRPr="00C35F2F">
        <w:rPr>
          <w:rFonts w:asciiTheme="minorHAnsi" w:hAnsiTheme="minorHAnsi"/>
          <w:snapToGrid w:val="0"/>
          <w:lang w:val="en-GB" w:eastAsia="en-US"/>
        </w:rPr>
        <w:t>%</w:t>
      </w:r>
      <w:r w:rsidR="00780C45">
        <w:rPr>
          <w:rFonts w:asciiTheme="minorHAnsi" w:hAnsiTheme="minorHAnsi"/>
          <w:snapToGrid w:val="0"/>
          <w:lang w:val="en-GB" w:eastAsia="en-US"/>
        </w:rPr>
        <w:t>. The PBAC considered this request was</w:t>
      </w:r>
      <w:r w:rsidR="008B6A55">
        <w:rPr>
          <w:rFonts w:asciiTheme="minorHAnsi" w:hAnsiTheme="minorHAnsi"/>
          <w:snapToGrid w:val="0"/>
          <w:lang w:val="en-GB" w:eastAsia="en-US"/>
        </w:rPr>
        <w:t xml:space="preserve"> not appropriate as the</w:t>
      </w:r>
      <w:r w:rsidR="00780C45">
        <w:rPr>
          <w:rFonts w:asciiTheme="minorHAnsi" w:hAnsiTheme="minorHAnsi"/>
          <w:snapToGrid w:val="0"/>
          <w:lang w:val="en-GB" w:eastAsia="en-US"/>
        </w:rPr>
        <w:t xml:space="preserve"> </w:t>
      </w:r>
      <w:r w:rsidR="008B6A55">
        <w:rPr>
          <w:rFonts w:asciiTheme="minorHAnsi" w:hAnsiTheme="minorHAnsi"/>
          <w:snapToGrid w:val="0"/>
          <w:lang w:val="en-GB" w:eastAsia="en-US"/>
        </w:rPr>
        <w:t xml:space="preserve">submission </w:t>
      </w:r>
      <w:r w:rsidR="008B6A55" w:rsidRPr="008B6A55">
        <w:rPr>
          <w:rFonts w:asciiTheme="minorHAnsi" w:hAnsiTheme="minorHAnsi"/>
          <w:snapToGrid w:val="0"/>
          <w:lang w:eastAsia="en-US"/>
        </w:rPr>
        <w:t>did not address</w:t>
      </w:r>
      <w:r w:rsidR="00017D76">
        <w:rPr>
          <w:rFonts w:asciiTheme="minorHAnsi" w:hAnsiTheme="minorHAnsi"/>
          <w:snapToGrid w:val="0"/>
          <w:lang w:eastAsia="en-US"/>
        </w:rPr>
        <w:t xml:space="preserve"> the</w:t>
      </w:r>
      <w:r w:rsidR="008B6A55" w:rsidRPr="008B6A55">
        <w:rPr>
          <w:rFonts w:asciiTheme="minorHAnsi" w:hAnsiTheme="minorHAnsi"/>
          <w:snapToGrid w:val="0"/>
          <w:lang w:eastAsia="en-US"/>
        </w:rPr>
        <w:t xml:space="preserve"> cost-effectiveness </w:t>
      </w:r>
      <w:r w:rsidR="008B6A55">
        <w:rPr>
          <w:rFonts w:asciiTheme="minorHAnsi" w:hAnsiTheme="minorHAnsi"/>
          <w:snapToGrid w:val="0"/>
          <w:lang w:eastAsia="en-US"/>
        </w:rPr>
        <w:t xml:space="preserve">of Ryeqo </w:t>
      </w:r>
      <w:r w:rsidR="008B6A55" w:rsidRPr="008B6A55">
        <w:rPr>
          <w:rFonts w:asciiTheme="minorHAnsi" w:hAnsiTheme="minorHAnsi"/>
          <w:snapToGrid w:val="0"/>
          <w:lang w:eastAsia="en-US"/>
        </w:rPr>
        <w:t>beyond 2 years of treatment</w:t>
      </w:r>
      <w:r w:rsidR="00017D76">
        <w:rPr>
          <w:rFonts w:asciiTheme="minorHAnsi" w:hAnsiTheme="minorHAnsi"/>
          <w:snapToGrid w:val="0"/>
          <w:lang w:eastAsia="en-US"/>
        </w:rPr>
        <w:t xml:space="preserve"> and the risk of use outside the restriction remained</w:t>
      </w:r>
      <w:r w:rsidR="008B6A55">
        <w:rPr>
          <w:rFonts w:asciiTheme="minorHAnsi" w:hAnsiTheme="minorHAnsi"/>
          <w:snapToGrid w:val="0"/>
          <w:lang w:eastAsia="en-US"/>
        </w:rPr>
        <w:t>.</w:t>
      </w:r>
      <w:r w:rsidR="00A22FB6" w:rsidRPr="008B6A55">
        <w:rPr>
          <w:rFonts w:asciiTheme="minorHAnsi" w:hAnsiTheme="minorHAnsi"/>
          <w:snapToGrid w:val="0"/>
          <w:lang w:val="en-GB" w:eastAsia="en-US"/>
        </w:rPr>
        <w:t xml:space="preserve"> </w:t>
      </w:r>
    </w:p>
    <w:p w14:paraId="012929D2" w14:textId="58A0C3C5" w:rsidR="00690216" w:rsidRPr="00714571" w:rsidRDefault="008B6A55" w:rsidP="00AC6BB0">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The PBAC accepted t</w:t>
      </w:r>
      <w:r w:rsidR="00690216" w:rsidRPr="00714571">
        <w:rPr>
          <w:rFonts w:asciiTheme="minorHAnsi" w:hAnsiTheme="minorHAnsi"/>
          <w:snapToGrid w:val="0"/>
          <w:lang w:val="en-GB" w:eastAsia="en-US"/>
        </w:rPr>
        <w:t>he submission</w:t>
      </w:r>
      <w:r>
        <w:rPr>
          <w:rFonts w:asciiTheme="minorHAnsi" w:hAnsiTheme="minorHAnsi"/>
          <w:snapToGrid w:val="0"/>
          <w:lang w:val="en-GB" w:eastAsia="en-US"/>
        </w:rPr>
        <w:t>’s</w:t>
      </w:r>
      <w:r w:rsidR="00690216" w:rsidRPr="00714571">
        <w:rPr>
          <w:rFonts w:asciiTheme="minorHAnsi" w:hAnsiTheme="minorHAnsi"/>
          <w:snapToGrid w:val="0"/>
          <w:lang w:val="en-GB" w:eastAsia="en-US"/>
        </w:rPr>
        <w:t xml:space="preserve"> proposed additional clinical criterion for the PBS restriction to limit treatment to a lifetime maximum of 24 months. </w:t>
      </w:r>
      <w:r>
        <w:rPr>
          <w:rFonts w:asciiTheme="minorHAnsi" w:hAnsiTheme="minorHAnsi"/>
          <w:snapToGrid w:val="0"/>
          <w:lang w:val="en-GB" w:eastAsia="en-US"/>
        </w:rPr>
        <w:t>The PBAC advised that the</w:t>
      </w:r>
      <w:r w:rsidR="00B352B7">
        <w:rPr>
          <w:rFonts w:asciiTheme="minorHAnsi" w:hAnsiTheme="minorHAnsi"/>
          <w:snapToGrid w:val="0"/>
          <w:lang w:val="en-GB" w:eastAsia="en-US"/>
        </w:rPr>
        <w:t xml:space="preserve"> restriction</w:t>
      </w:r>
      <w:r>
        <w:rPr>
          <w:rFonts w:asciiTheme="minorHAnsi" w:hAnsiTheme="minorHAnsi"/>
          <w:snapToGrid w:val="0"/>
          <w:lang w:val="en-GB" w:eastAsia="en-US"/>
        </w:rPr>
        <w:t xml:space="preserve"> changes </w:t>
      </w:r>
      <w:r w:rsidR="00B352B7">
        <w:rPr>
          <w:rFonts w:asciiTheme="minorHAnsi" w:hAnsiTheme="minorHAnsi"/>
          <w:snapToGrid w:val="0"/>
          <w:lang w:val="en-GB" w:eastAsia="en-US"/>
        </w:rPr>
        <w:t>detailed</w:t>
      </w:r>
      <w:r>
        <w:rPr>
          <w:rFonts w:asciiTheme="minorHAnsi" w:hAnsiTheme="minorHAnsi"/>
          <w:snapToGrid w:val="0"/>
          <w:lang w:val="en-GB" w:eastAsia="en-US"/>
        </w:rPr>
        <w:t xml:space="preserve"> in Section 3</w:t>
      </w:r>
      <w:r w:rsidR="00780C45">
        <w:rPr>
          <w:rFonts w:asciiTheme="minorHAnsi" w:hAnsiTheme="minorHAnsi"/>
          <w:snapToGrid w:val="0"/>
          <w:lang w:val="en-GB" w:eastAsia="en-US"/>
        </w:rPr>
        <w:t xml:space="preserve"> should be </w:t>
      </w:r>
      <w:r w:rsidR="00780C45" w:rsidRPr="00780C45">
        <w:rPr>
          <w:rFonts w:asciiTheme="minorHAnsi" w:hAnsiTheme="minorHAnsi"/>
          <w:snapToGrid w:val="0"/>
          <w:lang w:val="en-GB" w:eastAsia="en-US"/>
        </w:rPr>
        <w:t>applied to the March 2024 recommended listing.</w:t>
      </w:r>
    </w:p>
    <w:p w14:paraId="7B47B88F" w14:textId="51C33BD5" w:rsidR="00125448" w:rsidRPr="00125448" w:rsidRDefault="00125448" w:rsidP="00AC6BB0">
      <w:pPr>
        <w:widowControl w:val="0"/>
        <w:numPr>
          <w:ilvl w:val="1"/>
          <w:numId w:val="1"/>
        </w:numPr>
        <w:spacing w:after="120"/>
        <w:rPr>
          <w:rFonts w:asciiTheme="minorHAnsi" w:hAnsiTheme="minorHAnsi"/>
          <w:bCs/>
          <w:snapToGrid w:val="0"/>
          <w:lang w:val="en-GB" w:eastAsia="en-US"/>
        </w:rPr>
      </w:pPr>
      <w:r w:rsidRPr="00125448">
        <w:rPr>
          <w:rFonts w:asciiTheme="minorHAnsi" w:hAnsiTheme="minorHAnsi"/>
          <w:bCs/>
          <w:snapToGrid w:val="0"/>
          <w:lang w:val="en-GB" w:eastAsia="en-US"/>
        </w:rPr>
        <w:t xml:space="preserve">The PBAC noted that this submission is eligible for an Independent Review. </w:t>
      </w:r>
    </w:p>
    <w:p w14:paraId="09803BAA" w14:textId="77777777" w:rsidR="00125448" w:rsidRPr="00125448" w:rsidRDefault="00125448" w:rsidP="00125448">
      <w:pPr>
        <w:spacing w:before="240"/>
        <w:rPr>
          <w:rFonts w:asciiTheme="minorHAnsi" w:hAnsiTheme="minorHAnsi"/>
          <w:b/>
          <w:bCs/>
          <w:snapToGrid w:val="0"/>
          <w:lang w:val="en-GB" w:eastAsia="en-US"/>
        </w:rPr>
      </w:pPr>
      <w:r w:rsidRPr="00125448">
        <w:rPr>
          <w:rFonts w:asciiTheme="minorHAnsi" w:hAnsiTheme="minorHAnsi"/>
          <w:b/>
          <w:bCs/>
          <w:snapToGrid w:val="0"/>
          <w:lang w:val="en-GB" w:eastAsia="en-US"/>
        </w:rPr>
        <w:t>Outcome:</w:t>
      </w:r>
    </w:p>
    <w:p w14:paraId="177DAA06" w14:textId="5C96ADAC" w:rsidR="00125448" w:rsidRPr="00125448" w:rsidRDefault="00B352B7" w:rsidP="00125448">
      <w:pPr>
        <w:spacing w:after="120"/>
        <w:rPr>
          <w:rFonts w:asciiTheme="minorHAnsi" w:hAnsiTheme="minorHAnsi"/>
          <w:bCs/>
          <w:snapToGrid w:val="0"/>
          <w:lang w:val="en-GB" w:eastAsia="en-US"/>
        </w:rPr>
      </w:pPr>
      <w:r>
        <w:rPr>
          <w:rFonts w:asciiTheme="minorHAnsi" w:hAnsiTheme="minorHAnsi"/>
          <w:bCs/>
          <w:snapToGrid w:val="0"/>
          <w:lang w:val="en-GB" w:eastAsia="en-US"/>
        </w:rPr>
        <w:t>Advice Provided</w:t>
      </w:r>
    </w:p>
    <w:p w14:paraId="4FD17AAD" w14:textId="77777777" w:rsidR="006C4215" w:rsidRPr="006C4215" w:rsidRDefault="006C4215" w:rsidP="006C4215">
      <w:pPr>
        <w:keepNext/>
        <w:numPr>
          <w:ilvl w:val="0"/>
          <w:numId w:val="1"/>
        </w:numPr>
        <w:spacing w:before="240" w:after="120"/>
        <w:jc w:val="left"/>
        <w:outlineLvl w:val="0"/>
        <w:rPr>
          <w:rFonts w:asciiTheme="minorHAnsi" w:hAnsiTheme="minorHAnsi"/>
          <w:b/>
          <w:snapToGrid w:val="0"/>
          <w:sz w:val="32"/>
          <w:szCs w:val="32"/>
        </w:rPr>
      </w:pPr>
      <w:r w:rsidRPr="006C4215">
        <w:rPr>
          <w:rFonts w:asciiTheme="minorHAnsi" w:hAnsiTheme="minorHAnsi"/>
          <w:b/>
          <w:snapToGrid w:val="0"/>
          <w:sz w:val="32"/>
          <w:szCs w:val="32"/>
        </w:rPr>
        <w:t>Context for Decision</w:t>
      </w:r>
    </w:p>
    <w:p w14:paraId="325C0CD9" w14:textId="77777777" w:rsidR="006C4215" w:rsidRPr="00061CBE" w:rsidRDefault="006C4215" w:rsidP="006C4215">
      <w:pPr>
        <w:spacing w:after="120"/>
        <w:ind w:left="720"/>
        <w:rPr>
          <w:bCs/>
          <w:lang w:val="en-GB"/>
        </w:rPr>
      </w:pPr>
      <w:r w:rsidRPr="00061CBE">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061CBE">
        <w:rPr>
          <w:bCs/>
          <w:lang w:val="en-GB"/>
        </w:rPr>
        <w:lastRenderedPageBreak/>
        <w:t>through the PBS. The PBAC welcomes applications containing new information at any time.</w:t>
      </w:r>
    </w:p>
    <w:p w14:paraId="1065BE0C" w14:textId="77777777" w:rsidR="006C4215" w:rsidRPr="00061CBE" w:rsidRDefault="006C4215" w:rsidP="006C4215">
      <w:pPr>
        <w:pStyle w:val="2-SectionHeading"/>
        <w:numPr>
          <w:ilvl w:val="0"/>
          <w:numId w:val="0"/>
        </w:numPr>
        <w:ind w:left="720" w:hanging="720"/>
      </w:pPr>
      <w:r w:rsidRPr="00061CBE">
        <w:t>10</w:t>
      </w:r>
      <w:r w:rsidRPr="00061CBE">
        <w:tab/>
        <w:t>Sponsor’s Comment</w:t>
      </w:r>
    </w:p>
    <w:p w14:paraId="53D8689C" w14:textId="77777777" w:rsidR="00180E2A" w:rsidRPr="00180E2A" w:rsidRDefault="00180E2A" w:rsidP="00180E2A">
      <w:pPr>
        <w:spacing w:after="120"/>
        <w:ind w:left="720"/>
        <w:rPr>
          <w:bCs/>
        </w:rPr>
      </w:pPr>
      <w:r w:rsidRPr="00180E2A">
        <w:rPr>
          <w:bCs/>
        </w:rPr>
        <w:t>Gedeon Richter is disappointed that the PBAC has not accepted our financial estimates, which Gedeon Richter believes are supported by the survey data and reflect the anticipated uptake. Gedeon Richter remains committed to working closely with the PBAC to address any concerns and find a solution to make Ryeqo available on the PBS for patients with endometriosis as soon as possible.</w:t>
      </w:r>
    </w:p>
    <w:p w14:paraId="282108DA" w14:textId="1F03B620" w:rsidR="009D123A" w:rsidRDefault="009D123A" w:rsidP="000F3A4B">
      <w:pPr>
        <w:spacing w:after="120"/>
        <w:ind w:left="720"/>
        <w:rPr>
          <w:rFonts w:asciiTheme="minorHAnsi" w:hAnsiTheme="minorHAnsi"/>
          <w:b/>
          <w:bCs/>
          <w:snapToGrid w:val="0"/>
          <w:lang w:eastAsia="en-US"/>
        </w:rPr>
      </w:pPr>
    </w:p>
    <w:sectPr w:rsidR="009D123A"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F363" w14:textId="77777777" w:rsidR="00864126" w:rsidRDefault="00864126" w:rsidP="00124A51">
      <w:r>
        <w:separator/>
      </w:r>
    </w:p>
    <w:p w14:paraId="248F1501" w14:textId="77777777" w:rsidR="00864126" w:rsidRDefault="00864126"/>
  </w:endnote>
  <w:endnote w:type="continuationSeparator" w:id="0">
    <w:p w14:paraId="58DADC4B" w14:textId="77777777" w:rsidR="00864126" w:rsidRDefault="00864126" w:rsidP="00124A51">
      <w:r>
        <w:continuationSeparator/>
      </w:r>
    </w:p>
    <w:p w14:paraId="5F42131E" w14:textId="77777777" w:rsidR="00864126" w:rsidRDefault="00864126"/>
  </w:endnote>
  <w:endnote w:type="continuationNotice" w:id="1">
    <w:p w14:paraId="4736BBC0" w14:textId="77777777" w:rsidR="00864126" w:rsidRDefault="00864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imes New Roma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BB5E" w14:textId="77777777" w:rsidR="009D40DD" w:rsidRDefault="009D40DD">
    <w:pPr>
      <w:pStyle w:val="Footer"/>
    </w:pPr>
  </w:p>
  <w:p w14:paraId="45D9A429" w14:textId="77777777" w:rsidR="009D123A" w:rsidRDefault="009D12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0AB42A26" w14:textId="429FA79C" w:rsidR="009D123A" w:rsidRDefault="00FF4E38" w:rsidP="00D211C2">
    <w:pPr>
      <w:pStyle w:val="PageFooter"/>
    </w:pPr>
    <w:r>
      <w:fldChar w:fldCharType="begin"/>
    </w:r>
    <w:r>
      <w:instrText xml:space="preserve"> PAGE  \* Arabic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A0ED" w14:textId="77777777" w:rsidR="009B407F" w:rsidRDefault="009B4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5148" w14:textId="77777777" w:rsidR="00864126" w:rsidRDefault="00864126" w:rsidP="00124A51">
      <w:r>
        <w:separator/>
      </w:r>
    </w:p>
    <w:p w14:paraId="551FF7AB" w14:textId="77777777" w:rsidR="00864126" w:rsidRDefault="00864126"/>
  </w:footnote>
  <w:footnote w:type="continuationSeparator" w:id="0">
    <w:p w14:paraId="68D7590B" w14:textId="77777777" w:rsidR="00864126" w:rsidRDefault="00864126" w:rsidP="00124A51">
      <w:r>
        <w:continuationSeparator/>
      </w:r>
    </w:p>
    <w:p w14:paraId="287FE40C" w14:textId="77777777" w:rsidR="00864126" w:rsidRDefault="00864126"/>
  </w:footnote>
  <w:footnote w:type="continuationNotice" w:id="1">
    <w:p w14:paraId="6DD49EB3" w14:textId="77777777" w:rsidR="00864126" w:rsidRDefault="008641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6EA0" w14:textId="77777777" w:rsidR="009D40DD" w:rsidRDefault="009D40DD">
    <w:pPr>
      <w:pStyle w:val="Header"/>
    </w:pPr>
  </w:p>
  <w:p w14:paraId="4036DD91" w14:textId="77777777" w:rsidR="009D123A" w:rsidRDefault="009D12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64738FFB" w:rsidR="00D843F2" w:rsidRPr="00195452" w:rsidRDefault="00D211C2" w:rsidP="00D822E2">
    <w:pPr>
      <w:pStyle w:val="Header"/>
      <w:rPr>
        <w:rFonts w:asciiTheme="minorHAnsi" w:hAnsiTheme="minorHAnsi"/>
        <w:i w:val="0"/>
        <w:color w:val="808080"/>
      </w:rPr>
    </w:pPr>
    <w:r>
      <w:rPr>
        <w:rFonts w:asciiTheme="minorHAnsi" w:hAnsiTheme="minorHAnsi"/>
        <w:color w:val="808080"/>
      </w:rPr>
      <w:t>Public Summary Document</w:t>
    </w:r>
    <w:r w:rsidR="009D40DD">
      <w:rPr>
        <w:rFonts w:asciiTheme="minorHAnsi" w:hAnsiTheme="minorHAnsi"/>
        <w:color w:val="808080"/>
      </w:rPr>
      <w:t xml:space="preserve"> – </w:t>
    </w:r>
    <w:r w:rsidR="004A5F3B">
      <w:rPr>
        <w:rFonts w:asciiTheme="minorHAnsi" w:hAnsiTheme="minorHAnsi"/>
        <w:color w:val="808080"/>
      </w:rPr>
      <w:t>November</w:t>
    </w:r>
    <w:r w:rsidR="00D843F2">
      <w:rPr>
        <w:rFonts w:asciiTheme="minorHAnsi" w:hAnsiTheme="minorHAnsi"/>
        <w:color w:val="808080"/>
      </w:rPr>
      <w:t xml:space="preserve"> 202</w:t>
    </w:r>
    <w:r w:rsidR="004A5F3B">
      <w:rPr>
        <w:rFonts w:asciiTheme="minorHAnsi" w:hAnsiTheme="minorHAnsi"/>
        <w:color w:val="808080"/>
      </w:rPr>
      <w:t>4</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72292FD9" w14:textId="77777777" w:rsidR="009D123A" w:rsidRDefault="009D1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5AC6" w14:textId="77777777" w:rsidR="009B407F" w:rsidRDefault="009B4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8C0DB3"/>
    <w:multiLevelType w:val="hybridMultilevel"/>
    <w:tmpl w:val="5E5A1BBE"/>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450D1E"/>
    <w:multiLevelType w:val="hybridMultilevel"/>
    <w:tmpl w:val="EBFEF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DF4206"/>
    <w:multiLevelType w:val="hybridMultilevel"/>
    <w:tmpl w:val="AAE6D9B6"/>
    <w:lvl w:ilvl="0" w:tplc="399A3B2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6D2667"/>
    <w:multiLevelType w:val="hybridMultilevel"/>
    <w:tmpl w:val="017C6E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B6274A"/>
    <w:multiLevelType w:val="hybridMultilevel"/>
    <w:tmpl w:val="46266ED8"/>
    <w:lvl w:ilvl="0" w:tplc="EEE2F216">
      <w:start w:val="1"/>
      <w:numFmt w:val="decimal"/>
      <w:lvlText w:val="%1."/>
      <w:lvlJc w:val="left"/>
      <w:pPr>
        <w:ind w:left="360" w:hanging="360"/>
      </w:pPr>
      <w:rPr>
        <w:rFonts w:hint="default"/>
        <w:b w:val="0"/>
        <w:bCs w:val="0"/>
        <w:i w:val="0"/>
        <w:iCs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012682"/>
    <w:multiLevelType w:val="hybridMultilevel"/>
    <w:tmpl w:val="C80E3EEC"/>
    <w:lvl w:ilvl="0" w:tplc="0C090017">
      <w:start w:val="1"/>
      <w:numFmt w:val="lowerLetter"/>
      <w:lvlText w:val="%1)"/>
      <w:lvlJc w:val="left"/>
      <w:pPr>
        <w:ind w:left="786" w:hanging="360"/>
      </w:pPr>
      <w:rPr>
        <w:i/>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2B07684F"/>
    <w:multiLevelType w:val="hybridMultilevel"/>
    <w:tmpl w:val="DE40D39C"/>
    <w:lvl w:ilvl="0" w:tplc="084A6B88">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A970E9"/>
    <w:multiLevelType w:val="hybridMultilevel"/>
    <w:tmpl w:val="FBA47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346AD7"/>
    <w:multiLevelType w:val="hybridMultilevel"/>
    <w:tmpl w:val="09F4228C"/>
    <w:lvl w:ilvl="0" w:tplc="CFBE442A">
      <w:start w:val="1"/>
      <w:numFmt w:val="bullet"/>
      <w:pStyle w:val="ListParagraph"/>
      <w:lvlText w:val=""/>
      <w:lvlJc w:val="left"/>
      <w:pPr>
        <w:ind w:left="1440" w:hanging="360"/>
      </w:pPr>
      <w:rPr>
        <w:rFonts w:ascii="Symbol" w:hAnsi="Symbol" w:hint="default"/>
      </w:rPr>
    </w:lvl>
    <w:lvl w:ilvl="1" w:tplc="96BADA14">
      <w:numFmt w:val="bullet"/>
      <w:lvlText w:val="•"/>
      <w:lvlJc w:val="left"/>
      <w:pPr>
        <w:ind w:left="2520" w:hanging="720"/>
      </w:pPr>
      <w:rPr>
        <w:rFonts w:ascii="Calibri" w:eastAsia="Times New Roman"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49DE"/>
    <w:multiLevelType w:val="hybridMultilevel"/>
    <w:tmpl w:val="03761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2625C"/>
    <w:multiLevelType w:val="hybridMultilevel"/>
    <w:tmpl w:val="5222733E"/>
    <w:lvl w:ilvl="0" w:tplc="9E98AF40">
      <w:start w:val="1"/>
      <w:numFmt w:val="bullet"/>
      <w:lvlText w:val=""/>
      <w:lvlJc w:val="left"/>
      <w:pPr>
        <w:ind w:left="720" w:hanging="360"/>
      </w:pPr>
      <w:rPr>
        <w:rFonts w:ascii="Symbol" w:hAnsi="Symbol" w:hint="default"/>
        <w:color w:val="8DB3E2" w:themeColor="text2" w:themeTint="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5A32A4"/>
    <w:multiLevelType w:val="hybridMultilevel"/>
    <w:tmpl w:val="9EA8FA50"/>
    <w:lvl w:ilvl="0" w:tplc="0C09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4C1710"/>
    <w:multiLevelType w:val="hybridMultilevel"/>
    <w:tmpl w:val="D2049540"/>
    <w:lvl w:ilvl="0" w:tplc="04090003">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10954B9"/>
    <w:multiLevelType w:val="hybridMultilevel"/>
    <w:tmpl w:val="1E3E901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351655"/>
    <w:multiLevelType w:val="hybridMultilevel"/>
    <w:tmpl w:val="FAF2CFC4"/>
    <w:lvl w:ilvl="0" w:tplc="04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12977F3"/>
    <w:multiLevelType w:val="hybridMultilevel"/>
    <w:tmpl w:val="F5740C90"/>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4D033C"/>
    <w:multiLevelType w:val="multilevel"/>
    <w:tmpl w:val="DA103C0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37"/>
  </w:num>
  <w:num w:numId="2" w16cid:durableId="917793048">
    <w:abstractNumId w:val="21"/>
  </w:num>
  <w:num w:numId="3" w16cid:durableId="324548822">
    <w:abstractNumId w:val="22"/>
  </w:num>
  <w:num w:numId="4" w16cid:durableId="320543630">
    <w:abstractNumId w:val="17"/>
  </w:num>
  <w:num w:numId="5" w16cid:durableId="263461728">
    <w:abstractNumId w:val="0"/>
  </w:num>
  <w:num w:numId="6" w16cid:durableId="193736528">
    <w:abstractNumId w:val="37"/>
  </w:num>
  <w:num w:numId="7" w16cid:durableId="318273948">
    <w:abstractNumId w:val="34"/>
  </w:num>
  <w:num w:numId="8" w16cid:durableId="9892165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7577810">
    <w:abstractNumId w:val="8"/>
  </w:num>
  <w:num w:numId="10" w16cid:durableId="1156729720">
    <w:abstractNumId w:val="19"/>
  </w:num>
  <w:num w:numId="11" w16cid:durableId="704645582">
    <w:abstractNumId w:val="25"/>
  </w:num>
  <w:num w:numId="12" w16cid:durableId="1863592879">
    <w:abstractNumId w:val="6"/>
  </w:num>
  <w:num w:numId="13" w16cid:durableId="139346788">
    <w:abstractNumId w:val="38"/>
  </w:num>
  <w:num w:numId="14" w16cid:durableId="813834356">
    <w:abstractNumId w:val="31"/>
  </w:num>
  <w:num w:numId="15" w16cid:durableId="1718821935">
    <w:abstractNumId w:val="23"/>
  </w:num>
  <w:num w:numId="16" w16cid:durableId="1533883230">
    <w:abstractNumId w:val="20"/>
  </w:num>
  <w:num w:numId="17" w16cid:durableId="220360847">
    <w:abstractNumId w:val="33"/>
  </w:num>
  <w:num w:numId="18" w16cid:durableId="1195146128">
    <w:abstractNumId w:val="5"/>
  </w:num>
  <w:num w:numId="19" w16cid:durableId="22941560">
    <w:abstractNumId w:val="3"/>
  </w:num>
  <w:num w:numId="20" w16cid:durableId="1499031120">
    <w:abstractNumId w:val="5"/>
  </w:num>
  <w:num w:numId="21" w16cid:durableId="268196418">
    <w:abstractNumId w:val="16"/>
  </w:num>
  <w:num w:numId="22" w16cid:durableId="1438059578">
    <w:abstractNumId w:val="37"/>
  </w:num>
  <w:num w:numId="23" w16cid:durableId="1048839230">
    <w:abstractNumId w:val="37"/>
  </w:num>
  <w:num w:numId="24" w16cid:durableId="2077362522">
    <w:abstractNumId w:val="32"/>
  </w:num>
  <w:num w:numId="25" w16cid:durableId="142360765">
    <w:abstractNumId w:val="26"/>
  </w:num>
  <w:num w:numId="26" w16cid:durableId="706414841">
    <w:abstractNumId w:val="36"/>
  </w:num>
  <w:num w:numId="27" w16cid:durableId="1694109783">
    <w:abstractNumId w:val="7"/>
  </w:num>
  <w:num w:numId="28" w16cid:durableId="847984654">
    <w:abstractNumId w:val="15"/>
  </w:num>
  <w:num w:numId="29" w16cid:durableId="175001059">
    <w:abstractNumId w:val="18"/>
  </w:num>
  <w:num w:numId="30" w16cid:durableId="415178744">
    <w:abstractNumId w:val="37"/>
  </w:num>
  <w:num w:numId="31" w16cid:durableId="53042159">
    <w:abstractNumId w:val="30"/>
  </w:num>
  <w:num w:numId="32" w16cid:durableId="1021476131">
    <w:abstractNumId w:val="2"/>
  </w:num>
  <w:num w:numId="33" w16cid:durableId="248275073">
    <w:abstractNumId w:val="13"/>
  </w:num>
  <w:num w:numId="34" w16cid:durableId="1021971401">
    <w:abstractNumId w:val="10"/>
  </w:num>
  <w:num w:numId="35" w16cid:durableId="77606906">
    <w:abstractNumId w:val="24"/>
  </w:num>
  <w:num w:numId="36" w16cid:durableId="2024473238">
    <w:abstractNumId w:val="12"/>
  </w:num>
  <w:num w:numId="37" w16cid:durableId="1569418770">
    <w:abstractNumId w:val="4"/>
  </w:num>
  <w:num w:numId="38" w16cid:durableId="705176722">
    <w:abstractNumId w:val="1"/>
  </w:num>
  <w:num w:numId="39" w16cid:durableId="1926569401">
    <w:abstractNumId w:val="11"/>
  </w:num>
  <w:num w:numId="40" w16cid:durableId="1979457665">
    <w:abstractNumId w:val="14"/>
  </w:num>
  <w:num w:numId="41" w16cid:durableId="2038313566">
    <w:abstractNumId w:val="9"/>
  </w:num>
  <w:num w:numId="42" w16cid:durableId="209997201">
    <w:abstractNumId w:val="35"/>
  </w:num>
  <w:num w:numId="43" w16cid:durableId="1573005167">
    <w:abstractNumId w:val="27"/>
  </w:num>
  <w:num w:numId="44" w16cid:durableId="408699874">
    <w:abstractNumId w:val="28"/>
  </w:num>
  <w:num w:numId="45" w16cid:durableId="129744317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2BF6"/>
    <w:rsid w:val="00003499"/>
    <w:rsid w:val="000039B7"/>
    <w:rsid w:val="000056B9"/>
    <w:rsid w:val="0000639A"/>
    <w:rsid w:val="00007862"/>
    <w:rsid w:val="0001000C"/>
    <w:rsid w:val="00013247"/>
    <w:rsid w:val="000138C5"/>
    <w:rsid w:val="000155A9"/>
    <w:rsid w:val="00015886"/>
    <w:rsid w:val="000162EF"/>
    <w:rsid w:val="00016A16"/>
    <w:rsid w:val="00017D76"/>
    <w:rsid w:val="000207C9"/>
    <w:rsid w:val="00021714"/>
    <w:rsid w:val="0002225F"/>
    <w:rsid w:val="00023763"/>
    <w:rsid w:val="00024EB5"/>
    <w:rsid w:val="00026B08"/>
    <w:rsid w:val="000274B8"/>
    <w:rsid w:val="00030E75"/>
    <w:rsid w:val="00032234"/>
    <w:rsid w:val="00033863"/>
    <w:rsid w:val="000339F6"/>
    <w:rsid w:val="00034B4A"/>
    <w:rsid w:val="000359E9"/>
    <w:rsid w:val="00035DC0"/>
    <w:rsid w:val="00036829"/>
    <w:rsid w:val="00037C89"/>
    <w:rsid w:val="00037D92"/>
    <w:rsid w:val="00040895"/>
    <w:rsid w:val="000410A0"/>
    <w:rsid w:val="0004271C"/>
    <w:rsid w:val="000435EE"/>
    <w:rsid w:val="00043C37"/>
    <w:rsid w:val="000443A8"/>
    <w:rsid w:val="00044C21"/>
    <w:rsid w:val="00045017"/>
    <w:rsid w:val="00045A2B"/>
    <w:rsid w:val="0004698F"/>
    <w:rsid w:val="00046D64"/>
    <w:rsid w:val="000508C2"/>
    <w:rsid w:val="000539D0"/>
    <w:rsid w:val="00054621"/>
    <w:rsid w:val="000546D7"/>
    <w:rsid w:val="00054A8D"/>
    <w:rsid w:val="00056ECF"/>
    <w:rsid w:val="000604DF"/>
    <w:rsid w:val="00060E11"/>
    <w:rsid w:val="00062324"/>
    <w:rsid w:val="000653B5"/>
    <w:rsid w:val="00065C43"/>
    <w:rsid w:val="00066360"/>
    <w:rsid w:val="0006697D"/>
    <w:rsid w:val="00066AF8"/>
    <w:rsid w:val="000672AB"/>
    <w:rsid w:val="00067571"/>
    <w:rsid w:val="00070F98"/>
    <w:rsid w:val="00071248"/>
    <w:rsid w:val="000720B9"/>
    <w:rsid w:val="000737F7"/>
    <w:rsid w:val="00074AF1"/>
    <w:rsid w:val="00075DBD"/>
    <w:rsid w:val="00075EAE"/>
    <w:rsid w:val="0007672F"/>
    <w:rsid w:val="00076B54"/>
    <w:rsid w:val="000774F0"/>
    <w:rsid w:val="00080909"/>
    <w:rsid w:val="000812CA"/>
    <w:rsid w:val="00081E63"/>
    <w:rsid w:val="0008231E"/>
    <w:rsid w:val="0008258D"/>
    <w:rsid w:val="00082CA0"/>
    <w:rsid w:val="00083E99"/>
    <w:rsid w:val="00084FA8"/>
    <w:rsid w:val="000853DF"/>
    <w:rsid w:val="000856C5"/>
    <w:rsid w:val="000858FD"/>
    <w:rsid w:val="00085C31"/>
    <w:rsid w:val="0008760A"/>
    <w:rsid w:val="00087A4C"/>
    <w:rsid w:val="000902D9"/>
    <w:rsid w:val="00090807"/>
    <w:rsid w:val="00090C7E"/>
    <w:rsid w:val="000911AC"/>
    <w:rsid w:val="00092600"/>
    <w:rsid w:val="0009262B"/>
    <w:rsid w:val="00093310"/>
    <w:rsid w:val="00093573"/>
    <w:rsid w:val="0009445C"/>
    <w:rsid w:val="00095200"/>
    <w:rsid w:val="00095FE5"/>
    <w:rsid w:val="00096284"/>
    <w:rsid w:val="00096B01"/>
    <w:rsid w:val="000A0150"/>
    <w:rsid w:val="000A1826"/>
    <w:rsid w:val="000A1BC0"/>
    <w:rsid w:val="000A2DB4"/>
    <w:rsid w:val="000A2F9E"/>
    <w:rsid w:val="000A3E47"/>
    <w:rsid w:val="000A522B"/>
    <w:rsid w:val="000A5830"/>
    <w:rsid w:val="000A6039"/>
    <w:rsid w:val="000A7453"/>
    <w:rsid w:val="000A7D08"/>
    <w:rsid w:val="000B0121"/>
    <w:rsid w:val="000B0670"/>
    <w:rsid w:val="000B0E75"/>
    <w:rsid w:val="000B2DCB"/>
    <w:rsid w:val="000B5CE0"/>
    <w:rsid w:val="000B6CAC"/>
    <w:rsid w:val="000B7037"/>
    <w:rsid w:val="000B7612"/>
    <w:rsid w:val="000B78AE"/>
    <w:rsid w:val="000C3DF9"/>
    <w:rsid w:val="000C465B"/>
    <w:rsid w:val="000C4CF2"/>
    <w:rsid w:val="000C6713"/>
    <w:rsid w:val="000D09B6"/>
    <w:rsid w:val="000D1BFC"/>
    <w:rsid w:val="000D1D5D"/>
    <w:rsid w:val="000D281A"/>
    <w:rsid w:val="000D2848"/>
    <w:rsid w:val="000D326A"/>
    <w:rsid w:val="000D466F"/>
    <w:rsid w:val="000D50C8"/>
    <w:rsid w:val="000D51FB"/>
    <w:rsid w:val="000D6062"/>
    <w:rsid w:val="000D75FF"/>
    <w:rsid w:val="000E05DA"/>
    <w:rsid w:val="000E0640"/>
    <w:rsid w:val="000E135D"/>
    <w:rsid w:val="000E282F"/>
    <w:rsid w:val="000E5351"/>
    <w:rsid w:val="000E6EF8"/>
    <w:rsid w:val="000F00BA"/>
    <w:rsid w:val="000F14C6"/>
    <w:rsid w:val="000F316A"/>
    <w:rsid w:val="000F32E6"/>
    <w:rsid w:val="000F3947"/>
    <w:rsid w:val="000F3A4B"/>
    <w:rsid w:val="000F3C07"/>
    <w:rsid w:val="000F3C74"/>
    <w:rsid w:val="000F4799"/>
    <w:rsid w:val="000F4BB8"/>
    <w:rsid w:val="000F4FA9"/>
    <w:rsid w:val="000F53FB"/>
    <w:rsid w:val="000F6EF4"/>
    <w:rsid w:val="000F7127"/>
    <w:rsid w:val="000F7B54"/>
    <w:rsid w:val="001000B3"/>
    <w:rsid w:val="00100F8A"/>
    <w:rsid w:val="0010452E"/>
    <w:rsid w:val="00105AE2"/>
    <w:rsid w:val="001060C6"/>
    <w:rsid w:val="00106308"/>
    <w:rsid w:val="00106B80"/>
    <w:rsid w:val="0011032E"/>
    <w:rsid w:val="0011348B"/>
    <w:rsid w:val="00115982"/>
    <w:rsid w:val="00116C53"/>
    <w:rsid w:val="00116EEF"/>
    <w:rsid w:val="00120A71"/>
    <w:rsid w:val="00121799"/>
    <w:rsid w:val="001222BF"/>
    <w:rsid w:val="001222FC"/>
    <w:rsid w:val="00123902"/>
    <w:rsid w:val="00124A51"/>
    <w:rsid w:val="00125448"/>
    <w:rsid w:val="00125BCF"/>
    <w:rsid w:val="00126621"/>
    <w:rsid w:val="00126B1D"/>
    <w:rsid w:val="00127E83"/>
    <w:rsid w:val="001301E9"/>
    <w:rsid w:val="00130B74"/>
    <w:rsid w:val="00131D82"/>
    <w:rsid w:val="00132B22"/>
    <w:rsid w:val="00133D36"/>
    <w:rsid w:val="0013563A"/>
    <w:rsid w:val="0013656B"/>
    <w:rsid w:val="00137645"/>
    <w:rsid w:val="0014015A"/>
    <w:rsid w:val="00140B60"/>
    <w:rsid w:val="00140E99"/>
    <w:rsid w:val="00141BC0"/>
    <w:rsid w:val="00142F6B"/>
    <w:rsid w:val="00143F67"/>
    <w:rsid w:val="00144C00"/>
    <w:rsid w:val="00145234"/>
    <w:rsid w:val="00145540"/>
    <w:rsid w:val="001456B0"/>
    <w:rsid w:val="00151176"/>
    <w:rsid w:val="00151764"/>
    <w:rsid w:val="001547AB"/>
    <w:rsid w:val="00155C2E"/>
    <w:rsid w:val="00156F8F"/>
    <w:rsid w:val="00157130"/>
    <w:rsid w:val="001576B1"/>
    <w:rsid w:val="0016047B"/>
    <w:rsid w:val="00160A4C"/>
    <w:rsid w:val="001622BB"/>
    <w:rsid w:val="00162913"/>
    <w:rsid w:val="00163EFF"/>
    <w:rsid w:val="00163F66"/>
    <w:rsid w:val="0016478E"/>
    <w:rsid w:val="00165EC4"/>
    <w:rsid w:val="001661FB"/>
    <w:rsid w:val="00166200"/>
    <w:rsid w:val="001671A0"/>
    <w:rsid w:val="0016767F"/>
    <w:rsid w:val="00167F44"/>
    <w:rsid w:val="00173565"/>
    <w:rsid w:val="00173B07"/>
    <w:rsid w:val="00174806"/>
    <w:rsid w:val="001751FA"/>
    <w:rsid w:val="0017521D"/>
    <w:rsid w:val="00180E2A"/>
    <w:rsid w:val="00181C10"/>
    <w:rsid w:val="00181D9C"/>
    <w:rsid w:val="00182B73"/>
    <w:rsid w:val="001837FF"/>
    <w:rsid w:val="00184B0E"/>
    <w:rsid w:val="0018752F"/>
    <w:rsid w:val="001914F6"/>
    <w:rsid w:val="00192171"/>
    <w:rsid w:val="00193838"/>
    <w:rsid w:val="001938A9"/>
    <w:rsid w:val="00194AD8"/>
    <w:rsid w:val="00195222"/>
    <w:rsid w:val="00195452"/>
    <w:rsid w:val="001955A7"/>
    <w:rsid w:val="001963C3"/>
    <w:rsid w:val="001975D8"/>
    <w:rsid w:val="00197911"/>
    <w:rsid w:val="001A178E"/>
    <w:rsid w:val="001A43FA"/>
    <w:rsid w:val="001A47C5"/>
    <w:rsid w:val="001A59FB"/>
    <w:rsid w:val="001A5E9E"/>
    <w:rsid w:val="001A6354"/>
    <w:rsid w:val="001A6366"/>
    <w:rsid w:val="001A681B"/>
    <w:rsid w:val="001A7AE8"/>
    <w:rsid w:val="001B16C3"/>
    <w:rsid w:val="001B204E"/>
    <w:rsid w:val="001B2372"/>
    <w:rsid w:val="001B3443"/>
    <w:rsid w:val="001B4D20"/>
    <w:rsid w:val="001B7F84"/>
    <w:rsid w:val="001C2A9B"/>
    <w:rsid w:val="001C32D2"/>
    <w:rsid w:val="001C3932"/>
    <w:rsid w:val="001C3DD6"/>
    <w:rsid w:val="001C4299"/>
    <w:rsid w:val="001C4874"/>
    <w:rsid w:val="001C5F94"/>
    <w:rsid w:val="001C6E66"/>
    <w:rsid w:val="001C764A"/>
    <w:rsid w:val="001D1100"/>
    <w:rsid w:val="001D1391"/>
    <w:rsid w:val="001D247A"/>
    <w:rsid w:val="001D25D7"/>
    <w:rsid w:val="001D2C10"/>
    <w:rsid w:val="001D2DCF"/>
    <w:rsid w:val="001D50B2"/>
    <w:rsid w:val="001D71F4"/>
    <w:rsid w:val="001D7645"/>
    <w:rsid w:val="001D7DBF"/>
    <w:rsid w:val="001E0F02"/>
    <w:rsid w:val="001E1E86"/>
    <w:rsid w:val="001E238E"/>
    <w:rsid w:val="001E2483"/>
    <w:rsid w:val="001E2B1E"/>
    <w:rsid w:val="001E2CFF"/>
    <w:rsid w:val="001E2F24"/>
    <w:rsid w:val="001E30D4"/>
    <w:rsid w:val="001E34DF"/>
    <w:rsid w:val="001E52EB"/>
    <w:rsid w:val="001E61D2"/>
    <w:rsid w:val="001E6623"/>
    <w:rsid w:val="001E71AC"/>
    <w:rsid w:val="001E740C"/>
    <w:rsid w:val="001F1235"/>
    <w:rsid w:val="001F1C8E"/>
    <w:rsid w:val="001F1CB3"/>
    <w:rsid w:val="001F1E47"/>
    <w:rsid w:val="001F38B5"/>
    <w:rsid w:val="001F4081"/>
    <w:rsid w:val="001F57CA"/>
    <w:rsid w:val="001F7361"/>
    <w:rsid w:val="001F75E2"/>
    <w:rsid w:val="00200334"/>
    <w:rsid w:val="00200FF5"/>
    <w:rsid w:val="002011B0"/>
    <w:rsid w:val="00201FFE"/>
    <w:rsid w:val="00203181"/>
    <w:rsid w:val="00203783"/>
    <w:rsid w:val="0020385F"/>
    <w:rsid w:val="002068A0"/>
    <w:rsid w:val="00207021"/>
    <w:rsid w:val="0020732F"/>
    <w:rsid w:val="00207D00"/>
    <w:rsid w:val="002105C1"/>
    <w:rsid w:val="002116FD"/>
    <w:rsid w:val="00211A4B"/>
    <w:rsid w:val="00213EF5"/>
    <w:rsid w:val="00215882"/>
    <w:rsid w:val="00216BF5"/>
    <w:rsid w:val="002225BF"/>
    <w:rsid w:val="00223B49"/>
    <w:rsid w:val="00223D5A"/>
    <w:rsid w:val="00224DD4"/>
    <w:rsid w:val="002278A0"/>
    <w:rsid w:val="00230309"/>
    <w:rsid w:val="002309CC"/>
    <w:rsid w:val="002316D7"/>
    <w:rsid w:val="00231BA9"/>
    <w:rsid w:val="0023209F"/>
    <w:rsid w:val="0023385A"/>
    <w:rsid w:val="00233C01"/>
    <w:rsid w:val="0023413C"/>
    <w:rsid w:val="002346F0"/>
    <w:rsid w:val="00234F86"/>
    <w:rsid w:val="0023629D"/>
    <w:rsid w:val="00237255"/>
    <w:rsid w:val="002379B0"/>
    <w:rsid w:val="002424AF"/>
    <w:rsid w:val="002425D2"/>
    <w:rsid w:val="00243192"/>
    <w:rsid w:val="002439DC"/>
    <w:rsid w:val="002441D2"/>
    <w:rsid w:val="00244DC8"/>
    <w:rsid w:val="002458BA"/>
    <w:rsid w:val="00245CE9"/>
    <w:rsid w:val="0024636C"/>
    <w:rsid w:val="00247925"/>
    <w:rsid w:val="00251006"/>
    <w:rsid w:val="002524D5"/>
    <w:rsid w:val="00253B1D"/>
    <w:rsid w:val="00253CC7"/>
    <w:rsid w:val="00254DCF"/>
    <w:rsid w:val="0025534B"/>
    <w:rsid w:val="00255BB7"/>
    <w:rsid w:val="00256776"/>
    <w:rsid w:val="00257541"/>
    <w:rsid w:val="00257A39"/>
    <w:rsid w:val="00257AC4"/>
    <w:rsid w:val="00257BBE"/>
    <w:rsid w:val="00261E3C"/>
    <w:rsid w:val="00261EEF"/>
    <w:rsid w:val="00262A1A"/>
    <w:rsid w:val="00262A87"/>
    <w:rsid w:val="00264D26"/>
    <w:rsid w:val="00267642"/>
    <w:rsid w:val="00267AEA"/>
    <w:rsid w:val="002700E6"/>
    <w:rsid w:val="0027294B"/>
    <w:rsid w:val="00272C92"/>
    <w:rsid w:val="00273EB4"/>
    <w:rsid w:val="00274682"/>
    <w:rsid w:val="00275158"/>
    <w:rsid w:val="00275C5A"/>
    <w:rsid w:val="0027611B"/>
    <w:rsid w:val="002771E9"/>
    <w:rsid w:val="00281014"/>
    <w:rsid w:val="0028361F"/>
    <w:rsid w:val="002839FD"/>
    <w:rsid w:val="00283A4D"/>
    <w:rsid w:val="00285BCE"/>
    <w:rsid w:val="0028665D"/>
    <w:rsid w:val="00287229"/>
    <w:rsid w:val="002934CD"/>
    <w:rsid w:val="00294F8E"/>
    <w:rsid w:val="00297568"/>
    <w:rsid w:val="002A14AB"/>
    <w:rsid w:val="002A256C"/>
    <w:rsid w:val="002A2ADE"/>
    <w:rsid w:val="002A2F50"/>
    <w:rsid w:val="002A4D1C"/>
    <w:rsid w:val="002A76D6"/>
    <w:rsid w:val="002A7943"/>
    <w:rsid w:val="002A7BA0"/>
    <w:rsid w:val="002B05A1"/>
    <w:rsid w:val="002B09A4"/>
    <w:rsid w:val="002B1C1F"/>
    <w:rsid w:val="002B333C"/>
    <w:rsid w:val="002B432F"/>
    <w:rsid w:val="002B62B3"/>
    <w:rsid w:val="002B6754"/>
    <w:rsid w:val="002B6CCE"/>
    <w:rsid w:val="002B7BA4"/>
    <w:rsid w:val="002C2510"/>
    <w:rsid w:val="002C2775"/>
    <w:rsid w:val="002C27C1"/>
    <w:rsid w:val="002C36E3"/>
    <w:rsid w:val="002C391D"/>
    <w:rsid w:val="002C4209"/>
    <w:rsid w:val="002C5099"/>
    <w:rsid w:val="002C5889"/>
    <w:rsid w:val="002C71CE"/>
    <w:rsid w:val="002D08F8"/>
    <w:rsid w:val="002D0D62"/>
    <w:rsid w:val="002D1E84"/>
    <w:rsid w:val="002D39D6"/>
    <w:rsid w:val="002D44FB"/>
    <w:rsid w:val="002D577C"/>
    <w:rsid w:val="002D7832"/>
    <w:rsid w:val="002D7A86"/>
    <w:rsid w:val="002E1071"/>
    <w:rsid w:val="002E15B9"/>
    <w:rsid w:val="002E2158"/>
    <w:rsid w:val="002E3218"/>
    <w:rsid w:val="002E4186"/>
    <w:rsid w:val="002E49CE"/>
    <w:rsid w:val="002E4F02"/>
    <w:rsid w:val="002E7722"/>
    <w:rsid w:val="002F07BA"/>
    <w:rsid w:val="002F0DA9"/>
    <w:rsid w:val="002F1014"/>
    <w:rsid w:val="002F1E3B"/>
    <w:rsid w:val="002F643C"/>
    <w:rsid w:val="002F71C0"/>
    <w:rsid w:val="002F74F1"/>
    <w:rsid w:val="00301017"/>
    <w:rsid w:val="0030155F"/>
    <w:rsid w:val="00303656"/>
    <w:rsid w:val="0030587B"/>
    <w:rsid w:val="00306D98"/>
    <w:rsid w:val="0030786C"/>
    <w:rsid w:val="0031031A"/>
    <w:rsid w:val="00310981"/>
    <w:rsid w:val="00310CF7"/>
    <w:rsid w:val="003113DC"/>
    <w:rsid w:val="00311D9B"/>
    <w:rsid w:val="003124D9"/>
    <w:rsid w:val="00312594"/>
    <w:rsid w:val="003144DB"/>
    <w:rsid w:val="00315498"/>
    <w:rsid w:val="00316474"/>
    <w:rsid w:val="00317ABA"/>
    <w:rsid w:val="00322107"/>
    <w:rsid w:val="00322355"/>
    <w:rsid w:val="003225ED"/>
    <w:rsid w:val="00322846"/>
    <w:rsid w:val="00325BF6"/>
    <w:rsid w:val="00326362"/>
    <w:rsid w:val="003267B9"/>
    <w:rsid w:val="00326DA7"/>
    <w:rsid w:val="00326E3F"/>
    <w:rsid w:val="003270E4"/>
    <w:rsid w:val="00330DAA"/>
    <w:rsid w:val="00330F5C"/>
    <w:rsid w:val="00333C35"/>
    <w:rsid w:val="003366C9"/>
    <w:rsid w:val="003371B0"/>
    <w:rsid w:val="00340DF1"/>
    <w:rsid w:val="00342199"/>
    <w:rsid w:val="00347575"/>
    <w:rsid w:val="003478EA"/>
    <w:rsid w:val="003500F9"/>
    <w:rsid w:val="003517F9"/>
    <w:rsid w:val="00351BA9"/>
    <w:rsid w:val="003528D1"/>
    <w:rsid w:val="00354F64"/>
    <w:rsid w:val="00355ECE"/>
    <w:rsid w:val="0035620E"/>
    <w:rsid w:val="00356ADF"/>
    <w:rsid w:val="00357153"/>
    <w:rsid w:val="003575BE"/>
    <w:rsid w:val="00360345"/>
    <w:rsid w:val="00361A05"/>
    <w:rsid w:val="00361E03"/>
    <w:rsid w:val="003624C4"/>
    <w:rsid w:val="0036250B"/>
    <w:rsid w:val="00363B00"/>
    <w:rsid w:val="00365288"/>
    <w:rsid w:val="003654AC"/>
    <w:rsid w:val="003710CF"/>
    <w:rsid w:val="00371746"/>
    <w:rsid w:val="00371D6D"/>
    <w:rsid w:val="00373397"/>
    <w:rsid w:val="0037358A"/>
    <w:rsid w:val="0037364E"/>
    <w:rsid w:val="00374D3B"/>
    <w:rsid w:val="00375091"/>
    <w:rsid w:val="003750F6"/>
    <w:rsid w:val="003758BC"/>
    <w:rsid w:val="003760FC"/>
    <w:rsid w:val="003800AE"/>
    <w:rsid w:val="00382024"/>
    <w:rsid w:val="0038365C"/>
    <w:rsid w:val="0038369B"/>
    <w:rsid w:val="00383B78"/>
    <w:rsid w:val="003847BE"/>
    <w:rsid w:val="00385020"/>
    <w:rsid w:val="00385A9D"/>
    <w:rsid w:val="00387121"/>
    <w:rsid w:val="003877C9"/>
    <w:rsid w:val="00387FF7"/>
    <w:rsid w:val="003902B1"/>
    <w:rsid w:val="0039179C"/>
    <w:rsid w:val="00396896"/>
    <w:rsid w:val="00396FD0"/>
    <w:rsid w:val="00397946"/>
    <w:rsid w:val="003A0420"/>
    <w:rsid w:val="003A1949"/>
    <w:rsid w:val="003A1A7A"/>
    <w:rsid w:val="003A2357"/>
    <w:rsid w:val="003A2392"/>
    <w:rsid w:val="003A2831"/>
    <w:rsid w:val="003A3CB6"/>
    <w:rsid w:val="003A3ED1"/>
    <w:rsid w:val="003A4271"/>
    <w:rsid w:val="003A44DB"/>
    <w:rsid w:val="003A4794"/>
    <w:rsid w:val="003A4C14"/>
    <w:rsid w:val="003A5209"/>
    <w:rsid w:val="003A68AF"/>
    <w:rsid w:val="003B131E"/>
    <w:rsid w:val="003B3971"/>
    <w:rsid w:val="003B3B95"/>
    <w:rsid w:val="003B55D1"/>
    <w:rsid w:val="003B5B61"/>
    <w:rsid w:val="003B60C2"/>
    <w:rsid w:val="003B6DBE"/>
    <w:rsid w:val="003C1654"/>
    <w:rsid w:val="003C2BA8"/>
    <w:rsid w:val="003C5542"/>
    <w:rsid w:val="003C7C15"/>
    <w:rsid w:val="003C7D19"/>
    <w:rsid w:val="003C7D2F"/>
    <w:rsid w:val="003D05B1"/>
    <w:rsid w:val="003D0C5A"/>
    <w:rsid w:val="003D157E"/>
    <w:rsid w:val="003D1828"/>
    <w:rsid w:val="003D1DE4"/>
    <w:rsid w:val="003D1E9A"/>
    <w:rsid w:val="003D2422"/>
    <w:rsid w:val="003D39A1"/>
    <w:rsid w:val="003D3FBF"/>
    <w:rsid w:val="003D4A30"/>
    <w:rsid w:val="003D7452"/>
    <w:rsid w:val="003D79BB"/>
    <w:rsid w:val="003D7C98"/>
    <w:rsid w:val="003D7D9D"/>
    <w:rsid w:val="003E0543"/>
    <w:rsid w:val="003E1693"/>
    <w:rsid w:val="003E49FA"/>
    <w:rsid w:val="003E5603"/>
    <w:rsid w:val="003E69EF"/>
    <w:rsid w:val="003E749E"/>
    <w:rsid w:val="003E7C86"/>
    <w:rsid w:val="003F2151"/>
    <w:rsid w:val="003F4156"/>
    <w:rsid w:val="003F41F3"/>
    <w:rsid w:val="003F5ADF"/>
    <w:rsid w:val="003F7441"/>
    <w:rsid w:val="0040085B"/>
    <w:rsid w:val="00400B29"/>
    <w:rsid w:val="00400C74"/>
    <w:rsid w:val="00401000"/>
    <w:rsid w:val="0040109D"/>
    <w:rsid w:val="00401847"/>
    <w:rsid w:val="00402812"/>
    <w:rsid w:val="0040504B"/>
    <w:rsid w:val="004059F4"/>
    <w:rsid w:val="00407D11"/>
    <w:rsid w:val="00407FE5"/>
    <w:rsid w:val="004101B0"/>
    <w:rsid w:val="00410326"/>
    <w:rsid w:val="00410708"/>
    <w:rsid w:val="00410EC7"/>
    <w:rsid w:val="00411B39"/>
    <w:rsid w:val="004127A7"/>
    <w:rsid w:val="00413932"/>
    <w:rsid w:val="00413A1E"/>
    <w:rsid w:val="00414476"/>
    <w:rsid w:val="00414C2E"/>
    <w:rsid w:val="004151CF"/>
    <w:rsid w:val="004158A3"/>
    <w:rsid w:val="00416364"/>
    <w:rsid w:val="00416A74"/>
    <w:rsid w:val="0042047F"/>
    <w:rsid w:val="00420AA6"/>
    <w:rsid w:val="00420B9F"/>
    <w:rsid w:val="0042192C"/>
    <w:rsid w:val="00422260"/>
    <w:rsid w:val="00423949"/>
    <w:rsid w:val="0042413F"/>
    <w:rsid w:val="0042493F"/>
    <w:rsid w:val="00426EE4"/>
    <w:rsid w:val="004319F8"/>
    <w:rsid w:val="00431D29"/>
    <w:rsid w:val="00431E55"/>
    <w:rsid w:val="00432093"/>
    <w:rsid w:val="004321F5"/>
    <w:rsid w:val="004321F6"/>
    <w:rsid w:val="004322FC"/>
    <w:rsid w:val="00433044"/>
    <w:rsid w:val="00433764"/>
    <w:rsid w:val="00434088"/>
    <w:rsid w:val="00434EA2"/>
    <w:rsid w:val="004352ED"/>
    <w:rsid w:val="00435AEB"/>
    <w:rsid w:val="00436E91"/>
    <w:rsid w:val="004375B9"/>
    <w:rsid w:val="004427B3"/>
    <w:rsid w:val="004428D0"/>
    <w:rsid w:val="00444185"/>
    <w:rsid w:val="004443A7"/>
    <w:rsid w:val="0044442C"/>
    <w:rsid w:val="00445941"/>
    <w:rsid w:val="004464EB"/>
    <w:rsid w:val="00447D26"/>
    <w:rsid w:val="00447DFC"/>
    <w:rsid w:val="00453177"/>
    <w:rsid w:val="004532C5"/>
    <w:rsid w:val="00455D45"/>
    <w:rsid w:val="00463C32"/>
    <w:rsid w:val="00464202"/>
    <w:rsid w:val="00464595"/>
    <w:rsid w:val="00465297"/>
    <w:rsid w:val="004658B5"/>
    <w:rsid w:val="00466C10"/>
    <w:rsid w:val="00467F51"/>
    <w:rsid w:val="00471E17"/>
    <w:rsid w:val="00471EA5"/>
    <w:rsid w:val="00471F5D"/>
    <w:rsid w:val="0047216C"/>
    <w:rsid w:val="00472A79"/>
    <w:rsid w:val="00473F19"/>
    <w:rsid w:val="004753B1"/>
    <w:rsid w:val="00475E22"/>
    <w:rsid w:val="00476701"/>
    <w:rsid w:val="0048088E"/>
    <w:rsid w:val="00480F2B"/>
    <w:rsid w:val="00482720"/>
    <w:rsid w:val="004835E7"/>
    <w:rsid w:val="00483B45"/>
    <w:rsid w:val="00484CE9"/>
    <w:rsid w:val="004859E1"/>
    <w:rsid w:val="004867E2"/>
    <w:rsid w:val="00490B17"/>
    <w:rsid w:val="00491B3A"/>
    <w:rsid w:val="0049283F"/>
    <w:rsid w:val="00492CFD"/>
    <w:rsid w:val="00494207"/>
    <w:rsid w:val="004943B4"/>
    <w:rsid w:val="00494DD5"/>
    <w:rsid w:val="004962D2"/>
    <w:rsid w:val="004A0DA1"/>
    <w:rsid w:val="004A13D6"/>
    <w:rsid w:val="004A3E94"/>
    <w:rsid w:val="004A52E9"/>
    <w:rsid w:val="004A5F3B"/>
    <w:rsid w:val="004A6040"/>
    <w:rsid w:val="004A60E6"/>
    <w:rsid w:val="004A6597"/>
    <w:rsid w:val="004A66B8"/>
    <w:rsid w:val="004A7848"/>
    <w:rsid w:val="004A793B"/>
    <w:rsid w:val="004B1C8E"/>
    <w:rsid w:val="004B1CB4"/>
    <w:rsid w:val="004B2162"/>
    <w:rsid w:val="004B23AF"/>
    <w:rsid w:val="004B2F18"/>
    <w:rsid w:val="004B3DDB"/>
    <w:rsid w:val="004B44FD"/>
    <w:rsid w:val="004B5CFC"/>
    <w:rsid w:val="004B6F79"/>
    <w:rsid w:val="004B774D"/>
    <w:rsid w:val="004C0C4B"/>
    <w:rsid w:val="004C2AC2"/>
    <w:rsid w:val="004C3B02"/>
    <w:rsid w:val="004C3DAA"/>
    <w:rsid w:val="004C3F07"/>
    <w:rsid w:val="004C4AED"/>
    <w:rsid w:val="004C6055"/>
    <w:rsid w:val="004C6101"/>
    <w:rsid w:val="004C6532"/>
    <w:rsid w:val="004D2C2D"/>
    <w:rsid w:val="004D463D"/>
    <w:rsid w:val="004D69B5"/>
    <w:rsid w:val="004D7227"/>
    <w:rsid w:val="004D75C7"/>
    <w:rsid w:val="004D7B5E"/>
    <w:rsid w:val="004E0E7F"/>
    <w:rsid w:val="004E0EB8"/>
    <w:rsid w:val="004E156B"/>
    <w:rsid w:val="004E18E9"/>
    <w:rsid w:val="004E2ADC"/>
    <w:rsid w:val="004E40C8"/>
    <w:rsid w:val="004E43B2"/>
    <w:rsid w:val="004E44AC"/>
    <w:rsid w:val="004E58B0"/>
    <w:rsid w:val="004E65F6"/>
    <w:rsid w:val="004F1D02"/>
    <w:rsid w:val="004F2679"/>
    <w:rsid w:val="004F2AED"/>
    <w:rsid w:val="004F2F21"/>
    <w:rsid w:val="004F3DE5"/>
    <w:rsid w:val="004F66B2"/>
    <w:rsid w:val="004F6913"/>
    <w:rsid w:val="004F7865"/>
    <w:rsid w:val="0050174E"/>
    <w:rsid w:val="00501854"/>
    <w:rsid w:val="0050219B"/>
    <w:rsid w:val="00502CBA"/>
    <w:rsid w:val="00503F17"/>
    <w:rsid w:val="00503F3A"/>
    <w:rsid w:val="00504C44"/>
    <w:rsid w:val="00504F8F"/>
    <w:rsid w:val="005050A7"/>
    <w:rsid w:val="00506928"/>
    <w:rsid w:val="005077EF"/>
    <w:rsid w:val="00511AD5"/>
    <w:rsid w:val="00511DC7"/>
    <w:rsid w:val="00512204"/>
    <w:rsid w:val="005142C5"/>
    <w:rsid w:val="00514B99"/>
    <w:rsid w:val="0051501B"/>
    <w:rsid w:val="005152B5"/>
    <w:rsid w:val="00515886"/>
    <w:rsid w:val="0052123C"/>
    <w:rsid w:val="00521319"/>
    <w:rsid w:val="00521CBC"/>
    <w:rsid w:val="00522BC8"/>
    <w:rsid w:val="00523C28"/>
    <w:rsid w:val="00523CAE"/>
    <w:rsid w:val="00524B8B"/>
    <w:rsid w:val="005250FE"/>
    <w:rsid w:val="00526158"/>
    <w:rsid w:val="00531568"/>
    <w:rsid w:val="0053176B"/>
    <w:rsid w:val="00533F64"/>
    <w:rsid w:val="005341B3"/>
    <w:rsid w:val="00536F42"/>
    <w:rsid w:val="00537182"/>
    <w:rsid w:val="005408A8"/>
    <w:rsid w:val="00541EDD"/>
    <w:rsid w:val="005422AA"/>
    <w:rsid w:val="00542743"/>
    <w:rsid w:val="00542C2D"/>
    <w:rsid w:val="00544D86"/>
    <w:rsid w:val="00546CBA"/>
    <w:rsid w:val="005478BD"/>
    <w:rsid w:val="005479E3"/>
    <w:rsid w:val="00550ED8"/>
    <w:rsid w:val="0055102D"/>
    <w:rsid w:val="00551985"/>
    <w:rsid w:val="00552BD3"/>
    <w:rsid w:val="005532A0"/>
    <w:rsid w:val="00553AEB"/>
    <w:rsid w:val="00554055"/>
    <w:rsid w:val="00554E85"/>
    <w:rsid w:val="00555109"/>
    <w:rsid w:val="00556B35"/>
    <w:rsid w:val="0055741A"/>
    <w:rsid w:val="005611B7"/>
    <w:rsid w:val="005618D4"/>
    <w:rsid w:val="005624B5"/>
    <w:rsid w:val="00564867"/>
    <w:rsid w:val="00565C79"/>
    <w:rsid w:val="00565DF0"/>
    <w:rsid w:val="0056696F"/>
    <w:rsid w:val="00566FDE"/>
    <w:rsid w:val="0056763F"/>
    <w:rsid w:val="00570A6C"/>
    <w:rsid w:val="00571334"/>
    <w:rsid w:val="00572269"/>
    <w:rsid w:val="0057244A"/>
    <w:rsid w:val="00572B9F"/>
    <w:rsid w:val="00572F26"/>
    <w:rsid w:val="005750C5"/>
    <w:rsid w:val="005752DE"/>
    <w:rsid w:val="00575D60"/>
    <w:rsid w:val="00575D8D"/>
    <w:rsid w:val="00576972"/>
    <w:rsid w:val="00577248"/>
    <w:rsid w:val="00583699"/>
    <w:rsid w:val="00584743"/>
    <w:rsid w:val="00585CDD"/>
    <w:rsid w:val="0058639B"/>
    <w:rsid w:val="00587058"/>
    <w:rsid w:val="00591639"/>
    <w:rsid w:val="00591957"/>
    <w:rsid w:val="00591C0D"/>
    <w:rsid w:val="0059271D"/>
    <w:rsid w:val="00595078"/>
    <w:rsid w:val="00595300"/>
    <w:rsid w:val="00597BF9"/>
    <w:rsid w:val="005A0C11"/>
    <w:rsid w:val="005A1640"/>
    <w:rsid w:val="005A16CA"/>
    <w:rsid w:val="005A309A"/>
    <w:rsid w:val="005A373D"/>
    <w:rsid w:val="005A3FBD"/>
    <w:rsid w:val="005B090F"/>
    <w:rsid w:val="005B0B58"/>
    <w:rsid w:val="005B4E53"/>
    <w:rsid w:val="005B5857"/>
    <w:rsid w:val="005B677A"/>
    <w:rsid w:val="005C17EE"/>
    <w:rsid w:val="005C19C4"/>
    <w:rsid w:val="005C1B83"/>
    <w:rsid w:val="005C20A5"/>
    <w:rsid w:val="005C25FF"/>
    <w:rsid w:val="005C2D55"/>
    <w:rsid w:val="005C3209"/>
    <w:rsid w:val="005C346B"/>
    <w:rsid w:val="005C5ABC"/>
    <w:rsid w:val="005D044D"/>
    <w:rsid w:val="005D071E"/>
    <w:rsid w:val="005D0ABD"/>
    <w:rsid w:val="005D18AD"/>
    <w:rsid w:val="005D26B4"/>
    <w:rsid w:val="005D7E9C"/>
    <w:rsid w:val="005E1995"/>
    <w:rsid w:val="005E2A82"/>
    <w:rsid w:val="005E31BD"/>
    <w:rsid w:val="005E6CBC"/>
    <w:rsid w:val="005E72FF"/>
    <w:rsid w:val="005E73C0"/>
    <w:rsid w:val="005E7871"/>
    <w:rsid w:val="005F07ED"/>
    <w:rsid w:val="005F1307"/>
    <w:rsid w:val="005F1D1E"/>
    <w:rsid w:val="005F2706"/>
    <w:rsid w:val="005F2E6B"/>
    <w:rsid w:val="005F6A8F"/>
    <w:rsid w:val="005F6BB7"/>
    <w:rsid w:val="005F7588"/>
    <w:rsid w:val="006028D3"/>
    <w:rsid w:val="00603DB9"/>
    <w:rsid w:val="00605440"/>
    <w:rsid w:val="00606FBA"/>
    <w:rsid w:val="00607669"/>
    <w:rsid w:val="006076F4"/>
    <w:rsid w:val="00607AFD"/>
    <w:rsid w:val="00611B12"/>
    <w:rsid w:val="00612F97"/>
    <w:rsid w:val="0061345D"/>
    <w:rsid w:val="00615345"/>
    <w:rsid w:val="0061549B"/>
    <w:rsid w:val="00616802"/>
    <w:rsid w:val="00617E12"/>
    <w:rsid w:val="00620C25"/>
    <w:rsid w:val="00621477"/>
    <w:rsid w:val="00621ADA"/>
    <w:rsid w:val="00623F7B"/>
    <w:rsid w:val="0062411B"/>
    <w:rsid w:val="00624BD4"/>
    <w:rsid w:val="00625E7C"/>
    <w:rsid w:val="00630669"/>
    <w:rsid w:val="0063158F"/>
    <w:rsid w:val="00631D6B"/>
    <w:rsid w:val="00632183"/>
    <w:rsid w:val="006330A1"/>
    <w:rsid w:val="006344D1"/>
    <w:rsid w:val="0063479F"/>
    <w:rsid w:val="006353F0"/>
    <w:rsid w:val="006357B5"/>
    <w:rsid w:val="006364A1"/>
    <w:rsid w:val="0063678E"/>
    <w:rsid w:val="00636E94"/>
    <w:rsid w:val="00637BFD"/>
    <w:rsid w:val="00637C5C"/>
    <w:rsid w:val="00641C4E"/>
    <w:rsid w:val="00641FB3"/>
    <w:rsid w:val="0064434C"/>
    <w:rsid w:val="00647195"/>
    <w:rsid w:val="006471CC"/>
    <w:rsid w:val="006472FE"/>
    <w:rsid w:val="00647A29"/>
    <w:rsid w:val="0065079F"/>
    <w:rsid w:val="00650CF6"/>
    <w:rsid w:val="00650F19"/>
    <w:rsid w:val="00652A28"/>
    <w:rsid w:val="0065379F"/>
    <w:rsid w:val="00656188"/>
    <w:rsid w:val="0065715A"/>
    <w:rsid w:val="00657EC1"/>
    <w:rsid w:val="006610F1"/>
    <w:rsid w:val="00661C6B"/>
    <w:rsid w:val="00662D14"/>
    <w:rsid w:val="00662D3E"/>
    <w:rsid w:val="0066399F"/>
    <w:rsid w:val="0066611E"/>
    <w:rsid w:val="00667BE3"/>
    <w:rsid w:val="00671004"/>
    <w:rsid w:val="00672646"/>
    <w:rsid w:val="00674E42"/>
    <w:rsid w:val="0067594B"/>
    <w:rsid w:val="00676563"/>
    <w:rsid w:val="006771BD"/>
    <w:rsid w:val="006813F8"/>
    <w:rsid w:val="00682112"/>
    <w:rsid w:val="00682BA6"/>
    <w:rsid w:val="00685D05"/>
    <w:rsid w:val="00686957"/>
    <w:rsid w:val="006872BA"/>
    <w:rsid w:val="00690216"/>
    <w:rsid w:val="00690795"/>
    <w:rsid w:val="00691648"/>
    <w:rsid w:val="006917D7"/>
    <w:rsid w:val="0069434C"/>
    <w:rsid w:val="00694F44"/>
    <w:rsid w:val="00696311"/>
    <w:rsid w:val="00696EF9"/>
    <w:rsid w:val="00696F51"/>
    <w:rsid w:val="006971E9"/>
    <w:rsid w:val="006979A5"/>
    <w:rsid w:val="006A016F"/>
    <w:rsid w:val="006A0BD4"/>
    <w:rsid w:val="006A0DF7"/>
    <w:rsid w:val="006A0E34"/>
    <w:rsid w:val="006A1CA6"/>
    <w:rsid w:val="006A4321"/>
    <w:rsid w:val="006A43D9"/>
    <w:rsid w:val="006A49FE"/>
    <w:rsid w:val="006A6B99"/>
    <w:rsid w:val="006A7E5F"/>
    <w:rsid w:val="006B125F"/>
    <w:rsid w:val="006B21B4"/>
    <w:rsid w:val="006B261B"/>
    <w:rsid w:val="006B2764"/>
    <w:rsid w:val="006B2C90"/>
    <w:rsid w:val="006B35E6"/>
    <w:rsid w:val="006B465A"/>
    <w:rsid w:val="006B6DD0"/>
    <w:rsid w:val="006C0399"/>
    <w:rsid w:val="006C1778"/>
    <w:rsid w:val="006C2A8E"/>
    <w:rsid w:val="006C3255"/>
    <w:rsid w:val="006C38BE"/>
    <w:rsid w:val="006C3F26"/>
    <w:rsid w:val="006C4215"/>
    <w:rsid w:val="006D0D17"/>
    <w:rsid w:val="006D2F72"/>
    <w:rsid w:val="006D3C7D"/>
    <w:rsid w:val="006D3CEC"/>
    <w:rsid w:val="006D41C4"/>
    <w:rsid w:val="006D4659"/>
    <w:rsid w:val="006D5D5F"/>
    <w:rsid w:val="006D68FB"/>
    <w:rsid w:val="006D69B4"/>
    <w:rsid w:val="006D7402"/>
    <w:rsid w:val="006E2868"/>
    <w:rsid w:val="006E78B3"/>
    <w:rsid w:val="006F306C"/>
    <w:rsid w:val="006F4A79"/>
    <w:rsid w:val="006F5229"/>
    <w:rsid w:val="006F63A5"/>
    <w:rsid w:val="006F6852"/>
    <w:rsid w:val="006F7521"/>
    <w:rsid w:val="006F784D"/>
    <w:rsid w:val="00700236"/>
    <w:rsid w:val="00700F30"/>
    <w:rsid w:val="0070142B"/>
    <w:rsid w:val="0070187A"/>
    <w:rsid w:val="00701E64"/>
    <w:rsid w:val="0070276E"/>
    <w:rsid w:val="00702B5B"/>
    <w:rsid w:val="00702F8F"/>
    <w:rsid w:val="00703BE7"/>
    <w:rsid w:val="00704342"/>
    <w:rsid w:val="00705AFF"/>
    <w:rsid w:val="007079FC"/>
    <w:rsid w:val="00710360"/>
    <w:rsid w:val="00711A36"/>
    <w:rsid w:val="00712231"/>
    <w:rsid w:val="007125D3"/>
    <w:rsid w:val="00713225"/>
    <w:rsid w:val="00713F43"/>
    <w:rsid w:val="00714571"/>
    <w:rsid w:val="00714C26"/>
    <w:rsid w:val="0071529C"/>
    <w:rsid w:val="007170DA"/>
    <w:rsid w:val="007172AD"/>
    <w:rsid w:val="00717546"/>
    <w:rsid w:val="00720801"/>
    <w:rsid w:val="00721762"/>
    <w:rsid w:val="00721F9E"/>
    <w:rsid w:val="00722B1B"/>
    <w:rsid w:val="0072416F"/>
    <w:rsid w:val="0072548D"/>
    <w:rsid w:val="00727C94"/>
    <w:rsid w:val="0073038E"/>
    <w:rsid w:val="00731506"/>
    <w:rsid w:val="00731B0A"/>
    <w:rsid w:val="00731EAE"/>
    <w:rsid w:val="00731F0C"/>
    <w:rsid w:val="00733073"/>
    <w:rsid w:val="0073479C"/>
    <w:rsid w:val="00735033"/>
    <w:rsid w:val="00735328"/>
    <w:rsid w:val="00735BAD"/>
    <w:rsid w:val="0073685B"/>
    <w:rsid w:val="0074085C"/>
    <w:rsid w:val="00743366"/>
    <w:rsid w:val="007449BF"/>
    <w:rsid w:val="00745114"/>
    <w:rsid w:val="007463FE"/>
    <w:rsid w:val="00746BC0"/>
    <w:rsid w:val="00747445"/>
    <w:rsid w:val="00747716"/>
    <w:rsid w:val="007501AD"/>
    <w:rsid w:val="007510B4"/>
    <w:rsid w:val="00752142"/>
    <w:rsid w:val="007523F9"/>
    <w:rsid w:val="0075357E"/>
    <w:rsid w:val="00753B29"/>
    <w:rsid w:val="007573E8"/>
    <w:rsid w:val="007607FC"/>
    <w:rsid w:val="00760C4E"/>
    <w:rsid w:val="00760F9E"/>
    <w:rsid w:val="007616E6"/>
    <w:rsid w:val="00762148"/>
    <w:rsid w:val="007627BE"/>
    <w:rsid w:val="00762C00"/>
    <w:rsid w:val="00764F03"/>
    <w:rsid w:val="00765B1A"/>
    <w:rsid w:val="00765DC1"/>
    <w:rsid w:val="00767156"/>
    <w:rsid w:val="00775B5B"/>
    <w:rsid w:val="00776A29"/>
    <w:rsid w:val="00776F7C"/>
    <w:rsid w:val="00777335"/>
    <w:rsid w:val="00780C45"/>
    <w:rsid w:val="007821EB"/>
    <w:rsid w:val="007843F2"/>
    <w:rsid w:val="007846FA"/>
    <w:rsid w:val="00784C6D"/>
    <w:rsid w:val="00785A9F"/>
    <w:rsid w:val="007925DF"/>
    <w:rsid w:val="00793C3B"/>
    <w:rsid w:val="00794955"/>
    <w:rsid w:val="00797AED"/>
    <w:rsid w:val="007A08AA"/>
    <w:rsid w:val="007A0A12"/>
    <w:rsid w:val="007A132D"/>
    <w:rsid w:val="007A1345"/>
    <w:rsid w:val="007A2DDB"/>
    <w:rsid w:val="007A5487"/>
    <w:rsid w:val="007A6D2E"/>
    <w:rsid w:val="007A6ED2"/>
    <w:rsid w:val="007A70BA"/>
    <w:rsid w:val="007A7430"/>
    <w:rsid w:val="007B094B"/>
    <w:rsid w:val="007B0D34"/>
    <w:rsid w:val="007B0D68"/>
    <w:rsid w:val="007B1103"/>
    <w:rsid w:val="007B1EFA"/>
    <w:rsid w:val="007B23EC"/>
    <w:rsid w:val="007B251D"/>
    <w:rsid w:val="007B3533"/>
    <w:rsid w:val="007B37CA"/>
    <w:rsid w:val="007B4F58"/>
    <w:rsid w:val="007B528D"/>
    <w:rsid w:val="007B63CA"/>
    <w:rsid w:val="007B6A47"/>
    <w:rsid w:val="007B6CA1"/>
    <w:rsid w:val="007B77D1"/>
    <w:rsid w:val="007B787C"/>
    <w:rsid w:val="007C07C7"/>
    <w:rsid w:val="007C1CD9"/>
    <w:rsid w:val="007C32EF"/>
    <w:rsid w:val="007C361D"/>
    <w:rsid w:val="007C3A4A"/>
    <w:rsid w:val="007C4B84"/>
    <w:rsid w:val="007C570E"/>
    <w:rsid w:val="007C6F10"/>
    <w:rsid w:val="007C70FF"/>
    <w:rsid w:val="007C7C25"/>
    <w:rsid w:val="007D004F"/>
    <w:rsid w:val="007D035F"/>
    <w:rsid w:val="007D06B2"/>
    <w:rsid w:val="007D0B38"/>
    <w:rsid w:val="007D2454"/>
    <w:rsid w:val="007D2DDD"/>
    <w:rsid w:val="007D5440"/>
    <w:rsid w:val="007D649B"/>
    <w:rsid w:val="007D64E3"/>
    <w:rsid w:val="007D69EB"/>
    <w:rsid w:val="007D7A4C"/>
    <w:rsid w:val="007E128F"/>
    <w:rsid w:val="007E33A1"/>
    <w:rsid w:val="007E4F70"/>
    <w:rsid w:val="007E54AC"/>
    <w:rsid w:val="007F1017"/>
    <w:rsid w:val="007F430A"/>
    <w:rsid w:val="007F4A3F"/>
    <w:rsid w:val="007F4A61"/>
    <w:rsid w:val="007F4BE9"/>
    <w:rsid w:val="007F5255"/>
    <w:rsid w:val="007F56CC"/>
    <w:rsid w:val="007F61C2"/>
    <w:rsid w:val="007F65CB"/>
    <w:rsid w:val="007F7A27"/>
    <w:rsid w:val="008004BF"/>
    <w:rsid w:val="008014DF"/>
    <w:rsid w:val="00805142"/>
    <w:rsid w:val="0080566B"/>
    <w:rsid w:val="00805FCE"/>
    <w:rsid w:val="0080659F"/>
    <w:rsid w:val="00807A8B"/>
    <w:rsid w:val="00810024"/>
    <w:rsid w:val="00811383"/>
    <w:rsid w:val="00812149"/>
    <w:rsid w:val="00812CAC"/>
    <w:rsid w:val="00814BE1"/>
    <w:rsid w:val="00816361"/>
    <w:rsid w:val="00816413"/>
    <w:rsid w:val="008166EF"/>
    <w:rsid w:val="00816FEF"/>
    <w:rsid w:val="00820A8C"/>
    <w:rsid w:val="0082105F"/>
    <w:rsid w:val="008215FB"/>
    <w:rsid w:val="008220CC"/>
    <w:rsid w:val="00822A33"/>
    <w:rsid w:val="00823174"/>
    <w:rsid w:val="00825310"/>
    <w:rsid w:val="00825751"/>
    <w:rsid w:val="008264EB"/>
    <w:rsid w:val="008268CE"/>
    <w:rsid w:val="00827C23"/>
    <w:rsid w:val="00832C96"/>
    <w:rsid w:val="00832E68"/>
    <w:rsid w:val="00833B05"/>
    <w:rsid w:val="00834585"/>
    <w:rsid w:val="00834C7D"/>
    <w:rsid w:val="00835552"/>
    <w:rsid w:val="008362B4"/>
    <w:rsid w:val="0083709B"/>
    <w:rsid w:val="00840CA2"/>
    <w:rsid w:val="0084374F"/>
    <w:rsid w:val="00844A22"/>
    <w:rsid w:val="00847703"/>
    <w:rsid w:val="00847DF5"/>
    <w:rsid w:val="00852706"/>
    <w:rsid w:val="0085309D"/>
    <w:rsid w:val="00856897"/>
    <w:rsid w:val="00856E9A"/>
    <w:rsid w:val="0086075D"/>
    <w:rsid w:val="00862502"/>
    <w:rsid w:val="00862CC1"/>
    <w:rsid w:val="00864126"/>
    <w:rsid w:val="008642A7"/>
    <w:rsid w:val="0086443D"/>
    <w:rsid w:val="008660D4"/>
    <w:rsid w:val="0086666D"/>
    <w:rsid w:val="008668A1"/>
    <w:rsid w:val="00867DAB"/>
    <w:rsid w:val="00870D20"/>
    <w:rsid w:val="00871FA9"/>
    <w:rsid w:val="008728E9"/>
    <w:rsid w:val="008754B2"/>
    <w:rsid w:val="00876639"/>
    <w:rsid w:val="00882874"/>
    <w:rsid w:val="00882E3C"/>
    <w:rsid w:val="0088308A"/>
    <w:rsid w:val="00883787"/>
    <w:rsid w:val="008855E4"/>
    <w:rsid w:val="00886CD2"/>
    <w:rsid w:val="008875E3"/>
    <w:rsid w:val="00891E6F"/>
    <w:rsid w:val="0089275D"/>
    <w:rsid w:val="00892A36"/>
    <w:rsid w:val="00893239"/>
    <w:rsid w:val="0089420E"/>
    <w:rsid w:val="00894489"/>
    <w:rsid w:val="008949C8"/>
    <w:rsid w:val="00894CD6"/>
    <w:rsid w:val="008963A5"/>
    <w:rsid w:val="00896D5D"/>
    <w:rsid w:val="00897620"/>
    <w:rsid w:val="008A1F2B"/>
    <w:rsid w:val="008A3158"/>
    <w:rsid w:val="008A3363"/>
    <w:rsid w:val="008A3371"/>
    <w:rsid w:val="008A3C3E"/>
    <w:rsid w:val="008A4529"/>
    <w:rsid w:val="008A6439"/>
    <w:rsid w:val="008A79DE"/>
    <w:rsid w:val="008B1757"/>
    <w:rsid w:val="008B1C33"/>
    <w:rsid w:val="008B4B6F"/>
    <w:rsid w:val="008B5849"/>
    <w:rsid w:val="008B6A55"/>
    <w:rsid w:val="008B6AC0"/>
    <w:rsid w:val="008B7992"/>
    <w:rsid w:val="008B7D7E"/>
    <w:rsid w:val="008B7F21"/>
    <w:rsid w:val="008C350F"/>
    <w:rsid w:val="008C5610"/>
    <w:rsid w:val="008C5739"/>
    <w:rsid w:val="008C6893"/>
    <w:rsid w:val="008C7282"/>
    <w:rsid w:val="008C7ECB"/>
    <w:rsid w:val="008D3B86"/>
    <w:rsid w:val="008D43FD"/>
    <w:rsid w:val="008D4755"/>
    <w:rsid w:val="008D4C3D"/>
    <w:rsid w:val="008D743C"/>
    <w:rsid w:val="008E0D3C"/>
    <w:rsid w:val="008E1B9E"/>
    <w:rsid w:val="008E2796"/>
    <w:rsid w:val="008E55AB"/>
    <w:rsid w:val="008F120A"/>
    <w:rsid w:val="008F1F59"/>
    <w:rsid w:val="008F22AF"/>
    <w:rsid w:val="008F27E0"/>
    <w:rsid w:val="008F33D3"/>
    <w:rsid w:val="008F48EB"/>
    <w:rsid w:val="008F4F0B"/>
    <w:rsid w:val="009009BA"/>
    <w:rsid w:val="00901660"/>
    <w:rsid w:val="009041C4"/>
    <w:rsid w:val="009046C4"/>
    <w:rsid w:val="009048B0"/>
    <w:rsid w:val="00904A11"/>
    <w:rsid w:val="009062A5"/>
    <w:rsid w:val="009069C3"/>
    <w:rsid w:val="00906A42"/>
    <w:rsid w:val="00907699"/>
    <w:rsid w:val="00910FA7"/>
    <w:rsid w:val="00911272"/>
    <w:rsid w:val="00911339"/>
    <w:rsid w:val="0091142A"/>
    <w:rsid w:val="009135D6"/>
    <w:rsid w:val="00914C77"/>
    <w:rsid w:val="009163BE"/>
    <w:rsid w:val="009201B2"/>
    <w:rsid w:val="00921A7B"/>
    <w:rsid w:val="00921ACB"/>
    <w:rsid w:val="00921EA0"/>
    <w:rsid w:val="00921EF7"/>
    <w:rsid w:val="00922EF1"/>
    <w:rsid w:val="00923654"/>
    <w:rsid w:val="0092369B"/>
    <w:rsid w:val="00924EBC"/>
    <w:rsid w:val="00927B91"/>
    <w:rsid w:val="00930DEC"/>
    <w:rsid w:val="009332A5"/>
    <w:rsid w:val="00934988"/>
    <w:rsid w:val="00937089"/>
    <w:rsid w:val="00937B89"/>
    <w:rsid w:val="00942466"/>
    <w:rsid w:val="00943671"/>
    <w:rsid w:val="00944F8A"/>
    <w:rsid w:val="00945FB1"/>
    <w:rsid w:val="009462A9"/>
    <w:rsid w:val="0094644C"/>
    <w:rsid w:val="009510A2"/>
    <w:rsid w:val="00953257"/>
    <w:rsid w:val="0095474C"/>
    <w:rsid w:val="009550D4"/>
    <w:rsid w:val="0095547E"/>
    <w:rsid w:val="0095579D"/>
    <w:rsid w:val="00957D92"/>
    <w:rsid w:val="00962BE0"/>
    <w:rsid w:val="00962CB9"/>
    <w:rsid w:val="00964312"/>
    <w:rsid w:val="00964673"/>
    <w:rsid w:val="00965B8A"/>
    <w:rsid w:val="0097071F"/>
    <w:rsid w:val="009717AC"/>
    <w:rsid w:val="00973E47"/>
    <w:rsid w:val="009751C1"/>
    <w:rsid w:val="0097552D"/>
    <w:rsid w:val="00975A40"/>
    <w:rsid w:val="00976217"/>
    <w:rsid w:val="0098099D"/>
    <w:rsid w:val="009811F1"/>
    <w:rsid w:val="00981426"/>
    <w:rsid w:val="009820D4"/>
    <w:rsid w:val="0098231D"/>
    <w:rsid w:val="009825DE"/>
    <w:rsid w:val="0098262F"/>
    <w:rsid w:val="00983E57"/>
    <w:rsid w:val="00984792"/>
    <w:rsid w:val="00984BE2"/>
    <w:rsid w:val="00985DE2"/>
    <w:rsid w:val="0098675D"/>
    <w:rsid w:val="00987BA4"/>
    <w:rsid w:val="00991F62"/>
    <w:rsid w:val="009926E0"/>
    <w:rsid w:val="0099451E"/>
    <w:rsid w:val="0099625B"/>
    <w:rsid w:val="00996B1A"/>
    <w:rsid w:val="009A1614"/>
    <w:rsid w:val="009A18F6"/>
    <w:rsid w:val="009A1901"/>
    <w:rsid w:val="009A2DCC"/>
    <w:rsid w:val="009A34AA"/>
    <w:rsid w:val="009A4157"/>
    <w:rsid w:val="009A5ABC"/>
    <w:rsid w:val="009A6E36"/>
    <w:rsid w:val="009A7545"/>
    <w:rsid w:val="009A7F10"/>
    <w:rsid w:val="009B1991"/>
    <w:rsid w:val="009B2A44"/>
    <w:rsid w:val="009B3E26"/>
    <w:rsid w:val="009B407F"/>
    <w:rsid w:val="009B4419"/>
    <w:rsid w:val="009B513D"/>
    <w:rsid w:val="009C01E8"/>
    <w:rsid w:val="009C0CB2"/>
    <w:rsid w:val="009C1271"/>
    <w:rsid w:val="009C2642"/>
    <w:rsid w:val="009C3323"/>
    <w:rsid w:val="009C3706"/>
    <w:rsid w:val="009C3A3A"/>
    <w:rsid w:val="009C426B"/>
    <w:rsid w:val="009C56C9"/>
    <w:rsid w:val="009C6CEA"/>
    <w:rsid w:val="009C7B85"/>
    <w:rsid w:val="009D0254"/>
    <w:rsid w:val="009D1220"/>
    <w:rsid w:val="009D123A"/>
    <w:rsid w:val="009D1A64"/>
    <w:rsid w:val="009D40DD"/>
    <w:rsid w:val="009D4C5F"/>
    <w:rsid w:val="009D5B91"/>
    <w:rsid w:val="009D792E"/>
    <w:rsid w:val="009E0DFE"/>
    <w:rsid w:val="009E2268"/>
    <w:rsid w:val="009E31F6"/>
    <w:rsid w:val="009E4C07"/>
    <w:rsid w:val="009E75AD"/>
    <w:rsid w:val="009E777F"/>
    <w:rsid w:val="009F120F"/>
    <w:rsid w:val="009F2F02"/>
    <w:rsid w:val="009F3BEF"/>
    <w:rsid w:val="009F6120"/>
    <w:rsid w:val="00A00D76"/>
    <w:rsid w:val="00A00F3E"/>
    <w:rsid w:val="00A01184"/>
    <w:rsid w:val="00A01449"/>
    <w:rsid w:val="00A02BD3"/>
    <w:rsid w:val="00A037C2"/>
    <w:rsid w:val="00A03D43"/>
    <w:rsid w:val="00A04380"/>
    <w:rsid w:val="00A04786"/>
    <w:rsid w:val="00A05472"/>
    <w:rsid w:val="00A057B1"/>
    <w:rsid w:val="00A05C32"/>
    <w:rsid w:val="00A0653F"/>
    <w:rsid w:val="00A071BE"/>
    <w:rsid w:val="00A11CD0"/>
    <w:rsid w:val="00A12B7C"/>
    <w:rsid w:val="00A137AB"/>
    <w:rsid w:val="00A13948"/>
    <w:rsid w:val="00A1555B"/>
    <w:rsid w:val="00A155C5"/>
    <w:rsid w:val="00A162C3"/>
    <w:rsid w:val="00A16AD8"/>
    <w:rsid w:val="00A16B8F"/>
    <w:rsid w:val="00A2021E"/>
    <w:rsid w:val="00A21C95"/>
    <w:rsid w:val="00A21CF3"/>
    <w:rsid w:val="00A22FB6"/>
    <w:rsid w:val="00A24813"/>
    <w:rsid w:val="00A25236"/>
    <w:rsid w:val="00A2639E"/>
    <w:rsid w:val="00A26FC0"/>
    <w:rsid w:val="00A27A66"/>
    <w:rsid w:val="00A27AEC"/>
    <w:rsid w:val="00A27D19"/>
    <w:rsid w:val="00A31C7F"/>
    <w:rsid w:val="00A320DB"/>
    <w:rsid w:val="00A3264C"/>
    <w:rsid w:val="00A33BE0"/>
    <w:rsid w:val="00A352F1"/>
    <w:rsid w:val="00A35D16"/>
    <w:rsid w:val="00A37BCD"/>
    <w:rsid w:val="00A40220"/>
    <w:rsid w:val="00A40B1B"/>
    <w:rsid w:val="00A41689"/>
    <w:rsid w:val="00A42592"/>
    <w:rsid w:val="00A43C59"/>
    <w:rsid w:val="00A449AE"/>
    <w:rsid w:val="00A46989"/>
    <w:rsid w:val="00A50ECD"/>
    <w:rsid w:val="00A514E0"/>
    <w:rsid w:val="00A518F3"/>
    <w:rsid w:val="00A5211E"/>
    <w:rsid w:val="00A52729"/>
    <w:rsid w:val="00A5295F"/>
    <w:rsid w:val="00A53675"/>
    <w:rsid w:val="00A53C59"/>
    <w:rsid w:val="00A54B20"/>
    <w:rsid w:val="00A553D1"/>
    <w:rsid w:val="00A564D7"/>
    <w:rsid w:val="00A56B6A"/>
    <w:rsid w:val="00A578DC"/>
    <w:rsid w:val="00A60FB5"/>
    <w:rsid w:val="00A61E4A"/>
    <w:rsid w:val="00A622A9"/>
    <w:rsid w:val="00A640E2"/>
    <w:rsid w:val="00A64D65"/>
    <w:rsid w:val="00A654A2"/>
    <w:rsid w:val="00A666DA"/>
    <w:rsid w:val="00A66C87"/>
    <w:rsid w:val="00A6703A"/>
    <w:rsid w:val="00A6725B"/>
    <w:rsid w:val="00A67931"/>
    <w:rsid w:val="00A67AE5"/>
    <w:rsid w:val="00A67F31"/>
    <w:rsid w:val="00A70605"/>
    <w:rsid w:val="00A71589"/>
    <w:rsid w:val="00A73134"/>
    <w:rsid w:val="00A7365A"/>
    <w:rsid w:val="00A76001"/>
    <w:rsid w:val="00A777B2"/>
    <w:rsid w:val="00A825D4"/>
    <w:rsid w:val="00A828F6"/>
    <w:rsid w:val="00A82B73"/>
    <w:rsid w:val="00A8625D"/>
    <w:rsid w:val="00A86C39"/>
    <w:rsid w:val="00A86E8B"/>
    <w:rsid w:val="00A87164"/>
    <w:rsid w:val="00A871A9"/>
    <w:rsid w:val="00A9030A"/>
    <w:rsid w:val="00A92277"/>
    <w:rsid w:val="00A93072"/>
    <w:rsid w:val="00A938BD"/>
    <w:rsid w:val="00A93953"/>
    <w:rsid w:val="00A951B6"/>
    <w:rsid w:val="00A959D8"/>
    <w:rsid w:val="00A971FC"/>
    <w:rsid w:val="00A9774A"/>
    <w:rsid w:val="00AA113D"/>
    <w:rsid w:val="00AA37B2"/>
    <w:rsid w:val="00AA3BDC"/>
    <w:rsid w:val="00AA69D1"/>
    <w:rsid w:val="00AA6BD5"/>
    <w:rsid w:val="00AA6BD8"/>
    <w:rsid w:val="00AA6C7D"/>
    <w:rsid w:val="00AA7CC7"/>
    <w:rsid w:val="00AA7FD6"/>
    <w:rsid w:val="00AB042A"/>
    <w:rsid w:val="00AB0618"/>
    <w:rsid w:val="00AB11AD"/>
    <w:rsid w:val="00AB19EF"/>
    <w:rsid w:val="00AB2495"/>
    <w:rsid w:val="00AB2D34"/>
    <w:rsid w:val="00AB3430"/>
    <w:rsid w:val="00AB37B9"/>
    <w:rsid w:val="00AB4AD1"/>
    <w:rsid w:val="00AB5CDE"/>
    <w:rsid w:val="00AB5E07"/>
    <w:rsid w:val="00AB7387"/>
    <w:rsid w:val="00AB7CFA"/>
    <w:rsid w:val="00AC5B42"/>
    <w:rsid w:val="00AC5B48"/>
    <w:rsid w:val="00AC6BB0"/>
    <w:rsid w:val="00AD1450"/>
    <w:rsid w:val="00AD15E8"/>
    <w:rsid w:val="00AD17CF"/>
    <w:rsid w:val="00AD356D"/>
    <w:rsid w:val="00AD45F5"/>
    <w:rsid w:val="00AD6502"/>
    <w:rsid w:val="00AE0695"/>
    <w:rsid w:val="00AE1834"/>
    <w:rsid w:val="00AE3E7E"/>
    <w:rsid w:val="00AE4548"/>
    <w:rsid w:val="00AE628D"/>
    <w:rsid w:val="00AE63DC"/>
    <w:rsid w:val="00AE7E53"/>
    <w:rsid w:val="00AF1315"/>
    <w:rsid w:val="00AF19BF"/>
    <w:rsid w:val="00AF2DC3"/>
    <w:rsid w:val="00AF394A"/>
    <w:rsid w:val="00AF4238"/>
    <w:rsid w:val="00AF45C0"/>
    <w:rsid w:val="00AF735F"/>
    <w:rsid w:val="00B02507"/>
    <w:rsid w:val="00B029A2"/>
    <w:rsid w:val="00B033E5"/>
    <w:rsid w:val="00B037DB"/>
    <w:rsid w:val="00B03A63"/>
    <w:rsid w:val="00B05E2D"/>
    <w:rsid w:val="00B129A4"/>
    <w:rsid w:val="00B201A4"/>
    <w:rsid w:val="00B201D1"/>
    <w:rsid w:val="00B213A6"/>
    <w:rsid w:val="00B235B0"/>
    <w:rsid w:val="00B24663"/>
    <w:rsid w:val="00B24DF6"/>
    <w:rsid w:val="00B266A9"/>
    <w:rsid w:val="00B27A61"/>
    <w:rsid w:val="00B31187"/>
    <w:rsid w:val="00B34FE2"/>
    <w:rsid w:val="00B35166"/>
    <w:rsid w:val="00B352B7"/>
    <w:rsid w:val="00B357D8"/>
    <w:rsid w:val="00B35FFD"/>
    <w:rsid w:val="00B360F4"/>
    <w:rsid w:val="00B36A00"/>
    <w:rsid w:val="00B3792B"/>
    <w:rsid w:val="00B37BFC"/>
    <w:rsid w:val="00B40358"/>
    <w:rsid w:val="00B41614"/>
    <w:rsid w:val="00B42851"/>
    <w:rsid w:val="00B42F80"/>
    <w:rsid w:val="00B435CB"/>
    <w:rsid w:val="00B438D3"/>
    <w:rsid w:val="00B44BD7"/>
    <w:rsid w:val="00B463B6"/>
    <w:rsid w:val="00B465EC"/>
    <w:rsid w:val="00B4742B"/>
    <w:rsid w:val="00B47A26"/>
    <w:rsid w:val="00B505C8"/>
    <w:rsid w:val="00B50DB8"/>
    <w:rsid w:val="00B53654"/>
    <w:rsid w:val="00B53905"/>
    <w:rsid w:val="00B546DB"/>
    <w:rsid w:val="00B54B5B"/>
    <w:rsid w:val="00B5562E"/>
    <w:rsid w:val="00B55862"/>
    <w:rsid w:val="00B55D65"/>
    <w:rsid w:val="00B55E51"/>
    <w:rsid w:val="00B56305"/>
    <w:rsid w:val="00B57000"/>
    <w:rsid w:val="00B5794B"/>
    <w:rsid w:val="00B60939"/>
    <w:rsid w:val="00B60AFD"/>
    <w:rsid w:val="00B62715"/>
    <w:rsid w:val="00B63796"/>
    <w:rsid w:val="00B653AB"/>
    <w:rsid w:val="00B65611"/>
    <w:rsid w:val="00B661E3"/>
    <w:rsid w:val="00B667F9"/>
    <w:rsid w:val="00B66F4E"/>
    <w:rsid w:val="00B70E8E"/>
    <w:rsid w:val="00B72DCC"/>
    <w:rsid w:val="00B757DB"/>
    <w:rsid w:val="00B759C9"/>
    <w:rsid w:val="00B76C92"/>
    <w:rsid w:val="00B772C4"/>
    <w:rsid w:val="00B80EFD"/>
    <w:rsid w:val="00B818A4"/>
    <w:rsid w:val="00B82DB7"/>
    <w:rsid w:val="00B83739"/>
    <w:rsid w:val="00B84117"/>
    <w:rsid w:val="00B858F0"/>
    <w:rsid w:val="00B85AA2"/>
    <w:rsid w:val="00B8649C"/>
    <w:rsid w:val="00B8695D"/>
    <w:rsid w:val="00B87F0A"/>
    <w:rsid w:val="00B90876"/>
    <w:rsid w:val="00B92D0B"/>
    <w:rsid w:val="00B941E1"/>
    <w:rsid w:val="00B94945"/>
    <w:rsid w:val="00B94DD6"/>
    <w:rsid w:val="00B96056"/>
    <w:rsid w:val="00B9711E"/>
    <w:rsid w:val="00BA01E9"/>
    <w:rsid w:val="00BA1588"/>
    <w:rsid w:val="00BA1C43"/>
    <w:rsid w:val="00BA1D21"/>
    <w:rsid w:val="00BA322D"/>
    <w:rsid w:val="00BA63FA"/>
    <w:rsid w:val="00BB00B3"/>
    <w:rsid w:val="00BB03B2"/>
    <w:rsid w:val="00BB0BDD"/>
    <w:rsid w:val="00BB133C"/>
    <w:rsid w:val="00BB176C"/>
    <w:rsid w:val="00BB19A1"/>
    <w:rsid w:val="00BB2A73"/>
    <w:rsid w:val="00BB3A45"/>
    <w:rsid w:val="00BB3DA2"/>
    <w:rsid w:val="00BB4ACC"/>
    <w:rsid w:val="00BB703E"/>
    <w:rsid w:val="00BB732D"/>
    <w:rsid w:val="00BB7405"/>
    <w:rsid w:val="00BC151F"/>
    <w:rsid w:val="00BC3631"/>
    <w:rsid w:val="00BC3F46"/>
    <w:rsid w:val="00BC591F"/>
    <w:rsid w:val="00BC5927"/>
    <w:rsid w:val="00BC7064"/>
    <w:rsid w:val="00BC7D6D"/>
    <w:rsid w:val="00BD06B4"/>
    <w:rsid w:val="00BD2108"/>
    <w:rsid w:val="00BD5E25"/>
    <w:rsid w:val="00BD628D"/>
    <w:rsid w:val="00BD68A3"/>
    <w:rsid w:val="00BD6938"/>
    <w:rsid w:val="00BD6CF3"/>
    <w:rsid w:val="00BD7F72"/>
    <w:rsid w:val="00BE0ECA"/>
    <w:rsid w:val="00BE2180"/>
    <w:rsid w:val="00BE21F2"/>
    <w:rsid w:val="00BE30F6"/>
    <w:rsid w:val="00BE3230"/>
    <w:rsid w:val="00BE4275"/>
    <w:rsid w:val="00BE59FE"/>
    <w:rsid w:val="00BE6737"/>
    <w:rsid w:val="00BE6834"/>
    <w:rsid w:val="00BE7331"/>
    <w:rsid w:val="00BF06AE"/>
    <w:rsid w:val="00BF0F95"/>
    <w:rsid w:val="00BF1740"/>
    <w:rsid w:val="00BF2433"/>
    <w:rsid w:val="00BF2E6E"/>
    <w:rsid w:val="00BF3C91"/>
    <w:rsid w:val="00BF61C9"/>
    <w:rsid w:val="00BF6C94"/>
    <w:rsid w:val="00C00424"/>
    <w:rsid w:val="00C00BB0"/>
    <w:rsid w:val="00C056E0"/>
    <w:rsid w:val="00C1179F"/>
    <w:rsid w:val="00C127B9"/>
    <w:rsid w:val="00C128FA"/>
    <w:rsid w:val="00C12C14"/>
    <w:rsid w:val="00C15F04"/>
    <w:rsid w:val="00C178A9"/>
    <w:rsid w:val="00C179B3"/>
    <w:rsid w:val="00C17E3F"/>
    <w:rsid w:val="00C200AA"/>
    <w:rsid w:val="00C237ED"/>
    <w:rsid w:val="00C24632"/>
    <w:rsid w:val="00C24A50"/>
    <w:rsid w:val="00C25418"/>
    <w:rsid w:val="00C25D9C"/>
    <w:rsid w:val="00C2778B"/>
    <w:rsid w:val="00C307A7"/>
    <w:rsid w:val="00C31649"/>
    <w:rsid w:val="00C3434C"/>
    <w:rsid w:val="00C35F2F"/>
    <w:rsid w:val="00C37309"/>
    <w:rsid w:val="00C40385"/>
    <w:rsid w:val="00C40869"/>
    <w:rsid w:val="00C41768"/>
    <w:rsid w:val="00C41E6E"/>
    <w:rsid w:val="00C42AE2"/>
    <w:rsid w:val="00C46816"/>
    <w:rsid w:val="00C475AA"/>
    <w:rsid w:val="00C51E0A"/>
    <w:rsid w:val="00C527C7"/>
    <w:rsid w:val="00C53C98"/>
    <w:rsid w:val="00C53EFE"/>
    <w:rsid w:val="00C56B7D"/>
    <w:rsid w:val="00C56FCF"/>
    <w:rsid w:val="00C572F6"/>
    <w:rsid w:val="00C57B6C"/>
    <w:rsid w:val="00C61A59"/>
    <w:rsid w:val="00C620C5"/>
    <w:rsid w:val="00C6280F"/>
    <w:rsid w:val="00C628A6"/>
    <w:rsid w:val="00C64344"/>
    <w:rsid w:val="00C65108"/>
    <w:rsid w:val="00C65576"/>
    <w:rsid w:val="00C66165"/>
    <w:rsid w:val="00C66F9B"/>
    <w:rsid w:val="00C7060A"/>
    <w:rsid w:val="00C707D3"/>
    <w:rsid w:val="00C7151A"/>
    <w:rsid w:val="00C717E3"/>
    <w:rsid w:val="00C71F60"/>
    <w:rsid w:val="00C72241"/>
    <w:rsid w:val="00C750C8"/>
    <w:rsid w:val="00C755F6"/>
    <w:rsid w:val="00C7560F"/>
    <w:rsid w:val="00C80A0E"/>
    <w:rsid w:val="00C8213F"/>
    <w:rsid w:val="00C82C6F"/>
    <w:rsid w:val="00C8303F"/>
    <w:rsid w:val="00C83150"/>
    <w:rsid w:val="00C84B21"/>
    <w:rsid w:val="00C85154"/>
    <w:rsid w:val="00C85419"/>
    <w:rsid w:val="00C85A70"/>
    <w:rsid w:val="00C8797A"/>
    <w:rsid w:val="00C900B8"/>
    <w:rsid w:val="00C90197"/>
    <w:rsid w:val="00C90C71"/>
    <w:rsid w:val="00C91617"/>
    <w:rsid w:val="00C91FD1"/>
    <w:rsid w:val="00C922E5"/>
    <w:rsid w:val="00C931CF"/>
    <w:rsid w:val="00C938CF"/>
    <w:rsid w:val="00C94053"/>
    <w:rsid w:val="00C947DF"/>
    <w:rsid w:val="00C9542E"/>
    <w:rsid w:val="00C9624D"/>
    <w:rsid w:val="00C969DA"/>
    <w:rsid w:val="00CA0E7F"/>
    <w:rsid w:val="00CA1FE0"/>
    <w:rsid w:val="00CA2C77"/>
    <w:rsid w:val="00CA444F"/>
    <w:rsid w:val="00CA5245"/>
    <w:rsid w:val="00CA5405"/>
    <w:rsid w:val="00CA6CEA"/>
    <w:rsid w:val="00CA6F2A"/>
    <w:rsid w:val="00CA71F4"/>
    <w:rsid w:val="00CA7B09"/>
    <w:rsid w:val="00CB12A5"/>
    <w:rsid w:val="00CB1CAC"/>
    <w:rsid w:val="00CB27FB"/>
    <w:rsid w:val="00CB2F2A"/>
    <w:rsid w:val="00CB440B"/>
    <w:rsid w:val="00CB5B1A"/>
    <w:rsid w:val="00CB602E"/>
    <w:rsid w:val="00CB6B22"/>
    <w:rsid w:val="00CB6FB6"/>
    <w:rsid w:val="00CB7F5F"/>
    <w:rsid w:val="00CC0173"/>
    <w:rsid w:val="00CC1B39"/>
    <w:rsid w:val="00CC1BFA"/>
    <w:rsid w:val="00CC2E9F"/>
    <w:rsid w:val="00CC35EA"/>
    <w:rsid w:val="00CC3848"/>
    <w:rsid w:val="00CC6D5E"/>
    <w:rsid w:val="00CD0200"/>
    <w:rsid w:val="00CD2AFE"/>
    <w:rsid w:val="00CD3F77"/>
    <w:rsid w:val="00CD45E0"/>
    <w:rsid w:val="00CD4F41"/>
    <w:rsid w:val="00CD6ADC"/>
    <w:rsid w:val="00CD6BAA"/>
    <w:rsid w:val="00CD7193"/>
    <w:rsid w:val="00CE3639"/>
    <w:rsid w:val="00CE38C8"/>
    <w:rsid w:val="00CE524F"/>
    <w:rsid w:val="00CE58CC"/>
    <w:rsid w:val="00CE6274"/>
    <w:rsid w:val="00CE77B6"/>
    <w:rsid w:val="00CF2351"/>
    <w:rsid w:val="00CF2B8D"/>
    <w:rsid w:val="00CF3A1B"/>
    <w:rsid w:val="00CF3CE0"/>
    <w:rsid w:val="00CF456B"/>
    <w:rsid w:val="00CF5A22"/>
    <w:rsid w:val="00D0262E"/>
    <w:rsid w:val="00D034CD"/>
    <w:rsid w:val="00D03679"/>
    <w:rsid w:val="00D03A7B"/>
    <w:rsid w:val="00D04009"/>
    <w:rsid w:val="00D05212"/>
    <w:rsid w:val="00D05E3D"/>
    <w:rsid w:val="00D06139"/>
    <w:rsid w:val="00D07BF1"/>
    <w:rsid w:val="00D110BD"/>
    <w:rsid w:val="00D13675"/>
    <w:rsid w:val="00D13AB8"/>
    <w:rsid w:val="00D141E1"/>
    <w:rsid w:val="00D15314"/>
    <w:rsid w:val="00D15B48"/>
    <w:rsid w:val="00D17D6C"/>
    <w:rsid w:val="00D211C2"/>
    <w:rsid w:val="00D2155B"/>
    <w:rsid w:val="00D237A2"/>
    <w:rsid w:val="00D23D11"/>
    <w:rsid w:val="00D244B6"/>
    <w:rsid w:val="00D2691E"/>
    <w:rsid w:val="00D2754D"/>
    <w:rsid w:val="00D27B27"/>
    <w:rsid w:val="00D30B38"/>
    <w:rsid w:val="00D30D5B"/>
    <w:rsid w:val="00D32992"/>
    <w:rsid w:val="00D33BE9"/>
    <w:rsid w:val="00D33F93"/>
    <w:rsid w:val="00D34CD9"/>
    <w:rsid w:val="00D357FF"/>
    <w:rsid w:val="00D35973"/>
    <w:rsid w:val="00D37C4A"/>
    <w:rsid w:val="00D413E2"/>
    <w:rsid w:val="00D42357"/>
    <w:rsid w:val="00D424C7"/>
    <w:rsid w:val="00D43B2A"/>
    <w:rsid w:val="00D43CF1"/>
    <w:rsid w:val="00D43D83"/>
    <w:rsid w:val="00D47575"/>
    <w:rsid w:val="00D47E9C"/>
    <w:rsid w:val="00D5243B"/>
    <w:rsid w:val="00D533EC"/>
    <w:rsid w:val="00D56A95"/>
    <w:rsid w:val="00D6076E"/>
    <w:rsid w:val="00D63E4D"/>
    <w:rsid w:val="00D673BB"/>
    <w:rsid w:val="00D67E24"/>
    <w:rsid w:val="00D70F16"/>
    <w:rsid w:val="00D71638"/>
    <w:rsid w:val="00D72397"/>
    <w:rsid w:val="00D7255F"/>
    <w:rsid w:val="00D72617"/>
    <w:rsid w:val="00D72F57"/>
    <w:rsid w:val="00D75ABC"/>
    <w:rsid w:val="00D7628B"/>
    <w:rsid w:val="00D76A44"/>
    <w:rsid w:val="00D815EF"/>
    <w:rsid w:val="00D81949"/>
    <w:rsid w:val="00D81F26"/>
    <w:rsid w:val="00D822E2"/>
    <w:rsid w:val="00D83D87"/>
    <w:rsid w:val="00D843F2"/>
    <w:rsid w:val="00D85456"/>
    <w:rsid w:val="00D861DF"/>
    <w:rsid w:val="00D86231"/>
    <w:rsid w:val="00D87A8D"/>
    <w:rsid w:val="00D912AB"/>
    <w:rsid w:val="00D91923"/>
    <w:rsid w:val="00D92D9D"/>
    <w:rsid w:val="00D93753"/>
    <w:rsid w:val="00D93ECE"/>
    <w:rsid w:val="00D97645"/>
    <w:rsid w:val="00D97DA5"/>
    <w:rsid w:val="00DA2ACF"/>
    <w:rsid w:val="00DA3167"/>
    <w:rsid w:val="00DA3226"/>
    <w:rsid w:val="00DA4DC3"/>
    <w:rsid w:val="00DA7172"/>
    <w:rsid w:val="00DA77A5"/>
    <w:rsid w:val="00DA7B88"/>
    <w:rsid w:val="00DB0E36"/>
    <w:rsid w:val="00DB2723"/>
    <w:rsid w:val="00DB2E18"/>
    <w:rsid w:val="00DB2F64"/>
    <w:rsid w:val="00DB3DBF"/>
    <w:rsid w:val="00DB40E5"/>
    <w:rsid w:val="00DB4520"/>
    <w:rsid w:val="00DB484F"/>
    <w:rsid w:val="00DC04F6"/>
    <w:rsid w:val="00DC0690"/>
    <w:rsid w:val="00DC1D65"/>
    <w:rsid w:val="00DC3C57"/>
    <w:rsid w:val="00DC5501"/>
    <w:rsid w:val="00DC5DE4"/>
    <w:rsid w:val="00DC7154"/>
    <w:rsid w:val="00DC7E8A"/>
    <w:rsid w:val="00DD0F78"/>
    <w:rsid w:val="00DD178F"/>
    <w:rsid w:val="00DD273C"/>
    <w:rsid w:val="00DD29B5"/>
    <w:rsid w:val="00DD359D"/>
    <w:rsid w:val="00DD3F28"/>
    <w:rsid w:val="00DD4446"/>
    <w:rsid w:val="00DD4537"/>
    <w:rsid w:val="00DD4E15"/>
    <w:rsid w:val="00DE1ACD"/>
    <w:rsid w:val="00DE2304"/>
    <w:rsid w:val="00DE3138"/>
    <w:rsid w:val="00DE37F8"/>
    <w:rsid w:val="00DE4273"/>
    <w:rsid w:val="00DE4FCB"/>
    <w:rsid w:val="00DE5D07"/>
    <w:rsid w:val="00DE6DC2"/>
    <w:rsid w:val="00DE72A7"/>
    <w:rsid w:val="00DE7832"/>
    <w:rsid w:val="00DF0AF4"/>
    <w:rsid w:val="00DF18FC"/>
    <w:rsid w:val="00DF49F2"/>
    <w:rsid w:val="00DF5D2B"/>
    <w:rsid w:val="00DF6341"/>
    <w:rsid w:val="00E00C73"/>
    <w:rsid w:val="00E00E8E"/>
    <w:rsid w:val="00E05630"/>
    <w:rsid w:val="00E06DBB"/>
    <w:rsid w:val="00E10149"/>
    <w:rsid w:val="00E11064"/>
    <w:rsid w:val="00E111DE"/>
    <w:rsid w:val="00E11340"/>
    <w:rsid w:val="00E122A1"/>
    <w:rsid w:val="00E136A9"/>
    <w:rsid w:val="00E148F6"/>
    <w:rsid w:val="00E16372"/>
    <w:rsid w:val="00E16AD8"/>
    <w:rsid w:val="00E16E1B"/>
    <w:rsid w:val="00E17FFA"/>
    <w:rsid w:val="00E20583"/>
    <w:rsid w:val="00E20E4D"/>
    <w:rsid w:val="00E20ED6"/>
    <w:rsid w:val="00E21358"/>
    <w:rsid w:val="00E2249B"/>
    <w:rsid w:val="00E22A0D"/>
    <w:rsid w:val="00E244F6"/>
    <w:rsid w:val="00E246A6"/>
    <w:rsid w:val="00E25646"/>
    <w:rsid w:val="00E258DB"/>
    <w:rsid w:val="00E268B0"/>
    <w:rsid w:val="00E26BE0"/>
    <w:rsid w:val="00E2757C"/>
    <w:rsid w:val="00E2771E"/>
    <w:rsid w:val="00E27C53"/>
    <w:rsid w:val="00E311EF"/>
    <w:rsid w:val="00E31D2B"/>
    <w:rsid w:val="00E32180"/>
    <w:rsid w:val="00E34037"/>
    <w:rsid w:val="00E34948"/>
    <w:rsid w:val="00E34AFB"/>
    <w:rsid w:val="00E35B32"/>
    <w:rsid w:val="00E37569"/>
    <w:rsid w:val="00E37B92"/>
    <w:rsid w:val="00E401B2"/>
    <w:rsid w:val="00E41E30"/>
    <w:rsid w:val="00E42F73"/>
    <w:rsid w:val="00E43D70"/>
    <w:rsid w:val="00E466F3"/>
    <w:rsid w:val="00E47B2C"/>
    <w:rsid w:val="00E50391"/>
    <w:rsid w:val="00E51560"/>
    <w:rsid w:val="00E517C1"/>
    <w:rsid w:val="00E51821"/>
    <w:rsid w:val="00E525D5"/>
    <w:rsid w:val="00E53FC8"/>
    <w:rsid w:val="00E54347"/>
    <w:rsid w:val="00E5450A"/>
    <w:rsid w:val="00E55424"/>
    <w:rsid w:val="00E55915"/>
    <w:rsid w:val="00E55BB5"/>
    <w:rsid w:val="00E611DF"/>
    <w:rsid w:val="00E654E6"/>
    <w:rsid w:val="00E65E79"/>
    <w:rsid w:val="00E66BA2"/>
    <w:rsid w:val="00E67416"/>
    <w:rsid w:val="00E70D36"/>
    <w:rsid w:val="00E718B6"/>
    <w:rsid w:val="00E718BC"/>
    <w:rsid w:val="00E71938"/>
    <w:rsid w:val="00E723BA"/>
    <w:rsid w:val="00E7244C"/>
    <w:rsid w:val="00E72889"/>
    <w:rsid w:val="00E7305F"/>
    <w:rsid w:val="00E73581"/>
    <w:rsid w:val="00E747DE"/>
    <w:rsid w:val="00E74E45"/>
    <w:rsid w:val="00E814D7"/>
    <w:rsid w:val="00E81DBB"/>
    <w:rsid w:val="00E81E17"/>
    <w:rsid w:val="00E827C7"/>
    <w:rsid w:val="00E833F7"/>
    <w:rsid w:val="00E8392C"/>
    <w:rsid w:val="00E83BDF"/>
    <w:rsid w:val="00E857D1"/>
    <w:rsid w:val="00E85D93"/>
    <w:rsid w:val="00E86FCC"/>
    <w:rsid w:val="00E870B7"/>
    <w:rsid w:val="00E87A1D"/>
    <w:rsid w:val="00E87E16"/>
    <w:rsid w:val="00E9094A"/>
    <w:rsid w:val="00E91D35"/>
    <w:rsid w:val="00E92511"/>
    <w:rsid w:val="00E926A5"/>
    <w:rsid w:val="00E9486D"/>
    <w:rsid w:val="00E962CC"/>
    <w:rsid w:val="00E97BCC"/>
    <w:rsid w:val="00EA17C3"/>
    <w:rsid w:val="00EA1CEE"/>
    <w:rsid w:val="00EA281A"/>
    <w:rsid w:val="00EA2A27"/>
    <w:rsid w:val="00EA2CAA"/>
    <w:rsid w:val="00EA3864"/>
    <w:rsid w:val="00EA4177"/>
    <w:rsid w:val="00EA4BDE"/>
    <w:rsid w:val="00EA4F89"/>
    <w:rsid w:val="00EA7F1C"/>
    <w:rsid w:val="00EB15B6"/>
    <w:rsid w:val="00EB3D06"/>
    <w:rsid w:val="00EB42D8"/>
    <w:rsid w:val="00EB4916"/>
    <w:rsid w:val="00EB5258"/>
    <w:rsid w:val="00EB55BD"/>
    <w:rsid w:val="00EC00C9"/>
    <w:rsid w:val="00EC0DD9"/>
    <w:rsid w:val="00EC1C19"/>
    <w:rsid w:val="00EC2649"/>
    <w:rsid w:val="00EC31ED"/>
    <w:rsid w:val="00EC55E9"/>
    <w:rsid w:val="00EC5836"/>
    <w:rsid w:val="00EC688C"/>
    <w:rsid w:val="00ED0CBB"/>
    <w:rsid w:val="00ED12E3"/>
    <w:rsid w:val="00ED2309"/>
    <w:rsid w:val="00ED2C10"/>
    <w:rsid w:val="00ED2C1F"/>
    <w:rsid w:val="00ED3AB7"/>
    <w:rsid w:val="00ED4B04"/>
    <w:rsid w:val="00ED51E4"/>
    <w:rsid w:val="00ED57EA"/>
    <w:rsid w:val="00ED5BD4"/>
    <w:rsid w:val="00ED6D07"/>
    <w:rsid w:val="00EE07D3"/>
    <w:rsid w:val="00EE1103"/>
    <w:rsid w:val="00EE1996"/>
    <w:rsid w:val="00EE1C01"/>
    <w:rsid w:val="00EE22AF"/>
    <w:rsid w:val="00EE27CE"/>
    <w:rsid w:val="00EE344A"/>
    <w:rsid w:val="00EE3FB6"/>
    <w:rsid w:val="00EE501F"/>
    <w:rsid w:val="00EE57C5"/>
    <w:rsid w:val="00EE63CC"/>
    <w:rsid w:val="00EE640A"/>
    <w:rsid w:val="00EE6AB7"/>
    <w:rsid w:val="00EF0171"/>
    <w:rsid w:val="00EF076F"/>
    <w:rsid w:val="00EF1B25"/>
    <w:rsid w:val="00EF1DA0"/>
    <w:rsid w:val="00EF2EFC"/>
    <w:rsid w:val="00EF3FAA"/>
    <w:rsid w:val="00EF4747"/>
    <w:rsid w:val="00EF4BF8"/>
    <w:rsid w:val="00EF5A88"/>
    <w:rsid w:val="00EF61B2"/>
    <w:rsid w:val="00F0018B"/>
    <w:rsid w:val="00F02253"/>
    <w:rsid w:val="00F02C0A"/>
    <w:rsid w:val="00F03C2E"/>
    <w:rsid w:val="00F04A66"/>
    <w:rsid w:val="00F04B4B"/>
    <w:rsid w:val="00F0516C"/>
    <w:rsid w:val="00F067A2"/>
    <w:rsid w:val="00F06FC7"/>
    <w:rsid w:val="00F070FD"/>
    <w:rsid w:val="00F07B9E"/>
    <w:rsid w:val="00F10CAF"/>
    <w:rsid w:val="00F1116F"/>
    <w:rsid w:val="00F11750"/>
    <w:rsid w:val="00F122B9"/>
    <w:rsid w:val="00F1263A"/>
    <w:rsid w:val="00F139C5"/>
    <w:rsid w:val="00F14948"/>
    <w:rsid w:val="00F15B77"/>
    <w:rsid w:val="00F20A84"/>
    <w:rsid w:val="00F21236"/>
    <w:rsid w:val="00F239DF"/>
    <w:rsid w:val="00F24837"/>
    <w:rsid w:val="00F24F1A"/>
    <w:rsid w:val="00F2575F"/>
    <w:rsid w:val="00F27565"/>
    <w:rsid w:val="00F2765C"/>
    <w:rsid w:val="00F310D4"/>
    <w:rsid w:val="00F31D5A"/>
    <w:rsid w:val="00F331BD"/>
    <w:rsid w:val="00F33975"/>
    <w:rsid w:val="00F33DE9"/>
    <w:rsid w:val="00F35501"/>
    <w:rsid w:val="00F35E6D"/>
    <w:rsid w:val="00F3619A"/>
    <w:rsid w:val="00F3781E"/>
    <w:rsid w:val="00F40AAA"/>
    <w:rsid w:val="00F40BA7"/>
    <w:rsid w:val="00F40F9D"/>
    <w:rsid w:val="00F41AC5"/>
    <w:rsid w:val="00F41ACD"/>
    <w:rsid w:val="00F43B3F"/>
    <w:rsid w:val="00F46CB6"/>
    <w:rsid w:val="00F4756D"/>
    <w:rsid w:val="00F47DE8"/>
    <w:rsid w:val="00F508BD"/>
    <w:rsid w:val="00F542C1"/>
    <w:rsid w:val="00F54360"/>
    <w:rsid w:val="00F550E3"/>
    <w:rsid w:val="00F556A2"/>
    <w:rsid w:val="00F55E73"/>
    <w:rsid w:val="00F55EDA"/>
    <w:rsid w:val="00F566CD"/>
    <w:rsid w:val="00F56C80"/>
    <w:rsid w:val="00F60092"/>
    <w:rsid w:val="00F604CA"/>
    <w:rsid w:val="00F61C18"/>
    <w:rsid w:val="00F62979"/>
    <w:rsid w:val="00F6382F"/>
    <w:rsid w:val="00F63E47"/>
    <w:rsid w:val="00F6431A"/>
    <w:rsid w:val="00F659E5"/>
    <w:rsid w:val="00F65F4B"/>
    <w:rsid w:val="00F67A69"/>
    <w:rsid w:val="00F707D2"/>
    <w:rsid w:val="00F70BFF"/>
    <w:rsid w:val="00F70C9D"/>
    <w:rsid w:val="00F712FF"/>
    <w:rsid w:val="00F71662"/>
    <w:rsid w:val="00F71D1E"/>
    <w:rsid w:val="00F73E08"/>
    <w:rsid w:val="00F74CD9"/>
    <w:rsid w:val="00F75001"/>
    <w:rsid w:val="00F77080"/>
    <w:rsid w:val="00F80A7B"/>
    <w:rsid w:val="00F80E5D"/>
    <w:rsid w:val="00F8150A"/>
    <w:rsid w:val="00F81E78"/>
    <w:rsid w:val="00F82311"/>
    <w:rsid w:val="00F82826"/>
    <w:rsid w:val="00F83916"/>
    <w:rsid w:val="00F83FE2"/>
    <w:rsid w:val="00F851CE"/>
    <w:rsid w:val="00F85868"/>
    <w:rsid w:val="00F90734"/>
    <w:rsid w:val="00F91219"/>
    <w:rsid w:val="00F92444"/>
    <w:rsid w:val="00F92D5B"/>
    <w:rsid w:val="00F9393E"/>
    <w:rsid w:val="00F93981"/>
    <w:rsid w:val="00F96FD0"/>
    <w:rsid w:val="00F97A78"/>
    <w:rsid w:val="00FA0B20"/>
    <w:rsid w:val="00FA23A5"/>
    <w:rsid w:val="00FA24E7"/>
    <w:rsid w:val="00FA3151"/>
    <w:rsid w:val="00FA34DC"/>
    <w:rsid w:val="00FA5EE6"/>
    <w:rsid w:val="00FA6019"/>
    <w:rsid w:val="00FA7956"/>
    <w:rsid w:val="00FB0824"/>
    <w:rsid w:val="00FB0ED3"/>
    <w:rsid w:val="00FB2FCB"/>
    <w:rsid w:val="00FB4C9C"/>
    <w:rsid w:val="00FB7C55"/>
    <w:rsid w:val="00FC1074"/>
    <w:rsid w:val="00FC1884"/>
    <w:rsid w:val="00FC1A68"/>
    <w:rsid w:val="00FC371D"/>
    <w:rsid w:val="00FC5F0B"/>
    <w:rsid w:val="00FD0529"/>
    <w:rsid w:val="00FD2100"/>
    <w:rsid w:val="00FD2720"/>
    <w:rsid w:val="00FD436C"/>
    <w:rsid w:val="00FD446D"/>
    <w:rsid w:val="00FD481F"/>
    <w:rsid w:val="00FD4F2C"/>
    <w:rsid w:val="00FD535A"/>
    <w:rsid w:val="00FD6394"/>
    <w:rsid w:val="00FD64BE"/>
    <w:rsid w:val="00FD7B2C"/>
    <w:rsid w:val="00FE0E6C"/>
    <w:rsid w:val="00FE1CDC"/>
    <w:rsid w:val="00FE70C3"/>
    <w:rsid w:val="00FE7CE9"/>
    <w:rsid w:val="00FE7CFB"/>
    <w:rsid w:val="00FF1A8B"/>
    <w:rsid w:val="00FF2AD9"/>
    <w:rsid w:val="00FF359F"/>
    <w:rsid w:val="00FF3B5E"/>
    <w:rsid w:val="00FF3DCF"/>
    <w:rsid w:val="00FF492C"/>
    <w:rsid w:val="00FF4A21"/>
    <w:rsid w:val="00FF4E38"/>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64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
    <w:link w:val="ListParagraphChar"/>
    <w:uiPriority w:val="72"/>
    <w:qFormat/>
    <w:rsid w:val="004C3B02"/>
    <w:pPr>
      <w:numPr>
        <w:numId w:val="21"/>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
    <w:basedOn w:val="DefaultParagraphFont"/>
    <w:link w:val="ListParagraph"/>
    <w:uiPriority w:val="72"/>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344A"/>
    <w:pPr>
      <w:keepLines/>
    </w:pPr>
    <w:rPr>
      <w:rFonts w:ascii="Arial Narrow" w:eastAsiaTheme="majorEastAsia" w:hAnsi="Arial Narrow" w:cstheme="majorBidi"/>
      <w:bCs/>
      <w:szCs w:val="18"/>
      <w:lang w:eastAsia="en-U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23"/>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B02507"/>
    <w:pPr>
      <w:numPr>
        <w:ilvl w:val="1"/>
        <w:numId w:val="23"/>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B02507"/>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EE344A"/>
    <w:rPr>
      <w:rFonts w:ascii="Arial Narrow" w:eastAsiaTheme="majorEastAsia" w:hAnsi="Arial Narrow" w:cstheme="majorBidi"/>
      <w:bCs/>
      <w:szCs w:val="18"/>
      <w:lang w:eastAsia="en-U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1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table" w:customStyle="1" w:styleId="MSDTableGrid1">
    <w:name w:val="MSD Table Grid1"/>
    <w:basedOn w:val="TableNormal"/>
    <w:next w:val="TableGrid"/>
    <w:uiPriority w:val="59"/>
    <w:rsid w:val="007254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2">
    <w:name w:val="MSD Table Grid2"/>
    <w:basedOn w:val="TableNormal"/>
    <w:next w:val="TableGrid"/>
    <w:uiPriority w:val="59"/>
    <w:rsid w:val="005927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3">
    <w:name w:val="MSD Table Grid3"/>
    <w:basedOn w:val="TableNormal"/>
    <w:next w:val="TableGrid"/>
    <w:uiPriority w:val="59"/>
    <w:rsid w:val="009069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5E25"/>
    <w:rPr>
      <w:b/>
      <w:bCs/>
    </w:rPr>
  </w:style>
  <w:style w:type="paragraph" w:customStyle="1" w:styleId="3-SubsectionHeading">
    <w:name w:val="3-Subsection Heading"/>
    <w:basedOn w:val="Heading2"/>
    <w:next w:val="Normal"/>
    <w:link w:val="3-SubsectionHeadingChar"/>
    <w:qFormat/>
    <w:rsid w:val="002A4D1C"/>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2A4D1C"/>
    <w:rPr>
      <w:rFonts w:asciiTheme="minorHAnsi" w:eastAsiaTheme="majorEastAsia" w:hAnsiTheme="minorHAnsi" w:cstheme="majorBidi"/>
      <w:b/>
      <w:i/>
      <w:snapToGrid/>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043559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52603672">
      <w:bodyDiv w:val="1"/>
      <w:marLeft w:val="0"/>
      <w:marRight w:val="0"/>
      <w:marTop w:val="0"/>
      <w:marBottom w:val="0"/>
      <w:divBdr>
        <w:top w:val="none" w:sz="0" w:space="0" w:color="auto"/>
        <w:left w:val="none" w:sz="0" w:space="0" w:color="auto"/>
        <w:bottom w:val="none" w:sz="0" w:space="0" w:color="auto"/>
        <w:right w:val="none" w:sz="0" w:space="0" w:color="auto"/>
      </w:divBdr>
      <w:divsChild>
        <w:div w:id="290600657">
          <w:marLeft w:val="0"/>
          <w:marRight w:val="0"/>
          <w:marTop w:val="0"/>
          <w:marBottom w:val="0"/>
          <w:divBdr>
            <w:top w:val="none" w:sz="0" w:space="0" w:color="C4DEEE"/>
            <w:left w:val="none" w:sz="0" w:space="0" w:color="C4DEEE"/>
            <w:bottom w:val="none" w:sz="0" w:space="0" w:color="C4DEEE"/>
            <w:right w:val="none" w:sz="0" w:space="0" w:color="C4DEEE"/>
          </w:divBdr>
          <w:divsChild>
            <w:div w:id="1661544575">
              <w:marLeft w:val="0"/>
              <w:marRight w:val="0"/>
              <w:marTop w:val="0"/>
              <w:marBottom w:val="0"/>
              <w:divBdr>
                <w:top w:val="none" w:sz="0" w:space="0" w:color="C4DEEE"/>
                <w:left w:val="none" w:sz="0" w:space="0" w:color="C4DEEE"/>
                <w:bottom w:val="none" w:sz="0" w:space="0" w:color="C4DEEE"/>
                <w:right w:val="none" w:sz="0" w:space="0" w:color="C4DEEE"/>
              </w:divBdr>
            </w:div>
          </w:divsChild>
        </w:div>
        <w:div w:id="258298617">
          <w:marLeft w:val="0"/>
          <w:marRight w:val="0"/>
          <w:marTop w:val="0"/>
          <w:marBottom w:val="0"/>
          <w:divBdr>
            <w:top w:val="none" w:sz="0" w:space="2" w:color="C4DEEE"/>
            <w:left w:val="none" w:sz="0" w:space="15" w:color="C4DEEE"/>
            <w:bottom w:val="none" w:sz="0" w:space="2" w:color="C4DEEE"/>
            <w:right w:val="none" w:sz="0" w:space="2" w:color="C4DEEE"/>
          </w:divBdr>
        </w:div>
        <w:div w:id="1021976532">
          <w:marLeft w:val="0"/>
          <w:marRight w:val="0"/>
          <w:marTop w:val="0"/>
          <w:marBottom w:val="0"/>
          <w:divBdr>
            <w:top w:val="none" w:sz="0" w:space="0" w:color="C4DEEE"/>
            <w:left w:val="none" w:sz="0" w:space="0" w:color="C4DEEE"/>
            <w:bottom w:val="none" w:sz="0" w:space="0" w:color="C4DEEE"/>
            <w:right w:val="none" w:sz="0" w:space="0" w:color="C4DEEE"/>
          </w:divBdr>
          <w:divsChild>
            <w:div w:id="135337270">
              <w:marLeft w:val="0"/>
              <w:marRight w:val="0"/>
              <w:marTop w:val="0"/>
              <w:marBottom w:val="0"/>
              <w:divBdr>
                <w:top w:val="none" w:sz="0" w:space="0" w:color="C4DEEE"/>
                <w:left w:val="none" w:sz="0" w:space="0" w:color="C4DEEE"/>
                <w:bottom w:val="none" w:sz="0" w:space="0" w:color="C4DEEE"/>
                <w:right w:val="none" w:sz="0" w:space="0" w:color="C4DEEE"/>
              </w:divBdr>
            </w:div>
          </w:divsChild>
        </w:div>
        <w:div w:id="264192146">
          <w:marLeft w:val="0"/>
          <w:marRight w:val="0"/>
          <w:marTop w:val="0"/>
          <w:marBottom w:val="0"/>
          <w:divBdr>
            <w:top w:val="none" w:sz="0" w:space="0" w:color="C4DEEE"/>
            <w:left w:val="none" w:sz="0" w:space="0" w:color="C4DEEE"/>
            <w:bottom w:val="none" w:sz="0" w:space="0" w:color="C4DEEE"/>
            <w:right w:val="none" w:sz="0" w:space="0" w:color="C4DEEE"/>
          </w:divBdr>
        </w:div>
        <w:div w:id="1024133013">
          <w:marLeft w:val="0"/>
          <w:marRight w:val="0"/>
          <w:marTop w:val="0"/>
          <w:marBottom w:val="0"/>
          <w:divBdr>
            <w:top w:val="none" w:sz="0" w:space="2" w:color="C4DEEE"/>
            <w:left w:val="none" w:sz="0" w:space="15" w:color="C4DEEE"/>
            <w:bottom w:val="none" w:sz="0" w:space="2" w:color="C4DEEE"/>
            <w:right w:val="none" w:sz="0" w:space="2" w:color="C4DEEE"/>
          </w:divBdr>
        </w:div>
        <w:div w:id="400829604">
          <w:marLeft w:val="0"/>
          <w:marRight w:val="0"/>
          <w:marTop w:val="0"/>
          <w:marBottom w:val="0"/>
          <w:divBdr>
            <w:top w:val="none" w:sz="0" w:space="0" w:color="C4DEEE"/>
            <w:left w:val="none" w:sz="0" w:space="0" w:color="C4DEEE"/>
            <w:bottom w:val="none" w:sz="0" w:space="0" w:color="C4DEEE"/>
            <w:right w:val="none" w:sz="0" w:space="0" w:color="C4DEEE"/>
          </w:divBdr>
          <w:divsChild>
            <w:div w:id="2088964001">
              <w:marLeft w:val="0"/>
              <w:marRight w:val="0"/>
              <w:marTop w:val="0"/>
              <w:marBottom w:val="0"/>
              <w:divBdr>
                <w:top w:val="none" w:sz="0" w:space="0" w:color="C4DEEE"/>
                <w:left w:val="none" w:sz="0" w:space="0" w:color="C4DEEE"/>
                <w:bottom w:val="none" w:sz="0" w:space="0" w:color="C4DEEE"/>
                <w:right w:val="none" w:sz="0" w:space="0" w:color="C4DEEE"/>
              </w:divBdr>
            </w:div>
          </w:divsChild>
        </w:div>
        <w:div w:id="653725821">
          <w:marLeft w:val="0"/>
          <w:marRight w:val="0"/>
          <w:marTop w:val="0"/>
          <w:marBottom w:val="0"/>
          <w:divBdr>
            <w:top w:val="none" w:sz="0" w:space="2" w:color="C4DEEE"/>
            <w:left w:val="none" w:sz="0" w:space="15" w:color="C4DEEE"/>
            <w:bottom w:val="none" w:sz="0" w:space="2" w:color="C4DEEE"/>
            <w:right w:val="none" w:sz="0" w:space="2" w:color="C4DEEE"/>
          </w:divBdr>
        </w:div>
        <w:div w:id="1540120640">
          <w:marLeft w:val="0"/>
          <w:marRight w:val="0"/>
          <w:marTop w:val="0"/>
          <w:marBottom w:val="0"/>
          <w:divBdr>
            <w:top w:val="none" w:sz="0" w:space="0" w:color="C4DEEE"/>
            <w:left w:val="none" w:sz="0" w:space="0" w:color="C4DEEE"/>
            <w:bottom w:val="none" w:sz="0" w:space="0" w:color="C4DEEE"/>
            <w:right w:val="none" w:sz="0" w:space="0" w:color="C4DEEE"/>
          </w:divBdr>
          <w:divsChild>
            <w:div w:id="156190981">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547229563">
      <w:bodyDiv w:val="1"/>
      <w:marLeft w:val="0"/>
      <w:marRight w:val="0"/>
      <w:marTop w:val="0"/>
      <w:marBottom w:val="0"/>
      <w:divBdr>
        <w:top w:val="none" w:sz="0" w:space="0" w:color="auto"/>
        <w:left w:val="none" w:sz="0" w:space="0" w:color="auto"/>
        <w:bottom w:val="none" w:sz="0" w:space="0" w:color="auto"/>
        <w:right w:val="none" w:sz="0" w:space="0" w:color="auto"/>
      </w:divBdr>
    </w:div>
    <w:div w:id="680934284">
      <w:bodyDiv w:val="1"/>
      <w:marLeft w:val="0"/>
      <w:marRight w:val="0"/>
      <w:marTop w:val="0"/>
      <w:marBottom w:val="0"/>
      <w:divBdr>
        <w:top w:val="none" w:sz="0" w:space="0" w:color="auto"/>
        <w:left w:val="none" w:sz="0" w:space="0" w:color="auto"/>
        <w:bottom w:val="none" w:sz="0" w:space="0" w:color="auto"/>
        <w:right w:val="none" w:sz="0" w:space="0" w:color="auto"/>
      </w:divBdr>
    </w:div>
    <w:div w:id="69345743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6994127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52143496">
      <w:bodyDiv w:val="1"/>
      <w:marLeft w:val="0"/>
      <w:marRight w:val="0"/>
      <w:marTop w:val="0"/>
      <w:marBottom w:val="0"/>
      <w:divBdr>
        <w:top w:val="none" w:sz="0" w:space="0" w:color="auto"/>
        <w:left w:val="none" w:sz="0" w:space="0" w:color="auto"/>
        <w:bottom w:val="none" w:sz="0" w:space="0" w:color="auto"/>
        <w:right w:val="none" w:sz="0" w:space="0" w:color="auto"/>
      </w:divBdr>
    </w:div>
    <w:div w:id="1568344065">
      <w:bodyDiv w:val="1"/>
      <w:marLeft w:val="0"/>
      <w:marRight w:val="0"/>
      <w:marTop w:val="0"/>
      <w:marBottom w:val="0"/>
      <w:divBdr>
        <w:top w:val="none" w:sz="0" w:space="0" w:color="auto"/>
        <w:left w:val="none" w:sz="0" w:space="0" w:color="auto"/>
        <w:bottom w:val="none" w:sz="0" w:space="0" w:color="auto"/>
        <w:right w:val="none" w:sz="0" w:space="0" w:color="auto"/>
      </w:divBdr>
    </w:div>
    <w:div w:id="1572622129">
      <w:bodyDiv w:val="1"/>
      <w:marLeft w:val="0"/>
      <w:marRight w:val="0"/>
      <w:marTop w:val="0"/>
      <w:marBottom w:val="0"/>
      <w:divBdr>
        <w:top w:val="none" w:sz="0" w:space="0" w:color="auto"/>
        <w:left w:val="none" w:sz="0" w:space="0" w:color="auto"/>
        <w:bottom w:val="none" w:sz="0" w:space="0" w:color="auto"/>
        <w:right w:val="none" w:sz="0" w:space="0" w:color="auto"/>
      </w:divBdr>
    </w:div>
    <w:div w:id="1578709987">
      <w:bodyDiv w:val="1"/>
      <w:marLeft w:val="0"/>
      <w:marRight w:val="0"/>
      <w:marTop w:val="0"/>
      <w:marBottom w:val="0"/>
      <w:divBdr>
        <w:top w:val="none" w:sz="0" w:space="0" w:color="auto"/>
        <w:left w:val="none" w:sz="0" w:space="0" w:color="auto"/>
        <w:bottom w:val="none" w:sz="0" w:space="0" w:color="auto"/>
        <w:right w:val="none" w:sz="0" w:space="0" w:color="auto"/>
      </w:divBdr>
    </w:div>
    <w:div w:id="1803500755">
      <w:bodyDiv w:val="1"/>
      <w:marLeft w:val="0"/>
      <w:marRight w:val="0"/>
      <w:marTop w:val="0"/>
      <w:marBottom w:val="0"/>
      <w:divBdr>
        <w:top w:val="none" w:sz="0" w:space="0" w:color="auto"/>
        <w:left w:val="none" w:sz="0" w:space="0" w:color="auto"/>
        <w:bottom w:val="none" w:sz="0" w:space="0" w:color="auto"/>
        <w:right w:val="none" w:sz="0" w:space="0" w:color="auto"/>
      </w:divBdr>
    </w:div>
    <w:div w:id="1842618370">
      <w:bodyDiv w:val="1"/>
      <w:marLeft w:val="0"/>
      <w:marRight w:val="0"/>
      <w:marTop w:val="0"/>
      <w:marBottom w:val="0"/>
      <w:divBdr>
        <w:top w:val="none" w:sz="0" w:space="0" w:color="auto"/>
        <w:left w:val="none" w:sz="0" w:space="0" w:color="auto"/>
        <w:bottom w:val="none" w:sz="0" w:space="0" w:color="auto"/>
        <w:right w:val="none" w:sz="0" w:space="0" w:color="auto"/>
      </w:divBdr>
    </w:div>
    <w:div w:id="1921018649">
      <w:bodyDiv w:val="1"/>
      <w:marLeft w:val="0"/>
      <w:marRight w:val="0"/>
      <w:marTop w:val="0"/>
      <w:marBottom w:val="0"/>
      <w:divBdr>
        <w:top w:val="none" w:sz="0" w:space="0" w:color="auto"/>
        <w:left w:val="none" w:sz="0" w:space="0" w:color="auto"/>
        <w:bottom w:val="none" w:sz="0" w:space="0" w:color="auto"/>
        <w:right w:val="none" w:sz="0" w:space="0" w:color="auto"/>
      </w:divBdr>
    </w:div>
    <w:div w:id="195069786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08F96BA0-4B56-4B18-84E1-431EE0534FEB}"/>
</file>

<file path=customXml/itemProps3.xml><?xml version="1.0" encoding="utf-8"?>
<ds:datastoreItem xmlns:ds="http://schemas.openxmlformats.org/officeDocument/2006/customXml" ds:itemID="{1C6A8653-C550-4574-BA9B-3E384FA9EB18}"/>
</file>

<file path=customXml/itemProps4.xml><?xml version="1.0" encoding="utf-8"?>
<ds:datastoreItem xmlns:ds="http://schemas.openxmlformats.org/officeDocument/2006/customXml" ds:itemID="{87BD9BD9-4117-4DDA-B9B3-61B7AE908DF2}"/>
</file>

<file path=docMetadata/LabelInfo.xml><?xml version="1.0" encoding="utf-8"?>
<clbl:labelList xmlns:clbl="http://schemas.microsoft.com/office/2020/mipLabelMetadata">
  <clbl:label id="{cfb47f1f-2c8f-4e85-a121-5f8dcdaeecec}" enabled="1" method="Privileged" siteId="{30615e74-f8fc-4c90-9bc8-cee5666a8b8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5870</Words>
  <Characters>33461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2025-03-03T23:24:00Z</dcterms:created>
  <dcterms:modified xsi:type="dcterms:W3CDTF">2025-03-03T23:24:00Z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407700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