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71585B56" w:rsidR="00B60939" w:rsidRDefault="00E00422" w:rsidP="006F0D64">
      <w:pPr>
        <w:pStyle w:val="1-MainHeading"/>
        <w:ind w:left="720" w:hanging="720"/>
      </w:pPr>
      <w:bookmarkStart w:id="0" w:name="_Toc177389656"/>
      <w:r w:rsidRPr="00BF55FF">
        <w:t>5.13</w:t>
      </w:r>
      <w:r w:rsidR="00163F66" w:rsidRPr="00BF55FF">
        <w:tab/>
      </w:r>
      <w:r w:rsidR="00FC7491" w:rsidRPr="00BF55FF">
        <w:t>LANADELUMAB</w:t>
      </w:r>
      <w:r w:rsidR="00163F66" w:rsidRPr="00BF55FF">
        <w:t>,</w:t>
      </w:r>
      <w:r w:rsidR="00163F66" w:rsidRPr="00BF55FF">
        <w:br/>
      </w:r>
      <w:r w:rsidRPr="00BF55FF">
        <w:t>Injection 150 mg in 1 mL single use pre-filled syringe</w:t>
      </w:r>
      <w:r w:rsidR="00163F66" w:rsidRPr="00BF55FF">
        <w:t>,</w:t>
      </w:r>
      <w:r w:rsidR="00163F66" w:rsidRPr="00BF55FF">
        <w:br/>
      </w:r>
      <w:r w:rsidR="00433044" w:rsidRPr="00BF55FF">
        <w:t>T</w:t>
      </w:r>
      <w:r w:rsidR="00FC7491" w:rsidRPr="00BF55FF">
        <w:t>akhzyro</w:t>
      </w:r>
      <w:r w:rsidR="00B60939" w:rsidRPr="00BF55FF">
        <w:t>®</w:t>
      </w:r>
      <w:r w:rsidR="004A6040" w:rsidRPr="00BF55FF">
        <w:t>,</w:t>
      </w:r>
      <w:r w:rsidR="004A6040" w:rsidRPr="00BF55FF">
        <w:br/>
      </w:r>
      <w:bookmarkEnd w:id="0"/>
      <w:r w:rsidR="00C17F38" w:rsidRPr="00BF55FF">
        <w:t>Takeda Pharmaceuticals Australia Pty. Ltd.</w:t>
      </w:r>
    </w:p>
    <w:p w14:paraId="11C00795" w14:textId="3DFB6D23" w:rsidR="00B50DB8" w:rsidRPr="00BF55FF" w:rsidRDefault="00B50DB8" w:rsidP="006C618B">
      <w:pPr>
        <w:pStyle w:val="2-SectionHeading"/>
      </w:pPr>
      <w:bookmarkStart w:id="1" w:name="_Toc177389658"/>
      <w:r w:rsidRPr="00BF55FF">
        <w:t xml:space="preserve">Purpose of </w:t>
      </w:r>
      <w:r w:rsidR="00CD7193" w:rsidRPr="00BF55FF">
        <w:t>s</w:t>
      </w:r>
      <w:r w:rsidR="00BB3A45" w:rsidRPr="00BF55FF">
        <w:t>ubmission</w:t>
      </w:r>
      <w:bookmarkEnd w:id="1"/>
    </w:p>
    <w:p w14:paraId="03DA933E" w14:textId="12F832DF" w:rsidR="003D6353" w:rsidRPr="00BF55FF" w:rsidRDefault="007170DA" w:rsidP="004442B4">
      <w:pPr>
        <w:pStyle w:val="3-BodyText"/>
      </w:pPr>
      <w:r w:rsidRPr="00BF55FF">
        <w:t xml:space="preserve">The </w:t>
      </w:r>
      <w:r w:rsidR="00F73E08" w:rsidRPr="00BF55FF">
        <w:t xml:space="preserve">Category </w:t>
      </w:r>
      <w:r w:rsidR="003D6353" w:rsidRPr="00BF55FF">
        <w:t xml:space="preserve">2 </w:t>
      </w:r>
      <w:r w:rsidRPr="00BF55FF">
        <w:t xml:space="preserve">submission requested </w:t>
      </w:r>
      <w:r w:rsidR="003D6353" w:rsidRPr="00BF55FF">
        <w:t>General Schedule Authority Required (Written) listing of a new form</w:t>
      </w:r>
      <w:r w:rsidR="009152BA" w:rsidRPr="00BF55FF">
        <w:t xml:space="preserve"> of lanadelumab</w:t>
      </w:r>
      <w:r w:rsidR="003D6353" w:rsidRPr="00BF55FF">
        <w:t xml:space="preserve"> for the</w:t>
      </w:r>
      <w:r w:rsidR="008E3D4F" w:rsidRPr="00BF55FF">
        <w:t xml:space="preserve"> preventative</w:t>
      </w:r>
      <w:r w:rsidR="003D6353" w:rsidRPr="00BF55FF">
        <w:t xml:space="preserve"> treatment of hereditary angioedema </w:t>
      </w:r>
      <w:r w:rsidR="004B53C6" w:rsidRPr="00BF55FF">
        <w:t xml:space="preserve">(HAE) </w:t>
      </w:r>
      <w:r w:rsidR="003D6353" w:rsidRPr="00BF55FF">
        <w:t xml:space="preserve">Types 1 or 2 in patients aged 2 to 11 years. </w:t>
      </w:r>
    </w:p>
    <w:p w14:paraId="2B87B640" w14:textId="77777777" w:rsidR="001D6F14" w:rsidRPr="00BF55FF" w:rsidRDefault="00931627" w:rsidP="001D6F14">
      <w:pPr>
        <w:pStyle w:val="3-BodyText"/>
        <w:rPr>
          <w:b/>
          <w:bCs/>
          <w:u w:val="single"/>
        </w:rPr>
      </w:pPr>
      <w:r w:rsidRPr="00BF55FF">
        <w:t>The submission claimed superior effectiveness</w:t>
      </w:r>
      <w:r w:rsidR="00C371F0" w:rsidRPr="00BF55FF">
        <w:t xml:space="preserve"> and inferior safety</w:t>
      </w:r>
      <w:r w:rsidRPr="00BF55FF">
        <w:t xml:space="preserve"> compared to </w:t>
      </w:r>
      <w:r w:rsidR="00C371F0" w:rsidRPr="00BF55FF">
        <w:rPr>
          <w:rFonts w:eastAsia="Calibri"/>
        </w:rPr>
        <w:t>on-demand treatment</w:t>
      </w:r>
      <w:r w:rsidRPr="00BF55FF">
        <w:rPr>
          <w:rFonts w:eastAsia="Calibri"/>
        </w:rPr>
        <w:t xml:space="preserve"> </w:t>
      </w:r>
      <w:r w:rsidR="00C371F0" w:rsidRPr="00BF55FF">
        <w:rPr>
          <w:rFonts w:eastAsia="Calibri"/>
        </w:rPr>
        <w:t>(</w:t>
      </w:r>
      <w:r w:rsidRPr="00BF55FF">
        <w:rPr>
          <w:rFonts w:eastAsia="Calibri"/>
        </w:rPr>
        <w:t>ODT</w:t>
      </w:r>
      <w:r w:rsidR="00C371F0" w:rsidRPr="00BF55FF">
        <w:rPr>
          <w:rFonts w:eastAsia="Calibri"/>
        </w:rPr>
        <w:t>)</w:t>
      </w:r>
      <w:r w:rsidRPr="00BF55FF">
        <w:rPr>
          <w:rFonts w:eastAsia="Calibri"/>
        </w:rPr>
        <w:t xml:space="preserve"> with icatibant or </w:t>
      </w:r>
      <w:r w:rsidR="00BE3F97" w:rsidRPr="00BF55FF">
        <w:rPr>
          <w:rFonts w:eastAsia="Calibri"/>
        </w:rPr>
        <w:t>C1 esterase inhibitor (</w:t>
      </w:r>
      <w:r w:rsidRPr="00BF55FF">
        <w:rPr>
          <w:rFonts w:eastAsia="Calibri"/>
        </w:rPr>
        <w:t>C1-INH</w:t>
      </w:r>
      <w:r w:rsidR="00BE3F97" w:rsidRPr="00BF55FF">
        <w:rPr>
          <w:rFonts w:eastAsia="Calibri"/>
        </w:rPr>
        <w:t>)</w:t>
      </w:r>
      <w:r w:rsidR="00C371F0" w:rsidRPr="00BF55FF">
        <w:rPr>
          <w:rFonts w:eastAsia="Calibri"/>
        </w:rPr>
        <w:t xml:space="preserve">. The submission did not present an economic evaluation. </w:t>
      </w:r>
    </w:p>
    <w:p w14:paraId="31B60CF5" w14:textId="246EBD31" w:rsidR="003D6353" w:rsidRPr="00BF55FF" w:rsidRDefault="00C371F0" w:rsidP="00AA6FA4">
      <w:pPr>
        <w:pStyle w:val="3-BodyText"/>
      </w:pPr>
      <w:r w:rsidRPr="00BF55FF">
        <w:t xml:space="preserve">The key components of the clinical issue addressed by the submission are presented in </w:t>
      </w:r>
      <w:r w:rsidRPr="00BF55FF">
        <w:fldChar w:fldCharType="begin" w:fldLock="1"/>
      </w:r>
      <w:r w:rsidRPr="00BF55FF">
        <w:instrText xml:space="preserve"> REF _Ref178604560 \h </w:instrText>
      </w:r>
      <w:r w:rsidR="00F26598" w:rsidRPr="00BF55FF">
        <w:instrText xml:space="preserve"> \* MERGEFORMAT </w:instrText>
      </w:r>
      <w:r w:rsidRPr="00BF55FF">
        <w:fldChar w:fldCharType="separate"/>
      </w:r>
      <w:r w:rsidR="009C2393" w:rsidRPr="00BF55FF">
        <w:t xml:space="preserve">Table </w:t>
      </w:r>
      <w:r w:rsidR="009C2393">
        <w:t>1</w:t>
      </w:r>
      <w:r w:rsidRPr="00BF55FF">
        <w:fldChar w:fldCharType="end"/>
      </w:r>
      <w:r w:rsidRPr="00BF55FF">
        <w:t>.</w:t>
      </w:r>
    </w:p>
    <w:p w14:paraId="1D8156BA" w14:textId="219982B5" w:rsidR="00A666C8" w:rsidRPr="00BF55FF" w:rsidRDefault="00A666C8" w:rsidP="0029378A">
      <w:pPr>
        <w:pStyle w:val="TableFigureHeading"/>
        <w:keepLines/>
      </w:pPr>
      <w:bookmarkStart w:id="2" w:name="_Ref170302258"/>
      <w:bookmarkStart w:id="3" w:name="_Ref178604560"/>
      <w:bookmarkStart w:id="4" w:name="_Toc171332051"/>
      <w:r w:rsidRPr="00BF55FF">
        <w:lastRenderedPageBreak/>
        <w:t xml:space="preserve">Table </w:t>
      </w:r>
      <w:r w:rsidR="00ED245D" w:rsidRPr="00BF55FF">
        <w:fldChar w:fldCharType="begin" w:fldLock="1"/>
      </w:r>
      <w:r w:rsidR="00ED245D" w:rsidRPr="00BF55FF">
        <w:instrText xml:space="preserve"> SEQ Table \* ARABIC </w:instrText>
      </w:r>
      <w:r w:rsidR="00ED245D" w:rsidRPr="00BF55FF">
        <w:fldChar w:fldCharType="separate"/>
      </w:r>
      <w:r w:rsidR="009C2393">
        <w:rPr>
          <w:noProof/>
        </w:rPr>
        <w:t>1</w:t>
      </w:r>
      <w:r w:rsidR="00ED245D" w:rsidRPr="00BF55FF">
        <w:fldChar w:fldCharType="end"/>
      </w:r>
      <w:bookmarkEnd w:id="2"/>
      <w:bookmarkEnd w:id="3"/>
      <w:r w:rsidRPr="00BF55FF">
        <w:tab/>
        <w:t>Key components of the clinical issue addressed by the submission</w:t>
      </w:r>
      <w:bookmarkEnd w:id="4"/>
      <w:r w:rsidR="00160734" w:rsidRPr="00BF55FF">
        <w:t xml:space="preserve"> </w:t>
      </w:r>
      <w:r w:rsidR="00160734" w:rsidRPr="00BF55FF">
        <w:rPr>
          <w:rStyle w:val="CommentReference"/>
          <w:b/>
          <w:szCs w:val="24"/>
        </w:rPr>
        <w:t>(as stated in the submission)</w:t>
      </w:r>
    </w:p>
    <w:tbl>
      <w:tblPr>
        <w:tblStyle w:val="TableGrid"/>
        <w:tblW w:w="5000" w:type="pct"/>
        <w:tblLook w:val="04A0" w:firstRow="1" w:lastRow="0" w:firstColumn="1" w:lastColumn="0" w:noHBand="0" w:noVBand="1"/>
      </w:tblPr>
      <w:tblGrid>
        <w:gridCol w:w="2198"/>
        <w:gridCol w:w="6819"/>
      </w:tblGrid>
      <w:tr w:rsidR="00A666C8" w:rsidRPr="00BF55FF" w14:paraId="66463E75" w14:textId="77777777" w:rsidTr="00BC7A1E">
        <w:tc>
          <w:tcPr>
            <w:tcW w:w="2235" w:type="dxa"/>
          </w:tcPr>
          <w:p w14:paraId="05E8DC97" w14:textId="77777777" w:rsidR="00A666C8" w:rsidRPr="00BF55FF" w:rsidRDefault="00A666C8" w:rsidP="0029378A">
            <w:pPr>
              <w:pStyle w:val="PBACTabletext"/>
              <w:widowControl w:val="0"/>
              <w:suppressLineNumbers w:val="0"/>
              <w:rPr>
                <w:b/>
                <w:bCs/>
              </w:rPr>
            </w:pPr>
            <w:r w:rsidRPr="00BF55FF">
              <w:rPr>
                <w:b/>
                <w:bCs/>
              </w:rPr>
              <w:t>Component</w:t>
            </w:r>
          </w:p>
        </w:tc>
        <w:tc>
          <w:tcPr>
            <w:tcW w:w="7007" w:type="dxa"/>
          </w:tcPr>
          <w:p w14:paraId="5163371D" w14:textId="77777777" w:rsidR="00A666C8" w:rsidRPr="00BF55FF" w:rsidRDefault="00A666C8" w:rsidP="0029378A">
            <w:pPr>
              <w:pStyle w:val="PBACTabletext"/>
              <w:widowControl w:val="0"/>
              <w:suppressLineNumbers w:val="0"/>
              <w:rPr>
                <w:b/>
                <w:bCs/>
              </w:rPr>
            </w:pPr>
            <w:r w:rsidRPr="00BF55FF">
              <w:rPr>
                <w:b/>
                <w:bCs/>
              </w:rPr>
              <w:t>Description</w:t>
            </w:r>
          </w:p>
        </w:tc>
      </w:tr>
      <w:tr w:rsidR="00A666C8" w:rsidRPr="00BF55FF" w14:paraId="7F168CB4" w14:textId="77777777" w:rsidTr="00BC7A1E">
        <w:tc>
          <w:tcPr>
            <w:tcW w:w="2235" w:type="dxa"/>
          </w:tcPr>
          <w:p w14:paraId="2FD6F010" w14:textId="77777777" w:rsidR="00A666C8" w:rsidRPr="00BF55FF" w:rsidRDefault="00A666C8" w:rsidP="0029378A">
            <w:pPr>
              <w:pStyle w:val="PBACTabletext"/>
              <w:widowControl w:val="0"/>
              <w:suppressLineNumbers w:val="0"/>
            </w:pPr>
            <w:r w:rsidRPr="00BF55FF">
              <w:t>Population</w:t>
            </w:r>
          </w:p>
        </w:tc>
        <w:tc>
          <w:tcPr>
            <w:tcW w:w="7007" w:type="dxa"/>
          </w:tcPr>
          <w:p w14:paraId="63C45C51" w14:textId="77777777" w:rsidR="00A666C8" w:rsidRPr="00BF55FF" w:rsidRDefault="00A666C8" w:rsidP="0029378A">
            <w:pPr>
              <w:pStyle w:val="PBACTabletext"/>
              <w:widowControl w:val="0"/>
              <w:suppressLineNumbers w:val="0"/>
            </w:pPr>
            <w:r w:rsidRPr="00BF55FF">
              <w:t xml:space="preserve">Patients diagnosed with HAE and aged 2 to less than 12 years who experienced at least one treated acute attack within a three-month period </w:t>
            </w:r>
          </w:p>
        </w:tc>
      </w:tr>
      <w:tr w:rsidR="00A666C8" w:rsidRPr="00BF55FF" w14:paraId="5EE979B5" w14:textId="77777777" w:rsidTr="00BC7A1E">
        <w:tc>
          <w:tcPr>
            <w:tcW w:w="2235" w:type="dxa"/>
          </w:tcPr>
          <w:p w14:paraId="1F20CA35" w14:textId="14583077" w:rsidR="00A666C8" w:rsidRPr="00BF55FF" w:rsidRDefault="00A666C8" w:rsidP="0029378A">
            <w:pPr>
              <w:pStyle w:val="PBACTabletext"/>
              <w:widowControl w:val="0"/>
              <w:suppressLineNumbers w:val="0"/>
            </w:pPr>
            <w:proofErr w:type="spellStart"/>
            <w:r w:rsidRPr="00BF55FF">
              <w:t>Intervention</w:t>
            </w:r>
            <w:r w:rsidR="00723217" w:rsidRPr="00BF55FF">
              <w:rPr>
                <w:vertAlign w:val="superscript"/>
              </w:rPr>
              <w:t>a</w:t>
            </w:r>
            <w:proofErr w:type="spellEnd"/>
          </w:p>
        </w:tc>
        <w:tc>
          <w:tcPr>
            <w:tcW w:w="7007" w:type="dxa"/>
          </w:tcPr>
          <w:p w14:paraId="73F9DC7B" w14:textId="77777777" w:rsidR="00721A02" w:rsidRPr="00BF55FF" w:rsidRDefault="00A666C8" w:rsidP="0029378A">
            <w:pPr>
              <w:pStyle w:val="PBACTabletext"/>
              <w:widowControl w:val="0"/>
            </w:pPr>
            <w:r w:rsidRPr="00BF55FF">
              <w:t>Lanadelumab</w:t>
            </w:r>
          </w:p>
          <w:p w14:paraId="5E158394" w14:textId="55F98018" w:rsidR="00721A02" w:rsidRPr="00BF55FF" w:rsidRDefault="00721A02" w:rsidP="0029378A">
            <w:pPr>
              <w:pStyle w:val="PBACTabletext"/>
              <w:widowControl w:val="0"/>
              <w:rPr>
                <w:u w:val="single"/>
              </w:rPr>
            </w:pPr>
            <w:r w:rsidRPr="00BF55FF">
              <w:rPr>
                <w:u w:val="single"/>
              </w:rPr>
              <w:t>Patients aged 6 to &lt;12 years</w:t>
            </w:r>
          </w:p>
          <w:p w14:paraId="7A65BE99" w14:textId="3A940E21" w:rsidR="00721A02" w:rsidRPr="00BF55FF" w:rsidRDefault="00721A02" w:rsidP="0029378A">
            <w:pPr>
              <w:pStyle w:val="PBACTabletext"/>
              <w:widowControl w:val="0"/>
            </w:pPr>
            <w:r w:rsidRPr="00BF55FF">
              <w:t xml:space="preserve">150 mg </w:t>
            </w:r>
            <w:r w:rsidR="00C91262" w:rsidRPr="00BF55FF">
              <w:t xml:space="preserve">subcutaneously </w:t>
            </w:r>
            <w:r w:rsidRPr="00BF55FF">
              <w:t>every 2 weeks. A dosing interval of 150 mg every 4 weeks may be considered if the patient is well controlled (e.g., attack-free) for 26 weeks.</w:t>
            </w:r>
          </w:p>
          <w:p w14:paraId="2C4DDAC3" w14:textId="77777777" w:rsidR="00721A02" w:rsidRPr="00BF55FF" w:rsidRDefault="00721A02" w:rsidP="0029378A">
            <w:pPr>
              <w:pStyle w:val="PBACTabletext"/>
              <w:widowControl w:val="0"/>
              <w:rPr>
                <w:u w:val="single"/>
              </w:rPr>
            </w:pPr>
            <w:r w:rsidRPr="00BF55FF">
              <w:rPr>
                <w:u w:val="single"/>
              </w:rPr>
              <w:t>Patients aged 2 to &lt;6 years</w:t>
            </w:r>
          </w:p>
          <w:p w14:paraId="47FA0D9F" w14:textId="5CEEE187" w:rsidR="00A666C8" w:rsidRPr="00BF55FF" w:rsidRDefault="00721A02" w:rsidP="0029378A">
            <w:pPr>
              <w:pStyle w:val="PBACTabletext"/>
              <w:widowControl w:val="0"/>
              <w:suppressLineNumbers w:val="0"/>
            </w:pPr>
            <w:r w:rsidRPr="00BF55FF">
              <w:t xml:space="preserve">150 mg </w:t>
            </w:r>
            <w:r w:rsidR="00C91262" w:rsidRPr="00BF55FF">
              <w:t>subcutaneously</w:t>
            </w:r>
            <w:r w:rsidRPr="00BF55FF">
              <w:t xml:space="preserve"> every 4 weeks</w:t>
            </w:r>
            <w:r w:rsidRPr="00BF55FF" w:rsidDel="003D6353">
              <w:t xml:space="preserve"> </w:t>
            </w:r>
          </w:p>
        </w:tc>
      </w:tr>
      <w:tr w:rsidR="00A666C8" w:rsidRPr="00BF55FF" w14:paraId="1AD67051" w14:textId="77777777" w:rsidTr="00BC7A1E">
        <w:tc>
          <w:tcPr>
            <w:tcW w:w="2235" w:type="dxa"/>
          </w:tcPr>
          <w:p w14:paraId="3DEEF2A4" w14:textId="77777777" w:rsidR="00A666C8" w:rsidRPr="00BF55FF" w:rsidRDefault="00A666C8" w:rsidP="0029378A">
            <w:pPr>
              <w:pStyle w:val="PBACTabletext"/>
              <w:widowControl w:val="0"/>
              <w:suppressLineNumbers w:val="0"/>
            </w:pPr>
            <w:r w:rsidRPr="00BF55FF">
              <w:t>Comparator</w:t>
            </w:r>
          </w:p>
        </w:tc>
        <w:tc>
          <w:tcPr>
            <w:tcW w:w="7007" w:type="dxa"/>
          </w:tcPr>
          <w:p w14:paraId="12DF47E9" w14:textId="77777777" w:rsidR="00A666C8" w:rsidRPr="00BF55FF" w:rsidRDefault="00A666C8" w:rsidP="0029378A">
            <w:pPr>
              <w:pStyle w:val="PBACTabletext"/>
              <w:widowControl w:val="0"/>
              <w:suppressLineNumbers w:val="0"/>
            </w:pPr>
            <w:r w:rsidRPr="00BF55FF">
              <w:t>SOC for HAE, which comprises use of ODT (icatibant or IV C1-INH)</w:t>
            </w:r>
          </w:p>
        </w:tc>
      </w:tr>
      <w:tr w:rsidR="00A666C8" w:rsidRPr="00BF55FF" w14:paraId="27323584" w14:textId="77777777" w:rsidTr="00BC7A1E">
        <w:tc>
          <w:tcPr>
            <w:tcW w:w="2235" w:type="dxa"/>
          </w:tcPr>
          <w:p w14:paraId="2F9F8F85" w14:textId="77777777" w:rsidR="00A666C8" w:rsidRPr="00BF55FF" w:rsidRDefault="00A666C8" w:rsidP="0029378A">
            <w:pPr>
              <w:pStyle w:val="PBACTabletext"/>
              <w:widowControl w:val="0"/>
              <w:suppressLineNumbers w:val="0"/>
            </w:pPr>
            <w:r w:rsidRPr="00BF55FF">
              <w:t>Main outcomes</w:t>
            </w:r>
          </w:p>
        </w:tc>
        <w:tc>
          <w:tcPr>
            <w:tcW w:w="7007" w:type="dxa"/>
          </w:tcPr>
          <w:p w14:paraId="1751AEB8" w14:textId="77777777" w:rsidR="00A666C8" w:rsidRPr="00BF55FF" w:rsidRDefault="00A666C8" w:rsidP="0029378A">
            <w:pPr>
              <w:pStyle w:val="PBACTabletext"/>
              <w:widowControl w:val="0"/>
              <w:numPr>
                <w:ilvl w:val="0"/>
                <w:numId w:val="7"/>
              </w:numPr>
              <w:suppressLineNumbers w:val="0"/>
            </w:pPr>
            <w:r w:rsidRPr="00BF55FF">
              <w:t>HAE attack rate</w:t>
            </w:r>
          </w:p>
          <w:p w14:paraId="33A894AC" w14:textId="77777777" w:rsidR="00A666C8" w:rsidRPr="00BF55FF" w:rsidRDefault="00A666C8" w:rsidP="0029378A">
            <w:pPr>
              <w:pStyle w:val="PBACTabletext"/>
              <w:widowControl w:val="0"/>
              <w:numPr>
                <w:ilvl w:val="0"/>
                <w:numId w:val="7"/>
              </w:numPr>
              <w:suppressLineNumbers w:val="0"/>
            </w:pPr>
            <w:r w:rsidRPr="00BF55FF">
              <w:t>HAE attack rate requiring acute treatment</w:t>
            </w:r>
          </w:p>
          <w:p w14:paraId="655C5D6E" w14:textId="77777777" w:rsidR="00A666C8" w:rsidRPr="00BF55FF" w:rsidRDefault="00A666C8" w:rsidP="0029378A">
            <w:pPr>
              <w:pStyle w:val="PBACTabletext"/>
              <w:widowControl w:val="0"/>
              <w:numPr>
                <w:ilvl w:val="0"/>
                <w:numId w:val="7"/>
              </w:numPr>
              <w:suppressLineNumbers w:val="0"/>
            </w:pPr>
            <w:r w:rsidRPr="00BF55FF">
              <w:t>Moderate or severe attacks</w:t>
            </w:r>
          </w:p>
          <w:p w14:paraId="237921B9" w14:textId="77777777" w:rsidR="00A666C8" w:rsidRPr="00BF55FF" w:rsidRDefault="00A666C8" w:rsidP="0029378A">
            <w:pPr>
              <w:pStyle w:val="PBACTabletext"/>
              <w:widowControl w:val="0"/>
              <w:numPr>
                <w:ilvl w:val="0"/>
                <w:numId w:val="7"/>
              </w:numPr>
              <w:suppressLineNumbers w:val="0"/>
            </w:pPr>
            <w:r w:rsidRPr="00BF55FF">
              <w:t>High-morbidity attacks</w:t>
            </w:r>
          </w:p>
          <w:p w14:paraId="790F8B19" w14:textId="77777777" w:rsidR="00A666C8" w:rsidRPr="00BF55FF" w:rsidRDefault="00A666C8" w:rsidP="0029378A">
            <w:pPr>
              <w:pStyle w:val="PBACTabletext"/>
              <w:widowControl w:val="0"/>
              <w:numPr>
                <w:ilvl w:val="0"/>
                <w:numId w:val="7"/>
              </w:numPr>
              <w:suppressLineNumbers w:val="0"/>
            </w:pPr>
            <w:r w:rsidRPr="00BF55FF">
              <w:t>Attack-free patients</w:t>
            </w:r>
          </w:p>
          <w:p w14:paraId="64583691" w14:textId="77777777" w:rsidR="00A666C8" w:rsidRPr="00BF55FF" w:rsidRDefault="00A666C8" w:rsidP="0029378A">
            <w:pPr>
              <w:pStyle w:val="PBACTabletext"/>
              <w:widowControl w:val="0"/>
              <w:numPr>
                <w:ilvl w:val="0"/>
                <w:numId w:val="7"/>
              </w:numPr>
              <w:suppressLineNumbers w:val="0"/>
            </w:pPr>
            <w:r w:rsidRPr="00BF55FF">
              <w:t>Safety</w:t>
            </w:r>
          </w:p>
        </w:tc>
      </w:tr>
      <w:tr w:rsidR="00A666C8" w:rsidRPr="00BF55FF" w14:paraId="2857E04A" w14:textId="77777777" w:rsidTr="00BC7A1E">
        <w:tc>
          <w:tcPr>
            <w:tcW w:w="2235" w:type="dxa"/>
          </w:tcPr>
          <w:p w14:paraId="4C3BBE74" w14:textId="77777777" w:rsidR="00A666C8" w:rsidRPr="00BF55FF" w:rsidRDefault="00A666C8" w:rsidP="0029378A">
            <w:pPr>
              <w:pStyle w:val="PBACTabletext"/>
              <w:widowControl w:val="0"/>
              <w:suppressLineNumbers w:val="0"/>
            </w:pPr>
            <w:r w:rsidRPr="00BF55FF">
              <w:t>Clinical claim</w:t>
            </w:r>
          </w:p>
        </w:tc>
        <w:tc>
          <w:tcPr>
            <w:tcW w:w="7007" w:type="dxa"/>
          </w:tcPr>
          <w:p w14:paraId="2B063625" w14:textId="31AE37BB" w:rsidR="00A666C8" w:rsidRPr="00BF55FF" w:rsidRDefault="00A666C8" w:rsidP="0029378A">
            <w:pPr>
              <w:pStyle w:val="PBACTabletext"/>
              <w:widowControl w:val="0"/>
              <w:suppressLineNumbers w:val="0"/>
            </w:pPr>
            <w:r w:rsidRPr="00BF55FF">
              <w:t>Superior efficacy v</w:t>
            </w:r>
            <w:r w:rsidR="006F0D64">
              <w:t>ersu</w:t>
            </w:r>
            <w:r w:rsidRPr="00BF55FF">
              <w:t>s SOC</w:t>
            </w:r>
          </w:p>
        </w:tc>
      </w:tr>
      <w:tr w:rsidR="00A666C8" w:rsidRPr="00BF55FF" w14:paraId="72973D50" w14:textId="77777777" w:rsidTr="00BC7A1E">
        <w:tc>
          <w:tcPr>
            <w:tcW w:w="2235" w:type="dxa"/>
          </w:tcPr>
          <w:p w14:paraId="4E444F39" w14:textId="77777777" w:rsidR="00A666C8" w:rsidRPr="00BF55FF" w:rsidRDefault="00A666C8" w:rsidP="0029378A">
            <w:pPr>
              <w:pStyle w:val="PBACTabletext"/>
              <w:widowControl w:val="0"/>
              <w:suppressLineNumbers w:val="0"/>
            </w:pPr>
            <w:r w:rsidRPr="00BF55FF">
              <w:t xml:space="preserve">Economic </w:t>
            </w:r>
          </w:p>
        </w:tc>
        <w:tc>
          <w:tcPr>
            <w:tcW w:w="7007" w:type="dxa"/>
          </w:tcPr>
          <w:p w14:paraId="2DA01D78" w14:textId="77777777" w:rsidR="00A666C8" w:rsidRPr="00BF55FF" w:rsidRDefault="00A666C8" w:rsidP="0029378A">
            <w:pPr>
              <w:pStyle w:val="PBACTabletext"/>
              <w:widowControl w:val="0"/>
              <w:suppressLineNumbers w:val="0"/>
            </w:pPr>
            <w:r w:rsidRPr="00BF55FF">
              <w:t>Cost-effectiveness of lanadelumab in this population cannot be quantified</w:t>
            </w:r>
          </w:p>
        </w:tc>
      </w:tr>
    </w:tbl>
    <w:p w14:paraId="4468C2C9" w14:textId="2545060E" w:rsidR="00931627" w:rsidRPr="00BF55FF" w:rsidRDefault="00A666C8" w:rsidP="0029378A">
      <w:pPr>
        <w:pStyle w:val="PBACTblFignote"/>
        <w:widowControl w:val="0"/>
      </w:pPr>
      <w:r w:rsidRPr="00BF55FF">
        <w:t xml:space="preserve">Source: Table 1, </w:t>
      </w:r>
      <w:r w:rsidR="00891101" w:rsidRPr="00BF55FF">
        <w:t>p1 of the submission.</w:t>
      </w:r>
    </w:p>
    <w:p w14:paraId="2F181329" w14:textId="15CF1517" w:rsidR="00A666C8" w:rsidRPr="00BF55FF" w:rsidRDefault="00A666C8" w:rsidP="0029378A">
      <w:pPr>
        <w:pStyle w:val="PBACTblFignote"/>
        <w:widowControl w:val="0"/>
      </w:pPr>
      <w:r w:rsidRPr="00BF55FF">
        <w:t>C1-INH</w:t>
      </w:r>
      <w:r w:rsidR="00891101" w:rsidRPr="00BF55FF">
        <w:t xml:space="preserve"> =</w:t>
      </w:r>
      <w:r w:rsidRPr="00BF55FF">
        <w:t xml:space="preserve"> C1-esterase inhibitor; HAE</w:t>
      </w:r>
      <w:r w:rsidR="00891101" w:rsidRPr="00BF55FF">
        <w:t xml:space="preserve"> =</w:t>
      </w:r>
      <w:r w:rsidRPr="00BF55FF">
        <w:t xml:space="preserve"> hereditary angioedema, ODT</w:t>
      </w:r>
      <w:r w:rsidR="00891101" w:rsidRPr="00BF55FF">
        <w:t xml:space="preserve"> =</w:t>
      </w:r>
      <w:r w:rsidRPr="00BF55FF">
        <w:t xml:space="preserve"> on-demand treatment; SOC</w:t>
      </w:r>
      <w:r w:rsidR="00891101" w:rsidRPr="00BF55FF">
        <w:t xml:space="preserve"> =</w:t>
      </w:r>
      <w:r w:rsidRPr="00BF55FF">
        <w:t xml:space="preserve"> standard of care</w:t>
      </w:r>
    </w:p>
    <w:p w14:paraId="21361D3A" w14:textId="2018354F" w:rsidR="00723217" w:rsidRPr="00BF55FF" w:rsidRDefault="00723217" w:rsidP="0029378A">
      <w:pPr>
        <w:pStyle w:val="PBACTblFignote"/>
        <w:widowControl w:val="0"/>
        <w:spacing w:after="120"/>
        <w:contextualSpacing w:val="0"/>
      </w:pPr>
      <w:r w:rsidRPr="00BF55FF">
        <w:rPr>
          <w:vertAlign w:val="superscript"/>
        </w:rPr>
        <w:t>a</w:t>
      </w:r>
      <w:r w:rsidRPr="00BF55FF">
        <w:t xml:space="preserve"> Dosing regimen</w:t>
      </w:r>
      <w:r w:rsidR="00931627" w:rsidRPr="00BF55FF">
        <w:t xml:space="preserve"> for lanadelumab</w:t>
      </w:r>
      <w:r w:rsidRPr="00BF55FF">
        <w:t xml:space="preserve"> added by the evaluation.</w:t>
      </w:r>
    </w:p>
    <w:p w14:paraId="6B4AB6C2" w14:textId="7F01D731" w:rsidR="005C25FF" w:rsidRPr="00BF55FF" w:rsidRDefault="005C25FF" w:rsidP="004A6040">
      <w:pPr>
        <w:pStyle w:val="2-SectionHeading"/>
      </w:pPr>
      <w:bookmarkStart w:id="5" w:name="_Toc177389659"/>
      <w:r w:rsidRPr="00BF55FF">
        <w:t>Background</w:t>
      </w:r>
      <w:bookmarkEnd w:id="5"/>
    </w:p>
    <w:p w14:paraId="2C521D6D" w14:textId="78CF03EE" w:rsidR="005C25FF" w:rsidRPr="00BF55FF" w:rsidRDefault="005C25FF" w:rsidP="004A6040">
      <w:pPr>
        <w:pStyle w:val="4-SubsectionHeading"/>
        <w:rPr>
          <w:i w:val="0"/>
        </w:rPr>
      </w:pPr>
      <w:bookmarkStart w:id="6" w:name="_Toc22897638"/>
      <w:bookmarkStart w:id="7" w:name="_Toc177389660"/>
      <w:r w:rsidRPr="00BF55FF">
        <w:rPr>
          <w:i w:val="0"/>
        </w:rPr>
        <w:t>Registration status</w:t>
      </w:r>
      <w:bookmarkEnd w:id="6"/>
      <w:bookmarkEnd w:id="7"/>
    </w:p>
    <w:p w14:paraId="6CB902EF" w14:textId="47E30DC8" w:rsidR="00256AB7" w:rsidRPr="00BF55FF" w:rsidRDefault="00891101" w:rsidP="004E18E9">
      <w:pPr>
        <w:pStyle w:val="3-BodyText"/>
      </w:pPr>
      <w:r w:rsidRPr="00BF55FF">
        <w:rPr>
          <w:color w:val="000000" w:themeColor="text1"/>
        </w:rPr>
        <w:t xml:space="preserve">Lanadelumab 300 mg/2 mL solution in a pre-filled syringe </w:t>
      </w:r>
      <w:r w:rsidR="005C25FF" w:rsidRPr="00BF55FF">
        <w:rPr>
          <w:color w:val="000000" w:themeColor="text1"/>
        </w:rPr>
        <w:t>w</w:t>
      </w:r>
      <w:r w:rsidR="005C25FF" w:rsidRPr="00BF55FF">
        <w:t xml:space="preserve">as TGA registered </w:t>
      </w:r>
      <w:r w:rsidRPr="00BF55FF">
        <w:t>in June 2020 “… for routine prevention of recurrent attacks of hereditary angioedema (C1-esterase-inhibitor deficiency or dysfunction) in patients aged 12 years and older”.</w:t>
      </w:r>
    </w:p>
    <w:p w14:paraId="5687ECCD" w14:textId="0435AC0B" w:rsidR="00CF3A1B" w:rsidRPr="00BF55FF" w:rsidRDefault="00891101" w:rsidP="004E18E9">
      <w:pPr>
        <w:pStyle w:val="3-BodyText"/>
      </w:pPr>
      <w:r w:rsidRPr="00BF55FF">
        <w:t xml:space="preserve">Lanadelumab 150 mg/1 mL solution in a pre-filled syringe </w:t>
      </w:r>
      <w:r w:rsidR="004A5947" w:rsidRPr="00BF55FF">
        <w:t>was</w:t>
      </w:r>
      <w:r w:rsidR="00DF1D9A">
        <w:t xml:space="preserve"> TGA</w:t>
      </w:r>
      <w:r w:rsidR="004A5947" w:rsidRPr="00BF55FF">
        <w:t xml:space="preserve"> </w:t>
      </w:r>
      <w:r w:rsidR="00C837B8" w:rsidRPr="00BF55FF">
        <w:t>registered</w:t>
      </w:r>
      <w:r w:rsidR="007A01FD" w:rsidRPr="00BF55FF">
        <w:t xml:space="preserve"> </w:t>
      </w:r>
      <w:r w:rsidR="004A5947" w:rsidRPr="00BF55FF">
        <w:t>in July 2024</w:t>
      </w:r>
      <w:r w:rsidR="007A01FD" w:rsidRPr="00BF55FF">
        <w:t xml:space="preserve"> </w:t>
      </w:r>
      <w:r w:rsidRPr="00BF55FF">
        <w:t>“… for routine prevention of recurrent attacks of hereditary angioedema (C1-esterase-inhibitor deficiency or dysfunction) in adult and paed</w:t>
      </w:r>
      <w:r w:rsidR="003E00AE" w:rsidRPr="00BF55FF">
        <w:t>i</w:t>
      </w:r>
      <w:r w:rsidRPr="00BF55FF">
        <w:t>atric patients aged 2 years and older”.</w:t>
      </w:r>
      <w:r w:rsidR="00E80F55" w:rsidRPr="00BF55FF">
        <w:t xml:space="preserve"> </w:t>
      </w:r>
    </w:p>
    <w:p w14:paraId="04F75946" w14:textId="6C948367" w:rsidR="000035A8" w:rsidRPr="00BF55FF" w:rsidRDefault="000035A8" w:rsidP="004E18E9">
      <w:pPr>
        <w:pStyle w:val="3-BodyText"/>
      </w:pPr>
      <w:r w:rsidRPr="00BF55FF">
        <w:t>The TGA Delegate’s Overview</w:t>
      </w:r>
      <w:r w:rsidR="00EA1BB8">
        <w:t xml:space="preserve"> for the 2024 registration</w:t>
      </w:r>
      <w:r w:rsidRPr="00BF55FF">
        <w:t xml:space="preserve"> stated “the number of patients in the SPRING study was very limited (n=21), however the cumulative efficacy and safety data in older patients and similar exposures demonstrated in paediatric patients compared to adult patients for the selected dosing regimens was supportive of registration.”</w:t>
      </w:r>
    </w:p>
    <w:p w14:paraId="3E2A6EAB" w14:textId="469C8C0C" w:rsidR="005C25FF" w:rsidRPr="00BF55FF" w:rsidRDefault="005C25FF" w:rsidP="004E18E9">
      <w:pPr>
        <w:pStyle w:val="4-SubsectionHeading"/>
        <w:rPr>
          <w:i w:val="0"/>
        </w:rPr>
      </w:pPr>
      <w:bookmarkStart w:id="8" w:name="_Toc22897639"/>
      <w:bookmarkStart w:id="9" w:name="_Toc177389661"/>
      <w:r w:rsidRPr="00BF55FF">
        <w:rPr>
          <w:i w:val="0"/>
        </w:rPr>
        <w:t>Previous PBAC consideration</w:t>
      </w:r>
      <w:bookmarkEnd w:id="8"/>
      <w:bookmarkEnd w:id="9"/>
    </w:p>
    <w:p w14:paraId="02E81CF1" w14:textId="0B9016ED" w:rsidR="001D6F14" w:rsidRPr="00BF55FF" w:rsidRDefault="001D6F14" w:rsidP="00336E07">
      <w:pPr>
        <w:pStyle w:val="3-BodyText"/>
        <w:rPr>
          <w:color w:val="000000" w:themeColor="text1"/>
        </w:rPr>
      </w:pPr>
      <w:r w:rsidRPr="00BF55FF">
        <w:rPr>
          <w:color w:val="000000" w:themeColor="text1"/>
        </w:rPr>
        <w:t xml:space="preserve">Lanadelumab was considered by the PBAC for prevention of attacks of HAE in patients aged </w:t>
      </w:r>
      <w:r w:rsidRPr="00BF55FF">
        <w:rPr>
          <w:rFonts w:cstheme="minorHAnsi"/>
          <w:color w:val="000000" w:themeColor="text1"/>
        </w:rPr>
        <w:t>≥</w:t>
      </w:r>
      <w:r w:rsidRPr="00BF55FF">
        <w:rPr>
          <w:color w:val="000000" w:themeColor="text1"/>
        </w:rPr>
        <w:t>12 years in</w:t>
      </w:r>
      <w:r w:rsidR="00F91B72">
        <w:rPr>
          <w:color w:val="000000" w:themeColor="text1"/>
        </w:rPr>
        <w:t xml:space="preserve"> July 2019,</w:t>
      </w:r>
      <w:r w:rsidRPr="00BF55FF">
        <w:rPr>
          <w:color w:val="000000" w:themeColor="text1"/>
        </w:rPr>
        <w:t xml:space="preserve"> July 2020, and again in July 2021.</w:t>
      </w:r>
    </w:p>
    <w:p w14:paraId="3FD20DBA" w14:textId="2B3A9EBA" w:rsidR="00672094" w:rsidRPr="00BF55FF" w:rsidRDefault="004B36CA" w:rsidP="00336E07">
      <w:pPr>
        <w:pStyle w:val="3-BodyText"/>
        <w:rPr>
          <w:color w:val="000000" w:themeColor="text1"/>
        </w:rPr>
      </w:pPr>
      <w:r w:rsidRPr="00BF55FF">
        <w:t xml:space="preserve">Lanadelumab (300 mg/2 mL injection) is currently PBS-listed for the </w:t>
      </w:r>
      <w:r w:rsidR="00FE38C4" w:rsidRPr="00BF55FF">
        <w:t>preventative</w:t>
      </w:r>
      <w:r w:rsidRPr="00BF55FF">
        <w:t xml:space="preserve"> treatment of HAE in patients aged 12 years and older. To be eligible under the existing </w:t>
      </w:r>
      <w:r w:rsidRPr="00BF55FF">
        <w:lastRenderedPageBreak/>
        <w:t xml:space="preserve">listing, patients must have experienced at least 12 treated acute attacks of HAE within a 6 month period prior to commencing lanadelumab. </w:t>
      </w:r>
    </w:p>
    <w:p w14:paraId="46EB9BE7" w14:textId="4A094BC8" w:rsidR="00672094" w:rsidRPr="00BF55FF" w:rsidRDefault="00672094" w:rsidP="002E4F02">
      <w:pPr>
        <w:pStyle w:val="3-BodyText"/>
        <w:rPr>
          <w:color w:val="000000" w:themeColor="text1"/>
        </w:rPr>
      </w:pPr>
      <w:r w:rsidRPr="00BF55FF">
        <w:rPr>
          <w:color w:val="000000" w:themeColor="text1"/>
        </w:rPr>
        <w:t xml:space="preserve">Key points of the </w:t>
      </w:r>
      <w:r w:rsidR="001D6F14" w:rsidRPr="00BF55FF">
        <w:rPr>
          <w:color w:val="000000" w:themeColor="text1"/>
        </w:rPr>
        <w:t xml:space="preserve">previous </w:t>
      </w:r>
      <w:r w:rsidRPr="00BF55FF">
        <w:rPr>
          <w:color w:val="000000" w:themeColor="text1"/>
        </w:rPr>
        <w:t>PBAC consideration</w:t>
      </w:r>
      <w:r w:rsidR="001D6F14" w:rsidRPr="00BF55FF">
        <w:rPr>
          <w:color w:val="000000" w:themeColor="text1"/>
        </w:rPr>
        <w:t>s that may be</w:t>
      </w:r>
      <w:r w:rsidRPr="00BF55FF">
        <w:rPr>
          <w:color w:val="000000" w:themeColor="text1"/>
        </w:rPr>
        <w:t xml:space="preserve"> </w:t>
      </w:r>
      <w:r w:rsidR="00B0626C" w:rsidRPr="00BF55FF">
        <w:rPr>
          <w:color w:val="000000" w:themeColor="text1"/>
        </w:rPr>
        <w:t xml:space="preserve">relevant to the present submission </w:t>
      </w:r>
      <w:r w:rsidR="00824933" w:rsidRPr="00BF55FF">
        <w:rPr>
          <w:color w:val="000000" w:themeColor="text1"/>
        </w:rPr>
        <w:t>include</w:t>
      </w:r>
      <w:r w:rsidR="00DA2396" w:rsidRPr="00BF55FF">
        <w:rPr>
          <w:color w:val="000000" w:themeColor="text1"/>
        </w:rPr>
        <w:t>:</w:t>
      </w:r>
    </w:p>
    <w:p w14:paraId="280E039F" w14:textId="31CC4250" w:rsidR="00672094" w:rsidRPr="00BF55FF" w:rsidRDefault="00736318" w:rsidP="00F0447B">
      <w:pPr>
        <w:pStyle w:val="3-BodyText"/>
        <w:numPr>
          <w:ilvl w:val="0"/>
          <w:numId w:val="8"/>
        </w:numPr>
      </w:pPr>
      <w:r w:rsidRPr="00BF55FF">
        <w:rPr>
          <w:color w:val="000000" w:themeColor="text1"/>
        </w:rPr>
        <w:t>the</w:t>
      </w:r>
      <w:r w:rsidR="00C837B8" w:rsidRPr="00BF55FF">
        <w:rPr>
          <w:color w:val="000000" w:themeColor="text1"/>
        </w:rPr>
        <w:t xml:space="preserve"> listing of lanadelumab could not be justified without some criterion of </w:t>
      </w:r>
      <w:r w:rsidRPr="00BF55FF">
        <w:rPr>
          <w:color w:val="000000" w:themeColor="text1"/>
        </w:rPr>
        <w:t>frequency of attacks</w:t>
      </w:r>
      <w:r w:rsidR="00B02895" w:rsidRPr="00BF55FF">
        <w:rPr>
          <w:color w:val="000000" w:themeColor="text1"/>
        </w:rPr>
        <w:t>,</w:t>
      </w:r>
      <w:r w:rsidR="00166500" w:rsidRPr="00BF55FF">
        <w:rPr>
          <w:color w:val="000000" w:themeColor="text1"/>
        </w:rPr>
        <w:t xml:space="preserve"> </w:t>
      </w:r>
      <w:r w:rsidR="00E13B8F" w:rsidRPr="00BF55FF">
        <w:rPr>
          <w:color w:val="000000" w:themeColor="text1"/>
        </w:rPr>
        <w:t>noting</w:t>
      </w:r>
      <w:r w:rsidR="00B02895" w:rsidRPr="00BF55FF">
        <w:rPr>
          <w:color w:val="000000" w:themeColor="text1"/>
        </w:rPr>
        <w:t xml:space="preserve"> that</w:t>
      </w:r>
      <w:r w:rsidR="00492492" w:rsidRPr="00BF55FF">
        <w:rPr>
          <w:color w:val="000000" w:themeColor="text1"/>
        </w:rPr>
        <w:t xml:space="preserve"> </w:t>
      </w:r>
      <w:r w:rsidR="00695011" w:rsidRPr="00BF55FF">
        <w:t>“the ICER was highly sensitive to the baseline</w:t>
      </w:r>
      <w:r w:rsidR="004F3A73">
        <w:t xml:space="preserve"> HAE</w:t>
      </w:r>
      <w:r w:rsidR="00695011" w:rsidRPr="00BF55FF">
        <w:t xml:space="preserve"> attack rate” </w:t>
      </w:r>
      <w:r w:rsidR="00695011" w:rsidRPr="00BF55FF">
        <w:rPr>
          <w:rFonts w:eastAsia="Times New Roman" w:cs="Arial"/>
          <w:snapToGrid w:val="0"/>
          <w:szCs w:val="20"/>
        </w:rPr>
        <w:t xml:space="preserve">(paragraph 6.7, </w:t>
      </w:r>
      <w:r w:rsidR="006F0D64">
        <w:rPr>
          <w:color w:val="000000" w:themeColor="text1"/>
        </w:rPr>
        <w:t>l</w:t>
      </w:r>
      <w:r w:rsidR="00695011" w:rsidRPr="00BF55FF">
        <w:rPr>
          <w:color w:val="000000" w:themeColor="text1"/>
        </w:rPr>
        <w:t>anadelumab</w:t>
      </w:r>
      <w:r w:rsidR="00840DAE" w:rsidRPr="00BF55FF">
        <w:rPr>
          <w:color w:val="000000" w:themeColor="text1"/>
        </w:rPr>
        <w:t xml:space="preserve"> </w:t>
      </w:r>
      <w:r w:rsidR="006F0D64">
        <w:rPr>
          <w:color w:val="000000" w:themeColor="text1"/>
        </w:rPr>
        <w:t>Public Summary Document (</w:t>
      </w:r>
      <w:r w:rsidR="00840DAE" w:rsidRPr="00BF55FF">
        <w:rPr>
          <w:color w:val="000000" w:themeColor="text1"/>
        </w:rPr>
        <w:t>PSD</w:t>
      </w:r>
      <w:r w:rsidR="006F0D64">
        <w:rPr>
          <w:color w:val="000000" w:themeColor="text1"/>
        </w:rPr>
        <w:t>)</w:t>
      </w:r>
      <w:r w:rsidR="00695011" w:rsidRPr="00BF55FF">
        <w:rPr>
          <w:color w:val="000000" w:themeColor="text1"/>
        </w:rPr>
        <w:t>, July 2021</w:t>
      </w:r>
      <w:r w:rsidR="00695011" w:rsidRPr="00BF55FF">
        <w:rPr>
          <w:rFonts w:eastAsia="Times New Roman" w:cs="Arial"/>
          <w:snapToGrid w:val="0"/>
          <w:szCs w:val="20"/>
        </w:rPr>
        <w:t>)</w:t>
      </w:r>
      <w:r w:rsidR="00711497" w:rsidRPr="00BF55FF">
        <w:rPr>
          <w:rFonts w:eastAsia="Times New Roman" w:cs="Arial"/>
          <w:snapToGrid w:val="0"/>
          <w:szCs w:val="20"/>
        </w:rPr>
        <w:t>.</w:t>
      </w:r>
      <w:bookmarkStart w:id="10" w:name="_Toc107902078"/>
      <w:bookmarkEnd w:id="10"/>
    </w:p>
    <w:p w14:paraId="0D275834" w14:textId="0418C418" w:rsidR="00C837B8" w:rsidRDefault="00C837B8" w:rsidP="00F0447B">
      <w:pPr>
        <w:pStyle w:val="3-BodyText"/>
        <w:numPr>
          <w:ilvl w:val="0"/>
          <w:numId w:val="8"/>
        </w:numPr>
      </w:pPr>
      <w:r w:rsidRPr="00BF55FF">
        <w:rPr>
          <w:rFonts w:eastAsia="Times New Roman" w:cs="Arial"/>
          <w:snapToGrid w:val="0"/>
          <w:szCs w:val="20"/>
        </w:rPr>
        <w:t xml:space="preserve">the PBAC noted stakeholder </w:t>
      </w:r>
      <w:r w:rsidRPr="00BF55FF">
        <w:t xml:space="preserve">input that some patients </w:t>
      </w:r>
      <w:r w:rsidR="00824933" w:rsidRPr="00BF55FF">
        <w:t>who experience fewer</w:t>
      </w:r>
      <w:r w:rsidRPr="00BF55FF">
        <w:t xml:space="preserve"> attacks than the threshold number </w:t>
      </w:r>
      <w:r w:rsidR="00824933" w:rsidRPr="00BF55FF">
        <w:t>may have</w:t>
      </w:r>
      <w:r w:rsidRPr="00BF55FF">
        <w:t xml:space="preserve"> a high burden of disease</w:t>
      </w:r>
      <w:r w:rsidR="00824933" w:rsidRPr="00BF55FF">
        <w:t xml:space="preserve"> because of the nature of the attacks</w:t>
      </w:r>
      <w:r w:rsidR="00FF797A" w:rsidRPr="00BF55FF">
        <w:t>. T</w:t>
      </w:r>
      <w:r w:rsidRPr="00BF55FF">
        <w:t xml:space="preserve">he sponsor indicated that </w:t>
      </w:r>
      <w:r w:rsidR="00824933" w:rsidRPr="00BF55FF">
        <w:t xml:space="preserve">it </w:t>
      </w:r>
      <w:r w:rsidRPr="00BF55FF">
        <w:t xml:space="preserve">did not intend to propose quality of life or burden of disease criteria for eligibility “at this time” (paragraph 3.7, </w:t>
      </w:r>
      <w:r w:rsidR="00A76E75">
        <w:rPr>
          <w:color w:val="000000" w:themeColor="text1"/>
        </w:rPr>
        <w:t>l</w:t>
      </w:r>
      <w:r w:rsidRPr="00BF55FF">
        <w:rPr>
          <w:color w:val="000000" w:themeColor="text1"/>
        </w:rPr>
        <w:t>anadelumab</w:t>
      </w:r>
      <w:r w:rsidR="00840DAE" w:rsidRPr="00BF55FF">
        <w:rPr>
          <w:color w:val="000000" w:themeColor="text1"/>
        </w:rPr>
        <w:t xml:space="preserve"> PSD</w:t>
      </w:r>
      <w:r w:rsidRPr="00BF55FF">
        <w:rPr>
          <w:color w:val="000000" w:themeColor="text1"/>
        </w:rPr>
        <w:t>, July 2021)</w:t>
      </w:r>
      <w:r w:rsidRPr="00BF55FF">
        <w:t xml:space="preserve">. The present submission also does not refer to quality of life or burden of disease criteria. </w:t>
      </w:r>
    </w:p>
    <w:p w14:paraId="4E61ED1D" w14:textId="2BC317F3" w:rsidR="00260D22" w:rsidRDefault="00260D22" w:rsidP="00260D22">
      <w:pPr>
        <w:pStyle w:val="2-SectionHeading"/>
      </w:pPr>
      <w:bookmarkStart w:id="11" w:name="_Toc177389662"/>
      <w:r w:rsidRPr="00BF55FF">
        <w:t>Requested listing</w:t>
      </w:r>
      <w:bookmarkEnd w:id="11"/>
    </w:p>
    <w:p w14:paraId="344D518D" w14:textId="11B3106D" w:rsidR="00235B1D" w:rsidRPr="006D5A15" w:rsidRDefault="00235B1D" w:rsidP="00F63165">
      <w:pPr>
        <w:pStyle w:val="3-BodyText"/>
      </w:pPr>
      <w:r w:rsidRPr="006D5A15">
        <w:t xml:space="preserve">Suggestions and additions proposed by the Secretariat are added in italics and suggested deletions are crossed out with strikethrough. </w:t>
      </w:r>
    </w:p>
    <w:tbl>
      <w:tblPr>
        <w:tblStyle w:val="TableGrid"/>
        <w:tblW w:w="5000" w:type="pct"/>
        <w:tblLook w:val="04A0" w:firstRow="1" w:lastRow="0" w:firstColumn="1" w:lastColumn="0" w:noHBand="0" w:noVBand="1"/>
      </w:tblPr>
      <w:tblGrid>
        <w:gridCol w:w="2078"/>
        <w:gridCol w:w="1333"/>
        <w:gridCol w:w="1333"/>
        <w:gridCol w:w="1333"/>
        <w:gridCol w:w="1335"/>
        <w:gridCol w:w="1605"/>
      </w:tblGrid>
      <w:tr w:rsidR="007176E5" w:rsidRPr="00B525C3" w14:paraId="25AC9AC2" w14:textId="77777777" w:rsidTr="0054165A">
        <w:tc>
          <w:tcPr>
            <w:tcW w:w="1153" w:type="pct"/>
          </w:tcPr>
          <w:p w14:paraId="652CABC6" w14:textId="77777777" w:rsidR="007176E5" w:rsidRPr="007176E5" w:rsidRDefault="007176E5" w:rsidP="007176E5">
            <w:pPr>
              <w:pStyle w:val="Tabletext"/>
              <w:rPr>
                <w:b/>
                <w:bCs/>
              </w:rPr>
            </w:pPr>
            <w:r w:rsidRPr="007176E5">
              <w:rPr>
                <w:b/>
                <w:bCs/>
              </w:rPr>
              <w:t>Name, form</w:t>
            </w:r>
          </w:p>
        </w:tc>
        <w:tc>
          <w:tcPr>
            <w:tcW w:w="739" w:type="pct"/>
          </w:tcPr>
          <w:p w14:paraId="7DC6BE51" w14:textId="77777777" w:rsidR="007176E5" w:rsidRPr="00B525C3" w:rsidRDefault="007176E5" w:rsidP="0054165A">
            <w:pPr>
              <w:pStyle w:val="Tabletext"/>
              <w:jc w:val="center"/>
              <w:rPr>
                <w:b/>
                <w:bCs/>
              </w:rPr>
            </w:pPr>
            <w:r w:rsidRPr="00B525C3">
              <w:rPr>
                <w:rFonts w:cs="Arial"/>
                <w:b/>
              </w:rPr>
              <w:t>PBS item code</w:t>
            </w:r>
          </w:p>
        </w:tc>
        <w:tc>
          <w:tcPr>
            <w:tcW w:w="739" w:type="pct"/>
          </w:tcPr>
          <w:p w14:paraId="4C801F23" w14:textId="77777777" w:rsidR="007176E5" w:rsidRPr="00B525C3" w:rsidRDefault="007176E5" w:rsidP="0054165A">
            <w:pPr>
              <w:pStyle w:val="Tabletext"/>
              <w:jc w:val="center"/>
              <w:rPr>
                <w:rFonts w:cs="Arial"/>
                <w:b/>
              </w:rPr>
            </w:pPr>
            <w:r w:rsidRPr="00B525C3">
              <w:rPr>
                <w:rFonts w:cs="Arial"/>
                <w:b/>
              </w:rPr>
              <w:t>Max. qty packs</w:t>
            </w:r>
          </w:p>
        </w:tc>
        <w:tc>
          <w:tcPr>
            <w:tcW w:w="739" w:type="pct"/>
          </w:tcPr>
          <w:p w14:paraId="6A376957" w14:textId="77777777" w:rsidR="007176E5" w:rsidRPr="00B525C3" w:rsidRDefault="007176E5" w:rsidP="0054165A">
            <w:pPr>
              <w:pStyle w:val="Tabletext"/>
              <w:rPr>
                <w:b/>
                <w:bCs/>
              </w:rPr>
            </w:pPr>
            <w:r w:rsidRPr="00B525C3">
              <w:rPr>
                <w:rFonts w:cs="Arial"/>
                <w:b/>
              </w:rPr>
              <w:t>Max. qty units</w:t>
            </w:r>
          </w:p>
        </w:tc>
        <w:tc>
          <w:tcPr>
            <w:tcW w:w="740" w:type="pct"/>
          </w:tcPr>
          <w:p w14:paraId="6AD11076" w14:textId="77777777" w:rsidR="007176E5" w:rsidRPr="00B525C3" w:rsidRDefault="007176E5" w:rsidP="0054165A">
            <w:pPr>
              <w:keepNext/>
              <w:ind w:left="-57"/>
              <w:jc w:val="center"/>
              <w:rPr>
                <w:rFonts w:ascii="Arial Narrow" w:hAnsi="Arial Narrow"/>
                <w:b/>
                <w:sz w:val="20"/>
                <w:szCs w:val="20"/>
              </w:rPr>
            </w:pPr>
            <w:r w:rsidRPr="00B525C3">
              <w:rPr>
                <w:rFonts w:ascii="Arial Narrow" w:hAnsi="Arial Narrow"/>
                <w:b/>
                <w:sz w:val="20"/>
                <w:szCs w:val="20"/>
              </w:rPr>
              <w:t>№.of Rpts</w:t>
            </w:r>
          </w:p>
        </w:tc>
        <w:tc>
          <w:tcPr>
            <w:tcW w:w="890" w:type="pct"/>
          </w:tcPr>
          <w:p w14:paraId="7171613F" w14:textId="77777777" w:rsidR="007176E5" w:rsidRPr="00B525C3" w:rsidRDefault="007176E5" w:rsidP="0054165A">
            <w:pPr>
              <w:pStyle w:val="Tabletext"/>
              <w:rPr>
                <w:b/>
                <w:bCs/>
              </w:rPr>
            </w:pPr>
            <w:r w:rsidRPr="00B525C3">
              <w:rPr>
                <w:b/>
                <w:bCs/>
              </w:rPr>
              <w:t>Proprietary name and manufacturer</w:t>
            </w:r>
          </w:p>
        </w:tc>
      </w:tr>
      <w:tr w:rsidR="007176E5" w:rsidRPr="00B525C3" w14:paraId="3AE2D10D" w14:textId="77777777" w:rsidTr="0054165A">
        <w:tc>
          <w:tcPr>
            <w:tcW w:w="1153" w:type="pct"/>
          </w:tcPr>
          <w:p w14:paraId="69B9DB77" w14:textId="77777777" w:rsidR="007176E5" w:rsidRPr="00B525C3" w:rsidRDefault="007176E5" w:rsidP="0054165A">
            <w:pPr>
              <w:pStyle w:val="Tabletext"/>
              <w:rPr>
                <w:i/>
                <w:iCs/>
              </w:rPr>
            </w:pPr>
            <w:r w:rsidRPr="00B525C3">
              <w:t>lanadelumab 150 mg</w:t>
            </w:r>
            <w:r w:rsidRPr="00B525C3">
              <w:rPr>
                <w:i/>
                <w:iCs/>
              </w:rPr>
              <w:t>/</w:t>
            </w:r>
            <w:r w:rsidRPr="00B525C3">
              <w:rPr>
                <w:strike/>
              </w:rPr>
              <w:t>;</w:t>
            </w:r>
            <w:r w:rsidRPr="00B525C3">
              <w:t xml:space="preserve"> 1 mL </w:t>
            </w:r>
            <w:r w:rsidRPr="00B525C3">
              <w:rPr>
                <w:strike/>
              </w:rPr>
              <w:t>SC</w:t>
            </w:r>
            <w:r w:rsidRPr="00B525C3">
              <w:t xml:space="preserve"> injection</w:t>
            </w:r>
            <w:r w:rsidRPr="00B525C3">
              <w:rPr>
                <w:strike/>
              </w:rPr>
              <w:t>, PFS</w:t>
            </w:r>
            <w:r w:rsidRPr="00B525C3">
              <w:rPr>
                <w:i/>
                <w:iCs/>
              </w:rPr>
              <w:t>, 1 mL syringe</w:t>
            </w:r>
          </w:p>
        </w:tc>
        <w:tc>
          <w:tcPr>
            <w:tcW w:w="739" w:type="pct"/>
          </w:tcPr>
          <w:p w14:paraId="1A256004" w14:textId="77777777" w:rsidR="007176E5" w:rsidRPr="00B525C3" w:rsidRDefault="007176E5" w:rsidP="0054165A">
            <w:pPr>
              <w:keepNext/>
              <w:jc w:val="center"/>
              <w:rPr>
                <w:rFonts w:ascii="Arial Narrow" w:hAnsi="Arial Narrow"/>
                <w:sz w:val="20"/>
                <w:szCs w:val="20"/>
              </w:rPr>
            </w:pPr>
            <w:r w:rsidRPr="00B525C3">
              <w:rPr>
                <w:rFonts w:ascii="Arial Narrow" w:hAnsi="Arial Narrow"/>
                <w:sz w:val="20"/>
                <w:szCs w:val="20"/>
              </w:rPr>
              <w:t>NEW</w:t>
            </w:r>
          </w:p>
          <w:p w14:paraId="26E12FA1" w14:textId="77777777" w:rsidR="007176E5" w:rsidRPr="00B525C3" w:rsidRDefault="007176E5" w:rsidP="0054165A">
            <w:pPr>
              <w:pStyle w:val="Tabletext"/>
              <w:jc w:val="center"/>
            </w:pPr>
            <w:r w:rsidRPr="00B525C3">
              <w:rPr>
                <w:rFonts w:cs="Arial"/>
                <w:vertAlign w:val="subscript"/>
              </w:rPr>
              <w:t>MP</w:t>
            </w:r>
          </w:p>
        </w:tc>
        <w:tc>
          <w:tcPr>
            <w:tcW w:w="739" w:type="pct"/>
          </w:tcPr>
          <w:p w14:paraId="27ECF37B" w14:textId="77777777" w:rsidR="007176E5" w:rsidRPr="00B525C3" w:rsidRDefault="007176E5" w:rsidP="0054165A">
            <w:pPr>
              <w:pStyle w:val="Tabletext"/>
              <w:jc w:val="center"/>
            </w:pPr>
            <w:r w:rsidRPr="00B525C3">
              <w:t>1</w:t>
            </w:r>
          </w:p>
        </w:tc>
        <w:tc>
          <w:tcPr>
            <w:tcW w:w="739" w:type="pct"/>
          </w:tcPr>
          <w:p w14:paraId="48456DCE" w14:textId="77777777" w:rsidR="007176E5" w:rsidRPr="00B525C3" w:rsidRDefault="007176E5" w:rsidP="0054165A">
            <w:pPr>
              <w:pStyle w:val="Tabletext"/>
              <w:jc w:val="center"/>
            </w:pPr>
            <w:r w:rsidRPr="00B525C3">
              <w:t>1</w:t>
            </w:r>
          </w:p>
        </w:tc>
        <w:tc>
          <w:tcPr>
            <w:tcW w:w="740" w:type="pct"/>
          </w:tcPr>
          <w:p w14:paraId="2A92538D" w14:textId="77777777" w:rsidR="007176E5" w:rsidRPr="00B525C3" w:rsidRDefault="007176E5" w:rsidP="0054165A">
            <w:pPr>
              <w:pStyle w:val="Tabletext"/>
              <w:jc w:val="center"/>
            </w:pPr>
            <w:r w:rsidRPr="00B525C3">
              <w:t>5</w:t>
            </w:r>
          </w:p>
        </w:tc>
        <w:tc>
          <w:tcPr>
            <w:tcW w:w="890" w:type="pct"/>
          </w:tcPr>
          <w:p w14:paraId="4A9C0849" w14:textId="77777777" w:rsidR="007176E5" w:rsidRPr="00B525C3" w:rsidRDefault="007176E5" w:rsidP="0054165A">
            <w:pPr>
              <w:pStyle w:val="Tabletext"/>
            </w:pPr>
            <w:r w:rsidRPr="00B525C3">
              <w:t>TAKHZYRO®</w:t>
            </w:r>
          </w:p>
          <w:p w14:paraId="5EF6BDF9" w14:textId="77777777" w:rsidR="007176E5" w:rsidRPr="00B525C3" w:rsidRDefault="007176E5" w:rsidP="0054165A">
            <w:pPr>
              <w:pStyle w:val="Tabletext"/>
            </w:pPr>
            <w:r w:rsidRPr="00B525C3">
              <w:t>TAKEDA Australia Pty Ltd</w:t>
            </w:r>
          </w:p>
        </w:tc>
      </w:tr>
    </w:tbl>
    <w:p w14:paraId="2A7AA02A" w14:textId="77777777" w:rsidR="007176E5" w:rsidRPr="00B525C3" w:rsidRDefault="007176E5" w:rsidP="007176E5">
      <w:pPr>
        <w:keepNext/>
        <w:keepLines/>
        <w:rPr>
          <w:rFonts w:eastAsia="Calibri" w:cs="Calibri"/>
        </w:rPr>
      </w:pPr>
    </w:p>
    <w:p w14:paraId="3D5F26D4" w14:textId="77777777" w:rsidR="007176E5" w:rsidRPr="00B525C3" w:rsidRDefault="007176E5" w:rsidP="007176E5">
      <w:pPr>
        <w:pStyle w:val="Caption"/>
        <w:widowControl w:val="0"/>
      </w:pPr>
      <w:r w:rsidRPr="00B525C3">
        <w:t>Initial treatment – New patient</w:t>
      </w:r>
    </w:p>
    <w:p w14:paraId="06615601" w14:textId="77777777" w:rsidR="007176E5" w:rsidRPr="00B525C3" w:rsidRDefault="007176E5" w:rsidP="007176E5">
      <w:pPr>
        <w:keepNext/>
        <w:rPr>
          <w:rFonts w:ascii="Arial Narrow" w:hAnsi="Arial Narrow"/>
          <w:b/>
          <w:bCs/>
          <w:sz w:val="20"/>
          <w:szCs w:val="20"/>
          <w:lang w:eastAsia="en-GB"/>
        </w:rPr>
      </w:pPr>
      <w:r w:rsidRPr="00B525C3">
        <w:rPr>
          <w:rFonts w:ascii="Arial Narrow" w:hAnsi="Arial Narrow"/>
          <w:b/>
          <w:bCs/>
          <w:sz w:val="20"/>
          <w:szCs w:val="20"/>
          <w:lang w:eastAsia="en-GB"/>
        </w:rPr>
        <w:t>Restriction Summary New/ ToC: New</w:t>
      </w:r>
    </w:p>
    <w:tbl>
      <w:tblPr>
        <w:tblStyle w:val="TableGrid"/>
        <w:tblW w:w="5000" w:type="pct"/>
        <w:tblLook w:val="04A0" w:firstRow="1" w:lastRow="0" w:firstColumn="1" w:lastColumn="0" w:noHBand="0" w:noVBand="1"/>
      </w:tblPr>
      <w:tblGrid>
        <w:gridCol w:w="1129"/>
        <w:gridCol w:w="7888"/>
      </w:tblGrid>
      <w:tr w:rsidR="007176E5" w:rsidRPr="00B525C3" w14:paraId="21B4E609" w14:textId="77777777" w:rsidTr="0054165A">
        <w:tc>
          <w:tcPr>
            <w:tcW w:w="626" w:type="pct"/>
            <w:vMerge w:val="restart"/>
            <w:vAlign w:val="center"/>
          </w:tcPr>
          <w:p w14:paraId="5F2D26AC" w14:textId="77777777" w:rsidR="007176E5" w:rsidRPr="00B525C3" w:rsidRDefault="007176E5" w:rsidP="0054165A">
            <w:pPr>
              <w:pStyle w:val="Tabletext"/>
              <w:keepNext/>
              <w:widowControl w:val="0"/>
              <w:jc w:val="center"/>
              <w:rPr>
                <w:rFonts w:cs="Arial"/>
                <w:b/>
              </w:rPr>
            </w:pPr>
            <w:r w:rsidRPr="00B525C3">
              <w:rPr>
                <w:b/>
                <w:bCs/>
                <w:color w:val="000000" w:themeColor="text1"/>
              </w:rPr>
              <w:t>Concept ID</w:t>
            </w:r>
            <w:r w:rsidRPr="00B525C3">
              <w:rPr>
                <w:color w:val="333333"/>
              </w:rPr>
              <w:t xml:space="preserve"> – for Dept. use</w:t>
            </w:r>
          </w:p>
        </w:tc>
        <w:tc>
          <w:tcPr>
            <w:tcW w:w="4374" w:type="pct"/>
          </w:tcPr>
          <w:p w14:paraId="62318B2B" w14:textId="77777777" w:rsidR="007176E5" w:rsidRPr="00B525C3" w:rsidRDefault="007176E5" w:rsidP="0054165A">
            <w:pPr>
              <w:pStyle w:val="Tabletext"/>
              <w:keepNext/>
              <w:widowControl w:val="0"/>
              <w:rPr>
                <w:b/>
                <w:bCs/>
              </w:rPr>
            </w:pPr>
            <w:r w:rsidRPr="00B525C3">
              <w:rPr>
                <w:rFonts w:cs="Arial"/>
                <w:b/>
              </w:rPr>
              <w:t xml:space="preserve">Category / Program: </w:t>
            </w:r>
            <w:r w:rsidRPr="00B525C3">
              <w:rPr>
                <w:rFonts w:cs="Arial"/>
              </w:rPr>
              <w:t xml:space="preserve">GENERAL – General Schedule (Code GE) </w:t>
            </w:r>
          </w:p>
        </w:tc>
      </w:tr>
      <w:tr w:rsidR="007176E5" w:rsidRPr="00B525C3" w14:paraId="61D6AA85" w14:textId="77777777" w:rsidTr="0054165A">
        <w:tc>
          <w:tcPr>
            <w:tcW w:w="626" w:type="pct"/>
            <w:vMerge/>
            <w:vAlign w:val="center"/>
          </w:tcPr>
          <w:p w14:paraId="33E9B2F3" w14:textId="77777777" w:rsidR="007176E5" w:rsidRPr="00B525C3" w:rsidRDefault="007176E5" w:rsidP="0054165A">
            <w:pPr>
              <w:pStyle w:val="Tabletext"/>
              <w:keepNext/>
              <w:widowControl w:val="0"/>
              <w:jc w:val="center"/>
              <w:rPr>
                <w:rFonts w:cs="Arial"/>
                <w:b/>
              </w:rPr>
            </w:pPr>
          </w:p>
        </w:tc>
        <w:tc>
          <w:tcPr>
            <w:tcW w:w="4374" w:type="pct"/>
          </w:tcPr>
          <w:p w14:paraId="2782D94A" w14:textId="77777777" w:rsidR="007176E5" w:rsidRPr="00B525C3" w:rsidRDefault="007176E5" w:rsidP="0054165A">
            <w:pPr>
              <w:pStyle w:val="Tabletext"/>
              <w:keepNext/>
              <w:widowControl w:val="0"/>
              <w:rPr>
                <w:b/>
                <w:bCs/>
              </w:rPr>
            </w:pPr>
            <w:r w:rsidRPr="00B525C3">
              <w:rPr>
                <w:rFonts w:cs="Arial"/>
                <w:b/>
              </w:rPr>
              <w:t xml:space="preserve">Prescriber type: </w:t>
            </w:r>
            <w:r w:rsidRPr="00B525C3">
              <w:rPr>
                <w:rFonts w:cs="Arial"/>
              </w:rPr>
              <w:fldChar w:fldCharType="begin" w:fldLock="1">
                <w:ffData>
                  <w:name w:val=""/>
                  <w:enabled/>
                  <w:calcOnExit w:val="0"/>
                  <w:checkBox>
                    <w:sizeAuto/>
                    <w:default w:val="1"/>
                  </w:checkBox>
                </w:ffData>
              </w:fldChar>
            </w:r>
            <w:r w:rsidRPr="00B525C3">
              <w:rPr>
                <w:rFonts w:cs="Arial"/>
              </w:rPr>
              <w:instrText xml:space="preserve"> FORMCHECKBOX </w:instrText>
            </w:r>
            <w:r w:rsidRPr="00B525C3">
              <w:rPr>
                <w:rFonts w:cs="Arial"/>
              </w:rPr>
            </w:r>
            <w:r w:rsidRPr="00B525C3">
              <w:rPr>
                <w:rFonts w:cs="Arial"/>
              </w:rPr>
              <w:fldChar w:fldCharType="separate"/>
            </w:r>
            <w:r w:rsidRPr="00B525C3">
              <w:rPr>
                <w:rFonts w:cs="Arial"/>
              </w:rPr>
              <w:fldChar w:fldCharType="end"/>
            </w:r>
            <w:r w:rsidRPr="00B525C3">
              <w:rPr>
                <w:rFonts w:cs="Arial"/>
              </w:rPr>
              <w:t xml:space="preserve"> Medical Practitioners </w:t>
            </w:r>
          </w:p>
        </w:tc>
      </w:tr>
      <w:tr w:rsidR="007176E5" w:rsidRPr="00B525C3" w14:paraId="001CE69D" w14:textId="77777777" w:rsidTr="0054165A">
        <w:tc>
          <w:tcPr>
            <w:tcW w:w="626" w:type="pct"/>
            <w:vMerge/>
            <w:vAlign w:val="center"/>
          </w:tcPr>
          <w:p w14:paraId="0358AAD4" w14:textId="77777777" w:rsidR="007176E5" w:rsidRPr="00B525C3" w:rsidRDefault="007176E5" w:rsidP="0054165A">
            <w:pPr>
              <w:pStyle w:val="Tabletext"/>
              <w:keepNext/>
              <w:widowControl w:val="0"/>
              <w:jc w:val="center"/>
              <w:rPr>
                <w:rFonts w:cs="Arial"/>
                <w:b/>
              </w:rPr>
            </w:pPr>
          </w:p>
        </w:tc>
        <w:tc>
          <w:tcPr>
            <w:tcW w:w="4374" w:type="pct"/>
          </w:tcPr>
          <w:p w14:paraId="7B9E39D0" w14:textId="77777777" w:rsidR="007176E5" w:rsidRPr="00B525C3" w:rsidRDefault="007176E5" w:rsidP="0054165A">
            <w:pPr>
              <w:pStyle w:val="Tabletext"/>
              <w:keepNext/>
              <w:widowControl w:val="0"/>
              <w:rPr>
                <w:b/>
                <w:bCs/>
              </w:rPr>
            </w:pPr>
            <w:r w:rsidRPr="00B525C3">
              <w:rPr>
                <w:rFonts w:cs="Arial"/>
                <w:b/>
              </w:rPr>
              <w:t xml:space="preserve">Restriction type: </w:t>
            </w:r>
            <w:r w:rsidRPr="00B525C3">
              <w:rPr>
                <w:rFonts w:eastAsia="Calibri" w:cs="Arial"/>
              </w:rPr>
              <w:fldChar w:fldCharType="begin" w:fldLock="1">
                <w:ffData>
                  <w:name w:val=""/>
                  <w:enabled/>
                  <w:calcOnExit w:val="0"/>
                  <w:checkBox>
                    <w:sizeAuto/>
                    <w:default w:val="1"/>
                  </w:checkBox>
                </w:ffData>
              </w:fldChar>
            </w:r>
            <w:r w:rsidRPr="00B525C3">
              <w:rPr>
                <w:rFonts w:eastAsia="Calibri" w:cs="Arial"/>
              </w:rPr>
              <w:instrText xml:space="preserve"> FORMCHECKBOX </w:instrText>
            </w:r>
            <w:r w:rsidRPr="00B525C3">
              <w:rPr>
                <w:rFonts w:eastAsia="Calibri" w:cs="Arial"/>
              </w:rPr>
            </w:r>
            <w:r w:rsidRPr="00B525C3">
              <w:rPr>
                <w:rFonts w:eastAsia="Calibri" w:cs="Arial"/>
              </w:rPr>
              <w:fldChar w:fldCharType="separate"/>
            </w:r>
            <w:r w:rsidRPr="00B525C3">
              <w:rPr>
                <w:rFonts w:eastAsia="Calibri" w:cs="Arial"/>
              </w:rPr>
              <w:fldChar w:fldCharType="end"/>
            </w:r>
            <w:r w:rsidRPr="00B525C3">
              <w:rPr>
                <w:rFonts w:eastAsia="Calibri" w:cs="Arial"/>
              </w:rPr>
              <w:t xml:space="preserve"> Authority Required (in writing only via post/HPOS upload)</w:t>
            </w:r>
          </w:p>
        </w:tc>
      </w:tr>
      <w:tr w:rsidR="007176E5" w:rsidRPr="00B525C3" w14:paraId="4769A785" w14:textId="77777777" w:rsidTr="0054165A">
        <w:tc>
          <w:tcPr>
            <w:tcW w:w="626" w:type="pct"/>
            <w:vAlign w:val="center"/>
          </w:tcPr>
          <w:p w14:paraId="6FC7C6DC" w14:textId="77777777" w:rsidR="007176E5" w:rsidRPr="00B525C3" w:rsidRDefault="007176E5" w:rsidP="0054165A">
            <w:pPr>
              <w:pStyle w:val="Tabletext"/>
              <w:keepNext/>
              <w:widowControl w:val="0"/>
              <w:jc w:val="center"/>
              <w:rPr>
                <w:b/>
                <w:bCs/>
              </w:rPr>
            </w:pPr>
          </w:p>
        </w:tc>
        <w:tc>
          <w:tcPr>
            <w:tcW w:w="4374" w:type="pct"/>
          </w:tcPr>
          <w:p w14:paraId="5E24DE1B" w14:textId="77777777" w:rsidR="007176E5" w:rsidRPr="00B525C3" w:rsidRDefault="007176E5" w:rsidP="0054165A">
            <w:pPr>
              <w:pStyle w:val="Tabletext"/>
              <w:keepNext/>
              <w:widowControl w:val="0"/>
              <w:rPr>
                <w:b/>
                <w:bCs/>
              </w:rPr>
            </w:pPr>
          </w:p>
        </w:tc>
      </w:tr>
      <w:tr w:rsidR="007176E5" w:rsidRPr="00B525C3" w14:paraId="5D0D3145" w14:textId="77777777" w:rsidTr="0054165A">
        <w:tc>
          <w:tcPr>
            <w:tcW w:w="626" w:type="pct"/>
            <w:vAlign w:val="center"/>
          </w:tcPr>
          <w:p w14:paraId="3B4C80DE" w14:textId="2332CCF1" w:rsidR="007176E5" w:rsidRPr="00B525C3" w:rsidRDefault="007176E5" w:rsidP="0054165A">
            <w:pPr>
              <w:pStyle w:val="Tabletext"/>
              <w:keepNext/>
              <w:widowControl w:val="0"/>
              <w:jc w:val="center"/>
              <w:rPr>
                <w:b/>
                <w:bCs/>
              </w:rPr>
            </w:pPr>
          </w:p>
        </w:tc>
        <w:tc>
          <w:tcPr>
            <w:tcW w:w="4374" w:type="pct"/>
          </w:tcPr>
          <w:p w14:paraId="00F89F8A" w14:textId="77777777" w:rsidR="007176E5" w:rsidRPr="00B525C3" w:rsidRDefault="007176E5" w:rsidP="0054165A">
            <w:pPr>
              <w:pStyle w:val="Tabletext"/>
              <w:keepNext/>
              <w:widowControl w:val="0"/>
              <w:rPr>
                <w:b/>
                <w:bCs/>
              </w:rPr>
            </w:pPr>
            <w:r w:rsidRPr="00B525C3">
              <w:rPr>
                <w:b/>
                <w:bCs/>
              </w:rPr>
              <w:t xml:space="preserve">Administrative advice: </w:t>
            </w:r>
            <w:r w:rsidRPr="00B525C3">
              <w:t>No increase in the maximum number of repeats may be authorised.</w:t>
            </w:r>
          </w:p>
        </w:tc>
      </w:tr>
      <w:tr w:rsidR="007176E5" w:rsidRPr="00B525C3" w14:paraId="17B59121" w14:textId="77777777" w:rsidTr="0054165A">
        <w:tc>
          <w:tcPr>
            <w:tcW w:w="626" w:type="pct"/>
            <w:vAlign w:val="center"/>
          </w:tcPr>
          <w:p w14:paraId="5E28107D" w14:textId="6EED05FA" w:rsidR="007176E5" w:rsidRPr="00B525C3" w:rsidRDefault="007176E5" w:rsidP="0054165A">
            <w:pPr>
              <w:pStyle w:val="Tabletext"/>
              <w:keepNext/>
              <w:widowControl w:val="0"/>
              <w:jc w:val="center"/>
              <w:rPr>
                <w:b/>
                <w:bCs/>
              </w:rPr>
            </w:pPr>
          </w:p>
        </w:tc>
        <w:tc>
          <w:tcPr>
            <w:tcW w:w="4374" w:type="pct"/>
          </w:tcPr>
          <w:p w14:paraId="420D6A58" w14:textId="77777777" w:rsidR="007176E5" w:rsidRPr="00B525C3" w:rsidRDefault="007176E5" w:rsidP="0054165A">
            <w:pPr>
              <w:pStyle w:val="Tabletext"/>
              <w:keepNext/>
              <w:widowControl w:val="0"/>
            </w:pPr>
            <w:r w:rsidRPr="00B525C3">
              <w:rPr>
                <w:b/>
                <w:bCs/>
              </w:rPr>
              <w:t xml:space="preserve">Administrative advice: </w:t>
            </w:r>
            <w:r w:rsidRPr="00B525C3">
              <w:t>Special Pricing Arrangements apply.</w:t>
            </w:r>
          </w:p>
        </w:tc>
      </w:tr>
      <w:tr w:rsidR="007176E5" w:rsidRPr="00B525C3" w14:paraId="7BB9ED09" w14:textId="77777777" w:rsidTr="0054165A">
        <w:tc>
          <w:tcPr>
            <w:tcW w:w="626" w:type="pct"/>
            <w:vAlign w:val="center"/>
          </w:tcPr>
          <w:p w14:paraId="2B8D6CB1" w14:textId="77777777" w:rsidR="007176E5" w:rsidRPr="00B525C3" w:rsidRDefault="007176E5" w:rsidP="0054165A">
            <w:pPr>
              <w:pStyle w:val="Tabletext"/>
              <w:keepNext/>
              <w:widowControl w:val="0"/>
              <w:jc w:val="center"/>
              <w:rPr>
                <w:b/>
                <w:bCs/>
              </w:rPr>
            </w:pPr>
          </w:p>
        </w:tc>
        <w:tc>
          <w:tcPr>
            <w:tcW w:w="4374" w:type="pct"/>
          </w:tcPr>
          <w:p w14:paraId="6B8F83A3" w14:textId="77777777" w:rsidR="007176E5" w:rsidRPr="00B525C3" w:rsidRDefault="007176E5" w:rsidP="0054165A">
            <w:pPr>
              <w:pStyle w:val="Tabletext"/>
              <w:keepNext/>
              <w:widowControl w:val="0"/>
              <w:rPr>
                <w:b/>
                <w:bCs/>
              </w:rPr>
            </w:pPr>
          </w:p>
        </w:tc>
      </w:tr>
      <w:tr w:rsidR="007176E5" w:rsidRPr="00B525C3" w14:paraId="25BB7431" w14:textId="77777777" w:rsidTr="0054165A">
        <w:tc>
          <w:tcPr>
            <w:tcW w:w="626" w:type="pct"/>
            <w:vAlign w:val="center"/>
          </w:tcPr>
          <w:p w14:paraId="26C776F8" w14:textId="1ECEFA48" w:rsidR="007176E5" w:rsidRPr="00B525C3" w:rsidRDefault="007176E5" w:rsidP="0054165A">
            <w:pPr>
              <w:pStyle w:val="Tabletext"/>
              <w:keepNext/>
              <w:widowControl w:val="0"/>
              <w:jc w:val="center"/>
            </w:pPr>
          </w:p>
        </w:tc>
        <w:tc>
          <w:tcPr>
            <w:tcW w:w="4374" w:type="pct"/>
          </w:tcPr>
          <w:p w14:paraId="4D2BD5F2" w14:textId="77777777" w:rsidR="007176E5" w:rsidRPr="00B525C3" w:rsidRDefault="007176E5" w:rsidP="0054165A">
            <w:pPr>
              <w:pStyle w:val="Tabletext"/>
              <w:keepNext/>
              <w:widowControl w:val="0"/>
              <w:rPr>
                <w:highlight w:val="lightGray"/>
              </w:rPr>
            </w:pPr>
            <w:r w:rsidRPr="00B525C3">
              <w:rPr>
                <w:b/>
                <w:bCs/>
              </w:rPr>
              <w:t>Indication:</w:t>
            </w:r>
            <w:r w:rsidRPr="00B525C3">
              <w:t xml:space="preserve"> Chronic treatment of hereditary angioedema Types 1 or 2</w:t>
            </w:r>
          </w:p>
        </w:tc>
      </w:tr>
      <w:tr w:rsidR="007176E5" w:rsidRPr="00B525C3" w14:paraId="41E850C8" w14:textId="77777777" w:rsidTr="0054165A">
        <w:tc>
          <w:tcPr>
            <w:tcW w:w="626" w:type="pct"/>
            <w:vAlign w:val="center"/>
          </w:tcPr>
          <w:p w14:paraId="23653606" w14:textId="77777777" w:rsidR="007176E5" w:rsidRPr="00B525C3" w:rsidRDefault="007176E5" w:rsidP="0054165A">
            <w:pPr>
              <w:pStyle w:val="Tabletext"/>
              <w:keepNext/>
              <w:widowControl w:val="0"/>
              <w:jc w:val="center"/>
            </w:pPr>
          </w:p>
        </w:tc>
        <w:tc>
          <w:tcPr>
            <w:tcW w:w="4374" w:type="pct"/>
          </w:tcPr>
          <w:p w14:paraId="7CD63CD2" w14:textId="77777777" w:rsidR="007176E5" w:rsidRPr="00B525C3" w:rsidRDefault="007176E5" w:rsidP="0054165A">
            <w:pPr>
              <w:pStyle w:val="Tabletext"/>
              <w:keepNext/>
              <w:widowControl w:val="0"/>
              <w:rPr>
                <w:b/>
                <w:bCs/>
                <w:highlight w:val="lightGray"/>
              </w:rPr>
            </w:pPr>
            <w:r w:rsidRPr="00B525C3">
              <w:rPr>
                <w:b/>
                <w:bCs/>
              </w:rPr>
              <w:t xml:space="preserve">Treatment Phase: </w:t>
            </w:r>
            <w:r w:rsidRPr="00B525C3">
              <w:t>Initial 1: New patient (commencing with no previous treatment with C1-INH for routine prophylaxis)</w:t>
            </w:r>
          </w:p>
        </w:tc>
      </w:tr>
      <w:tr w:rsidR="007176E5" w:rsidRPr="00B525C3" w14:paraId="7C3CCD34" w14:textId="77777777" w:rsidTr="0054165A">
        <w:tc>
          <w:tcPr>
            <w:tcW w:w="626" w:type="pct"/>
            <w:vAlign w:val="center"/>
          </w:tcPr>
          <w:p w14:paraId="086FD251" w14:textId="77777777" w:rsidR="007176E5" w:rsidRPr="00B525C3" w:rsidRDefault="007176E5" w:rsidP="0054165A">
            <w:pPr>
              <w:pStyle w:val="Tabletext"/>
              <w:keepNext/>
              <w:widowControl w:val="0"/>
              <w:jc w:val="center"/>
            </w:pPr>
          </w:p>
        </w:tc>
        <w:tc>
          <w:tcPr>
            <w:tcW w:w="4374" w:type="pct"/>
            <w:shd w:val="clear" w:color="auto" w:fill="auto"/>
          </w:tcPr>
          <w:p w14:paraId="44E40FBE" w14:textId="77777777" w:rsidR="007176E5" w:rsidRPr="00B525C3" w:rsidRDefault="007176E5" w:rsidP="0054165A">
            <w:pPr>
              <w:pStyle w:val="Tabletext"/>
              <w:keepNext/>
              <w:widowControl w:val="0"/>
              <w:rPr>
                <w:b/>
                <w:bCs/>
              </w:rPr>
            </w:pPr>
            <w:r w:rsidRPr="00B525C3">
              <w:rPr>
                <w:b/>
                <w:bCs/>
              </w:rPr>
              <w:t xml:space="preserve">Clinical criteria: </w:t>
            </w:r>
          </w:p>
        </w:tc>
      </w:tr>
      <w:tr w:rsidR="007176E5" w:rsidRPr="00B525C3" w14:paraId="724F74C9" w14:textId="77777777" w:rsidTr="0054165A">
        <w:tc>
          <w:tcPr>
            <w:tcW w:w="626" w:type="pct"/>
            <w:vAlign w:val="center"/>
          </w:tcPr>
          <w:p w14:paraId="43993448" w14:textId="42DB72EF" w:rsidR="007176E5" w:rsidRPr="00B525C3" w:rsidRDefault="007176E5" w:rsidP="0054165A">
            <w:pPr>
              <w:pStyle w:val="Tabletext"/>
              <w:keepNext/>
              <w:widowControl w:val="0"/>
              <w:jc w:val="center"/>
            </w:pPr>
          </w:p>
        </w:tc>
        <w:tc>
          <w:tcPr>
            <w:tcW w:w="4374" w:type="pct"/>
            <w:shd w:val="clear" w:color="auto" w:fill="auto"/>
          </w:tcPr>
          <w:p w14:paraId="677799AD" w14:textId="77777777" w:rsidR="007176E5" w:rsidRPr="00B525C3" w:rsidRDefault="007176E5" w:rsidP="0054165A">
            <w:pPr>
              <w:pStyle w:val="Tabletext"/>
              <w:keepNext/>
              <w:widowControl w:val="0"/>
            </w:pPr>
            <w:r w:rsidRPr="00B525C3">
              <w:t>Patient must have experienced at least one treated acute attack of hereditary angioedema within the 3 month period prior to commencing treatment with this drug</w:t>
            </w:r>
          </w:p>
        </w:tc>
      </w:tr>
      <w:tr w:rsidR="007176E5" w:rsidRPr="00B525C3" w14:paraId="344B59E9" w14:textId="77777777" w:rsidTr="0054165A">
        <w:tc>
          <w:tcPr>
            <w:tcW w:w="626" w:type="pct"/>
            <w:vAlign w:val="center"/>
          </w:tcPr>
          <w:p w14:paraId="6D403548" w14:textId="77777777" w:rsidR="007176E5" w:rsidRPr="00B525C3" w:rsidRDefault="007176E5" w:rsidP="0054165A">
            <w:pPr>
              <w:pStyle w:val="Tabletext"/>
              <w:keepNext/>
              <w:widowControl w:val="0"/>
              <w:jc w:val="center"/>
            </w:pPr>
          </w:p>
        </w:tc>
        <w:tc>
          <w:tcPr>
            <w:tcW w:w="4374" w:type="pct"/>
            <w:shd w:val="clear" w:color="auto" w:fill="auto"/>
          </w:tcPr>
          <w:p w14:paraId="53490B82" w14:textId="77777777" w:rsidR="007176E5" w:rsidRPr="00B525C3" w:rsidRDefault="007176E5" w:rsidP="0054165A">
            <w:pPr>
              <w:pStyle w:val="Tabletext"/>
              <w:keepNext/>
              <w:widowControl w:val="0"/>
            </w:pPr>
            <w:r w:rsidRPr="00B525C3">
              <w:t>AND</w:t>
            </w:r>
          </w:p>
        </w:tc>
      </w:tr>
      <w:tr w:rsidR="007176E5" w:rsidRPr="00B525C3" w14:paraId="4C9697BF" w14:textId="77777777" w:rsidTr="0054165A">
        <w:tc>
          <w:tcPr>
            <w:tcW w:w="626" w:type="pct"/>
            <w:vAlign w:val="center"/>
          </w:tcPr>
          <w:p w14:paraId="49C517C3" w14:textId="77D5073F" w:rsidR="007176E5" w:rsidRPr="00B525C3" w:rsidRDefault="007176E5" w:rsidP="0054165A">
            <w:pPr>
              <w:pStyle w:val="Tabletext"/>
              <w:keepNext/>
              <w:widowControl w:val="0"/>
              <w:jc w:val="center"/>
            </w:pPr>
          </w:p>
        </w:tc>
        <w:tc>
          <w:tcPr>
            <w:tcW w:w="4374" w:type="pct"/>
            <w:shd w:val="clear" w:color="auto" w:fill="auto"/>
          </w:tcPr>
          <w:p w14:paraId="292D5EB2" w14:textId="77777777" w:rsidR="007176E5" w:rsidRPr="00B525C3" w:rsidRDefault="007176E5" w:rsidP="0054165A">
            <w:pPr>
              <w:pStyle w:val="Tabletext"/>
              <w:keepNext/>
              <w:widowControl w:val="0"/>
            </w:pPr>
            <w:r w:rsidRPr="00B525C3">
              <w:rPr>
                <w:b/>
                <w:bCs/>
              </w:rPr>
              <w:t>Clinical criteria:</w:t>
            </w:r>
          </w:p>
        </w:tc>
      </w:tr>
      <w:tr w:rsidR="007176E5" w:rsidRPr="00B525C3" w14:paraId="34A399F4" w14:textId="77777777" w:rsidTr="0054165A">
        <w:tc>
          <w:tcPr>
            <w:tcW w:w="626" w:type="pct"/>
            <w:vAlign w:val="center"/>
          </w:tcPr>
          <w:p w14:paraId="4848665C" w14:textId="42840694" w:rsidR="007176E5" w:rsidRPr="00B525C3" w:rsidRDefault="007176E5" w:rsidP="0054165A">
            <w:pPr>
              <w:pStyle w:val="Tabletext"/>
              <w:keepNext/>
              <w:widowControl w:val="0"/>
              <w:jc w:val="center"/>
            </w:pPr>
          </w:p>
        </w:tc>
        <w:tc>
          <w:tcPr>
            <w:tcW w:w="4374" w:type="pct"/>
            <w:shd w:val="clear" w:color="auto" w:fill="auto"/>
          </w:tcPr>
          <w:p w14:paraId="1C8BA773" w14:textId="77777777" w:rsidR="007176E5" w:rsidRPr="00B525C3" w:rsidRDefault="007176E5" w:rsidP="0054165A">
            <w:pPr>
              <w:pStyle w:val="Tabletext"/>
              <w:keepNext/>
              <w:widowControl w:val="0"/>
            </w:pPr>
            <w:r w:rsidRPr="00B525C3">
              <w:t>Patient must not have been receiving a C1-esterase inhibitor through the National Blood Authority as routine prophylaxis for hereditary angioedema at the time of application</w:t>
            </w:r>
          </w:p>
        </w:tc>
      </w:tr>
      <w:tr w:rsidR="007176E5" w:rsidRPr="00B525C3" w14:paraId="5043C60F" w14:textId="77777777" w:rsidTr="0054165A">
        <w:tc>
          <w:tcPr>
            <w:tcW w:w="626" w:type="pct"/>
            <w:vAlign w:val="center"/>
          </w:tcPr>
          <w:p w14:paraId="035601CE" w14:textId="77777777" w:rsidR="007176E5" w:rsidRPr="00B525C3" w:rsidRDefault="007176E5" w:rsidP="0054165A">
            <w:pPr>
              <w:pStyle w:val="Tabletext"/>
              <w:keepNext/>
              <w:widowControl w:val="0"/>
              <w:jc w:val="center"/>
            </w:pPr>
          </w:p>
        </w:tc>
        <w:tc>
          <w:tcPr>
            <w:tcW w:w="4374" w:type="pct"/>
          </w:tcPr>
          <w:p w14:paraId="158FFF59" w14:textId="77777777" w:rsidR="007176E5" w:rsidRPr="00B525C3" w:rsidRDefault="007176E5" w:rsidP="0054165A">
            <w:pPr>
              <w:pStyle w:val="Tabletext"/>
              <w:keepNext/>
              <w:widowControl w:val="0"/>
            </w:pPr>
            <w:r w:rsidRPr="00B525C3">
              <w:t>AND</w:t>
            </w:r>
          </w:p>
        </w:tc>
      </w:tr>
      <w:tr w:rsidR="007176E5" w:rsidRPr="00B525C3" w14:paraId="4093E7FA" w14:textId="77777777" w:rsidTr="0054165A">
        <w:tc>
          <w:tcPr>
            <w:tcW w:w="626" w:type="pct"/>
            <w:vAlign w:val="center"/>
          </w:tcPr>
          <w:p w14:paraId="5312074A" w14:textId="5DFD3DFF" w:rsidR="007176E5" w:rsidRPr="00B525C3" w:rsidRDefault="007176E5" w:rsidP="0054165A">
            <w:pPr>
              <w:pStyle w:val="Tabletext"/>
              <w:keepNext/>
              <w:widowControl w:val="0"/>
              <w:jc w:val="center"/>
            </w:pPr>
          </w:p>
        </w:tc>
        <w:tc>
          <w:tcPr>
            <w:tcW w:w="4374" w:type="pct"/>
          </w:tcPr>
          <w:p w14:paraId="75AE738D" w14:textId="77777777" w:rsidR="007176E5" w:rsidRPr="00B525C3" w:rsidRDefault="007176E5" w:rsidP="0054165A">
            <w:pPr>
              <w:pStyle w:val="Tabletext"/>
              <w:keepNext/>
              <w:widowControl w:val="0"/>
            </w:pPr>
            <w:r w:rsidRPr="00B525C3">
              <w:rPr>
                <w:b/>
                <w:bCs/>
              </w:rPr>
              <w:t>Clinical criteria:</w:t>
            </w:r>
          </w:p>
        </w:tc>
      </w:tr>
      <w:tr w:rsidR="007176E5" w:rsidRPr="00B525C3" w14:paraId="2EF97668" w14:textId="77777777" w:rsidTr="0054165A">
        <w:tc>
          <w:tcPr>
            <w:tcW w:w="626" w:type="pct"/>
            <w:vAlign w:val="center"/>
          </w:tcPr>
          <w:p w14:paraId="05373020" w14:textId="2A9C0F83" w:rsidR="007176E5" w:rsidRPr="00B525C3" w:rsidRDefault="007176E5" w:rsidP="0054165A">
            <w:pPr>
              <w:pStyle w:val="Tabletext"/>
              <w:keepNext/>
              <w:widowControl w:val="0"/>
              <w:jc w:val="center"/>
            </w:pPr>
          </w:p>
        </w:tc>
        <w:tc>
          <w:tcPr>
            <w:tcW w:w="4374" w:type="pct"/>
          </w:tcPr>
          <w:p w14:paraId="313DE7FC" w14:textId="77777777" w:rsidR="007176E5" w:rsidRPr="00B525C3" w:rsidRDefault="007176E5" w:rsidP="0054165A">
            <w:pPr>
              <w:pStyle w:val="Tabletext"/>
              <w:keepNext/>
              <w:widowControl w:val="0"/>
            </w:pPr>
            <w:r w:rsidRPr="00B525C3">
              <w:t>The treatment must not be used in combination with a C1-esterase inhibitor concentrate</w:t>
            </w:r>
          </w:p>
        </w:tc>
      </w:tr>
      <w:tr w:rsidR="007176E5" w:rsidRPr="00B525C3" w14:paraId="29A80CDF" w14:textId="77777777" w:rsidTr="0054165A">
        <w:tc>
          <w:tcPr>
            <w:tcW w:w="626" w:type="pct"/>
            <w:vAlign w:val="center"/>
          </w:tcPr>
          <w:p w14:paraId="33402EAD" w14:textId="77777777" w:rsidR="007176E5" w:rsidRPr="00B525C3" w:rsidRDefault="007176E5" w:rsidP="0054165A">
            <w:pPr>
              <w:pStyle w:val="Tabletext"/>
              <w:keepNext/>
              <w:widowControl w:val="0"/>
              <w:jc w:val="center"/>
            </w:pPr>
          </w:p>
        </w:tc>
        <w:tc>
          <w:tcPr>
            <w:tcW w:w="4374" w:type="pct"/>
          </w:tcPr>
          <w:p w14:paraId="404B73D8" w14:textId="77777777" w:rsidR="007176E5" w:rsidRPr="00B525C3" w:rsidRDefault="007176E5" w:rsidP="0054165A">
            <w:pPr>
              <w:pStyle w:val="Tabletext"/>
              <w:keepNext/>
              <w:widowControl w:val="0"/>
            </w:pPr>
            <w:r w:rsidRPr="00B525C3">
              <w:t>AND</w:t>
            </w:r>
          </w:p>
        </w:tc>
      </w:tr>
      <w:tr w:rsidR="007176E5" w:rsidRPr="00B525C3" w14:paraId="5CFCA4D8" w14:textId="77777777" w:rsidTr="0054165A">
        <w:tc>
          <w:tcPr>
            <w:tcW w:w="626" w:type="pct"/>
            <w:vAlign w:val="center"/>
          </w:tcPr>
          <w:p w14:paraId="2F0293F7" w14:textId="68E66A8E" w:rsidR="007176E5" w:rsidRPr="00B525C3" w:rsidRDefault="007176E5" w:rsidP="0054165A">
            <w:pPr>
              <w:pStyle w:val="Tabletext"/>
              <w:keepNext/>
              <w:widowControl w:val="0"/>
              <w:jc w:val="center"/>
            </w:pPr>
          </w:p>
        </w:tc>
        <w:tc>
          <w:tcPr>
            <w:tcW w:w="4374" w:type="pct"/>
          </w:tcPr>
          <w:p w14:paraId="10F3331D" w14:textId="77777777" w:rsidR="007176E5" w:rsidRPr="00B525C3" w:rsidRDefault="007176E5" w:rsidP="0054165A">
            <w:pPr>
              <w:pStyle w:val="Tabletext"/>
              <w:keepNext/>
              <w:widowControl w:val="0"/>
              <w:rPr>
                <w:b/>
                <w:bCs/>
              </w:rPr>
            </w:pPr>
            <w:r w:rsidRPr="00B525C3">
              <w:rPr>
                <w:b/>
                <w:bCs/>
              </w:rPr>
              <w:t>Treatment criteria:</w:t>
            </w:r>
          </w:p>
        </w:tc>
      </w:tr>
      <w:tr w:rsidR="007176E5" w:rsidRPr="00B525C3" w14:paraId="5A6202EA" w14:textId="77777777" w:rsidTr="0054165A">
        <w:tc>
          <w:tcPr>
            <w:tcW w:w="626" w:type="pct"/>
            <w:vAlign w:val="center"/>
          </w:tcPr>
          <w:p w14:paraId="634CCCFB" w14:textId="6A92A991" w:rsidR="007176E5" w:rsidRPr="00B525C3" w:rsidRDefault="007176E5" w:rsidP="0054165A">
            <w:pPr>
              <w:pStyle w:val="Tabletext"/>
              <w:keepNext/>
              <w:widowControl w:val="0"/>
              <w:jc w:val="center"/>
            </w:pPr>
          </w:p>
        </w:tc>
        <w:tc>
          <w:tcPr>
            <w:tcW w:w="4374" w:type="pct"/>
          </w:tcPr>
          <w:p w14:paraId="1460A336" w14:textId="77777777" w:rsidR="007176E5" w:rsidRPr="00B525C3" w:rsidRDefault="007176E5" w:rsidP="0054165A">
            <w:pPr>
              <w:pStyle w:val="Tabletext"/>
              <w:keepNext/>
              <w:widowControl w:val="0"/>
            </w:pPr>
            <w:r w:rsidRPr="00B525C3">
              <w:t>Must be treated by a clinical immunologist or a specialist allergist</w:t>
            </w:r>
          </w:p>
        </w:tc>
      </w:tr>
      <w:tr w:rsidR="007176E5" w:rsidRPr="00B525C3" w14:paraId="29C9784D" w14:textId="77777777" w:rsidTr="0054165A">
        <w:tc>
          <w:tcPr>
            <w:tcW w:w="626" w:type="pct"/>
            <w:vAlign w:val="center"/>
          </w:tcPr>
          <w:p w14:paraId="7D16C2F7" w14:textId="77777777" w:rsidR="007176E5" w:rsidRPr="00B525C3" w:rsidRDefault="007176E5" w:rsidP="0054165A">
            <w:pPr>
              <w:pStyle w:val="Tabletext"/>
              <w:keepNext/>
              <w:widowControl w:val="0"/>
              <w:jc w:val="center"/>
            </w:pPr>
          </w:p>
        </w:tc>
        <w:tc>
          <w:tcPr>
            <w:tcW w:w="4374" w:type="pct"/>
            <w:shd w:val="clear" w:color="auto" w:fill="auto"/>
          </w:tcPr>
          <w:p w14:paraId="6D427683" w14:textId="77777777" w:rsidR="007176E5" w:rsidRPr="00B525C3" w:rsidRDefault="007176E5" w:rsidP="0054165A">
            <w:pPr>
              <w:pStyle w:val="Tabletext"/>
              <w:keepNext/>
              <w:widowControl w:val="0"/>
              <w:rPr>
                <w:b/>
                <w:bCs/>
              </w:rPr>
            </w:pPr>
            <w:r w:rsidRPr="00B525C3">
              <w:rPr>
                <w:b/>
                <w:bCs/>
              </w:rPr>
              <w:t>Population criteria:</w:t>
            </w:r>
          </w:p>
        </w:tc>
      </w:tr>
      <w:tr w:rsidR="007176E5" w:rsidRPr="00B525C3" w14:paraId="0FBB682F" w14:textId="77777777" w:rsidTr="0054165A">
        <w:tc>
          <w:tcPr>
            <w:tcW w:w="626" w:type="pct"/>
            <w:vAlign w:val="center"/>
          </w:tcPr>
          <w:p w14:paraId="3118ED6D" w14:textId="0EEB9C0C" w:rsidR="007176E5" w:rsidRPr="00B525C3" w:rsidRDefault="007176E5" w:rsidP="0054165A">
            <w:pPr>
              <w:pStyle w:val="Tabletext"/>
              <w:keepNext/>
              <w:widowControl w:val="0"/>
              <w:jc w:val="center"/>
            </w:pPr>
          </w:p>
        </w:tc>
        <w:tc>
          <w:tcPr>
            <w:tcW w:w="4374" w:type="pct"/>
            <w:shd w:val="clear" w:color="auto" w:fill="auto"/>
          </w:tcPr>
          <w:p w14:paraId="24594511" w14:textId="77777777" w:rsidR="007176E5" w:rsidRPr="00B525C3" w:rsidRDefault="007176E5" w:rsidP="0054165A">
            <w:pPr>
              <w:pStyle w:val="Tabletext"/>
              <w:keepNext/>
              <w:widowControl w:val="0"/>
            </w:pPr>
            <w:r w:rsidRPr="00B525C3">
              <w:t xml:space="preserve">Patient must be </w:t>
            </w:r>
            <w:r w:rsidRPr="00B525C3">
              <w:rPr>
                <w:i/>
                <w:iCs/>
              </w:rPr>
              <w:t>aged</w:t>
            </w:r>
            <w:r w:rsidRPr="00B525C3">
              <w:t xml:space="preserve"> </w:t>
            </w:r>
            <w:r w:rsidRPr="00B525C3">
              <w:rPr>
                <w:strike/>
              </w:rPr>
              <w:t>at least</w:t>
            </w:r>
            <w:r w:rsidRPr="00B525C3">
              <w:t xml:space="preserve"> 2 – 11 years</w:t>
            </w:r>
            <w:r w:rsidRPr="00B525C3">
              <w:rPr>
                <w:i/>
                <w:iCs/>
              </w:rPr>
              <w:t xml:space="preserve"> inclusive</w:t>
            </w:r>
            <w:r w:rsidRPr="00B525C3">
              <w:t xml:space="preserve"> </w:t>
            </w:r>
            <w:r w:rsidRPr="00B525C3">
              <w:rPr>
                <w:strike/>
              </w:rPr>
              <w:t>of age</w:t>
            </w:r>
            <w:r w:rsidRPr="00B525C3">
              <w:t xml:space="preserve"> </w:t>
            </w:r>
          </w:p>
        </w:tc>
      </w:tr>
      <w:tr w:rsidR="007176E5" w:rsidRPr="00B525C3" w14:paraId="5517A688" w14:textId="77777777" w:rsidTr="0054165A">
        <w:tc>
          <w:tcPr>
            <w:tcW w:w="626" w:type="pct"/>
            <w:vAlign w:val="center"/>
          </w:tcPr>
          <w:p w14:paraId="23987FBC" w14:textId="294F7660" w:rsidR="007176E5" w:rsidRPr="00B525C3" w:rsidRDefault="007176E5" w:rsidP="0054165A">
            <w:pPr>
              <w:pStyle w:val="Tabletext"/>
              <w:keepNext/>
              <w:widowControl w:val="0"/>
              <w:jc w:val="center"/>
            </w:pPr>
          </w:p>
        </w:tc>
        <w:tc>
          <w:tcPr>
            <w:tcW w:w="4374" w:type="pct"/>
            <w:shd w:val="clear" w:color="auto" w:fill="auto"/>
          </w:tcPr>
          <w:p w14:paraId="2C690CAA" w14:textId="77777777" w:rsidR="007176E5" w:rsidRPr="00B525C3" w:rsidRDefault="007176E5" w:rsidP="0054165A">
            <w:pPr>
              <w:pStyle w:val="Tabletext"/>
              <w:keepNext/>
              <w:widowControl w:val="0"/>
            </w:pPr>
            <w:r w:rsidRPr="00B525C3">
              <w:rPr>
                <w:b/>
                <w:bCs/>
              </w:rPr>
              <w:t xml:space="preserve">Prescribing instructions: </w:t>
            </w:r>
            <w:r w:rsidRPr="00B525C3">
              <w:t>For the purposes of administering this restriction, acute attacks of hereditary angioedema are those of a severity necessitating immediate medical intervention with either (i) icatibant, or (ii) C1-esterase inhibitor concentrate.</w:t>
            </w:r>
          </w:p>
        </w:tc>
      </w:tr>
      <w:tr w:rsidR="007176E5" w:rsidRPr="00B525C3" w14:paraId="58DC490D" w14:textId="77777777" w:rsidTr="0054165A">
        <w:tc>
          <w:tcPr>
            <w:tcW w:w="626" w:type="pct"/>
            <w:vAlign w:val="center"/>
          </w:tcPr>
          <w:p w14:paraId="075C81E8" w14:textId="77777777" w:rsidR="007176E5" w:rsidRPr="00B525C3" w:rsidRDefault="007176E5" w:rsidP="0054165A">
            <w:pPr>
              <w:pStyle w:val="Tabletext"/>
              <w:keepNext/>
              <w:widowControl w:val="0"/>
              <w:jc w:val="center"/>
            </w:pPr>
            <w:r w:rsidRPr="00B525C3">
              <w:t>NEW PI1</w:t>
            </w:r>
          </w:p>
        </w:tc>
        <w:tc>
          <w:tcPr>
            <w:tcW w:w="4374" w:type="pct"/>
            <w:shd w:val="clear" w:color="auto" w:fill="auto"/>
          </w:tcPr>
          <w:p w14:paraId="02F0543D" w14:textId="77777777" w:rsidR="007176E5" w:rsidRPr="00B525C3" w:rsidRDefault="007176E5" w:rsidP="0054165A">
            <w:pPr>
              <w:pStyle w:val="Tabletext"/>
              <w:keepNext/>
              <w:widowControl w:val="0"/>
            </w:pPr>
            <w:r w:rsidRPr="00B525C3">
              <w:rPr>
                <w:b/>
                <w:bCs/>
              </w:rPr>
              <w:t xml:space="preserve">Prescribing instructions: </w:t>
            </w:r>
            <w:r w:rsidRPr="00B525C3">
              <w:t>The baseline measurement of the number of treated acute attacks of hereditary angioedema within the 3 months prior to initiating treatment must be provided at the time of submitting this application</w:t>
            </w:r>
          </w:p>
        </w:tc>
      </w:tr>
      <w:tr w:rsidR="007176E5" w:rsidRPr="00B525C3" w14:paraId="012C2D4C" w14:textId="77777777" w:rsidTr="0054165A">
        <w:tc>
          <w:tcPr>
            <w:tcW w:w="626" w:type="pct"/>
            <w:vAlign w:val="center"/>
          </w:tcPr>
          <w:p w14:paraId="03E658FA" w14:textId="5C5C18AB" w:rsidR="007176E5" w:rsidRPr="00B525C3" w:rsidRDefault="007176E5" w:rsidP="0054165A">
            <w:pPr>
              <w:pStyle w:val="Tabletext"/>
              <w:widowControl w:val="0"/>
              <w:jc w:val="center"/>
            </w:pPr>
          </w:p>
        </w:tc>
        <w:tc>
          <w:tcPr>
            <w:tcW w:w="4374" w:type="pct"/>
            <w:shd w:val="clear" w:color="auto" w:fill="auto"/>
          </w:tcPr>
          <w:p w14:paraId="36F023CC" w14:textId="77777777" w:rsidR="007176E5" w:rsidRPr="00B525C3" w:rsidRDefault="007176E5" w:rsidP="0054165A">
            <w:pPr>
              <w:pStyle w:val="Tabletext"/>
              <w:widowControl w:val="0"/>
            </w:pPr>
            <w:r w:rsidRPr="00B525C3">
              <w:rPr>
                <w:b/>
                <w:bCs/>
              </w:rPr>
              <w:t>Administrative advice:</w:t>
            </w:r>
          </w:p>
          <w:p w14:paraId="359A0CB2" w14:textId="77777777" w:rsidR="007176E5" w:rsidRPr="00B525C3" w:rsidRDefault="007176E5" w:rsidP="0054165A">
            <w:pPr>
              <w:pStyle w:val="Tabletext"/>
              <w:widowControl w:val="0"/>
              <w:rPr>
                <w:i/>
                <w:iCs/>
              </w:rPr>
            </w:pPr>
            <w:r w:rsidRPr="00B525C3">
              <w:rPr>
                <w:i/>
                <w:iCs/>
              </w:rPr>
              <w:t>Any queries concerning the arrangements to prescribe may be directed to Services Australia on 1800 700 270 (hours of operation 8 a.m. to 5 p.m. Monday to Friday).</w:t>
            </w:r>
          </w:p>
          <w:p w14:paraId="71E5DC5B" w14:textId="77777777" w:rsidR="007176E5" w:rsidRPr="00B525C3" w:rsidRDefault="007176E5" w:rsidP="0054165A">
            <w:pPr>
              <w:pStyle w:val="Tabletext"/>
              <w:widowControl w:val="0"/>
              <w:rPr>
                <w:i/>
                <w:iCs/>
              </w:rPr>
            </w:pPr>
            <w:r w:rsidRPr="00B525C3">
              <w:rPr>
                <w:i/>
                <w:iCs/>
              </w:rPr>
              <w:t>Prescribing information (including Authority Application forms and other relevant documentation as applicable) is available on the Services Australia website at www.servicesaustralia.gov.au</w:t>
            </w:r>
          </w:p>
          <w:p w14:paraId="1A438B24" w14:textId="77777777" w:rsidR="007176E5" w:rsidRPr="00B525C3" w:rsidRDefault="007176E5" w:rsidP="0054165A">
            <w:pPr>
              <w:pStyle w:val="Tabletext"/>
              <w:widowControl w:val="0"/>
              <w:rPr>
                <w:i/>
                <w:iCs/>
              </w:rPr>
            </w:pPr>
            <w:r w:rsidRPr="00B525C3">
              <w:rPr>
                <w:i/>
                <w:iCs/>
              </w:rPr>
              <w:t>Applications for authority to prescribe should be submitted online using the form upload facility in Health Professional Online Services (HPOS) at www.servicesaustralia.gov.au/hpos</w:t>
            </w:r>
          </w:p>
          <w:p w14:paraId="2C3DB620" w14:textId="77777777" w:rsidR="007176E5" w:rsidRPr="00B525C3" w:rsidRDefault="007176E5" w:rsidP="0054165A">
            <w:pPr>
              <w:pStyle w:val="Tabletext"/>
              <w:widowControl w:val="0"/>
              <w:rPr>
                <w:i/>
                <w:iCs/>
              </w:rPr>
            </w:pPr>
            <w:r w:rsidRPr="00B525C3">
              <w:rPr>
                <w:i/>
                <w:iCs/>
              </w:rPr>
              <w:t>Or mailed to:</w:t>
            </w:r>
          </w:p>
          <w:p w14:paraId="5680BF7E" w14:textId="77777777" w:rsidR="007176E5" w:rsidRPr="00B525C3" w:rsidRDefault="007176E5" w:rsidP="0054165A">
            <w:pPr>
              <w:pStyle w:val="Tabletext"/>
              <w:widowControl w:val="0"/>
              <w:rPr>
                <w:i/>
                <w:iCs/>
              </w:rPr>
            </w:pPr>
            <w:r w:rsidRPr="00B525C3">
              <w:rPr>
                <w:i/>
                <w:iCs/>
              </w:rPr>
              <w:t>Services Australia</w:t>
            </w:r>
          </w:p>
          <w:p w14:paraId="243F24C2" w14:textId="77777777" w:rsidR="007176E5" w:rsidRPr="00B525C3" w:rsidRDefault="007176E5" w:rsidP="0054165A">
            <w:pPr>
              <w:pStyle w:val="Tabletext"/>
              <w:widowControl w:val="0"/>
              <w:rPr>
                <w:i/>
                <w:iCs/>
              </w:rPr>
            </w:pPr>
            <w:r w:rsidRPr="00B525C3">
              <w:rPr>
                <w:i/>
                <w:iCs/>
              </w:rPr>
              <w:t>Complex Drugs</w:t>
            </w:r>
          </w:p>
          <w:p w14:paraId="2571F41B" w14:textId="77777777" w:rsidR="007176E5" w:rsidRPr="00B525C3" w:rsidRDefault="007176E5" w:rsidP="0054165A">
            <w:pPr>
              <w:pStyle w:val="Tabletext"/>
              <w:widowControl w:val="0"/>
              <w:rPr>
                <w:i/>
                <w:iCs/>
              </w:rPr>
            </w:pPr>
            <w:r w:rsidRPr="00B525C3">
              <w:rPr>
                <w:i/>
                <w:iCs/>
              </w:rPr>
              <w:t>Reply Paid 9826</w:t>
            </w:r>
          </w:p>
          <w:p w14:paraId="1FAE6A2E" w14:textId="77777777" w:rsidR="007176E5" w:rsidRPr="00B525C3" w:rsidRDefault="007176E5" w:rsidP="0054165A">
            <w:pPr>
              <w:pStyle w:val="Tabletext"/>
              <w:widowControl w:val="0"/>
            </w:pPr>
            <w:r w:rsidRPr="00B525C3">
              <w:rPr>
                <w:i/>
                <w:iCs/>
              </w:rPr>
              <w:t>HOBART TAS 7001</w:t>
            </w:r>
          </w:p>
        </w:tc>
      </w:tr>
    </w:tbl>
    <w:p w14:paraId="16D27422" w14:textId="77777777" w:rsidR="007176E5" w:rsidRPr="00B525C3" w:rsidRDefault="007176E5" w:rsidP="007176E5">
      <w:pPr>
        <w:widowControl w:val="0"/>
        <w:rPr>
          <w:rFonts w:eastAsia="Calibri" w:cs="Calibri"/>
        </w:rPr>
      </w:pPr>
    </w:p>
    <w:p w14:paraId="22BE06AF" w14:textId="77777777" w:rsidR="007176E5" w:rsidRPr="00B525C3" w:rsidRDefault="007176E5" w:rsidP="007176E5">
      <w:pPr>
        <w:pStyle w:val="Caption"/>
        <w:widowControl w:val="0"/>
      </w:pPr>
      <w:r w:rsidRPr="00B525C3">
        <w:lastRenderedPageBreak/>
        <w:t xml:space="preserve">Initial treatment – New patient coming from NBA-funded C1-INH </w:t>
      </w:r>
    </w:p>
    <w:p w14:paraId="6F132DBE" w14:textId="77777777" w:rsidR="007176E5" w:rsidRPr="00B525C3" w:rsidRDefault="007176E5" w:rsidP="007176E5">
      <w:pPr>
        <w:keepNext/>
        <w:rPr>
          <w:rFonts w:ascii="Arial Narrow" w:hAnsi="Arial Narrow"/>
          <w:b/>
          <w:bCs/>
          <w:sz w:val="20"/>
          <w:szCs w:val="20"/>
          <w:lang w:eastAsia="en-GB"/>
        </w:rPr>
      </w:pPr>
      <w:r w:rsidRPr="00B525C3">
        <w:rPr>
          <w:rFonts w:ascii="Arial Narrow" w:hAnsi="Arial Narrow"/>
          <w:b/>
          <w:bCs/>
          <w:sz w:val="20"/>
          <w:szCs w:val="20"/>
          <w:lang w:eastAsia="en-GB"/>
        </w:rPr>
        <w:t>Restriction Summary New/ ToC: New</w:t>
      </w:r>
    </w:p>
    <w:tbl>
      <w:tblPr>
        <w:tblStyle w:val="TableGrid"/>
        <w:tblW w:w="5000" w:type="pct"/>
        <w:tblLook w:val="04A0" w:firstRow="1" w:lastRow="0" w:firstColumn="1" w:lastColumn="0" w:noHBand="0" w:noVBand="1"/>
      </w:tblPr>
      <w:tblGrid>
        <w:gridCol w:w="1129"/>
        <w:gridCol w:w="7888"/>
      </w:tblGrid>
      <w:tr w:rsidR="007176E5" w:rsidRPr="00B525C3" w14:paraId="4D478561" w14:textId="77777777" w:rsidTr="0054165A">
        <w:tc>
          <w:tcPr>
            <w:tcW w:w="626" w:type="pct"/>
            <w:vMerge w:val="restart"/>
            <w:vAlign w:val="center"/>
          </w:tcPr>
          <w:p w14:paraId="4DCEC321" w14:textId="77777777" w:rsidR="007176E5" w:rsidRPr="00B525C3" w:rsidRDefault="007176E5" w:rsidP="0054165A">
            <w:pPr>
              <w:pStyle w:val="Tabletext"/>
              <w:keepNext/>
              <w:widowControl w:val="0"/>
              <w:jc w:val="center"/>
              <w:rPr>
                <w:rFonts w:cs="Arial"/>
                <w:b/>
              </w:rPr>
            </w:pPr>
            <w:r w:rsidRPr="00B525C3">
              <w:rPr>
                <w:b/>
                <w:bCs/>
                <w:color w:val="000000" w:themeColor="text1"/>
              </w:rPr>
              <w:t>Concept ID</w:t>
            </w:r>
            <w:r w:rsidRPr="00B525C3">
              <w:rPr>
                <w:color w:val="333333"/>
              </w:rPr>
              <w:t xml:space="preserve"> – for Dept. use</w:t>
            </w:r>
          </w:p>
        </w:tc>
        <w:tc>
          <w:tcPr>
            <w:tcW w:w="4374" w:type="pct"/>
          </w:tcPr>
          <w:p w14:paraId="102096D8" w14:textId="77777777" w:rsidR="007176E5" w:rsidRPr="00B525C3" w:rsidRDefault="007176E5" w:rsidP="0054165A">
            <w:pPr>
              <w:pStyle w:val="Tabletext"/>
              <w:keepNext/>
              <w:widowControl w:val="0"/>
              <w:rPr>
                <w:b/>
                <w:bCs/>
              </w:rPr>
            </w:pPr>
            <w:r w:rsidRPr="00B525C3">
              <w:rPr>
                <w:rFonts w:cs="Arial"/>
                <w:b/>
              </w:rPr>
              <w:t xml:space="preserve">Category / Program: </w:t>
            </w:r>
            <w:r w:rsidRPr="00B525C3">
              <w:rPr>
                <w:rFonts w:cs="Arial"/>
              </w:rPr>
              <w:t xml:space="preserve">GENERAL – General Schedule (Code GE) </w:t>
            </w:r>
          </w:p>
        </w:tc>
      </w:tr>
      <w:tr w:rsidR="007176E5" w:rsidRPr="00B525C3" w14:paraId="6C75EEBC" w14:textId="77777777" w:rsidTr="0054165A">
        <w:tc>
          <w:tcPr>
            <w:tcW w:w="626" w:type="pct"/>
            <w:vMerge/>
            <w:vAlign w:val="center"/>
          </w:tcPr>
          <w:p w14:paraId="4BD4BAD2" w14:textId="77777777" w:rsidR="007176E5" w:rsidRPr="00B525C3" w:rsidRDefault="007176E5" w:rsidP="0054165A">
            <w:pPr>
              <w:pStyle w:val="Tabletext"/>
              <w:keepNext/>
              <w:widowControl w:val="0"/>
              <w:jc w:val="center"/>
              <w:rPr>
                <w:rFonts w:cs="Arial"/>
                <w:b/>
              </w:rPr>
            </w:pPr>
          </w:p>
        </w:tc>
        <w:tc>
          <w:tcPr>
            <w:tcW w:w="4374" w:type="pct"/>
          </w:tcPr>
          <w:p w14:paraId="3B0FE94C" w14:textId="77777777" w:rsidR="007176E5" w:rsidRPr="00B525C3" w:rsidRDefault="007176E5" w:rsidP="0054165A">
            <w:pPr>
              <w:pStyle w:val="Tabletext"/>
              <w:keepNext/>
              <w:widowControl w:val="0"/>
              <w:rPr>
                <w:b/>
                <w:bCs/>
              </w:rPr>
            </w:pPr>
            <w:r w:rsidRPr="00B525C3">
              <w:rPr>
                <w:rFonts w:cs="Arial"/>
                <w:b/>
              </w:rPr>
              <w:t xml:space="preserve">Prescriber type: </w:t>
            </w:r>
            <w:r w:rsidRPr="00B525C3">
              <w:rPr>
                <w:rFonts w:cs="Arial"/>
              </w:rPr>
              <w:fldChar w:fldCharType="begin" w:fldLock="1">
                <w:ffData>
                  <w:name w:val=""/>
                  <w:enabled/>
                  <w:calcOnExit w:val="0"/>
                  <w:checkBox>
                    <w:sizeAuto/>
                    <w:default w:val="1"/>
                  </w:checkBox>
                </w:ffData>
              </w:fldChar>
            </w:r>
            <w:r w:rsidRPr="00B525C3">
              <w:rPr>
                <w:rFonts w:cs="Arial"/>
              </w:rPr>
              <w:instrText xml:space="preserve"> FORMCHECKBOX </w:instrText>
            </w:r>
            <w:r w:rsidRPr="00B525C3">
              <w:rPr>
                <w:rFonts w:cs="Arial"/>
              </w:rPr>
            </w:r>
            <w:r w:rsidRPr="00B525C3">
              <w:rPr>
                <w:rFonts w:cs="Arial"/>
              </w:rPr>
              <w:fldChar w:fldCharType="separate"/>
            </w:r>
            <w:r w:rsidRPr="00B525C3">
              <w:rPr>
                <w:rFonts w:cs="Arial"/>
              </w:rPr>
              <w:fldChar w:fldCharType="end"/>
            </w:r>
            <w:r w:rsidRPr="00B525C3">
              <w:rPr>
                <w:rFonts w:cs="Arial"/>
              </w:rPr>
              <w:t xml:space="preserve"> Medical Practitioners </w:t>
            </w:r>
          </w:p>
        </w:tc>
      </w:tr>
      <w:tr w:rsidR="007176E5" w:rsidRPr="00B525C3" w14:paraId="3316A0D8" w14:textId="77777777" w:rsidTr="0054165A">
        <w:tc>
          <w:tcPr>
            <w:tcW w:w="626" w:type="pct"/>
            <w:vMerge/>
            <w:vAlign w:val="center"/>
          </w:tcPr>
          <w:p w14:paraId="0354923E" w14:textId="77777777" w:rsidR="007176E5" w:rsidRPr="00B525C3" w:rsidRDefault="007176E5" w:rsidP="0054165A">
            <w:pPr>
              <w:pStyle w:val="Tabletext"/>
              <w:keepNext/>
              <w:widowControl w:val="0"/>
              <w:jc w:val="center"/>
              <w:rPr>
                <w:rFonts w:cs="Arial"/>
                <w:b/>
              </w:rPr>
            </w:pPr>
          </w:p>
        </w:tc>
        <w:tc>
          <w:tcPr>
            <w:tcW w:w="4374" w:type="pct"/>
          </w:tcPr>
          <w:p w14:paraId="5E7B1662" w14:textId="77777777" w:rsidR="007176E5" w:rsidRPr="00B525C3" w:rsidRDefault="007176E5" w:rsidP="0054165A">
            <w:pPr>
              <w:pStyle w:val="Tabletext"/>
              <w:keepNext/>
              <w:widowControl w:val="0"/>
              <w:rPr>
                <w:b/>
                <w:bCs/>
              </w:rPr>
            </w:pPr>
            <w:r w:rsidRPr="00B525C3">
              <w:rPr>
                <w:rFonts w:cs="Arial"/>
                <w:b/>
              </w:rPr>
              <w:t xml:space="preserve">Restriction type: </w:t>
            </w:r>
            <w:r w:rsidRPr="00B525C3">
              <w:rPr>
                <w:rFonts w:eastAsia="Calibri" w:cs="Arial"/>
              </w:rPr>
              <w:fldChar w:fldCharType="begin" w:fldLock="1">
                <w:ffData>
                  <w:name w:val=""/>
                  <w:enabled/>
                  <w:calcOnExit w:val="0"/>
                  <w:checkBox>
                    <w:sizeAuto/>
                    <w:default w:val="1"/>
                  </w:checkBox>
                </w:ffData>
              </w:fldChar>
            </w:r>
            <w:r w:rsidRPr="00B525C3">
              <w:rPr>
                <w:rFonts w:eastAsia="Calibri" w:cs="Arial"/>
              </w:rPr>
              <w:instrText xml:space="preserve"> FORMCHECKBOX </w:instrText>
            </w:r>
            <w:r w:rsidRPr="00B525C3">
              <w:rPr>
                <w:rFonts w:eastAsia="Calibri" w:cs="Arial"/>
              </w:rPr>
            </w:r>
            <w:r w:rsidRPr="00B525C3">
              <w:rPr>
                <w:rFonts w:eastAsia="Calibri" w:cs="Arial"/>
              </w:rPr>
              <w:fldChar w:fldCharType="separate"/>
            </w:r>
            <w:r w:rsidRPr="00B525C3">
              <w:rPr>
                <w:rFonts w:eastAsia="Calibri" w:cs="Arial"/>
              </w:rPr>
              <w:fldChar w:fldCharType="end"/>
            </w:r>
            <w:r w:rsidRPr="00B525C3">
              <w:rPr>
                <w:rFonts w:eastAsia="Calibri" w:cs="Arial"/>
              </w:rPr>
              <w:t xml:space="preserve"> Authority Required (in writing only via post/HPOS upload)</w:t>
            </w:r>
          </w:p>
        </w:tc>
      </w:tr>
      <w:tr w:rsidR="007176E5" w:rsidRPr="00B525C3" w14:paraId="7A1059FA" w14:textId="77777777" w:rsidTr="0054165A">
        <w:tc>
          <w:tcPr>
            <w:tcW w:w="626" w:type="pct"/>
            <w:vAlign w:val="center"/>
          </w:tcPr>
          <w:p w14:paraId="062556E3" w14:textId="77777777" w:rsidR="007176E5" w:rsidRPr="00B525C3" w:rsidRDefault="007176E5" w:rsidP="0054165A">
            <w:pPr>
              <w:pStyle w:val="Tabletext"/>
              <w:keepNext/>
              <w:widowControl w:val="0"/>
              <w:jc w:val="center"/>
              <w:rPr>
                <w:b/>
                <w:bCs/>
              </w:rPr>
            </w:pPr>
          </w:p>
        </w:tc>
        <w:tc>
          <w:tcPr>
            <w:tcW w:w="4374" w:type="pct"/>
          </w:tcPr>
          <w:p w14:paraId="618302D4" w14:textId="77777777" w:rsidR="007176E5" w:rsidRPr="00B525C3" w:rsidRDefault="007176E5" w:rsidP="0054165A">
            <w:pPr>
              <w:pStyle w:val="Tabletext"/>
              <w:keepNext/>
              <w:widowControl w:val="0"/>
              <w:rPr>
                <w:b/>
                <w:bCs/>
              </w:rPr>
            </w:pPr>
          </w:p>
        </w:tc>
      </w:tr>
      <w:tr w:rsidR="007176E5" w:rsidRPr="00B525C3" w14:paraId="2FE6A2CA" w14:textId="77777777" w:rsidTr="0054165A">
        <w:tc>
          <w:tcPr>
            <w:tcW w:w="626" w:type="pct"/>
            <w:vAlign w:val="center"/>
          </w:tcPr>
          <w:p w14:paraId="6058B94A" w14:textId="79DED954" w:rsidR="007176E5" w:rsidRPr="00B525C3" w:rsidRDefault="007176E5" w:rsidP="0054165A">
            <w:pPr>
              <w:pStyle w:val="Tabletext"/>
              <w:keepNext/>
              <w:widowControl w:val="0"/>
              <w:jc w:val="center"/>
              <w:rPr>
                <w:b/>
                <w:bCs/>
              </w:rPr>
            </w:pPr>
          </w:p>
        </w:tc>
        <w:tc>
          <w:tcPr>
            <w:tcW w:w="4374" w:type="pct"/>
          </w:tcPr>
          <w:p w14:paraId="46C93442" w14:textId="77777777" w:rsidR="007176E5" w:rsidRPr="00B525C3" w:rsidRDefault="007176E5" w:rsidP="0054165A">
            <w:pPr>
              <w:pStyle w:val="Tabletext"/>
              <w:keepNext/>
              <w:widowControl w:val="0"/>
              <w:rPr>
                <w:b/>
                <w:bCs/>
              </w:rPr>
            </w:pPr>
            <w:r w:rsidRPr="00B525C3">
              <w:rPr>
                <w:b/>
                <w:bCs/>
              </w:rPr>
              <w:t xml:space="preserve">Administrative advice: </w:t>
            </w:r>
            <w:r w:rsidRPr="00B525C3">
              <w:t>No increase in the maximum number of repeats may be authorised.</w:t>
            </w:r>
          </w:p>
        </w:tc>
      </w:tr>
      <w:tr w:rsidR="007176E5" w:rsidRPr="00B525C3" w14:paraId="4A3CBF51" w14:textId="77777777" w:rsidTr="0054165A">
        <w:tc>
          <w:tcPr>
            <w:tcW w:w="626" w:type="pct"/>
            <w:vAlign w:val="center"/>
          </w:tcPr>
          <w:p w14:paraId="3DFFFEEB" w14:textId="75447096" w:rsidR="007176E5" w:rsidRPr="00B525C3" w:rsidRDefault="007176E5" w:rsidP="0054165A">
            <w:pPr>
              <w:pStyle w:val="Tabletext"/>
              <w:keepNext/>
              <w:widowControl w:val="0"/>
              <w:jc w:val="center"/>
              <w:rPr>
                <w:b/>
                <w:bCs/>
              </w:rPr>
            </w:pPr>
          </w:p>
        </w:tc>
        <w:tc>
          <w:tcPr>
            <w:tcW w:w="4374" w:type="pct"/>
          </w:tcPr>
          <w:p w14:paraId="20E3478D" w14:textId="77777777" w:rsidR="007176E5" w:rsidRPr="00B525C3" w:rsidRDefault="007176E5" w:rsidP="0054165A">
            <w:pPr>
              <w:pStyle w:val="Tabletext"/>
              <w:keepNext/>
              <w:widowControl w:val="0"/>
              <w:rPr>
                <w:b/>
                <w:bCs/>
              </w:rPr>
            </w:pPr>
            <w:r w:rsidRPr="00B525C3">
              <w:rPr>
                <w:b/>
                <w:bCs/>
              </w:rPr>
              <w:t xml:space="preserve">Administrative advice: </w:t>
            </w:r>
            <w:r w:rsidRPr="00B525C3">
              <w:t>Special Pricing Arrangements apply.</w:t>
            </w:r>
          </w:p>
        </w:tc>
      </w:tr>
      <w:tr w:rsidR="007176E5" w:rsidRPr="00B525C3" w14:paraId="1A7567AB" w14:textId="77777777" w:rsidTr="0054165A">
        <w:tc>
          <w:tcPr>
            <w:tcW w:w="626" w:type="pct"/>
            <w:vAlign w:val="center"/>
          </w:tcPr>
          <w:p w14:paraId="17847120" w14:textId="77777777" w:rsidR="007176E5" w:rsidRPr="00B525C3" w:rsidRDefault="007176E5" w:rsidP="0054165A">
            <w:pPr>
              <w:pStyle w:val="Tabletext"/>
              <w:keepNext/>
              <w:widowControl w:val="0"/>
              <w:jc w:val="center"/>
              <w:rPr>
                <w:b/>
                <w:bCs/>
              </w:rPr>
            </w:pPr>
          </w:p>
        </w:tc>
        <w:tc>
          <w:tcPr>
            <w:tcW w:w="4374" w:type="pct"/>
          </w:tcPr>
          <w:p w14:paraId="4EF4A547" w14:textId="77777777" w:rsidR="007176E5" w:rsidRPr="00B525C3" w:rsidRDefault="007176E5" w:rsidP="0054165A">
            <w:pPr>
              <w:pStyle w:val="Tabletext"/>
              <w:keepNext/>
              <w:widowControl w:val="0"/>
              <w:rPr>
                <w:b/>
                <w:bCs/>
              </w:rPr>
            </w:pPr>
          </w:p>
        </w:tc>
      </w:tr>
      <w:tr w:rsidR="007176E5" w:rsidRPr="00B525C3" w14:paraId="2DB3D1E9" w14:textId="77777777" w:rsidTr="0054165A">
        <w:tc>
          <w:tcPr>
            <w:tcW w:w="626" w:type="pct"/>
            <w:vAlign w:val="center"/>
          </w:tcPr>
          <w:p w14:paraId="2516BA8D" w14:textId="412BF669" w:rsidR="007176E5" w:rsidRPr="00B525C3" w:rsidRDefault="007176E5" w:rsidP="0054165A">
            <w:pPr>
              <w:pStyle w:val="Tabletext"/>
              <w:keepNext/>
              <w:widowControl w:val="0"/>
              <w:jc w:val="center"/>
              <w:rPr>
                <w:b/>
                <w:bCs/>
              </w:rPr>
            </w:pPr>
          </w:p>
        </w:tc>
        <w:tc>
          <w:tcPr>
            <w:tcW w:w="4374" w:type="pct"/>
          </w:tcPr>
          <w:p w14:paraId="73FF8C3C" w14:textId="77777777" w:rsidR="007176E5" w:rsidRPr="00B525C3" w:rsidRDefault="007176E5" w:rsidP="0054165A">
            <w:pPr>
              <w:pStyle w:val="Tabletext"/>
              <w:keepNext/>
              <w:widowControl w:val="0"/>
              <w:rPr>
                <w:highlight w:val="lightGray"/>
              </w:rPr>
            </w:pPr>
            <w:r w:rsidRPr="00B525C3">
              <w:rPr>
                <w:b/>
                <w:bCs/>
              </w:rPr>
              <w:t>Indication:</w:t>
            </w:r>
            <w:r w:rsidRPr="00B525C3">
              <w:t xml:space="preserve"> Chronic treatment of hereditary angioedema Types 1 or 2</w:t>
            </w:r>
          </w:p>
        </w:tc>
      </w:tr>
      <w:tr w:rsidR="007176E5" w:rsidRPr="00B525C3" w14:paraId="75151197" w14:textId="77777777" w:rsidTr="0054165A">
        <w:tc>
          <w:tcPr>
            <w:tcW w:w="626" w:type="pct"/>
            <w:vAlign w:val="center"/>
          </w:tcPr>
          <w:p w14:paraId="668891B6" w14:textId="77777777" w:rsidR="007176E5" w:rsidRPr="00B525C3" w:rsidRDefault="007176E5" w:rsidP="0054165A">
            <w:pPr>
              <w:pStyle w:val="Tabletext"/>
              <w:keepNext/>
              <w:widowControl w:val="0"/>
              <w:jc w:val="center"/>
              <w:rPr>
                <w:b/>
                <w:bCs/>
              </w:rPr>
            </w:pPr>
          </w:p>
        </w:tc>
        <w:tc>
          <w:tcPr>
            <w:tcW w:w="4374" w:type="pct"/>
          </w:tcPr>
          <w:p w14:paraId="204AEA8E" w14:textId="77777777" w:rsidR="007176E5" w:rsidRPr="00B525C3" w:rsidRDefault="007176E5" w:rsidP="0054165A">
            <w:pPr>
              <w:pStyle w:val="Tabletext"/>
              <w:keepNext/>
              <w:widowControl w:val="0"/>
              <w:rPr>
                <w:b/>
                <w:bCs/>
              </w:rPr>
            </w:pPr>
            <w:r w:rsidRPr="00B525C3">
              <w:rPr>
                <w:b/>
                <w:bCs/>
              </w:rPr>
              <w:t xml:space="preserve">Treatment Phase: </w:t>
            </w:r>
            <w:r w:rsidRPr="00B525C3">
              <w:t>Initial 2: New patient (commencing from National Blood Authority-funded C1-INH)</w:t>
            </w:r>
            <w:r w:rsidRPr="00B525C3">
              <w:rPr>
                <w:b/>
                <w:bCs/>
              </w:rPr>
              <w:t xml:space="preserve"> </w:t>
            </w:r>
          </w:p>
        </w:tc>
      </w:tr>
      <w:tr w:rsidR="007176E5" w:rsidRPr="00B525C3" w14:paraId="61288478" w14:textId="77777777" w:rsidTr="0054165A">
        <w:tc>
          <w:tcPr>
            <w:tcW w:w="626" w:type="pct"/>
            <w:vAlign w:val="center"/>
          </w:tcPr>
          <w:p w14:paraId="4450BD0D" w14:textId="3E4943E7" w:rsidR="007176E5" w:rsidRPr="00B525C3" w:rsidRDefault="007176E5" w:rsidP="0054165A">
            <w:pPr>
              <w:pStyle w:val="Tabletext"/>
              <w:keepNext/>
              <w:widowControl w:val="0"/>
              <w:jc w:val="center"/>
            </w:pPr>
          </w:p>
        </w:tc>
        <w:tc>
          <w:tcPr>
            <w:tcW w:w="4374" w:type="pct"/>
          </w:tcPr>
          <w:p w14:paraId="6871647A" w14:textId="77777777" w:rsidR="007176E5" w:rsidRPr="00B525C3" w:rsidRDefault="007176E5" w:rsidP="0054165A">
            <w:pPr>
              <w:pStyle w:val="Tabletext"/>
              <w:keepNext/>
              <w:widowControl w:val="0"/>
              <w:rPr>
                <w:b/>
                <w:bCs/>
              </w:rPr>
            </w:pPr>
            <w:r w:rsidRPr="00B525C3">
              <w:rPr>
                <w:b/>
                <w:bCs/>
              </w:rPr>
              <w:t xml:space="preserve">Clinical criteria: </w:t>
            </w:r>
          </w:p>
        </w:tc>
      </w:tr>
      <w:tr w:rsidR="007176E5" w:rsidRPr="00B525C3" w14:paraId="1E026922" w14:textId="77777777" w:rsidTr="0054165A">
        <w:tc>
          <w:tcPr>
            <w:tcW w:w="626" w:type="pct"/>
            <w:vAlign w:val="center"/>
          </w:tcPr>
          <w:p w14:paraId="6A6EDBDD" w14:textId="1BBEB74F" w:rsidR="007176E5" w:rsidRPr="00B525C3" w:rsidRDefault="007176E5" w:rsidP="0054165A">
            <w:pPr>
              <w:pStyle w:val="Tabletext"/>
              <w:keepNext/>
              <w:widowControl w:val="0"/>
              <w:jc w:val="center"/>
            </w:pPr>
          </w:p>
        </w:tc>
        <w:tc>
          <w:tcPr>
            <w:tcW w:w="4374" w:type="pct"/>
          </w:tcPr>
          <w:p w14:paraId="39F5992F" w14:textId="77777777" w:rsidR="007176E5" w:rsidRPr="00B525C3" w:rsidRDefault="007176E5" w:rsidP="0054165A">
            <w:pPr>
              <w:pStyle w:val="Tabletext"/>
              <w:keepNext/>
              <w:widowControl w:val="0"/>
              <w:rPr>
                <w:highlight w:val="lightGray"/>
              </w:rPr>
            </w:pPr>
            <w:r w:rsidRPr="00B525C3">
              <w:t>Patient must have been receiving a C1-esterase inhibitor through the National Blood Authority as routine prophylaxis for hereditary angioedema immediately prior to receiving lanadelumab</w:t>
            </w:r>
          </w:p>
        </w:tc>
      </w:tr>
      <w:tr w:rsidR="007176E5" w:rsidRPr="00B525C3" w14:paraId="6C903FC0" w14:textId="77777777" w:rsidTr="0054165A">
        <w:tc>
          <w:tcPr>
            <w:tcW w:w="626" w:type="pct"/>
            <w:vAlign w:val="center"/>
          </w:tcPr>
          <w:p w14:paraId="5D87F4A6" w14:textId="77777777" w:rsidR="007176E5" w:rsidRPr="00B525C3" w:rsidRDefault="007176E5" w:rsidP="0054165A">
            <w:pPr>
              <w:pStyle w:val="Tabletext"/>
              <w:keepNext/>
              <w:widowControl w:val="0"/>
              <w:jc w:val="center"/>
            </w:pPr>
          </w:p>
        </w:tc>
        <w:tc>
          <w:tcPr>
            <w:tcW w:w="4374" w:type="pct"/>
          </w:tcPr>
          <w:p w14:paraId="43C16018" w14:textId="77777777" w:rsidR="007176E5" w:rsidRPr="00B525C3" w:rsidRDefault="007176E5" w:rsidP="0054165A">
            <w:pPr>
              <w:pStyle w:val="Tabletext"/>
              <w:keepNext/>
              <w:widowControl w:val="0"/>
            </w:pPr>
            <w:r w:rsidRPr="00B525C3">
              <w:t>AND</w:t>
            </w:r>
          </w:p>
        </w:tc>
      </w:tr>
      <w:tr w:rsidR="007176E5" w:rsidRPr="00B525C3" w14:paraId="398BCD72" w14:textId="77777777" w:rsidTr="0054165A">
        <w:tc>
          <w:tcPr>
            <w:tcW w:w="626" w:type="pct"/>
            <w:vAlign w:val="center"/>
          </w:tcPr>
          <w:p w14:paraId="74EA8A14" w14:textId="7E8B02A0" w:rsidR="007176E5" w:rsidRPr="00B525C3" w:rsidRDefault="007176E5" w:rsidP="0054165A">
            <w:pPr>
              <w:pStyle w:val="Tabletext"/>
              <w:keepNext/>
              <w:widowControl w:val="0"/>
              <w:jc w:val="center"/>
            </w:pPr>
          </w:p>
        </w:tc>
        <w:tc>
          <w:tcPr>
            <w:tcW w:w="4374" w:type="pct"/>
          </w:tcPr>
          <w:p w14:paraId="64C01FAB" w14:textId="77777777" w:rsidR="007176E5" w:rsidRPr="00B525C3" w:rsidRDefault="007176E5" w:rsidP="0054165A">
            <w:pPr>
              <w:pStyle w:val="Tabletext"/>
              <w:keepNext/>
              <w:widowControl w:val="0"/>
            </w:pPr>
            <w:r w:rsidRPr="00B525C3">
              <w:rPr>
                <w:b/>
                <w:bCs/>
              </w:rPr>
              <w:t>Clinical criteria:</w:t>
            </w:r>
          </w:p>
        </w:tc>
      </w:tr>
      <w:tr w:rsidR="007176E5" w:rsidRPr="00B525C3" w14:paraId="3DDF0904" w14:textId="77777777" w:rsidTr="0054165A">
        <w:tc>
          <w:tcPr>
            <w:tcW w:w="626" w:type="pct"/>
            <w:vAlign w:val="center"/>
          </w:tcPr>
          <w:p w14:paraId="43555E96" w14:textId="7BF9E5EE" w:rsidR="007176E5" w:rsidRPr="00B525C3" w:rsidRDefault="007176E5" w:rsidP="0054165A">
            <w:pPr>
              <w:pStyle w:val="Tabletext"/>
              <w:keepNext/>
              <w:widowControl w:val="0"/>
              <w:jc w:val="center"/>
            </w:pPr>
          </w:p>
        </w:tc>
        <w:tc>
          <w:tcPr>
            <w:tcW w:w="4374" w:type="pct"/>
          </w:tcPr>
          <w:p w14:paraId="3D1A87F8" w14:textId="77777777" w:rsidR="007176E5" w:rsidRPr="00B525C3" w:rsidRDefault="007176E5" w:rsidP="0054165A">
            <w:pPr>
              <w:pStyle w:val="Tabletext"/>
              <w:keepNext/>
              <w:widowControl w:val="0"/>
            </w:pPr>
            <w:r w:rsidRPr="00B525C3">
              <w:t>The treatment must not be used in combination with a C1-esterase inhibitor concentrate</w:t>
            </w:r>
          </w:p>
        </w:tc>
      </w:tr>
      <w:tr w:rsidR="007176E5" w:rsidRPr="00B525C3" w14:paraId="4DA37E40" w14:textId="77777777" w:rsidTr="0054165A">
        <w:tc>
          <w:tcPr>
            <w:tcW w:w="626" w:type="pct"/>
            <w:vAlign w:val="center"/>
          </w:tcPr>
          <w:p w14:paraId="3069A2B7" w14:textId="77777777" w:rsidR="007176E5" w:rsidRPr="00B525C3" w:rsidRDefault="007176E5" w:rsidP="0054165A">
            <w:pPr>
              <w:pStyle w:val="Tabletext"/>
              <w:keepNext/>
              <w:widowControl w:val="0"/>
              <w:jc w:val="center"/>
            </w:pPr>
          </w:p>
        </w:tc>
        <w:tc>
          <w:tcPr>
            <w:tcW w:w="4374" w:type="pct"/>
          </w:tcPr>
          <w:p w14:paraId="5F940C2A" w14:textId="77777777" w:rsidR="007176E5" w:rsidRPr="00B525C3" w:rsidRDefault="007176E5" w:rsidP="0054165A">
            <w:pPr>
              <w:pStyle w:val="Tabletext"/>
              <w:keepNext/>
              <w:widowControl w:val="0"/>
            </w:pPr>
            <w:r w:rsidRPr="00B525C3">
              <w:t>AND</w:t>
            </w:r>
          </w:p>
        </w:tc>
      </w:tr>
      <w:tr w:rsidR="007176E5" w:rsidRPr="00B525C3" w14:paraId="2D816162" w14:textId="77777777" w:rsidTr="0054165A">
        <w:tc>
          <w:tcPr>
            <w:tcW w:w="626" w:type="pct"/>
            <w:vAlign w:val="center"/>
          </w:tcPr>
          <w:p w14:paraId="142F32AC" w14:textId="06CC6046" w:rsidR="007176E5" w:rsidRPr="00B525C3" w:rsidRDefault="007176E5" w:rsidP="0054165A">
            <w:pPr>
              <w:pStyle w:val="Tabletext"/>
              <w:keepNext/>
              <w:widowControl w:val="0"/>
              <w:jc w:val="center"/>
            </w:pPr>
          </w:p>
        </w:tc>
        <w:tc>
          <w:tcPr>
            <w:tcW w:w="4374" w:type="pct"/>
          </w:tcPr>
          <w:p w14:paraId="71B7A6A8" w14:textId="77777777" w:rsidR="007176E5" w:rsidRPr="00B525C3" w:rsidRDefault="007176E5" w:rsidP="0054165A">
            <w:pPr>
              <w:pStyle w:val="Tabletext"/>
              <w:keepNext/>
              <w:widowControl w:val="0"/>
              <w:rPr>
                <w:b/>
                <w:bCs/>
              </w:rPr>
            </w:pPr>
            <w:r w:rsidRPr="00B525C3">
              <w:rPr>
                <w:b/>
                <w:bCs/>
              </w:rPr>
              <w:t>Treatment criteria:</w:t>
            </w:r>
          </w:p>
        </w:tc>
      </w:tr>
      <w:tr w:rsidR="007176E5" w:rsidRPr="00B525C3" w14:paraId="2F24419A" w14:textId="77777777" w:rsidTr="0054165A">
        <w:tc>
          <w:tcPr>
            <w:tcW w:w="626" w:type="pct"/>
            <w:vAlign w:val="center"/>
          </w:tcPr>
          <w:p w14:paraId="5781CB3C" w14:textId="6996145A" w:rsidR="007176E5" w:rsidRPr="00B525C3" w:rsidRDefault="007176E5" w:rsidP="0054165A">
            <w:pPr>
              <w:pStyle w:val="Tabletext"/>
              <w:keepNext/>
              <w:widowControl w:val="0"/>
              <w:jc w:val="center"/>
            </w:pPr>
          </w:p>
        </w:tc>
        <w:tc>
          <w:tcPr>
            <w:tcW w:w="4374" w:type="pct"/>
          </w:tcPr>
          <w:p w14:paraId="295EA673" w14:textId="77777777" w:rsidR="007176E5" w:rsidRPr="00B525C3" w:rsidRDefault="007176E5" w:rsidP="0054165A">
            <w:pPr>
              <w:pStyle w:val="Tabletext"/>
              <w:keepNext/>
              <w:widowControl w:val="0"/>
            </w:pPr>
            <w:r w:rsidRPr="00B525C3">
              <w:t>Must be treated by a clinical immunologist or a specialist allergist</w:t>
            </w:r>
          </w:p>
        </w:tc>
      </w:tr>
      <w:tr w:rsidR="007176E5" w:rsidRPr="00B525C3" w14:paraId="599A61A1" w14:textId="77777777" w:rsidTr="0054165A">
        <w:tc>
          <w:tcPr>
            <w:tcW w:w="626" w:type="pct"/>
            <w:vAlign w:val="center"/>
          </w:tcPr>
          <w:p w14:paraId="1CF570C9" w14:textId="77777777" w:rsidR="007176E5" w:rsidRPr="00B525C3" w:rsidRDefault="007176E5" w:rsidP="0054165A">
            <w:pPr>
              <w:pStyle w:val="Tabletext"/>
              <w:keepNext/>
              <w:widowControl w:val="0"/>
              <w:jc w:val="center"/>
            </w:pPr>
          </w:p>
        </w:tc>
        <w:tc>
          <w:tcPr>
            <w:tcW w:w="4374" w:type="pct"/>
          </w:tcPr>
          <w:p w14:paraId="0EF49F92" w14:textId="77777777" w:rsidR="007176E5" w:rsidRPr="00B525C3" w:rsidRDefault="007176E5" w:rsidP="0054165A">
            <w:pPr>
              <w:pStyle w:val="Tabletext"/>
              <w:keepNext/>
              <w:widowControl w:val="0"/>
              <w:rPr>
                <w:b/>
                <w:bCs/>
              </w:rPr>
            </w:pPr>
            <w:r w:rsidRPr="00B525C3">
              <w:rPr>
                <w:b/>
                <w:bCs/>
              </w:rPr>
              <w:t>Population criteria:</w:t>
            </w:r>
          </w:p>
        </w:tc>
      </w:tr>
      <w:tr w:rsidR="007176E5" w:rsidRPr="00B525C3" w14:paraId="71DD7046" w14:textId="77777777" w:rsidTr="0054165A">
        <w:tc>
          <w:tcPr>
            <w:tcW w:w="626" w:type="pct"/>
            <w:vAlign w:val="center"/>
          </w:tcPr>
          <w:p w14:paraId="12A0432B" w14:textId="3D97A001" w:rsidR="007176E5" w:rsidRPr="00B525C3" w:rsidRDefault="007176E5" w:rsidP="0054165A">
            <w:pPr>
              <w:pStyle w:val="Tabletext"/>
              <w:keepNext/>
              <w:widowControl w:val="0"/>
              <w:jc w:val="center"/>
            </w:pPr>
          </w:p>
        </w:tc>
        <w:tc>
          <w:tcPr>
            <w:tcW w:w="4374" w:type="pct"/>
          </w:tcPr>
          <w:p w14:paraId="293D8EC1" w14:textId="77777777" w:rsidR="007176E5" w:rsidRPr="00B525C3" w:rsidRDefault="007176E5" w:rsidP="0054165A">
            <w:pPr>
              <w:pStyle w:val="Tabletext"/>
              <w:keepNext/>
              <w:widowControl w:val="0"/>
            </w:pPr>
            <w:r w:rsidRPr="00B525C3">
              <w:rPr>
                <w:strike/>
              </w:rPr>
              <w:t>Patient must be aged 2 years and older</w:t>
            </w:r>
            <w:r w:rsidRPr="00B525C3">
              <w:t>.</w:t>
            </w:r>
          </w:p>
          <w:p w14:paraId="399A5C8D" w14:textId="77777777" w:rsidR="007176E5" w:rsidRPr="00B525C3" w:rsidRDefault="007176E5" w:rsidP="0054165A">
            <w:pPr>
              <w:pStyle w:val="Tabletext"/>
              <w:keepNext/>
              <w:widowControl w:val="0"/>
            </w:pPr>
            <w:r w:rsidRPr="00B525C3">
              <w:rPr>
                <w:i/>
                <w:iCs/>
              </w:rPr>
              <w:t>Patient must be aged 2-11 years inclusive</w:t>
            </w:r>
          </w:p>
        </w:tc>
      </w:tr>
      <w:tr w:rsidR="007176E5" w:rsidRPr="00B525C3" w14:paraId="763A71E9" w14:textId="77777777" w:rsidTr="0054165A">
        <w:tc>
          <w:tcPr>
            <w:tcW w:w="626" w:type="pct"/>
            <w:vAlign w:val="center"/>
          </w:tcPr>
          <w:p w14:paraId="62862910" w14:textId="65AA501C" w:rsidR="007176E5" w:rsidRPr="00B525C3" w:rsidRDefault="007176E5" w:rsidP="0054165A">
            <w:pPr>
              <w:pStyle w:val="Tabletext"/>
              <w:keepNext/>
              <w:widowControl w:val="0"/>
              <w:jc w:val="center"/>
            </w:pPr>
          </w:p>
        </w:tc>
        <w:tc>
          <w:tcPr>
            <w:tcW w:w="4374" w:type="pct"/>
          </w:tcPr>
          <w:p w14:paraId="4FE227B9" w14:textId="77777777" w:rsidR="007176E5" w:rsidRPr="00B525C3" w:rsidRDefault="007176E5" w:rsidP="0054165A">
            <w:pPr>
              <w:pStyle w:val="Tabletext"/>
              <w:keepNext/>
              <w:widowControl w:val="0"/>
            </w:pPr>
            <w:r w:rsidRPr="00B525C3">
              <w:rPr>
                <w:b/>
                <w:bCs/>
              </w:rPr>
              <w:t>Administrative advice:</w:t>
            </w:r>
          </w:p>
          <w:p w14:paraId="321AC70A" w14:textId="77777777" w:rsidR="007176E5" w:rsidRPr="00B525C3" w:rsidRDefault="007176E5" w:rsidP="0054165A">
            <w:pPr>
              <w:pStyle w:val="Tabletext"/>
              <w:keepNext/>
              <w:widowControl w:val="0"/>
              <w:rPr>
                <w:i/>
                <w:iCs/>
              </w:rPr>
            </w:pPr>
            <w:r w:rsidRPr="00B525C3">
              <w:rPr>
                <w:i/>
                <w:iCs/>
              </w:rPr>
              <w:t>Any queries concerning the arrangements to prescribe may be directed to Services Australia on 1800 700 270 (hours of operation 8 a.m. to 5 p.m. Monday to Friday).</w:t>
            </w:r>
          </w:p>
          <w:p w14:paraId="48529483" w14:textId="77777777" w:rsidR="007176E5" w:rsidRPr="00B525C3" w:rsidRDefault="007176E5" w:rsidP="0054165A">
            <w:pPr>
              <w:pStyle w:val="Tabletext"/>
              <w:keepNext/>
              <w:widowControl w:val="0"/>
              <w:rPr>
                <w:i/>
                <w:iCs/>
              </w:rPr>
            </w:pPr>
            <w:r w:rsidRPr="00B525C3">
              <w:rPr>
                <w:i/>
                <w:iCs/>
              </w:rPr>
              <w:t>Prescribing information (including Authority Application forms and other relevant documentation as applicable) is available on the Services Australia website at www.servicesaustralia.gov.au</w:t>
            </w:r>
          </w:p>
          <w:p w14:paraId="2318432D" w14:textId="77777777" w:rsidR="007176E5" w:rsidRPr="00B525C3" w:rsidRDefault="007176E5" w:rsidP="0054165A">
            <w:pPr>
              <w:pStyle w:val="Tabletext"/>
              <w:keepNext/>
              <w:widowControl w:val="0"/>
              <w:rPr>
                <w:i/>
                <w:iCs/>
              </w:rPr>
            </w:pPr>
            <w:r w:rsidRPr="00B525C3">
              <w:rPr>
                <w:i/>
                <w:iCs/>
              </w:rPr>
              <w:t>Applications for authority to prescribe should be submitted online using the form upload facility in Health Professional Online Services (HPOS) at www.servicesaustralia.gov.au/hpos</w:t>
            </w:r>
          </w:p>
          <w:p w14:paraId="74D5EA2A" w14:textId="77777777" w:rsidR="007176E5" w:rsidRPr="00B525C3" w:rsidRDefault="007176E5" w:rsidP="0054165A">
            <w:pPr>
              <w:pStyle w:val="Tabletext"/>
              <w:keepNext/>
              <w:widowControl w:val="0"/>
              <w:rPr>
                <w:i/>
                <w:iCs/>
              </w:rPr>
            </w:pPr>
            <w:r w:rsidRPr="00B525C3">
              <w:rPr>
                <w:i/>
                <w:iCs/>
              </w:rPr>
              <w:t>Or mailed to:</w:t>
            </w:r>
          </w:p>
          <w:p w14:paraId="4D853EC6" w14:textId="77777777" w:rsidR="007176E5" w:rsidRPr="00B525C3" w:rsidRDefault="007176E5" w:rsidP="0054165A">
            <w:pPr>
              <w:pStyle w:val="Tabletext"/>
              <w:keepNext/>
              <w:widowControl w:val="0"/>
              <w:rPr>
                <w:i/>
                <w:iCs/>
              </w:rPr>
            </w:pPr>
            <w:r w:rsidRPr="00B525C3">
              <w:rPr>
                <w:i/>
                <w:iCs/>
              </w:rPr>
              <w:t>Services Australia</w:t>
            </w:r>
          </w:p>
          <w:p w14:paraId="0BC612F7" w14:textId="77777777" w:rsidR="007176E5" w:rsidRPr="00B525C3" w:rsidRDefault="007176E5" w:rsidP="0054165A">
            <w:pPr>
              <w:pStyle w:val="Tabletext"/>
              <w:keepNext/>
              <w:widowControl w:val="0"/>
              <w:rPr>
                <w:i/>
                <w:iCs/>
              </w:rPr>
            </w:pPr>
            <w:r w:rsidRPr="00B525C3">
              <w:rPr>
                <w:i/>
                <w:iCs/>
              </w:rPr>
              <w:t>Complex Drugs</w:t>
            </w:r>
          </w:p>
          <w:p w14:paraId="48D249D3" w14:textId="77777777" w:rsidR="007176E5" w:rsidRPr="00B525C3" w:rsidRDefault="007176E5" w:rsidP="0054165A">
            <w:pPr>
              <w:pStyle w:val="Tabletext"/>
              <w:keepNext/>
              <w:widowControl w:val="0"/>
              <w:rPr>
                <w:i/>
                <w:iCs/>
              </w:rPr>
            </w:pPr>
            <w:r w:rsidRPr="00B525C3">
              <w:rPr>
                <w:i/>
                <w:iCs/>
              </w:rPr>
              <w:t>Reply Paid 9826</w:t>
            </w:r>
          </w:p>
          <w:p w14:paraId="4666F10E" w14:textId="77777777" w:rsidR="007176E5" w:rsidRPr="00B525C3" w:rsidRDefault="007176E5" w:rsidP="0054165A">
            <w:pPr>
              <w:pStyle w:val="Tabletext"/>
              <w:keepNext/>
              <w:widowControl w:val="0"/>
            </w:pPr>
            <w:r w:rsidRPr="00B525C3">
              <w:rPr>
                <w:i/>
                <w:iCs/>
              </w:rPr>
              <w:t>HOBART TAS 7001</w:t>
            </w:r>
          </w:p>
        </w:tc>
      </w:tr>
    </w:tbl>
    <w:p w14:paraId="3B30F0F4" w14:textId="77777777" w:rsidR="007176E5" w:rsidRPr="00B525C3" w:rsidRDefault="007176E5" w:rsidP="007176E5">
      <w:pPr>
        <w:widowControl w:val="0"/>
        <w:rPr>
          <w:rFonts w:ascii="Arial Narrow" w:eastAsia="Calibri" w:hAnsi="Arial Narrow" w:cs="Calibri"/>
          <w:i/>
          <w:iCs/>
          <w:sz w:val="18"/>
          <w:szCs w:val="18"/>
        </w:rPr>
      </w:pPr>
      <w:r w:rsidRPr="00B525C3">
        <w:rPr>
          <w:rFonts w:ascii="Arial Narrow" w:eastAsia="Calibri" w:hAnsi="Arial Narrow" w:cs="Calibri"/>
          <w:i/>
          <w:iCs/>
          <w:sz w:val="18"/>
          <w:szCs w:val="18"/>
        </w:rPr>
        <w:t>While Table 17 of the submission proposed a new listing (for ‘New patient coming from NBA-funded C1-INH’), the text in the submission and Table 5 of the Executive Summary indicated the submission requested a change to the existing listing only.</w:t>
      </w:r>
    </w:p>
    <w:p w14:paraId="5F989D7A" w14:textId="77777777" w:rsidR="007176E5" w:rsidRPr="00B525C3" w:rsidRDefault="007176E5" w:rsidP="007176E5">
      <w:pPr>
        <w:widowControl w:val="0"/>
        <w:rPr>
          <w:rFonts w:eastAsia="Calibri" w:cs="Calibri"/>
        </w:rPr>
      </w:pPr>
    </w:p>
    <w:p w14:paraId="7CDE2D2E" w14:textId="77777777" w:rsidR="007176E5" w:rsidRPr="00B525C3" w:rsidRDefault="007176E5" w:rsidP="007176E5">
      <w:pPr>
        <w:pStyle w:val="Caption"/>
        <w:widowControl w:val="0"/>
      </w:pPr>
      <w:r w:rsidRPr="00B525C3">
        <w:lastRenderedPageBreak/>
        <w:t>Initial treatment – New patient (Grandfather provision)</w:t>
      </w:r>
    </w:p>
    <w:p w14:paraId="72783212" w14:textId="77777777" w:rsidR="007176E5" w:rsidRPr="00B525C3" w:rsidRDefault="007176E5" w:rsidP="007176E5">
      <w:pPr>
        <w:keepNext/>
        <w:rPr>
          <w:rFonts w:ascii="Arial Narrow" w:hAnsi="Arial Narrow"/>
          <w:b/>
          <w:bCs/>
          <w:sz w:val="20"/>
          <w:szCs w:val="20"/>
          <w:lang w:eastAsia="en-GB"/>
        </w:rPr>
      </w:pPr>
      <w:r w:rsidRPr="00B525C3">
        <w:rPr>
          <w:rFonts w:ascii="Arial Narrow" w:hAnsi="Arial Narrow"/>
          <w:b/>
          <w:bCs/>
          <w:sz w:val="20"/>
          <w:szCs w:val="20"/>
          <w:lang w:eastAsia="en-GB"/>
        </w:rPr>
        <w:t>Restriction Summary New/ ToC: New</w:t>
      </w:r>
    </w:p>
    <w:tbl>
      <w:tblPr>
        <w:tblStyle w:val="TableGrid"/>
        <w:tblW w:w="5000" w:type="pct"/>
        <w:tblLook w:val="04A0" w:firstRow="1" w:lastRow="0" w:firstColumn="1" w:lastColumn="0" w:noHBand="0" w:noVBand="1"/>
      </w:tblPr>
      <w:tblGrid>
        <w:gridCol w:w="1129"/>
        <w:gridCol w:w="7888"/>
      </w:tblGrid>
      <w:tr w:rsidR="007176E5" w:rsidRPr="00B525C3" w14:paraId="67F30AE5" w14:textId="77777777" w:rsidTr="0054165A">
        <w:tc>
          <w:tcPr>
            <w:tcW w:w="626" w:type="pct"/>
            <w:vMerge w:val="restart"/>
            <w:vAlign w:val="center"/>
          </w:tcPr>
          <w:p w14:paraId="0825E031" w14:textId="77777777" w:rsidR="007176E5" w:rsidRPr="00B525C3" w:rsidRDefault="007176E5" w:rsidP="0054165A">
            <w:pPr>
              <w:pStyle w:val="Tabletext"/>
              <w:keepNext/>
              <w:widowControl w:val="0"/>
              <w:jc w:val="center"/>
              <w:rPr>
                <w:rFonts w:cs="Arial"/>
                <w:b/>
              </w:rPr>
            </w:pPr>
            <w:r w:rsidRPr="00B525C3">
              <w:rPr>
                <w:b/>
                <w:bCs/>
                <w:color w:val="000000" w:themeColor="text1"/>
              </w:rPr>
              <w:t>Concept ID</w:t>
            </w:r>
            <w:r w:rsidRPr="00B525C3">
              <w:rPr>
                <w:color w:val="333333"/>
              </w:rPr>
              <w:t xml:space="preserve"> – for Dept. use</w:t>
            </w:r>
          </w:p>
        </w:tc>
        <w:tc>
          <w:tcPr>
            <w:tcW w:w="4374" w:type="pct"/>
          </w:tcPr>
          <w:p w14:paraId="301670D3" w14:textId="77777777" w:rsidR="007176E5" w:rsidRPr="00B525C3" w:rsidRDefault="007176E5" w:rsidP="0054165A">
            <w:pPr>
              <w:pStyle w:val="Tabletext"/>
              <w:keepNext/>
              <w:widowControl w:val="0"/>
            </w:pPr>
            <w:r w:rsidRPr="00B525C3">
              <w:rPr>
                <w:rFonts w:cs="Arial"/>
                <w:b/>
              </w:rPr>
              <w:t xml:space="preserve">Category / Program: </w:t>
            </w:r>
            <w:r w:rsidRPr="00B525C3">
              <w:rPr>
                <w:rFonts w:cs="Arial"/>
              </w:rPr>
              <w:t xml:space="preserve">GENERAL – General Schedule (Code GE) </w:t>
            </w:r>
          </w:p>
        </w:tc>
      </w:tr>
      <w:tr w:rsidR="007176E5" w:rsidRPr="00B525C3" w14:paraId="06A9B61F" w14:textId="77777777" w:rsidTr="0054165A">
        <w:tc>
          <w:tcPr>
            <w:tcW w:w="626" w:type="pct"/>
            <w:vMerge/>
            <w:vAlign w:val="center"/>
          </w:tcPr>
          <w:p w14:paraId="71F5CE87" w14:textId="77777777" w:rsidR="007176E5" w:rsidRPr="00B525C3" w:rsidRDefault="007176E5" w:rsidP="0054165A">
            <w:pPr>
              <w:pStyle w:val="Tabletext"/>
              <w:keepNext/>
              <w:widowControl w:val="0"/>
              <w:jc w:val="center"/>
              <w:rPr>
                <w:rFonts w:cs="Arial"/>
                <w:b/>
              </w:rPr>
            </w:pPr>
          </w:p>
        </w:tc>
        <w:tc>
          <w:tcPr>
            <w:tcW w:w="4374" w:type="pct"/>
          </w:tcPr>
          <w:p w14:paraId="7E00FAFD" w14:textId="77777777" w:rsidR="007176E5" w:rsidRPr="00B525C3" w:rsidRDefault="007176E5" w:rsidP="0054165A">
            <w:pPr>
              <w:pStyle w:val="Tabletext"/>
              <w:keepNext/>
              <w:widowControl w:val="0"/>
            </w:pPr>
            <w:r w:rsidRPr="00B525C3">
              <w:rPr>
                <w:rFonts w:cs="Arial"/>
                <w:b/>
              </w:rPr>
              <w:t xml:space="preserve">Prescriber type: </w:t>
            </w:r>
            <w:r w:rsidRPr="00B525C3">
              <w:rPr>
                <w:rFonts w:cs="Arial"/>
              </w:rPr>
              <w:fldChar w:fldCharType="begin" w:fldLock="1">
                <w:ffData>
                  <w:name w:val=""/>
                  <w:enabled/>
                  <w:calcOnExit w:val="0"/>
                  <w:checkBox>
                    <w:sizeAuto/>
                    <w:default w:val="1"/>
                  </w:checkBox>
                </w:ffData>
              </w:fldChar>
            </w:r>
            <w:r w:rsidRPr="00B525C3">
              <w:rPr>
                <w:rFonts w:cs="Arial"/>
              </w:rPr>
              <w:instrText xml:space="preserve"> FORMCHECKBOX </w:instrText>
            </w:r>
            <w:r w:rsidRPr="00B525C3">
              <w:rPr>
                <w:rFonts w:cs="Arial"/>
              </w:rPr>
            </w:r>
            <w:r w:rsidRPr="00B525C3">
              <w:rPr>
                <w:rFonts w:cs="Arial"/>
              </w:rPr>
              <w:fldChar w:fldCharType="separate"/>
            </w:r>
            <w:r w:rsidRPr="00B525C3">
              <w:rPr>
                <w:rFonts w:cs="Arial"/>
              </w:rPr>
              <w:fldChar w:fldCharType="end"/>
            </w:r>
            <w:r w:rsidRPr="00B525C3">
              <w:rPr>
                <w:rFonts w:cs="Arial"/>
              </w:rPr>
              <w:t xml:space="preserve"> Medical Practitioners </w:t>
            </w:r>
          </w:p>
        </w:tc>
      </w:tr>
      <w:tr w:rsidR="007176E5" w:rsidRPr="00B525C3" w14:paraId="60C8E9D6" w14:textId="77777777" w:rsidTr="0054165A">
        <w:tc>
          <w:tcPr>
            <w:tcW w:w="626" w:type="pct"/>
            <w:vMerge/>
            <w:vAlign w:val="center"/>
          </w:tcPr>
          <w:p w14:paraId="37BC80A1" w14:textId="77777777" w:rsidR="007176E5" w:rsidRPr="00B525C3" w:rsidRDefault="007176E5" w:rsidP="0054165A">
            <w:pPr>
              <w:pStyle w:val="Tabletext"/>
              <w:keepNext/>
              <w:widowControl w:val="0"/>
              <w:jc w:val="center"/>
              <w:rPr>
                <w:rFonts w:cs="Arial"/>
                <w:b/>
              </w:rPr>
            </w:pPr>
          </w:p>
        </w:tc>
        <w:tc>
          <w:tcPr>
            <w:tcW w:w="4374" w:type="pct"/>
          </w:tcPr>
          <w:p w14:paraId="559F7143" w14:textId="77777777" w:rsidR="007176E5" w:rsidRPr="00B525C3" w:rsidRDefault="007176E5" w:rsidP="0054165A">
            <w:pPr>
              <w:pStyle w:val="Tabletext"/>
              <w:keepNext/>
              <w:widowControl w:val="0"/>
            </w:pPr>
            <w:r w:rsidRPr="00B525C3">
              <w:rPr>
                <w:rFonts w:cs="Arial"/>
                <w:b/>
              </w:rPr>
              <w:t xml:space="preserve">Restriction type: </w:t>
            </w:r>
            <w:r w:rsidRPr="00B525C3">
              <w:rPr>
                <w:rFonts w:eastAsia="Calibri" w:cs="Arial"/>
              </w:rPr>
              <w:fldChar w:fldCharType="begin" w:fldLock="1">
                <w:ffData>
                  <w:name w:val=""/>
                  <w:enabled/>
                  <w:calcOnExit w:val="0"/>
                  <w:checkBox>
                    <w:sizeAuto/>
                    <w:default w:val="1"/>
                  </w:checkBox>
                </w:ffData>
              </w:fldChar>
            </w:r>
            <w:r w:rsidRPr="00B525C3">
              <w:rPr>
                <w:rFonts w:eastAsia="Calibri" w:cs="Arial"/>
              </w:rPr>
              <w:instrText xml:space="preserve"> FORMCHECKBOX </w:instrText>
            </w:r>
            <w:r w:rsidRPr="00B525C3">
              <w:rPr>
                <w:rFonts w:eastAsia="Calibri" w:cs="Arial"/>
              </w:rPr>
            </w:r>
            <w:r w:rsidRPr="00B525C3">
              <w:rPr>
                <w:rFonts w:eastAsia="Calibri" w:cs="Arial"/>
              </w:rPr>
              <w:fldChar w:fldCharType="separate"/>
            </w:r>
            <w:r w:rsidRPr="00B525C3">
              <w:rPr>
                <w:rFonts w:eastAsia="Calibri" w:cs="Arial"/>
              </w:rPr>
              <w:fldChar w:fldCharType="end"/>
            </w:r>
            <w:r w:rsidRPr="00B525C3">
              <w:rPr>
                <w:rFonts w:eastAsia="Calibri" w:cs="Arial"/>
              </w:rPr>
              <w:t xml:space="preserve"> Authority Required (in writing only via post/HPOS upload)</w:t>
            </w:r>
          </w:p>
        </w:tc>
      </w:tr>
      <w:tr w:rsidR="007176E5" w:rsidRPr="00B525C3" w14:paraId="64392DA0" w14:textId="77777777" w:rsidTr="0054165A">
        <w:tc>
          <w:tcPr>
            <w:tcW w:w="626" w:type="pct"/>
            <w:vAlign w:val="center"/>
          </w:tcPr>
          <w:p w14:paraId="16BF900F" w14:textId="77777777" w:rsidR="007176E5" w:rsidRPr="00B525C3" w:rsidRDefault="007176E5" w:rsidP="0054165A">
            <w:pPr>
              <w:pStyle w:val="Tabletext"/>
              <w:keepNext/>
              <w:widowControl w:val="0"/>
              <w:jc w:val="center"/>
            </w:pPr>
          </w:p>
        </w:tc>
        <w:tc>
          <w:tcPr>
            <w:tcW w:w="4374" w:type="pct"/>
          </w:tcPr>
          <w:p w14:paraId="4E0656B5" w14:textId="77777777" w:rsidR="007176E5" w:rsidRPr="00B525C3" w:rsidRDefault="007176E5" w:rsidP="0054165A">
            <w:pPr>
              <w:pStyle w:val="Tabletext"/>
              <w:keepNext/>
              <w:widowControl w:val="0"/>
            </w:pPr>
          </w:p>
        </w:tc>
      </w:tr>
      <w:tr w:rsidR="007176E5" w:rsidRPr="00B525C3" w14:paraId="3A5C669A" w14:textId="77777777" w:rsidTr="0054165A">
        <w:tc>
          <w:tcPr>
            <w:tcW w:w="626" w:type="pct"/>
            <w:vAlign w:val="center"/>
          </w:tcPr>
          <w:p w14:paraId="00984518" w14:textId="3CB36870" w:rsidR="007176E5" w:rsidRPr="00B525C3" w:rsidRDefault="007176E5" w:rsidP="0054165A">
            <w:pPr>
              <w:pStyle w:val="Tabletext"/>
              <w:keepNext/>
              <w:widowControl w:val="0"/>
              <w:jc w:val="center"/>
              <w:rPr>
                <w:b/>
                <w:bCs/>
              </w:rPr>
            </w:pPr>
          </w:p>
        </w:tc>
        <w:tc>
          <w:tcPr>
            <w:tcW w:w="4374" w:type="pct"/>
          </w:tcPr>
          <w:p w14:paraId="6C9F67C2" w14:textId="77777777" w:rsidR="007176E5" w:rsidRPr="00B525C3" w:rsidRDefault="007176E5" w:rsidP="0054165A">
            <w:pPr>
              <w:pStyle w:val="Tabletext"/>
              <w:keepNext/>
              <w:widowControl w:val="0"/>
            </w:pPr>
            <w:r w:rsidRPr="00B525C3">
              <w:rPr>
                <w:b/>
                <w:bCs/>
              </w:rPr>
              <w:t xml:space="preserve">Administrative advice: </w:t>
            </w:r>
            <w:r w:rsidRPr="00B525C3">
              <w:t>No increase in the maximum number of repeats may be authorised.</w:t>
            </w:r>
          </w:p>
        </w:tc>
      </w:tr>
      <w:tr w:rsidR="007176E5" w:rsidRPr="00B525C3" w14:paraId="47673E99" w14:textId="77777777" w:rsidTr="0054165A">
        <w:tc>
          <w:tcPr>
            <w:tcW w:w="626" w:type="pct"/>
            <w:vAlign w:val="center"/>
          </w:tcPr>
          <w:p w14:paraId="05D90155" w14:textId="45E2C32A" w:rsidR="007176E5" w:rsidRPr="00B525C3" w:rsidRDefault="007176E5" w:rsidP="0054165A">
            <w:pPr>
              <w:pStyle w:val="Tabletext"/>
              <w:keepNext/>
              <w:widowControl w:val="0"/>
              <w:jc w:val="center"/>
              <w:rPr>
                <w:b/>
                <w:bCs/>
              </w:rPr>
            </w:pPr>
          </w:p>
        </w:tc>
        <w:tc>
          <w:tcPr>
            <w:tcW w:w="4374" w:type="pct"/>
          </w:tcPr>
          <w:p w14:paraId="7114D61E" w14:textId="77777777" w:rsidR="007176E5" w:rsidRPr="00B525C3" w:rsidRDefault="007176E5" w:rsidP="0054165A">
            <w:pPr>
              <w:pStyle w:val="Tabletext"/>
              <w:keepNext/>
              <w:widowControl w:val="0"/>
            </w:pPr>
            <w:r w:rsidRPr="00B525C3">
              <w:rPr>
                <w:b/>
                <w:bCs/>
              </w:rPr>
              <w:t xml:space="preserve">Administrative advice: </w:t>
            </w:r>
            <w:r w:rsidRPr="00B525C3">
              <w:t>Special Pricing Arrangements apply.</w:t>
            </w:r>
          </w:p>
        </w:tc>
      </w:tr>
      <w:tr w:rsidR="007176E5" w:rsidRPr="00B525C3" w14:paraId="27986B0E" w14:textId="77777777" w:rsidTr="0054165A">
        <w:tc>
          <w:tcPr>
            <w:tcW w:w="626" w:type="pct"/>
            <w:vAlign w:val="center"/>
          </w:tcPr>
          <w:p w14:paraId="5ED95D9B" w14:textId="77777777" w:rsidR="007176E5" w:rsidRPr="00B525C3" w:rsidRDefault="007176E5" w:rsidP="0054165A">
            <w:pPr>
              <w:pStyle w:val="Tabletext"/>
              <w:keepNext/>
              <w:widowControl w:val="0"/>
              <w:jc w:val="center"/>
            </w:pPr>
          </w:p>
        </w:tc>
        <w:tc>
          <w:tcPr>
            <w:tcW w:w="4374" w:type="pct"/>
          </w:tcPr>
          <w:p w14:paraId="53E8DDF9" w14:textId="77777777" w:rsidR="007176E5" w:rsidRPr="00B525C3" w:rsidRDefault="007176E5" w:rsidP="0054165A">
            <w:pPr>
              <w:pStyle w:val="Tabletext"/>
              <w:keepNext/>
              <w:widowControl w:val="0"/>
            </w:pPr>
          </w:p>
        </w:tc>
      </w:tr>
      <w:tr w:rsidR="007176E5" w:rsidRPr="00B525C3" w14:paraId="631465C7" w14:textId="77777777" w:rsidTr="0054165A">
        <w:tc>
          <w:tcPr>
            <w:tcW w:w="626" w:type="pct"/>
            <w:vAlign w:val="center"/>
          </w:tcPr>
          <w:p w14:paraId="1D4FCA82" w14:textId="28C3EB91" w:rsidR="007176E5" w:rsidRPr="00B525C3" w:rsidRDefault="007176E5" w:rsidP="0054165A">
            <w:pPr>
              <w:pStyle w:val="Tabletext"/>
              <w:keepNext/>
              <w:widowControl w:val="0"/>
              <w:jc w:val="center"/>
              <w:rPr>
                <w:b/>
                <w:bCs/>
              </w:rPr>
            </w:pPr>
          </w:p>
        </w:tc>
        <w:tc>
          <w:tcPr>
            <w:tcW w:w="4374" w:type="pct"/>
          </w:tcPr>
          <w:p w14:paraId="1918AF93" w14:textId="77777777" w:rsidR="007176E5" w:rsidRPr="00B525C3" w:rsidRDefault="007176E5" w:rsidP="0054165A">
            <w:pPr>
              <w:pStyle w:val="Tabletext"/>
              <w:keepNext/>
              <w:widowControl w:val="0"/>
            </w:pPr>
            <w:r w:rsidRPr="00B525C3">
              <w:rPr>
                <w:b/>
                <w:bCs/>
              </w:rPr>
              <w:t>Indication:</w:t>
            </w:r>
            <w:r w:rsidRPr="00B525C3">
              <w:t xml:space="preserve"> Chronic treatment of hereditary angioedema Types 1 or 2</w:t>
            </w:r>
          </w:p>
        </w:tc>
      </w:tr>
      <w:tr w:rsidR="007176E5" w:rsidRPr="00B525C3" w14:paraId="7AF579AD" w14:textId="77777777" w:rsidTr="0054165A">
        <w:tc>
          <w:tcPr>
            <w:tcW w:w="626" w:type="pct"/>
            <w:vAlign w:val="center"/>
          </w:tcPr>
          <w:p w14:paraId="20917928" w14:textId="77777777" w:rsidR="007176E5" w:rsidRPr="00B525C3" w:rsidRDefault="007176E5" w:rsidP="0054165A">
            <w:pPr>
              <w:pStyle w:val="Tabletext"/>
              <w:keepNext/>
              <w:widowControl w:val="0"/>
              <w:jc w:val="center"/>
              <w:rPr>
                <w:b/>
                <w:bCs/>
              </w:rPr>
            </w:pPr>
          </w:p>
        </w:tc>
        <w:tc>
          <w:tcPr>
            <w:tcW w:w="4374" w:type="pct"/>
          </w:tcPr>
          <w:p w14:paraId="07E1C2A9" w14:textId="77777777" w:rsidR="007176E5" w:rsidRPr="00B525C3" w:rsidRDefault="007176E5" w:rsidP="0054165A">
            <w:pPr>
              <w:pStyle w:val="Tabletext"/>
              <w:keepNext/>
              <w:widowControl w:val="0"/>
              <w:rPr>
                <w:i/>
                <w:iCs/>
              </w:rPr>
            </w:pPr>
            <w:r w:rsidRPr="00B525C3">
              <w:rPr>
                <w:b/>
                <w:bCs/>
              </w:rPr>
              <w:t xml:space="preserve">Treatment Phase: </w:t>
            </w:r>
            <w:r w:rsidRPr="00B525C3">
              <w:rPr>
                <w:strike/>
              </w:rPr>
              <w:t>Initial 2: New patient (Grandfather provision)</w:t>
            </w:r>
            <w:r w:rsidRPr="00B525C3">
              <w:rPr>
                <w:b/>
                <w:bCs/>
              </w:rPr>
              <w:t xml:space="preserve"> </w:t>
            </w:r>
            <w:r w:rsidRPr="00B525C3">
              <w:rPr>
                <w:i/>
                <w:iCs/>
              </w:rPr>
              <w:t>Transitioning from non-PBS to PBS-subsidised treatment – Grandfather arrangements</w:t>
            </w:r>
          </w:p>
        </w:tc>
      </w:tr>
      <w:tr w:rsidR="007176E5" w:rsidRPr="00B525C3" w14:paraId="78DBA43A" w14:textId="77777777" w:rsidTr="0054165A">
        <w:tc>
          <w:tcPr>
            <w:tcW w:w="626" w:type="pct"/>
            <w:vAlign w:val="center"/>
          </w:tcPr>
          <w:p w14:paraId="3649C91A" w14:textId="77777777" w:rsidR="007176E5" w:rsidRPr="00B525C3" w:rsidRDefault="007176E5" w:rsidP="0054165A">
            <w:pPr>
              <w:pStyle w:val="Tabletext"/>
              <w:keepNext/>
              <w:widowControl w:val="0"/>
              <w:jc w:val="center"/>
              <w:rPr>
                <w:b/>
                <w:bCs/>
              </w:rPr>
            </w:pPr>
          </w:p>
        </w:tc>
        <w:tc>
          <w:tcPr>
            <w:tcW w:w="4374" w:type="pct"/>
          </w:tcPr>
          <w:p w14:paraId="47B4A99C" w14:textId="77777777" w:rsidR="007176E5" w:rsidRPr="00B525C3" w:rsidRDefault="007176E5" w:rsidP="0054165A">
            <w:pPr>
              <w:pStyle w:val="Tabletext"/>
              <w:keepNext/>
              <w:widowControl w:val="0"/>
              <w:rPr>
                <w:b/>
                <w:bCs/>
              </w:rPr>
            </w:pPr>
            <w:r w:rsidRPr="00B525C3">
              <w:rPr>
                <w:b/>
                <w:bCs/>
              </w:rPr>
              <w:t xml:space="preserve">Clinical criteria: </w:t>
            </w:r>
          </w:p>
        </w:tc>
      </w:tr>
      <w:tr w:rsidR="007176E5" w:rsidRPr="00B525C3" w14:paraId="33D94DCE" w14:textId="77777777" w:rsidTr="0054165A">
        <w:tc>
          <w:tcPr>
            <w:tcW w:w="626" w:type="pct"/>
            <w:vAlign w:val="center"/>
          </w:tcPr>
          <w:p w14:paraId="1D384E1E" w14:textId="7EDBA03E" w:rsidR="007176E5" w:rsidRPr="00B525C3" w:rsidRDefault="007176E5" w:rsidP="0054165A">
            <w:pPr>
              <w:pStyle w:val="Tabletext"/>
              <w:keepNext/>
              <w:widowControl w:val="0"/>
              <w:jc w:val="center"/>
            </w:pPr>
          </w:p>
        </w:tc>
        <w:tc>
          <w:tcPr>
            <w:tcW w:w="4374" w:type="pct"/>
          </w:tcPr>
          <w:p w14:paraId="141990EB" w14:textId="77777777" w:rsidR="007176E5" w:rsidRPr="00B525C3" w:rsidRDefault="007176E5" w:rsidP="0054165A">
            <w:pPr>
              <w:pStyle w:val="Tabletext"/>
              <w:keepNext/>
              <w:widowControl w:val="0"/>
            </w:pPr>
            <w:r w:rsidRPr="00B525C3">
              <w:t xml:space="preserve">Patient must have previously received non-PBS subsidised treatment with this drug </w:t>
            </w:r>
            <w:r w:rsidRPr="00B525C3">
              <w:rPr>
                <w:i/>
                <w:iCs/>
              </w:rPr>
              <w:t xml:space="preserve">for this PBS indication </w:t>
            </w:r>
            <w:r w:rsidRPr="00B525C3">
              <w:rPr>
                <w:strike/>
              </w:rPr>
              <w:t>as routine prophylaxis for HAE</w:t>
            </w:r>
            <w:r w:rsidRPr="00B525C3">
              <w:t xml:space="preserve"> prior to </w:t>
            </w:r>
            <w:r w:rsidRPr="00B525C3">
              <w:rPr>
                <w:i/>
                <w:iCs/>
              </w:rPr>
              <w:t xml:space="preserve">[PBS listing date] </w:t>
            </w:r>
            <w:r w:rsidRPr="00B525C3">
              <w:rPr>
                <w:strike/>
              </w:rPr>
              <w:t>[date to be determined]</w:t>
            </w:r>
            <w:r w:rsidRPr="00B525C3">
              <w:t xml:space="preserve">; </w:t>
            </w:r>
          </w:p>
        </w:tc>
      </w:tr>
      <w:tr w:rsidR="007176E5" w:rsidRPr="00B525C3" w14:paraId="7EAB2D23" w14:textId="77777777" w:rsidTr="0054165A">
        <w:tc>
          <w:tcPr>
            <w:tcW w:w="626" w:type="pct"/>
            <w:vAlign w:val="center"/>
          </w:tcPr>
          <w:p w14:paraId="328AA7C9" w14:textId="77777777" w:rsidR="007176E5" w:rsidRPr="00B525C3" w:rsidRDefault="007176E5" w:rsidP="0054165A">
            <w:pPr>
              <w:pStyle w:val="Tabletext"/>
              <w:keepNext/>
              <w:widowControl w:val="0"/>
              <w:jc w:val="center"/>
            </w:pPr>
          </w:p>
        </w:tc>
        <w:tc>
          <w:tcPr>
            <w:tcW w:w="4374" w:type="pct"/>
          </w:tcPr>
          <w:p w14:paraId="0C539C98" w14:textId="77777777" w:rsidR="007176E5" w:rsidRPr="00B525C3" w:rsidRDefault="007176E5" w:rsidP="0054165A">
            <w:pPr>
              <w:pStyle w:val="Tabletext"/>
              <w:keepNext/>
              <w:widowControl w:val="0"/>
            </w:pPr>
            <w:r w:rsidRPr="00B525C3">
              <w:t>AND</w:t>
            </w:r>
          </w:p>
        </w:tc>
      </w:tr>
      <w:tr w:rsidR="007176E5" w:rsidRPr="00B525C3" w14:paraId="5E18FE83" w14:textId="77777777" w:rsidTr="0054165A">
        <w:tc>
          <w:tcPr>
            <w:tcW w:w="626" w:type="pct"/>
            <w:vAlign w:val="center"/>
          </w:tcPr>
          <w:p w14:paraId="07EF8138" w14:textId="77777777" w:rsidR="007176E5" w:rsidRPr="00B525C3" w:rsidRDefault="007176E5" w:rsidP="0054165A">
            <w:pPr>
              <w:pStyle w:val="Tabletext"/>
              <w:keepNext/>
              <w:widowControl w:val="0"/>
              <w:jc w:val="center"/>
              <w:rPr>
                <w:b/>
                <w:bCs/>
              </w:rPr>
            </w:pPr>
          </w:p>
        </w:tc>
        <w:tc>
          <w:tcPr>
            <w:tcW w:w="4374" w:type="pct"/>
          </w:tcPr>
          <w:p w14:paraId="0A3CEB3B" w14:textId="77777777" w:rsidR="007176E5" w:rsidRPr="00B525C3" w:rsidRDefault="007176E5" w:rsidP="0054165A">
            <w:pPr>
              <w:pStyle w:val="Tabletext"/>
              <w:keepNext/>
              <w:widowControl w:val="0"/>
            </w:pPr>
            <w:r w:rsidRPr="00B525C3">
              <w:rPr>
                <w:b/>
                <w:bCs/>
              </w:rPr>
              <w:t>Clinical criteria:</w:t>
            </w:r>
          </w:p>
        </w:tc>
      </w:tr>
      <w:tr w:rsidR="007176E5" w:rsidRPr="00B525C3" w14:paraId="656CFCE9" w14:textId="77777777" w:rsidTr="0054165A">
        <w:tc>
          <w:tcPr>
            <w:tcW w:w="626" w:type="pct"/>
            <w:vAlign w:val="center"/>
          </w:tcPr>
          <w:p w14:paraId="7FE8DDC0" w14:textId="3C3E521D" w:rsidR="007176E5" w:rsidRPr="00B525C3" w:rsidRDefault="007176E5" w:rsidP="0054165A">
            <w:pPr>
              <w:pStyle w:val="Tabletext"/>
              <w:keepNext/>
              <w:widowControl w:val="0"/>
              <w:jc w:val="center"/>
            </w:pPr>
          </w:p>
        </w:tc>
        <w:tc>
          <w:tcPr>
            <w:tcW w:w="4374" w:type="pct"/>
          </w:tcPr>
          <w:p w14:paraId="238FF9C0" w14:textId="77777777" w:rsidR="007176E5" w:rsidRPr="00B525C3" w:rsidRDefault="007176E5" w:rsidP="0054165A">
            <w:pPr>
              <w:pStyle w:val="Tabletext"/>
              <w:keepNext/>
              <w:widowControl w:val="0"/>
            </w:pPr>
            <w:r w:rsidRPr="00B525C3">
              <w:t>Patient must have experienced at least one treated acute attack</w:t>
            </w:r>
            <w:r w:rsidRPr="00B525C3">
              <w:rPr>
                <w:strike/>
              </w:rPr>
              <w:t>s</w:t>
            </w:r>
            <w:r w:rsidRPr="00B525C3">
              <w:t xml:space="preserve"> of hereditary angioedema within the 3-month period prior to commencing treatment with this drug</w:t>
            </w:r>
            <w:r w:rsidRPr="00B525C3">
              <w:rPr>
                <w:i/>
                <w:iCs/>
              </w:rPr>
              <w:t xml:space="preserve"> for this PBS indication</w:t>
            </w:r>
            <w:r w:rsidRPr="00B525C3">
              <w:t xml:space="preserve">; </w:t>
            </w:r>
          </w:p>
        </w:tc>
      </w:tr>
      <w:tr w:rsidR="007176E5" w:rsidRPr="00B525C3" w14:paraId="03A69A7B" w14:textId="77777777" w:rsidTr="0054165A">
        <w:tc>
          <w:tcPr>
            <w:tcW w:w="626" w:type="pct"/>
            <w:vAlign w:val="center"/>
          </w:tcPr>
          <w:p w14:paraId="212F5F66" w14:textId="77777777" w:rsidR="007176E5" w:rsidRPr="00B525C3" w:rsidRDefault="007176E5" w:rsidP="0054165A">
            <w:pPr>
              <w:pStyle w:val="Tabletext"/>
              <w:keepNext/>
              <w:widowControl w:val="0"/>
              <w:jc w:val="center"/>
            </w:pPr>
          </w:p>
        </w:tc>
        <w:tc>
          <w:tcPr>
            <w:tcW w:w="4374" w:type="pct"/>
          </w:tcPr>
          <w:p w14:paraId="316B7CFC" w14:textId="77777777" w:rsidR="007176E5" w:rsidRPr="00B525C3" w:rsidRDefault="007176E5" w:rsidP="0054165A">
            <w:pPr>
              <w:pStyle w:val="Tabletext"/>
              <w:keepNext/>
              <w:widowControl w:val="0"/>
            </w:pPr>
            <w:r w:rsidRPr="00B525C3">
              <w:t>AND</w:t>
            </w:r>
          </w:p>
        </w:tc>
      </w:tr>
      <w:tr w:rsidR="007176E5" w:rsidRPr="00B525C3" w14:paraId="4D0A8A2F" w14:textId="77777777" w:rsidTr="0054165A">
        <w:tc>
          <w:tcPr>
            <w:tcW w:w="626" w:type="pct"/>
            <w:vAlign w:val="center"/>
          </w:tcPr>
          <w:p w14:paraId="29810660" w14:textId="3DE0E7EB" w:rsidR="007176E5" w:rsidRPr="00B525C3" w:rsidRDefault="007176E5" w:rsidP="0054165A">
            <w:pPr>
              <w:pStyle w:val="Tabletext"/>
              <w:keepNext/>
              <w:widowControl w:val="0"/>
              <w:jc w:val="center"/>
              <w:rPr>
                <w:b/>
                <w:bCs/>
              </w:rPr>
            </w:pPr>
          </w:p>
        </w:tc>
        <w:tc>
          <w:tcPr>
            <w:tcW w:w="4374" w:type="pct"/>
          </w:tcPr>
          <w:p w14:paraId="55DE525C" w14:textId="77777777" w:rsidR="007176E5" w:rsidRPr="00B525C3" w:rsidRDefault="007176E5" w:rsidP="0054165A">
            <w:pPr>
              <w:pStyle w:val="Tabletext"/>
              <w:keepNext/>
              <w:widowControl w:val="0"/>
            </w:pPr>
            <w:r w:rsidRPr="00B525C3">
              <w:rPr>
                <w:b/>
                <w:bCs/>
              </w:rPr>
              <w:t>Clinical criteria:</w:t>
            </w:r>
          </w:p>
        </w:tc>
      </w:tr>
      <w:tr w:rsidR="007176E5" w:rsidRPr="00B525C3" w14:paraId="2807A42E" w14:textId="77777777" w:rsidTr="0054165A">
        <w:tc>
          <w:tcPr>
            <w:tcW w:w="626" w:type="pct"/>
            <w:vAlign w:val="center"/>
          </w:tcPr>
          <w:p w14:paraId="28640318" w14:textId="782E03DA" w:rsidR="007176E5" w:rsidRPr="00B525C3" w:rsidRDefault="007176E5" w:rsidP="0054165A">
            <w:pPr>
              <w:pStyle w:val="Tabletext"/>
              <w:keepNext/>
              <w:widowControl w:val="0"/>
              <w:jc w:val="center"/>
            </w:pPr>
          </w:p>
        </w:tc>
        <w:tc>
          <w:tcPr>
            <w:tcW w:w="4374" w:type="pct"/>
          </w:tcPr>
          <w:p w14:paraId="1FD77747" w14:textId="77777777" w:rsidR="007176E5" w:rsidRPr="00B525C3" w:rsidRDefault="007176E5" w:rsidP="0054165A">
            <w:pPr>
              <w:pStyle w:val="Tabletext"/>
              <w:keepNext/>
              <w:widowControl w:val="0"/>
            </w:pPr>
            <w:r w:rsidRPr="00B525C3">
              <w:t>The treatment must not be used in combination with a C1-esterase inhibitor concentrate</w:t>
            </w:r>
          </w:p>
        </w:tc>
      </w:tr>
      <w:tr w:rsidR="007176E5" w:rsidRPr="00B525C3" w14:paraId="67B6DF68" w14:textId="77777777" w:rsidTr="0054165A">
        <w:tc>
          <w:tcPr>
            <w:tcW w:w="626" w:type="pct"/>
            <w:vAlign w:val="center"/>
          </w:tcPr>
          <w:p w14:paraId="483233D4" w14:textId="77777777" w:rsidR="007176E5" w:rsidRPr="00B525C3" w:rsidRDefault="007176E5" w:rsidP="0054165A">
            <w:pPr>
              <w:pStyle w:val="Tabletext"/>
              <w:keepNext/>
              <w:widowControl w:val="0"/>
              <w:jc w:val="center"/>
            </w:pPr>
          </w:p>
        </w:tc>
        <w:tc>
          <w:tcPr>
            <w:tcW w:w="4374" w:type="pct"/>
          </w:tcPr>
          <w:p w14:paraId="48FB31EB" w14:textId="77777777" w:rsidR="007176E5" w:rsidRPr="00B525C3" w:rsidRDefault="007176E5" w:rsidP="0054165A">
            <w:pPr>
              <w:pStyle w:val="Tabletext"/>
              <w:keepNext/>
              <w:widowControl w:val="0"/>
            </w:pPr>
            <w:r w:rsidRPr="00B525C3">
              <w:t>AND</w:t>
            </w:r>
          </w:p>
        </w:tc>
      </w:tr>
      <w:tr w:rsidR="007176E5" w:rsidRPr="00B525C3" w14:paraId="1DA0C5FA" w14:textId="77777777" w:rsidTr="0054165A">
        <w:tc>
          <w:tcPr>
            <w:tcW w:w="626" w:type="pct"/>
            <w:vAlign w:val="center"/>
          </w:tcPr>
          <w:p w14:paraId="6DA58D38" w14:textId="0FC96DFF" w:rsidR="007176E5" w:rsidRPr="00B525C3" w:rsidRDefault="007176E5" w:rsidP="0054165A">
            <w:pPr>
              <w:pStyle w:val="Tabletext"/>
              <w:keepNext/>
              <w:widowControl w:val="0"/>
              <w:jc w:val="center"/>
              <w:rPr>
                <w:b/>
                <w:bCs/>
              </w:rPr>
            </w:pPr>
          </w:p>
        </w:tc>
        <w:tc>
          <w:tcPr>
            <w:tcW w:w="4374" w:type="pct"/>
          </w:tcPr>
          <w:p w14:paraId="03278187" w14:textId="77777777" w:rsidR="007176E5" w:rsidRPr="00B525C3" w:rsidRDefault="007176E5" w:rsidP="0054165A">
            <w:pPr>
              <w:pStyle w:val="Tabletext"/>
              <w:keepNext/>
              <w:widowControl w:val="0"/>
              <w:rPr>
                <w:b/>
                <w:bCs/>
              </w:rPr>
            </w:pPr>
            <w:r w:rsidRPr="00B525C3">
              <w:rPr>
                <w:b/>
                <w:bCs/>
              </w:rPr>
              <w:t>Treatment criteria:</w:t>
            </w:r>
          </w:p>
        </w:tc>
      </w:tr>
      <w:tr w:rsidR="007176E5" w:rsidRPr="00B525C3" w14:paraId="1353667E" w14:textId="77777777" w:rsidTr="0054165A">
        <w:tc>
          <w:tcPr>
            <w:tcW w:w="626" w:type="pct"/>
            <w:vAlign w:val="center"/>
          </w:tcPr>
          <w:p w14:paraId="3BD7C890" w14:textId="3D8D81C4" w:rsidR="007176E5" w:rsidRPr="00B525C3" w:rsidRDefault="007176E5" w:rsidP="0054165A">
            <w:pPr>
              <w:pStyle w:val="Tabletext"/>
              <w:keepNext/>
              <w:widowControl w:val="0"/>
              <w:jc w:val="center"/>
            </w:pPr>
          </w:p>
        </w:tc>
        <w:tc>
          <w:tcPr>
            <w:tcW w:w="4374" w:type="pct"/>
          </w:tcPr>
          <w:p w14:paraId="60360464" w14:textId="77777777" w:rsidR="007176E5" w:rsidRPr="00B525C3" w:rsidRDefault="007176E5" w:rsidP="0054165A">
            <w:pPr>
              <w:pStyle w:val="Tabletext"/>
              <w:keepNext/>
              <w:widowControl w:val="0"/>
            </w:pPr>
            <w:r w:rsidRPr="00B525C3">
              <w:t>Must be treated by a clinical immunologist or a specialist allergist</w:t>
            </w:r>
          </w:p>
        </w:tc>
      </w:tr>
      <w:tr w:rsidR="007176E5" w:rsidRPr="00B525C3" w14:paraId="4CDEB316" w14:textId="77777777" w:rsidTr="0054165A">
        <w:tc>
          <w:tcPr>
            <w:tcW w:w="626" w:type="pct"/>
            <w:vAlign w:val="center"/>
          </w:tcPr>
          <w:p w14:paraId="018FB469" w14:textId="77777777" w:rsidR="007176E5" w:rsidRPr="00B525C3" w:rsidRDefault="007176E5" w:rsidP="0054165A">
            <w:pPr>
              <w:pStyle w:val="Tabletext"/>
              <w:keepNext/>
              <w:widowControl w:val="0"/>
              <w:jc w:val="center"/>
              <w:rPr>
                <w:b/>
                <w:bCs/>
              </w:rPr>
            </w:pPr>
          </w:p>
        </w:tc>
        <w:tc>
          <w:tcPr>
            <w:tcW w:w="4374" w:type="pct"/>
          </w:tcPr>
          <w:p w14:paraId="0108E24F" w14:textId="77777777" w:rsidR="007176E5" w:rsidRPr="00B525C3" w:rsidRDefault="007176E5" w:rsidP="0054165A">
            <w:pPr>
              <w:pStyle w:val="Tabletext"/>
              <w:keepNext/>
              <w:widowControl w:val="0"/>
              <w:rPr>
                <w:b/>
                <w:bCs/>
              </w:rPr>
            </w:pPr>
            <w:r w:rsidRPr="00B525C3">
              <w:rPr>
                <w:b/>
                <w:bCs/>
              </w:rPr>
              <w:t>Population criteria:</w:t>
            </w:r>
          </w:p>
        </w:tc>
      </w:tr>
      <w:tr w:rsidR="007176E5" w:rsidRPr="00B525C3" w14:paraId="5FFA66AF" w14:textId="77777777" w:rsidTr="0054165A">
        <w:tc>
          <w:tcPr>
            <w:tcW w:w="626" w:type="pct"/>
            <w:vAlign w:val="center"/>
          </w:tcPr>
          <w:p w14:paraId="168935C9" w14:textId="0508908B" w:rsidR="007176E5" w:rsidRPr="00B525C3" w:rsidRDefault="007176E5" w:rsidP="0054165A">
            <w:pPr>
              <w:pStyle w:val="Tabletext"/>
              <w:keepNext/>
              <w:widowControl w:val="0"/>
              <w:jc w:val="center"/>
            </w:pPr>
          </w:p>
        </w:tc>
        <w:tc>
          <w:tcPr>
            <w:tcW w:w="4374" w:type="pct"/>
          </w:tcPr>
          <w:p w14:paraId="28E122A2" w14:textId="77777777" w:rsidR="007176E5" w:rsidRPr="00B525C3" w:rsidRDefault="007176E5" w:rsidP="0054165A">
            <w:pPr>
              <w:pStyle w:val="Tabletext"/>
              <w:keepNext/>
              <w:widowControl w:val="0"/>
              <w:rPr>
                <w:i/>
                <w:iCs/>
              </w:rPr>
            </w:pPr>
            <w:r w:rsidRPr="00B525C3">
              <w:t>Patient must be aged 2-11 years</w:t>
            </w:r>
            <w:r w:rsidRPr="00B525C3">
              <w:rPr>
                <w:i/>
                <w:iCs/>
              </w:rPr>
              <w:t xml:space="preserve"> inclusive</w:t>
            </w:r>
          </w:p>
        </w:tc>
      </w:tr>
      <w:tr w:rsidR="007176E5" w:rsidRPr="00B525C3" w14:paraId="613742EB" w14:textId="77777777" w:rsidTr="0054165A">
        <w:tc>
          <w:tcPr>
            <w:tcW w:w="626" w:type="pct"/>
            <w:vAlign w:val="center"/>
          </w:tcPr>
          <w:p w14:paraId="24422C81" w14:textId="349DCC36" w:rsidR="007176E5" w:rsidRPr="00B525C3" w:rsidRDefault="007176E5" w:rsidP="0054165A">
            <w:pPr>
              <w:pStyle w:val="Tabletext"/>
              <w:keepNext/>
              <w:widowControl w:val="0"/>
              <w:jc w:val="center"/>
              <w:rPr>
                <w:b/>
                <w:bCs/>
              </w:rPr>
            </w:pPr>
          </w:p>
        </w:tc>
        <w:tc>
          <w:tcPr>
            <w:tcW w:w="4374" w:type="pct"/>
          </w:tcPr>
          <w:p w14:paraId="19B21E0B" w14:textId="77777777" w:rsidR="007176E5" w:rsidRPr="00B525C3" w:rsidRDefault="007176E5" w:rsidP="0054165A">
            <w:pPr>
              <w:pStyle w:val="Tabletext"/>
              <w:keepNext/>
              <w:widowControl w:val="0"/>
            </w:pPr>
            <w:r w:rsidRPr="00B525C3">
              <w:rPr>
                <w:b/>
                <w:bCs/>
              </w:rPr>
              <w:t xml:space="preserve">Prescribing instructions: </w:t>
            </w:r>
            <w:r w:rsidRPr="00B525C3">
              <w:t>For the purposes of administering this restriction, acute attacks of hereditary angioedema are those of a severity necessitating immediate medical intervention with either (i) icatibant, or (ii) C1-esterase inhibitor concentrate.</w:t>
            </w:r>
          </w:p>
        </w:tc>
      </w:tr>
      <w:tr w:rsidR="007176E5" w:rsidRPr="00B525C3" w14:paraId="7A496A4A" w14:textId="77777777" w:rsidTr="0054165A">
        <w:tc>
          <w:tcPr>
            <w:tcW w:w="626" w:type="pct"/>
            <w:vAlign w:val="center"/>
          </w:tcPr>
          <w:p w14:paraId="200F10AF" w14:textId="356BAEE8" w:rsidR="007176E5" w:rsidRPr="00B525C3" w:rsidRDefault="007176E5" w:rsidP="0054165A">
            <w:pPr>
              <w:pStyle w:val="Tabletext"/>
              <w:keepNext/>
              <w:widowControl w:val="0"/>
              <w:jc w:val="center"/>
            </w:pPr>
          </w:p>
        </w:tc>
        <w:tc>
          <w:tcPr>
            <w:tcW w:w="4374" w:type="pct"/>
          </w:tcPr>
          <w:p w14:paraId="7CFFBED8" w14:textId="77777777" w:rsidR="007176E5" w:rsidRPr="00B525C3" w:rsidRDefault="007176E5" w:rsidP="0054165A">
            <w:pPr>
              <w:pStyle w:val="Tabletext"/>
              <w:keepNext/>
              <w:widowControl w:val="0"/>
            </w:pPr>
            <w:r w:rsidRPr="00B525C3">
              <w:rPr>
                <w:b/>
                <w:bCs/>
              </w:rPr>
              <w:t xml:space="preserve">Prescribing instructions: </w:t>
            </w:r>
            <w:r w:rsidRPr="00B525C3">
              <w:t xml:space="preserve">The baseline measurement of the number of treated acute attacks of hereditary angioedema within the 3 months prior to initiating </w:t>
            </w:r>
            <w:r w:rsidRPr="00B525C3">
              <w:rPr>
                <w:i/>
                <w:iCs/>
              </w:rPr>
              <w:t>non-PBS subsidised</w:t>
            </w:r>
            <w:r w:rsidRPr="00B525C3">
              <w:t xml:space="preserve"> treatment </w:t>
            </w:r>
            <w:r w:rsidRPr="00B525C3">
              <w:rPr>
                <w:i/>
                <w:iCs/>
              </w:rPr>
              <w:t>with this drug</w:t>
            </w:r>
            <w:r w:rsidRPr="00B525C3">
              <w:t xml:space="preserve"> must be provided at the time of </w:t>
            </w:r>
            <w:r w:rsidRPr="00B525C3">
              <w:rPr>
                <w:strike/>
              </w:rPr>
              <w:t>submitting</w:t>
            </w:r>
            <w:r w:rsidRPr="00B525C3">
              <w:t xml:space="preserve"> this application</w:t>
            </w:r>
          </w:p>
        </w:tc>
      </w:tr>
      <w:tr w:rsidR="007176E5" w:rsidRPr="00B525C3" w14:paraId="6F41B5F5" w14:textId="77777777" w:rsidTr="0054165A">
        <w:tc>
          <w:tcPr>
            <w:tcW w:w="626" w:type="pct"/>
            <w:vAlign w:val="center"/>
          </w:tcPr>
          <w:p w14:paraId="6D7F829B" w14:textId="3659E0CD" w:rsidR="007176E5" w:rsidRPr="00B525C3" w:rsidRDefault="007176E5" w:rsidP="0054165A">
            <w:pPr>
              <w:pStyle w:val="Tabletext"/>
              <w:keepNext/>
              <w:widowControl w:val="0"/>
              <w:jc w:val="center"/>
            </w:pPr>
          </w:p>
        </w:tc>
        <w:tc>
          <w:tcPr>
            <w:tcW w:w="4374" w:type="pct"/>
            <w:vAlign w:val="center"/>
          </w:tcPr>
          <w:p w14:paraId="4FC25989" w14:textId="77777777" w:rsidR="007176E5" w:rsidRPr="00B525C3" w:rsidRDefault="007176E5" w:rsidP="0054165A">
            <w:pPr>
              <w:keepNext/>
              <w:rPr>
                <w:rFonts w:ascii="Arial Narrow" w:hAnsi="Arial Narrow"/>
                <w:b/>
                <w:bCs/>
                <w:color w:val="333333"/>
                <w:sz w:val="20"/>
                <w:szCs w:val="20"/>
              </w:rPr>
            </w:pPr>
            <w:r w:rsidRPr="00B525C3">
              <w:rPr>
                <w:rFonts w:ascii="Arial Narrow" w:hAnsi="Arial Narrow"/>
                <w:b/>
                <w:bCs/>
                <w:color w:val="333333"/>
                <w:sz w:val="20"/>
                <w:szCs w:val="20"/>
              </w:rPr>
              <w:t>Administrative advice:</w:t>
            </w:r>
          </w:p>
          <w:p w14:paraId="6DF1C5E4" w14:textId="77777777" w:rsidR="007176E5" w:rsidRPr="00B525C3" w:rsidRDefault="007176E5" w:rsidP="0054165A">
            <w:pPr>
              <w:pStyle w:val="Tabletext"/>
              <w:keepNext/>
              <w:widowControl w:val="0"/>
              <w:rPr>
                <w:b/>
                <w:bCs/>
              </w:rPr>
            </w:pPr>
            <w:r w:rsidRPr="00B525C3">
              <w:rPr>
                <w:i/>
                <w:iCs/>
                <w:color w:val="333333"/>
              </w:rPr>
              <w:t xml:space="preserve">This grandfather restriction will cease to operate from 12 months after the date specified in the clinical criteria. </w:t>
            </w:r>
          </w:p>
        </w:tc>
      </w:tr>
      <w:tr w:rsidR="007176E5" w:rsidRPr="00B525C3" w14:paraId="08A0EEA4" w14:textId="77777777" w:rsidTr="0054165A">
        <w:tc>
          <w:tcPr>
            <w:tcW w:w="626" w:type="pct"/>
            <w:vAlign w:val="center"/>
          </w:tcPr>
          <w:p w14:paraId="46EE7B34" w14:textId="52F8CA2F" w:rsidR="007176E5" w:rsidRPr="00B525C3" w:rsidRDefault="007176E5" w:rsidP="0054165A">
            <w:pPr>
              <w:pStyle w:val="Tabletext"/>
              <w:keepNext/>
              <w:widowControl w:val="0"/>
              <w:jc w:val="center"/>
            </w:pPr>
          </w:p>
        </w:tc>
        <w:tc>
          <w:tcPr>
            <w:tcW w:w="4374" w:type="pct"/>
            <w:vAlign w:val="center"/>
          </w:tcPr>
          <w:p w14:paraId="45F955D4" w14:textId="77777777" w:rsidR="007176E5" w:rsidRPr="00B525C3" w:rsidRDefault="007176E5" w:rsidP="0054165A">
            <w:pPr>
              <w:keepNext/>
              <w:rPr>
                <w:rFonts w:ascii="Arial Narrow" w:hAnsi="Arial Narrow"/>
                <w:b/>
                <w:bCs/>
                <w:color w:val="333333"/>
                <w:sz w:val="20"/>
                <w:szCs w:val="20"/>
              </w:rPr>
            </w:pPr>
            <w:r w:rsidRPr="00B525C3">
              <w:rPr>
                <w:rFonts w:ascii="Arial Narrow" w:hAnsi="Arial Narrow"/>
                <w:b/>
                <w:bCs/>
                <w:color w:val="333333"/>
                <w:sz w:val="20"/>
                <w:szCs w:val="20"/>
              </w:rPr>
              <w:t>Administrative advice:</w:t>
            </w:r>
          </w:p>
          <w:p w14:paraId="095E7AFD" w14:textId="77777777" w:rsidR="007176E5" w:rsidRPr="00B525C3" w:rsidRDefault="007176E5" w:rsidP="0054165A">
            <w:pPr>
              <w:pStyle w:val="Tabletext"/>
              <w:keepNext/>
              <w:widowControl w:val="0"/>
              <w:rPr>
                <w:b/>
                <w:bCs/>
              </w:rPr>
            </w:pPr>
            <w:r w:rsidRPr="00B525C3">
              <w:rPr>
                <w:i/>
                <w:iCs/>
                <w:color w:val="333333"/>
              </w:rPr>
              <w:t xml:space="preserve">Patients may qualify for PBS-subsidised treatment under this restriction once only per eye. For continuing PBS-subsidised treatment, a ‘Grandfather’ patient must qualify under the ‘Continuing treatment’ criteria. </w:t>
            </w:r>
          </w:p>
        </w:tc>
      </w:tr>
      <w:tr w:rsidR="007176E5" w:rsidRPr="00B525C3" w14:paraId="2818CC9E" w14:textId="77777777" w:rsidTr="0054165A">
        <w:tc>
          <w:tcPr>
            <w:tcW w:w="626" w:type="pct"/>
            <w:vAlign w:val="center"/>
          </w:tcPr>
          <w:p w14:paraId="280975B3" w14:textId="25CE14CE" w:rsidR="007176E5" w:rsidRPr="00B525C3" w:rsidRDefault="007176E5" w:rsidP="0054165A">
            <w:pPr>
              <w:pStyle w:val="Tabletext"/>
              <w:widowControl w:val="0"/>
              <w:jc w:val="center"/>
            </w:pPr>
          </w:p>
        </w:tc>
        <w:tc>
          <w:tcPr>
            <w:tcW w:w="4374" w:type="pct"/>
          </w:tcPr>
          <w:p w14:paraId="0DF51E82" w14:textId="77777777" w:rsidR="007176E5" w:rsidRPr="00B525C3" w:rsidRDefault="007176E5" w:rsidP="0054165A">
            <w:pPr>
              <w:pStyle w:val="Tabletext"/>
              <w:widowControl w:val="0"/>
            </w:pPr>
            <w:r w:rsidRPr="00B525C3">
              <w:rPr>
                <w:b/>
                <w:bCs/>
              </w:rPr>
              <w:t>Administrative advice:</w:t>
            </w:r>
          </w:p>
          <w:p w14:paraId="0FA029D6" w14:textId="77777777" w:rsidR="007176E5" w:rsidRPr="00B525C3" w:rsidRDefault="007176E5" w:rsidP="0054165A">
            <w:pPr>
              <w:pStyle w:val="Tabletext"/>
              <w:widowControl w:val="0"/>
              <w:rPr>
                <w:i/>
                <w:iCs/>
              </w:rPr>
            </w:pPr>
            <w:r w:rsidRPr="00B525C3">
              <w:rPr>
                <w:i/>
                <w:iCs/>
              </w:rPr>
              <w:t>Any queries concerning the arrangements to prescribe may be directed to Services Australia on 1800 700 270 (hours of operation 8 a.m. to 5 p.m. Monday to Friday).</w:t>
            </w:r>
          </w:p>
          <w:p w14:paraId="0E71AA99" w14:textId="77777777" w:rsidR="007176E5" w:rsidRPr="00B525C3" w:rsidRDefault="007176E5" w:rsidP="0054165A">
            <w:pPr>
              <w:pStyle w:val="Tabletext"/>
              <w:widowControl w:val="0"/>
              <w:rPr>
                <w:i/>
                <w:iCs/>
              </w:rPr>
            </w:pPr>
            <w:r w:rsidRPr="00B525C3">
              <w:rPr>
                <w:i/>
                <w:iCs/>
              </w:rPr>
              <w:t>Prescribing information (including Authority Application forms and other relevant documentation as applicable) is available on the Services Australia website at www.servicesaustralia.gov.au</w:t>
            </w:r>
          </w:p>
          <w:p w14:paraId="39AA575F" w14:textId="77777777" w:rsidR="007176E5" w:rsidRPr="00B525C3" w:rsidRDefault="007176E5" w:rsidP="0054165A">
            <w:pPr>
              <w:pStyle w:val="Tabletext"/>
              <w:widowControl w:val="0"/>
              <w:rPr>
                <w:i/>
                <w:iCs/>
              </w:rPr>
            </w:pPr>
            <w:r w:rsidRPr="00B525C3">
              <w:rPr>
                <w:i/>
                <w:iCs/>
              </w:rPr>
              <w:t>Applications for authority to prescribe should be submitted online using the form upload facility in Health Professional Online Services (HPOS) at www.servicesaustralia.gov.au/hpos</w:t>
            </w:r>
          </w:p>
          <w:p w14:paraId="56E69C4B" w14:textId="77777777" w:rsidR="007176E5" w:rsidRPr="00B525C3" w:rsidRDefault="007176E5" w:rsidP="0054165A">
            <w:pPr>
              <w:pStyle w:val="Tabletext"/>
              <w:widowControl w:val="0"/>
              <w:rPr>
                <w:i/>
                <w:iCs/>
              </w:rPr>
            </w:pPr>
            <w:r w:rsidRPr="00B525C3">
              <w:rPr>
                <w:i/>
                <w:iCs/>
              </w:rPr>
              <w:t>Or mailed to:</w:t>
            </w:r>
          </w:p>
          <w:p w14:paraId="6806DFB5" w14:textId="77777777" w:rsidR="007176E5" w:rsidRPr="00B525C3" w:rsidRDefault="007176E5" w:rsidP="0054165A">
            <w:pPr>
              <w:pStyle w:val="Tabletext"/>
              <w:widowControl w:val="0"/>
              <w:rPr>
                <w:i/>
                <w:iCs/>
              </w:rPr>
            </w:pPr>
            <w:r w:rsidRPr="00B525C3">
              <w:rPr>
                <w:i/>
                <w:iCs/>
              </w:rPr>
              <w:t>Services Australia</w:t>
            </w:r>
          </w:p>
          <w:p w14:paraId="6AC10342" w14:textId="77777777" w:rsidR="007176E5" w:rsidRPr="00B525C3" w:rsidRDefault="007176E5" w:rsidP="0054165A">
            <w:pPr>
              <w:pStyle w:val="Tabletext"/>
              <w:widowControl w:val="0"/>
              <w:rPr>
                <w:i/>
                <w:iCs/>
              </w:rPr>
            </w:pPr>
            <w:r w:rsidRPr="00B525C3">
              <w:rPr>
                <w:i/>
                <w:iCs/>
              </w:rPr>
              <w:t>Complex Drugs</w:t>
            </w:r>
          </w:p>
          <w:p w14:paraId="09A6F962" w14:textId="77777777" w:rsidR="007176E5" w:rsidRPr="00B525C3" w:rsidRDefault="007176E5" w:rsidP="0054165A">
            <w:pPr>
              <w:pStyle w:val="Tabletext"/>
              <w:widowControl w:val="0"/>
              <w:rPr>
                <w:i/>
                <w:iCs/>
              </w:rPr>
            </w:pPr>
            <w:r w:rsidRPr="00B525C3">
              <w:rPr>
                <w:i/>
                <w:iCs/>
              </w:rPr>
              <w:t>Reply Paid 9826</w:t>
            </w:r>
          </w:p>
          <w:p w14:paraId="65B9E87C" w14:textId="77777777" w:rsidR="007176E5" w:rsidRPr="00B525C3" w:rsidRDefault="007176E5" w:rsidP="0054165A">
            <w:pPr>
              <w:pStyle w:val="Tabletext"/>
              <w:widowControl w:val="0"/>
            </w:pPr>
            <w:r w:rsidRPr="00B525C3">
              <w:rPr>
                <w:i/>
                <w:iCs/>
              </w:rPr>
              <w:t>HOBART TAS 7001</w:t>
            </w:r>
          </w:p>
        </w:tc>
      </w:tr>
    </w:tbl>
    <w:p w14:paraId="5A6E8EA2" w14:textId="77777777" w:rsidR="007176E5" w:rsidRPr="00B525C3" w:rsidRDefault="007176E5" w:rsidP="007176E5">
      <w:pPr>
        <w:widowControl w:val="0"/>
        <w:rPr>
          <w:rFonts w:eastAsia="Calibri" w:cs="Calibri"/>
        </w:rPr>
      </w:pPr>
    </w:p>
    <w:p w14:paraId="5E62B065" w14:textId="77777777" w:rsidR="007176E5" w:rsidRPr="00B525C3" w:rsidRDefault="007176E5" w:rsidP="007176E5">
      <w:pPr>
        <w:pStyle w:val="Caption"/>
        <w:widowControl w:val="0"/>
      </w:pPr>
      <w:r w:rsidRPr="00B525C3">
        <w:lastRenderedPageBreak/>
        <w:t>Continuing treatment</w:t>
      </w:r>
    </w:p>
    <w:p w14:paraId="0B1600D7" w14:textId="77777777" w:rsidR="007176E5" w:rsidRPr="00B525C3" w:rsidRDefault="007176E5" w:rsidP="007176E5">
      <w:pPr>
        <w:keepNext/>
        <w:rPr>
          <w:rFonts w:ascii="Arial Narrow" w:hAnsi="Arial Narrow"/>
          <w:b/>
          <w:bCs/>
          <w:sz w:val="20"/>
          <w:szCs w:val="20"/>
          <w:lang w:eastAsia="en-GB"/>
        </w:rPr>
      </w:pPr>
      <w:r w:rsidRPr="00B525C3">
        <w:rPr>
          <w:rFonts w:ascii="Arial Narrow" w:hAnsi="Arial Narrow"/>
          <w:b/>
          <w:bCs/>
          <w:sz w:val="20"/>
          <w:szCs w:val="20"/>
          <w:lang w:eastAsia="en-GB"/>
        </w:rPr>
        <w:t>Restriction Summary New/ ToC: New</w:t>
      </w:r>
    </w:p>
    <w:tbl>
      <w:tblPr>
        <w:tblStyle w:val="TableGrid"/>
        <w:tblW w:w="5000" w:type="pct"/>
        <w:tblLook w:val="04A0" w:firstRow="1" w:lastRow="0" w:firstColumn="1" w:lastColumn="0" w:noHBand="0" w:noVBand="1"/>
      </w:tblPr>
      <w:tblGrid>
        <w:gridCol w:w="1129"/>
        <w:gridCol w:w="7888"/>
      </w:tblGrid>
      <w:tr w:rsidR="007176E5" w:rsidRPr="00B525C3" w14:paraId="00460136" w14:textId="77777777" w:rsidTr="0054165A">
        <w:tc>
          <w:tcPr>
            <w:tcW w:w="626" w:type="pct"/>
            <w:vMerge w:val="restart"/>
            <w:vAlign w:val="center"/>
          </w:tcPr>
          <w:p w14:paraId="662AEC07" w14:textId="77777777" w:rsidR="007176E5" w:rsidRPr="00B525C3" w:rsidRDefault="007176E5" w:rsidP="0054165A">
            <w:pPr>
              <w:pStyle w:val="Tabletext"/>
              <w:keepNext/>
              <w:widowControl w:val="0"/>
              <w:jc w:val="center"/>
              <w:rPr>
                <w:rFonts w:cs="Arial"/>
                <w:b/>
              </w:rPr>
            </w:pPr>
            <w:r w:rsidRPr="00B525C3">
              <w:rPr>
                <w:b/>
                <w:bCs/>
                <w:color w:val="000000" w:themeColor="text1"/>
              </w:rPr>
              <w:t>Concept ID</w:t>
            </w:r>
            <w:r w:rsidRPr="00B525C3">
              <w:rPr>
                <w:color w:val="333333"/>
              </w:rPr>
              <w:t xml:space="preserve"> – for Dept. use</w:t>
            </w:r>
          </w:p>
        </w:tc>
        <w:tc>
          <w:tcPr>
            <w:tcW w:w="4374" w:type="pct"/>
          </w:tcPr>
          <w:p w14:paraId="17ADC407" w14:textId="77777777" w:rsidR="007176E5" w:rsidRPr="00B525C3" w:rsidRDefault="007176E5" w:rsidP="0054165A">
            <w:pPr>
              <w:pStyle w:val="Tabletext"/>
              <w:keepNext/>
              <w:widowControl w:val="0"/>
            </w:pPr>
            <w:r w:rsidRPr="00B525C3">
              <w:rPr>
                <w:rFonts w:cs="Arial"/>
                <w:b/>
              </w:rPr>
              <w:t xml:space="preserve">Category / Program: </w:t>
            </w:r>
            <w:r w:rsidRPr="00B525C3">
              <w:rPr>
                <w:rFonts w:cs="Arial"/>
              </w:rPr>
              <w:t xml:space="preserve">GENERAL – General Schedule (Code GE) </w:t>
            </w:r>
          </w:p>
        </w:tc>
      </w:tr>
      <w:tr w:rsidR="007176E5" w:rsidRPr="00B525C3" w14:paraId="1EC519C1" w14:textId="77777777" w:rsidTr="0054165A">
        <w:tc>
          <w:tcPr>
            <w:tcW w:w="626" w:type="pct"/>
            <w:vMerge/>
            <w:vAlign w:val="center"/>
          </w:tcPr>
          <w:p w14:paraId="18A91EBB" w14:textId="77777777" w:rsidR="007176E5" w:rsidRPr="00B525C3" w:rsidRDefault="007176E5" w:rsidP="0054165A">
            <w:pPr>
              <w:pStyle w:val="Tabletext"/>
              <w:keepNext/>
              <w:widowControl w:val="0"/>
              <w:jc w:val="center"/>
              <w:rPr>
                <w:rFonts w:cs="Arial"/>
                <w:b/>
              </w:rPr>
            </w:pPr>
          </w:p>
        </w:tc>
        <w:tc>
          <w:tcPr>
            <w:tcW w:w="4374" w:type="pct"/>
          </w:tcPr>
          <w:p w14:paraId="2B0CA28F" w14:textId="77777777" w:rsidR="007176E5" w:rsidRPr="00B525C3" w:rsidRDefault="007176E5" w:rsidP="0054165A">
            <w:pPr>
              <w:pStyle w:val="Tabletext"/>
              <w:keepNext/>
              <w:widowControl w:val="0"/>
            </w:pPr>
            <w:r w:rsidRPr="00B525C3">
              <w:rPr>
                <w:rFonts w:cs="Arial"/>
                <w:b/>
              </w:rPr>
              <w:t xml:space="preserve">Prescriber type: </w:t>
            </w:r>
            <w:r w:rsidRPr="00B525C3">
              <w:rPr>
                <w:rFonts w:cs="Arial"/>
              </w:rPr>
              <w:fldChar w:fldCharType="begin" w:fldLock="1">
                <w:ffData>
                  <w:name w:val=""/>
                  <w:enabled/>
                  <w:calcOnExit w:val="0"/>
                  <w:checkBox>
                    <w:sizeAuto/>
                    <w:default w:val="1"/>
                  </w:checkBox>
                </w:ffData>
              </w:fldChar>
            </w:r>
            <w:r w:rsidRPr="00B525C3">
              <w:rPr>
                <w:rFonts w:cs="Arial"/>
              </w:rPr>
              <w:instrText xml:space="preserve"> FORMCHECKBOX </w:instrText>
            </w:r>
            <w:r w:rsidRPr="00B525C3">
              <w:rPr>
                <w:rFonts w:cs="Arial"/>
              </w:rPr>
            </w:r>
            <w:r w:rsidRPr="00B525C3">
              <w:rPr>
                <w:rFonts w:cs="Arial"/>
              </w:rPr>
              <w:fldChar w:fldCharType="separate"/>
            </w:r>
            <w:r w:rsidRPr="00B525C3">
              <w:rPr>
                <w:rFonts w:cs="Arial"/>
              </w:rPr>
              <w:fldChar w:fldCharType="end"/>
            </w:r>
            <w:r w:rsidRPr="00B525C3">
              <w:rPr>
                <w:rFonts w:cs="Arial"/>
              </w:rPr>
              <w:t xml:space="preserve"> Medical Practitioners </w:t>
            </w:r>
          </w:p>
        </w:tc>
      </w:tr>
      <w:tr w:rsidR="007176E5" w:rsidRPr="00B525C3" w14:paraId="5DC3B545" w14:textId="77777777" w:rsidTr="0054165A">
        <w:tc>
          <w:tcPr>
            <w:tcW w:w="626" w:type="pct"/>
            <w:vMerge/>
            <w:vAlign w:val="center"/>
          </w:tcPr>
          <w:p w14:paraId="0A79C9F2" w14:textId="77777777" w:rsidR="007176E5" w:rsidRPr="00B525C3" w:rsidRDefault="007176E5" w:rsidP="0054165A">
            <w:pPr>
              <w:pStyle w:val="Tabletext"/>
              <w:keepNext/>
              <w:widowControl w:val="0"/>
              <w:jc w:val="center"/>
              <w:rPr>
                <w:rFonts w:cs="Arial"/>
                <w:b/>
              </w:rPr>
            </w:pPr>
          </w:p>
        </w:tc>
        <w:tc>
          <w:tcPr>
            <w:tcW w:w="4374" w:type="pct"/>
          </w:tcPr>
          <w:p w14:paraId="7D4511AB" w14:textId="77777777" w:rsidR="007176E5" w:rsidRPr="00B525C3" w:rsidRDefault="007176E5" w:rsidP="0054165A">
            <w:pPr>
              <w:pStyle w:val="Tabletext"/>
              <w:keepNext/>
              <w:widowControl w:val="0"/>
            </w:pPr>
            <w:r w:rsidRPr="00B525C3">
              <w:rPr>
                <w:rFonts w:cs="Arial"/>
                <w:b/>
              </w:rPr>
              <w:t xml:space="preserve">Restriction type: </w:t>
            </w:r>
            <w:r w:rsidRPr="00B525C3">
              <w:rPr>
                <w:rFonts w:eastAsia="Calibri" w:cs="Arial"/>
              </w:rPr>
              <w:fldChar w:fldCharType="begin" w:fldLock="1">
                <w:ffData>
                  <w:name w:val=""/>
                  <w:enabled/>
                  <w:calcOnExit w:val="0"/>
                  <w:checkBox>
                    <w:sizeAuto/>
                    <w:default w:val="1"/>
                  </w:checkBox>
                </w:ffData>
              </w:fldChar>
            </w:r>
            <w:r w:rsidRPr="00B525C3">
              <w:rPr>
                <w:rFonts w:eastAsia="Calibri" w:cs="Arial"/>
              </w:rPr>
              <w:instrText xml:space="preserve"> FORMCHECKBOX </w:instrText>
            </w:r>
            <w:r w:rsidRPr="00B525C3">
              <w:rPr>
                <w:rFonts w:eastAsia="Calibri" w:cs="Arial"/>
              </w:rPr>
            </w:r>
            <w:r w:rsidRPr="00B525C3">
              <w:rPr>
                <w:rFonts w:eastAsia="Calibri" w:cs="Arial"/>
              </w:rPr>
              <w:fldChar w:fldCharType="separate"/>
            </w:r>
            <w:r w:rsidRPr="00B525C3">
              <w:rPr>
                <w:rFonts w:eastAsia="Calibri" w:cs="Arial"/>
              </w:rPr>
              <w:fldChar w:fldCharType="end"/>
            </w:r>
            <w:r w:rsidRPr="00B525C3">
              <w:rPr>
                <w:rFonts w:eastAsia="Calibri" w:cs="Arial"/>
              </w:rPr>
              <w:t xml:space="preserve"> Authority Required (</w:t>
            </w:r>
            <w:r w:rsidRPr="00B525C3">
              <w:rPr>
                <w:rFonts w:eastAsia="Calibri" w:cs="Arial"/>
                <w:strike/>
              </w:rPr>
              <w:t>in writing only via post/HPOS upload</w:t>
            </w:r>
            <w:r w:rsidRPr="00B525C3">
              <w:rPr>
                <w:rFonts w:eastAsia="Calibri" w:cs="Arial"/>
              </w:rPr>
              <w:t xml:space="preserve"> </w:t>
            </w:r>
            <w:r w:rsidRPr="00B525C3">
              <w:rPr>
                <w:rFonts w:eastAsia="Calibri" w:cs="Arial"/>
                <w:i/>
                <w:iCs/>
              </w:rPr>
              <w:t>telephone/online immediate assessment</w:t>
            </w:r>
            <w:r w:rsidRPr="00B525C3">
              <w:rPr>
                <w:rFonts w:eastAsia="Calibri" w:cs="Arial"/>
              </w:rPr>
              <w:t>)</w:t>
            </w:r>
          </w:p>
        </w:tc>
      </w:tr>
      <w:tr w:rsidR="007176E5" w:rsidRPr="00B525C3" w14:paraId="7CAE58E9" w14:textId="77777777" w:rsidTr="0054165A">
        <w:tc>
          <w:tcPr>
            <w:tcW w:w="626" w:type="pct"/>
            <w:vAlign w:val="center"/>
          </w:tcPr>
          <w:p w14:paraId="380E047D" w14:textId="77777777" w:rsidR="007176E5" w:rsidRPr="00B525C3" w:rsidRDefault="007176E5" w:rsidP="0054165A">
            <w:pPr>
              <w:pStyle w:val="Tabletext"/>
              <w:keepNext/>
              <w:widowControl w:val="0"/>
              <w:jc w:val="center"/>
            </w:pPr>
          </w:p>
        </w:tc>
        <w:tc>
          <w:tcPr>
            <w:tcW w:w="4374" w:type="pct"/>
          </w:tcPr>
          <w:p w14:paraId="0CCF02E2" w14:textId="77777777" w:rsidR="007176E5" w:rsidRPr="00B525C3" w:rsidRDefault="007176E5" w:rsidP="0054165A">
            <w:pPr>
              <w:pStyle w:val="Tabletext"/>
              <w:keepNext/>
              <w:widowControl w:val="0"/>
            </w:pPr>
          </w:p>
        </w:tc>
      </w:tr>
      <w:tr w:rsidR="007176E5" w:rsidRPr="00B525C3" w14:paraId="76AC1995" w14:textId="77777777" w:rsidTr="0054165A">
        <w:tc>
          <w:tcPr>
            <w:tcW w:w="626" w:type="pct"/>
            <w:vAlign w:val="center"/>
          </w:tcPr>
          <w:p w14:paraId="4795E76B" w14:textId="1F033F91" w:rsidR="007176E5" w:rsidRPr="00B525C3" w:rsidRDefault="007176E5" w:rsidP="0054165A">
            <w:pPr>
              <w:pStyle w:val="Tabletext"/>
              <w:keepNext/>
              <w:widowControl w:val="0"/>
              <w:jc w:val="center"/>
              <w:rPr>
                <w:b/>
                <w:bCs/>
              </w:rPr>
            </w:pPr>
          </w:p>
        </w:tc>
        <w:tc>
          <w:tcPr>
            <w:tcW w:w="4374" w:type="pct"/>
          </w:tcPr>
          <w:p w14:paraId="5CDBC89D" w14:textId="77777777" w:rsidR="007176E5" w:rsidRPr="00B525C3" w:rsidRDefault="007176E5" w:rsidP="0054165A">
            <w:pPr>
              <w:pStyle w:val="Tabletext"/>
              <w:keepNext/>
              <w:widowControl w:val="0"/>
            </w:pPr>
            <w:r w:rsidRPr="00B525C3">
              <w:rPr>
                <w:b/>
                <w:bCs/>
              </w:rPr>
              <w:t xml:space="preserve">Administrative advice: </w:t>
            </w:r>
            <w:r w:rsidRPr="00B525C3">
              <w:t>No increase in the maximum number of repeats may be authorised.</w:t>
            </w:r>
          </w:p>
        </w:tc>
      </w:tr>
      <w:tr w:rsidR="007176E5" w:rsidRPr="00B525C3" w14:paraId="3E952510" w14:textId="77777777" w:rsidTr="0054165A">
        <w:tc>
          <w:tcPr>
            <w:tcW w:w="626" w:type="pct"/>
            <w:vAlign w:val="center"/>
          </w:tcPr>
          <w:p w14:paraId="435E4E35" w14:textId="5AAA5AF7" w:rsidR="007176E5" w:rsidRPr="00B525C3" w:rsidRDefault="007176E5" w:rsidP="0054165A">
            <w:pPr>
              <w:pStyle w:val="Tabletext"/>
              <w:keepNext/>
              <w:widowControl w:val="0"/>
              <w:jc w:val="center"/>
              <w:rPr>
                <w:b/>
                <w:bCs/>
              </w:rPr>
            </w:pPr>
          </w:p>
        </w:tc>
        <w:tc>
          <w:tcPr>
            <w:tcW w:w="4374" w:type="pct"/>
          </w:tcPr>
          <w:p w14:paraId="13EB2272" w14:textId="77777777" w:rsidR="007176E5" w:rsidRPr="00B525C3" w:rsidRDefault="007176E5" w:rsidP="0054165A">
            <w:pPr>
              <w:pStyle w:val="Tabletext"/>
              <w:keepNext/>
              <w:widowControl w:val="0"/>
            </w:pPr>
            <w:r w:rsidRPr="00B525C3">
              <w:rPr>
                <w:b/>
                <w:bCs/>
              </w:rPr>
              <w:t xml:space="preserve">Administrative advice: </w:t>
            </w:r>
            <w:r w:rsidRPr="00B525C3">
              <w:t>Special Pricing Arrangements apply.</w:t>
            </w:r>
          </w:p>
        </w:tc>
      </w:tr>
      <w:tr w:rsidR="007176E5" w:rsidRPr="00B525C3" w14:paraId="63EA2015" w14:textId="77777777" w:rsidTr="0054165A">
        <w:tc>
          <w:tcPr>
            <w:tcW w:w="626" w:type="pct"/>
            <w:vAlign w:val="center"/>
          </w:tcPr>
          <w:p w14:paraId="7ABBB2BF" w14:textId="77777777" w:rsidR="007176E5" w:rsidRPr="00B525C3" w:rsidRDefault="007176E5" w:rsidP="0054165A">
            <w:pPr>
              <w:pStyle w:val="Tabletext"/>
              <w:keepNext/>
              <w:widowControl w:val="0"/>
              <w:jc w:val="center"/>
            </w:pPr>
          </w:p>
        </w:tc>
        <w:tc>
          <w:tcPr>
            <w:tcW w:w="4374" w:type="pct"/>
          </w:tcPr>
          <w:p w14:paraId="0DC544B9" w14:textId="77777777" w:rsidR="007176E5" w:rsidRPr="00B525C3" w:rsidRDefault="007176E5" w:rsidP="0054165A">
            <w:pPr>
              <w:pStyle w:val="Tabletext"/>
              <w:keepNext/>
              <w:widowControl w:val="0"/>
            </w:pPr>
          </w:p>
        </w:tc>
      </w:tr>
      <w:tr w:rsidR="007176E5" w:rsidRPr="00B525C3" w14:paraId="3D231565" w14:textId="77777777" w:rsidTr="0054165A">
        <w:tc>
          <w:tcPr>
            <w:tcW w:w="626" w:type="pct"/>
            <w:vAlign w:val="center"/>
          </w:tcPr>
          <w:p w14:paraId="27DDAC48" w14:textId="33B629A1" w:rsidR="007176E5" w:rsidRPr="00B525C3" w:rsidRDefault="007176E5" w:rsidP="0054165A">
            <w:pPr>
              <w:pStyle w:val="Tabletext"/>
              <w:keepNext/>
              <w:widowControl w:val="0"/>
              <w:jc w:val="center"/>
              <w:rPr>
                <w:b/>
                <w:bCs/>
              </w:rPr>
            </w:pPr>
          </w:p>
        </w:tc>
        <w:tc>
          <w:tcPr>
            <w:tcW w:w="4374" w:type="pct"/>
          </w:tcPr>
          <w:p w14:paraId="7E271A26" w14:textId="77777777" w:rsidR="007176E5" w:rsidRPr="00B525C3" w:rsidRDefault="007176E5" w:rsidP="0054165A">
            <w:pPr>
              <w:pStyle w:val="Tabletext"/>
              <w:keepNext/>
              <w:widowControl w:val="0"/>
            </w:pPr>
            <w:r w:rsidRPr="00B525C3">
              <w:rPr>
                <w:b/>
                <w:bCs/>
              </w:rPr>
              <w:t>Indication:</w:t>
            </w:r>
            <w:r w:rsidRPr="00B525C3">
              <w:t xml:space="preserve"> Chronic treatment of hereditary angioedema Types 1 or 2</w:t>
            </w:r>
          </w:p>
        </w:tc>
      </w:tr>
      <w:tr w:rsidR="007176E5" w:rsidRPr="00B525C3" w14:paraId="3E83681A" w14:textId="77777777" w:rsidTr="0054165A">
        <w:tc>
          <w:tcPr>
            <w:tcW w:w="626" w:type="pct"/>
            <w:vAlign w:val="center"/>
          </w:tcPr>
          <w:p w14:paraId="05F8AB9F" w14:textId="77777777" w:rsidR="007176E5" w:rsidRPr="00B525C3" w:rsidRDefault="007176E5" w:rsidP="0054165A">
            <w:pPr>
              <w:pStyle w:val="Tabletext"/>
              <w:keepNext/>
              <w:widowControl w:val="0"/>
              <w:jc w:val="center"/>
              <w:rPr>
                <w:b/>
                <w:bCs/>
              </w:rPr>
            </w:pPr>
          </w:p>
        </w:tc>
        <w:tc>
          <w:tcPr>
            <w:tcW w:w="4374" w:type="pct"/>
          </w:tcPr>
          <w:p w14:paraId="2FDCA3C4" w14:textId="77777777" w:rsidR="007176E5" w:rsidRPr="00B525C3" w:rsidRDefault="007176E5" w:rsidP="0054165A">
            <w:pPr>
              <w:pStyle w:val="Tabletext"/>
              <w:keepNext/>
              <w:widowControl w:val="0"/>
              <w:rPr>
                <w:b/>
                <w:bCs/>
              </w:rPr>
            </w:pPr>
            <w:r w:rsidRPr="00B525C3">
              <w:rPr>
                <w:b/>
                <w:bCs/>
              </w:rPr>
              <w:t xml:space="preserve">Treatment Phase: </w:t>
            </w:r>
            <w:r w:rsidRPr="00B525C3">
              <w:t>Continuing preventative treatment</w:t>
            </w:r>
            <w:r w:rsidRPr="00B525C3">
              <w:rPr>
                <w:b/>
                <w:bCs/>
              </w:rPr>
              <w:t xml:space="preserve"> </w:t>
            </w:r>
          </w:p>
        </w:tc>
      </w:tr>
      <w:tr w:rsidR="007176E5" w:rsidRPr="00B525C3" w14:paraId="3DBECE52" w14:textId="77777777" w:rsidTr="0054165A">
        <w:tc>
          <w:tcPr>
            <w:tcW w:w="626" w:type="pct"/>
            <w:vAlign w:val="center"/>
          </w:tcPr>
          <w:p w14:paraId="523D7560" w14:textId="6E67E34C" w:rsidR="007176E5" w:rsidRPr="00B525C3" w:rsidRDefault="007176E5" w:rsidP="0054165A">
            <w:pPr>
              <w:pStyle w:val="Tabletext"/>
              <w:keepNext/>
              <w:widowControl w:val="0"/>
              <w:jc w:val="center"/>
              <w:rPr>
                <w:highlight w:val="yellow"/>
              </w:rPr>
            </w:pPr>
          </w:p>
        </w:tc>
        <w:tc>
          <w:tcPr>
            <w:tcW w:w="4374" w:type="pct"/>
          </w:tcPr>
          <w:p w14:paraId="1ACCCC1A" w14:textId="77777777" w:rsidR="007176E5" w:rsidRPr="00B525C3" w:rsidRDefault="007176E5" w:rsidP="0054165A">
            <w:pPr>
              <w:pStyle w:val="Tabletext"/>
              <w:keepNext/>
              <w:widowControl w:val="0"/>
              <w:rPr>
                <w:b/>
                <w:bCs/>
              </w:rPr>
            </w:pPr>
            <w:r w:rsidRPr="00B525C3">
              <w:rPr>
                <w:b/>
                <w:bCs/>
              </w:rPr>
              <w:t xml:space="preserve">Clinical criteria: </w:t>
            </w:r>
          </w:p>
        </w:tc>
      </w:tr>
      <w:tr w:rsidR="007176E5" w:rsidRPr="00B525C3" w14:paraId="14D158F3" w14:textId="77777777" w:rsidTr="0054165A">
        <w:tc>
          <w:tcPr>
            <w:tcW w:w="626" w:type="pct"/>
            <w:vAlign w:val="center"/>
          </w:tcPr>
          <w:p w14:paraId="5BFE0790" w14:textId="2287C456" w:rsidR="007176E5" w:rsidRPr="00B525C3" w:rsidRDefault="007176E5" w:rsidP="0054165A">
            <w:pPr>
              <w:pStyle w:val="Tabletext"/>
              <w:keepNext/>
              <w:widowControl w:val="0"/>
              <w:jc w:val="center"/>
              <w:rPr>
                <w:highlight w:val="yellow"/>
              </w:rPr>
            </w:pPr>
          </w:p>
        </w:tc>
        <w:tc>
          <w:tcPr>
            <w:tcW w:w="4374" w:type="pct"/>
          </w:tcPr>
          <w:p w14:paraId="3B750F1B" w14:textId="77777777" w:rsidR="007176E5" w:rsidRPr="00B525C3" w:rsidRDefault="007176E5" w:rsidP="0054165A">
            <w:pPr>
              <w:pStyle w:val="Tabletext"/>
              <w:keepNext/>
              <w:widowControl w:val="0"/>
            </w:pPr>
            <w:r w:rsidRPr="00B525C3">
              <w:t>Patient must have previously received PBS-subsidised treatment with this drug for this condition</w:t>
            </w:r>
          </w:p>
        </w:tc>
      </w:tr>
      <w:tr w:rsidR="007176E5" w:rsidRPr="00B525C3" w14:paraId="3188E7A8" w14:textId="77777777" w:rsidTr="0054165A">
        <w:tc>
          <w:tcPr>
            <w:tcW w:w="626" w:type="pct"/>
            <w:vAlign w:val="center"/>
          </w:tcPr>
          <w:p w14:paraId="3E4E2976" w14:textId="77777777" w:rsidR="007176E5" w:rsidRPr="00B525C3" w:rsidRDefault="007176E5" w:rsidP="0054165A">
            <w:pPr>
              <w:pStyle w:val="Tabletext"/>
              <w:keepNext/>
              <w:widowControl w:val="0"/>
              <w:jc w:val="center"/>
            </w:pPr>
          </w:p>
        </w:tc>
        <w:tc>
          <w:tcPr>
            <w:tcW w:w="4374" w:type="pct"/>
          </w:tcPr>
          <w:p w14:paraId="57995CC5" w14:textId="77777777" w:rsidR="007176E5" w:rsidRPr="00B525C3" w:rsidRDefault="007176E5" w:rsidP="0054165A">
            <w:pPr>
              <w:pStyle w:val="Tabletext"/>
              <w:keepNext/>
              <w:widowControl w:val="0"/>
            </w:pPr>
            <w:r w:rsidRPr="00B525C3">
              <w:t>AND</w:t>
            </w:r>
          </w:p>
        </w:tc>
      </w:tr>
      <w:tr w:rsidR="007176E5" w:rsidRPr="00B525C3" w14:paraId="0EDC913A" w14:textId="77777777" w:rsidTr="0054165A">
        <w:tc>
          <w:tcPr>
            <w:tcW w:w="626" w:type="pct"/>
            <w:vAlign w:val="center"/>
          </w:tcPr>
          <w:p w14:paraId="6C2BD5B2" w14:textId="58544B90" w:rsidR="007176E5" w:rsidRPr="00B525C3" w:rsidRDefault="007176E5" w:rsidP="0054165A">
            <w:pPr>
              <w:pStyle w:val="Tabletext"/>
              <w:keepNext/>
              <w:widowControl w:val="0"/>
              <w:jc w:val="center"/>
            </w:pPr>
          </w:p>
        </w:tc>
        <w:tc>
          <w:tcPr>
            <w:tcW w:w="4374" w:type="pct"/>
          </w:tcPr>
          <w:p w14:paraId="68B1FA4F" w14:textId="77777777" w:rsidR="007176E5" w:rsidRPr="00B525C3" w:rsidRDefault="007176E5" w:rsidP="0054165A">
            <w:pPr>
              <w:pStyle w:val="Tabletext"/>
              <w:keepNext/>
              <w:widowControl w:val="0"/>
            </w:pPr>
            <w:r w:rsidRPr="00B525C3">
              <w:rPr>
                <w:b/>
                <w:bCs/>
              </w:rPr>
              <w:t>Clinical criteria:</w:t>
            </w:r>
          </w:p>
        </w:tc>
      </w:tr>
      <w:tr w:rsidR="007176E5" w:rsidRPr="00B525C3" w14:paraId="7CA30009" w14:textId="77777777" w:rsidTr="0054165A">
        <w:trPr>
          <w:trHeight w:val="209"/>
        </w:trPr>
        <w:tc>
          <w:tcPr>
            <w:tcW w:w="626" w:type="pct"/>
            <w:vAlign w:val="center"/>
          </w:tcPr>
          <w:p w14:paraId="3EBC2075" w14:textId="79852020" w:rsidR="007176E5" w:rsidRPr="00B525C3" w:rsidRDefault="007176E5" w:rsidP="0054165A">
            <w:pPr>
              <w:pStyle w:val="Tabletext"/>
              <w:keepNext/>
              <w:widowControl w:val="0"/>
              <w:jc w:val="center"/>
            </w:pPr>
          </w:p>
        </w:tc>
        <w:tc>
          <w:tcPr>
            <w:tcW w:w="4374" w:type="pct"/>
          </w:tcPr>
          <w:p w14:paraId="5235FFCB" w14:textId="77777777" w:rsidR="007176E5" w:rsidRPr="00B525C3" w:rsidRDefault="007176E5" w:rsidP="0054165A">
            <w:pPr>
              <w:pStyle w:val="Tabletext"/>
              <w:keepNext/>
              <w:widowControl w:val="0"/>
            </w:pPr>
            <w:r w:rsidRPr="00B525C3">
              <w:t>Patient must have demonstrated or sustained an adequate response to PBS-subsidised treatment with this drug for this condition</w:t>
            </w:r>
          </w:p>
        </w:tc>
      </w:tr>
      <w:tr w:rsidR="007176E5" w:rsidRPr="00B525C3" w14:paraId="4F03E5DE" w14:textId="77777777" w:rsidTr="0054165A">
        <w:trPr>
          <w:trHeight w:val="209"/>
        </w:trPr>
        <w:tc>
          <w:tcPr>
            <w:tcW w:w="626" w:type="pct"/>
            <w:vAlign w:val="center"/>
          </w:tcPr>
          <w:p w14:paraId="14454BB0" w14:textId="77777777" w:rsidR="007176E5" w:rsidRPr="00B525C3" w:rsidRDefault="007176E5" w:rsidP="0054165A">
            <w:pPr>
              <w:pStyle w:val="Tabletext"/>
              <w:keepNext/>
              <w:widowControl w:val="0"/>
              <w:jc w:val="center"/>
            </w:pPr>
          </w:p>
        </w:tc>
        <w:tc>
          <w:tcPr>
            <w:tcW w:w="4374" w:type="pct"/>
          </w:tcPr>
          <w:p w14:paraId="41756080" w14:textId="77777777" w:rsidR="007176E5" w:rsidRPr="00B525C3" w:rsidRDefault="007176E5" w:rsidP="0054165A">
            <w:pPr>
              <w:pStyle w:val="Tabletext"/>
              <w:keepNext/>
              <w:widowControl w:val="0"/>
            </w:pPr>
            <w:r w:rsidRPr="00B525C3">
              <w:t>AND</w:t>
            </w:r>
          </w:p>
        </w:tc>
      </w:tr>
      <w:tr w:rsidR="007176E5" w:rsidRPr="00B525C3" w14:paraId="15A3669C" w14:textId="77777777" w:rsidTr="0054165A">
        <w:trPr>
          <w:trHeight w:val="209"/>
        </w:trPr>
        <w:tc>
          <w:tcPr>
            <w:tcW w:w="626" w:type="pct"/>
            <w:vAlign w:val="center"/>
          </w:tcPr>
          <w:p w14:paraId="6396478B" w14:textId="53383C1E" w:rsidR="007176E5" w:rsidRPr="00B525C3" w:rsidRDefault="007176E5" w:rsidP="0054165A">
            <w:pPr>
              <w:pStyle w:val="Tabletext"/>
              <w:keepNext/>
              <w:widowControl w:val="0"/>
              <w:jc w:val="center"/>
              <w:rPr>
                <w:b/>
                <w:bCs/>
              </w:rPr>
            </w:pPr>
          </w:p>
        </w:tc>
        <w:tc>
          <w:tcPr>
            <w:tcW w:w="4374" w:type="pct"/>
          </w:tcPr>
          <w:p w14:paraId="17438DCB" w14:textId="77777777" w:rsidR="007176E5" w:rsidRPr="00B525C3" w:rsidRDefault="007176E5" w:rsidP="0054165A">
            <w:pPr>
              <w:pStyle w:val="Tabletext"/>
              <w:keepNext/>
              <w:widowControl w:val="0"/>
            </w:pPr>
            <w:r w:rsidRPr="00B525C3">
              <w:rPr>
                <w:b/>
                <w:bCs/>
              </w:rPr>
              <w:t>Clinical criteria:</w:t>
            </w:r>
          </w:p>
        </w:tc>
      </w:tr>
      <w:tr w:rsidR="007176E5" w:rsidRPr="00B525C3" w14:paraId="3B81A3A5" w14:textId="77777777" w:rsidTr="0054165A">
        <w:tc>
          <w:tcPr>
            <w:tcW w:w="626" w:type="pct"/>
            <w:vAlign w:val="center"/>
          </w:tcPr>
          <w:p w14:paraId="38A43B8D" w14:textId="1237B401" w:rsidR="007176E5" w:rsidRPr="00B525C3" w:rsidRDefault="007176E5" w:rsidP="0054165A">
            <w:pPr>
              <w:pStyle w:val="Tabletext"/>
              <w:keepNext/>
              <w:widowControl w:val="0"/>
              <w:jc w:val="center"/>
            </w:pPr>
          </w:p>
        </w:tc>
        <w:tc>
          <w:tcPr>
            <w:tcW w:w="4374" w:type="pct"/>
          </w:tcPr>
          <w:p w14:paraId="0F8D51A3" w14:textId="77777777" w:rsidR="007176E5" w:rsidRPr="00B525C3" w:rsidRDefault="007176E5" w:rsidP="0054165A">
            <w:pPr>
              <w:pStyle w:val="Tabletext"/>
              <w:keepNext/>
              <w:widowControl w:val="0"/>
            </w:pPr>
            <w:r w:rsidRPr="00B525C3">
              <w:t>The treatment must not be PBS subsidised in combination with a C1-esterase inhibitor concentrate</w:t>
            </w:r>
          </w:p>
        </w:tc>
      </w:tr>
      <w:tr w:rsidR="007176E5" w:rsidRPr="00B525C3" w14:paraId="11A2139F" w14:textId="77777777" w:rsidTr="0054165A">
        <w:tc>
          <w:tcPr>
            <w:tcW w:w="626" w:type="pct"/>
            <w:vAlign w:val="center"/>
          </w:tcPr>
          <w:p w14:paraId="776FCB14" w14:textId="77777777" w:rsidR="007176E5" w:rsidRPr="00B525C3" w:rsidRDefault="007176E5" w:rsidP="0054165A">
            <w:pPr>
              <w:pStyle w:val="Tabletext"/>
              <w:keepNext/>
              <w:widowControl w:val="0"/>
              <w:jc w:val="center"/>
            </w:pPr>
          </w:p>
        </w:tc>
        <w:tc>
          <w:tcPr>
            <w:tcW w:w="4374" w:type="pct"/>
          </w:tcPr>
          <w:p w14:paraId="16CEABD0" w14:textId="77777777" w:rsidR="007176E5" w:rsidRPr="00B525C3" w:rsidRDefault="007176E5" w:rsidP="0054165A">
            <w:pPr>
              <w:pStyle w:val="Tabletext"/>
              <w:keepNext/>
              <w:widowControl w:val="0"/>
            </w:pPr>
            <w:r w:rsidRPr="00B525C3">
              <w:t>AND</w:t>
            </w:r>
          </w:p>
        </w:tc>
      </w:tr>
      <w:tr w:rsidR="007176E5" w:rsidRPr="00B525C3" w14:paraId="4CE73C31" w14:textId="77777777" w:rsidTr="0054165A">
        <w:tc>
          <w:tcPr>
            <w:tcW w:w="626" w:type="pct"/>
            <w:vAlign w:val="center"/>
          </w:tcPr>
          <w:p w14:paraId="11D77210" w14:textId="554CE2B9" w:rsidR="007176E5" w:rsidRPr="00B525C3" w:rsidRDefault="007176E5" w:rsidP="0054165A">
            <w:pPr>
              <w:pStyle w:val="Tabletext"/>
              <w:keepNext/>
              <w:widowControl w:val="0"/>
              <w:jc w:val="center"/>
            </w:pPr>
          </w:p>
        </w:tc>
        <w:tc>
          <w:tcPr>
            <w:tcW w:w="4374" w:type="pct"/>
          </w:tcPr>
          <w:p w14:paraId="113F853D" w14:textId="77777777" w:rsidR="007176E5" w:rsidRPr="00B525C3" w:rsidRDefault="007176E5" w:rsidP="0054165A">
            <w:pPr>
              <w:pStyle w:val="Tabletext"/>
              <w:keepNext/>
              <w:widowControl w:val="0"/>
              <w:rPr>
                <w:b/>
                <w:bCs/>
              </w:rPr>
            </w:pPr>
            <w:r w:rsidRPr="00B525C3">
              <w:rPr>
                <w:b/>
                <w:bCs/>
              </w:rPr>
              <w:t>Treatment criteria:</w:t>
            </w:r>
          </w:p>
        </w:tc>
      </w:tr>
      <w:tr w:rsidR="007176E5" w:rsidRPr="00B525C3" w14:paraId="6D9723B4" w14:textId="77777777" w:rsidTr="0054165A">
        <w:tc>
          <w:tcPr>
            <w:tcW w:w="626" w:type="pct"/>
            <w:vAlign w:val="center"/>
          </w:tcPr>
          <w:p w14:paraId="5DFD0522" w14:textId="01A2B66B" w:rsidR="007176E5" w:rsidRPr="00B525C3" w:rsidRDefault="007176E5" w:rsidP="0054165A">
            <w:pPr>
              <w:pStyle w:val="Tabletext"/>
              <w:keepNext/>
              <w:widowControl w:val="0"/>
              <w:jc w:val="center"/>
            </w:pPr>
          </w:p>
        </w:tc>
        <w:tc>
          <w:tcPr>
            <w:tcW w:w="4374" w:type="pct"/>
          </w:tcPr>
          <w:p w14:paraId="4EBAC151" w14:textId="77777777" w:rsidR="007176E5" w:rsidRPr="00B525C3" w:rsidRDefault="007176E5" w:rsidP="0054165A">
            <w:pPr>
              <w:pStyle w:val="Tabletext"/>
              <w:keepNext/>
              <w:widowControl w:val="0"/>
            </w:pPr>
            <w:r w:rsidRPr="00B525C3">
              <w:t>Must be treated by a specialist allergist or clinical immunologist, or in consultation with a specialist allergist or clinical immunologist</w:t>
            </w:r>
          </w:p>
        </w:tc>
      </w:tr>
      <w:tr w:rsidR="007176E5" w:rsidRPr="00B525C3" w14:paraId="7C415879" w14:textId="77777777" w:rsidTr="0054165A">
        <w:tc>
          <w:tcPr>
            <w:tcW w:w="626" w:type="pct"/>
            <w:vAlign w:val="center"/>
          </w:tcPr>
          <w:p w14:paraId="5A41A414" w14:textId="77777777" w:rsidR="007176E5" w:rsidRPr="00B525C3" w:rsidRDefault="007176E5" w:rsidP="0054165A">
            <w:pPr>
              <w:pStyle w:val="Tabletext"/>
              <w:keepNext/>
              <w:widowControl w:val="0"/>
              <w:jc w:val="center"/>
            </w:pPr>
          </w:p>
        </w:tc>
        <w:tc>
          <w:tcPr>
            <w:tcW w:w="4374" w:type="pct"/>
          </w:tcPr>
          <w:p w14:paraId="23407E7D" w14:textId="77777777" w:rsidR="007176E5" w:rsidRPr="00B525C3" w:rsidRDefault="007176E5" w:rsidP="0054165A">
            <w:pPr>
              <w:pStyle w:val="Tabletext"/>
              <w:keepNext/>
              <w:widowControl w:val="0"/>
              <w:rPr>
                <w:b/>
                <w:bCs/>
              </w:rPr>
            </w:pPr>
            <w:r w:rsidRPr="00B525C3">
              <w:rPr>
                <w:b/>
                <w:bCs/>
              </w:rPr>
              <w:t>Population criteria:</w:t>
            </w:r>
          </w:p>
        </w:tc>
      </w:tr>
      <w:tr w:rsidR="007176E5" w:rsidRPr="00B525C3" w14:paraId="5E70B70E" w14:textId="77777777" w:rsidTr="0054165A">
        <w:tc>
          <w:tcPr>
            <w:tcW w:w="626" w:type="pct"/>
            <w:vAlign w:val="center"/>
          </w:tcPr>
          <w:p w14:paraId="71EC1CB4" w14:textId="3E773A3C" w:rsidR="007176E5" w:rsidRPr="00B525C3" w:rsidRDefault="007176E5" w:rsidP="0054165A">
            <w:pPr>
              <w:pStyle w:val="Tabletext"/>
              <w:keepNext/>
              <w:widowControl w:val="0"/>
              <w:jc w:val="center"/>
            </w:pPr>
          </w:p>
        </w:tc>
        <w:tc>
          <w:tcPr>
            <w:tcW w:w="4374" w:type="pct"/>
          </w:tcPr>
          <w:p w14:paraId="0A16243F" w14:textId="77777777" w:rsidR="007176E5" w:rsidRPr="00B525C3" w:rsidRDefault="007176E5" w:rsidP="0054165A">
            <w:pPr>
              <w:pStyle w:val="Tabletext"/>
              <w:keepNext/>
              <w:widowControl w:val="0"/>
            </w:pPr>
            <w:r w:rsidRPr="00B525C3">
              <w:rPr>
                <w:strike/>
              </w:rPr>
              <w:t>Patient must be aged 2 years and older</w:t>
            </w:r>
            <w:r w:rsidRPr="00B525C3">
              <w:t>.</w:t>
            </w:r>
          </w:p>
          <w:p w14:paraId="0E794C4C" w14:textId="77777777" w:rsidR="007176E5" w:rsidRPr="00B525C3" w:rsidRDefault="007176E5" w:rsidP="0054165A">
            <w:pPr>
              <w:pStyle w:val="Tabletext"/>
              <w:keepNext/>
              <w:widowControl w:val="0"/>
            </w:pPr>
            <w:r w:rsidRPr="00B525C3">
              <w:rPr>
                <w:i/>
                <w:iCs/>
              </w:rPr>
              <w:t xml:space="preserve">Patient must be aged 2-11 years inclusive </w:t>
            </w:r>
          </w:p>
        </w:tc>
      </w:tr>
      <w:tr w:rsidR="007176E5" w:rsidRPr="00B525C3" w14:paraId="0C3885C8" w14:textId="77777777" w:rsidTr="0054165A">
        <w:tc>
          <w:tcPr>
            <w:tcW w:w="626" w:type="pct"/>
            <w:vAlign w:val="center"/>
          </w:tcPr>
          <w:p w14:paraId="252B7DD0" w14:textId="7F01EA62" w:rsidR="007176E5" w:rsidRPr="00B525C3" w:rsidRDefault="007176E5" w:rsidP="0054165A">
            <w:pPr>
              <w:pStyle w:val="Tabletext"/>
              <w:keepNext/>
              <w:widowControl w:val="0"/>
              <w:jc w:val="center"/>
            </w:pPr>
          </w:p>
        </w:tc>
        <w:tc>
          <w:tcPr>
            <w:tcW w:w="4374" w:type="pct"/>
          </w:tcPr>
          <w:p w14:paraId="1086535B" w14:textId="77777777" w:rsidR="007176E5" w:rsidRPr="00B525C3" w:rsidRDefault="007176E5" w:rsidP="0054165A">
            <w:pPr>
              <w:pStyle w:val="Tabletext"/>
              <w:keepNext/>
              <w:widowControl w:val="0"/>
            </w:pPr>
            <w:r w:rsidRPr="00B525C3">
              <w:rPr>
                <w:b/>
                <w:bCs/>
              </w:rPr>
              <w:t xml:space="preserve">Prescribing instructions: </w:t>
            </w:r>
            <w:r w:rsidRPr="00B525C3">
              <w:t>Patients who have successfully transitioned to a lower dosing frequency should be reviewed every 6 months to ensure they continue to demonstrate a sustained response</w:t>
            </w:r>
          </w:p>
        </w:tc>
      </w:tr>
      <w:tr w:rsidR="007176E5" w:rsidRPr="00B525C3" w14:paraId="04102DA9" w14:textId="77777777" w:rsidTr="0054165A">
        <w:tc>
          <w:tcPr>
            <w:tcW w:w="626" w:type="pct"/>
            <w:vAlign w:val="center"/>
          </w:tcPr>
          <w:p w14:paraId="6F70F437" w14:textId="374E6602" w:rsidR="007176E5" w:rsidRPr="00B525C3" w:rsidRDefault="007176E5" w:rsidP="0054165A">
            <w:pPr>
              <w:pStyle w:val="Tabletext"/>
              <w:keepNext/>
              <w:widowControl w:val="0"/>
              <w:jc w:val="center"/>
            </w:pPr>
          </w:p>
        </w:tc>
        <w:tc>
          <w:tcPr>
            <w:tcW w:w="4374" w:type="pct"/>
          </w:tcPr>
          <w:p w14:paraId="5B55C269" w14:textId="77777777" w:rsidR="007176E5" w:rsidRPr="00B525C3" w:rsidRDefault="007176E5" w:rsidP="0054165A">
            <w:pPr>
              <w:pStyle w:val="Tabletext"/>
              <w:keepNext/>
              <w:widowControl w:val="0"/>
            </w:pPr>
            <w:r w:rsidRPr="00B525C3">
              <w:rPr>
                <w:b/>
                <w:bCs/>
              </w:rPr>
              <w:t xml:space="preserve">Prescribing instructions: </w:t>
            </w:r>
            <w:r w:rsidRPr="00B525C3">
              <w:t>For the purposes of administering this restriction, an adequate response is a reduction of the baseline number of acute attacks of hereditary angioedema of a severity necessitating immediate medical intervention with either (i) icatibant, or (ii) C1-esterase inhibitor concentrate. The details of the reduction must be documented in the patient's medical records for auditing purposes</w:t>
            </w:r>
          </w:p>
        </w:tc>
      </w:tr>
      <w:tr w:rsidR="007176E5" w:rsidRPr="00B525C3" w:rsidDel="00637AEA" w14:paraId="31B5BA25" w14:textId="77777777" w:rsidTr="0054165A">
        <w:tc>
          <w:tcPr>
            <w:tcW w:w="626" w:type="pct"/>
            <w:vAlign w:val="center"/>
          </w:tcPr>
          <w:p w14:paraId="502DF26F" w14:textId="716B9333" w:rsidR="007176E5" w:rsidRPr="00B525C3" w:rsidDel="00637AEA" w:rsidRDefault="007176E5" w:rsidP="0054165A">
            <w:pPr>
              <w:pStyle w:val="Tabletext"/>
              <w:widowControl w:val="0"/>
              <w:jc w:val="center"/>
            </w:pPr>
          </w:p>
        </w:tc>
        <w:tc>
          <w:tcPr>
            <w:tcW w:w="4374" w:type="pct"/>
          </w:tcPr>
          <w:p w14:paraId="0DBA7BE5" w14:textId="77777777" w:rsidR="007176E5" w:rsidRPr="00B525C3" w:rsidRDefault="007176E5" w:rsidP="0054165A">
            <w:pPr>
              <w:pStyle w:val="Tabletext"/>
              <w:widowControl w:val="0"/>
            </w:pPr>
            <w:r w:rsidRPr="00B525C3">
              <w:rPr>
                <w:b/>
                <w:bCs/>
              </w:rPr>
              <w:t>Administrative advice:</w:t>
            </w:r>
          </w:p>
          <w:p w14:paraId="462FC56D" w14:textId="7EDC743C" w:rsidR="007176E5" w:rsidRPr="00B525C3" w:rsidDel="00637AEA" w:rsidRDefault="007176E5" w:rsidP="0054165A">
            <w:pPr>
              <w:pStyle w:val="Tabletext"/>
              <w:widowControl w:val="0"/>
            </w:pPr>
            <w:r w:rsidRPr="00B525C3">
              <w:rPr>
                <w:i/>
                <w:iCs/>
              </w:rPr>
              <w:t xml:space="preserve">Applications for authorisation under this restriction may be made in real time using the Online PBS Authorities system (see </w:t>
            </w:r>
            <w:hyperlink r:id="rId8" w:history="1">
              <w:r w:rsidRPr="00B525C3">
                <w:rPr>
                  <w:rStyle w:val="Hyperlink"/>
                  <w:i/>
                  <w:iCs/>
                </w:rPr>
                <w:t>www.servicesaustralia.gov.au/HPOS</w:t>
              </w:r>
            </w:hyperlink>
            <w:r w:rsidRPr="00B525C3">
              <w:rPr>
                <w:i/>
                <w:iCs/>
              </w:rPr>
              <w:t xml:space="preserve">) or by telephone by contacting Services Australia on 1800 700 270 (hours of operation 8 a.m. to 5 p.m. Monday to Friday) </w:t>
            </w:r>
          </w:p>
        </w:tc>
      </w:tr>
    </w:tbl>
    <w:p w14:paraId="4AD0FCD7" w14:textId="77777777" w:rsidR="00F16288" w:rsidRPr="00F16288" w:rsidRDefault="00F16288" w:rsidP="007176E5">
      <w:pPr>
        <w:pStyle w:val="3-BodyText"/>
        <w:numPr>
          <w:ilvl w:val="0"/>
          <w:numId w:val="0"/>
        </w:numPr>
      </w:pPr>
    </w:p>
    <w:p w14:paraId="2E486CA9" w14:textId="62CE0D57" w:rsidR="003A6F77" w:rsidRPr="003A0AEA" w:rsidRDefault="003A6F77" w:rsidP="003A6F77">
      <w:pPr>
        <w:pStyle w:val="3-BodyText"/>
      </w:pPr>
      <w:r w:rsidRPr="003A0AEA">
        <w:t>The submission request</w:t>
      </w:r>
      <w:r w:rsidR="00DB3D75" w:rsidRPr="003A0AEA">
        <w:t>ed</w:t>
      </w:r>
      <w:r w:rsidRPr="003A0AEA">
        <w:t xml:space="preserve"> listing of a 150 mg/1 mL formulation in patients aged 2 to 11 years who experience at least one treated acute attack of HAE within the 3-month period prior to commencing lanadelumab.</w:t>
      </w:r>
      <w:r w:rsidR="00F05FD0" w:rsidRPr="003A0AEA">
        <w:t xml:space="preserve"> This was revised to</w:t>
      </w:r>
      <w:r w:rsidR="00EF4025">
        <w:t xml:space="preserve"> at least</w:t>
      </w:r>
      <w:r w:rsidR="00F05FD0" w:rsidRPr="003A0AEA">
        <w:t xml:space="preserve"> 2 </w:t>
      </w:r>
      <w:r w:rsidR="001853D9" w:rsidRPr="003A0AEA">
        <w:t xml:space="preserve">treated </w:t>
      </w:r>
      <w:r w:rsidR="00F05FD0" w:rsidRPr="003A0AEA">
        <w:t xml:space="preserve">attacks </w:t>
      </w:r>
      <w:r w:rsidR="00EF4025">
        <w:t>with</w:t>
      </w:r>
      <w:r w:rsidR="00F05FD0" w:rsidRPr="003A0AEA">
        <w:t xml:space="preserve">in 6 months in the </w:t>
      </w:r>
      <w:r w:rsidR="00EF4025">
        <w:t>Pre-Sub-Committee Response (</w:t>
      </w:r>
      <w:r w:rsidR="00F05FD0" w:rsidRPr="003A0AEA">
        <w:t>PSCR</w:t>
      </w:r>
      <w:r w:rsidR="00EF4025">
        <w:t>)</w:t>
      </w:r>
      <w:r w:rsidR="00F05FD0" w:rsidRPr="003A0AEA">
        <w:t xml:space="preserve">. </w:t>
      </w:r>
    </w:p>
    <w:p w14:paraId="661B3DB8" w14:textId="3A923D47" w:rsidR="009B4AB9" w:rsidRDefault="009B4AB9" w:rsidP="009B4AB9">
      <w:pPr>
        <w:pStyle w:val="3-BodyText"/>
      </w:pPr>
      <w:r w:rsidRPr="00BF55FF">
        <w:t>The submission proposed 4 restrictions: initial and continuing treatment for patients aged 2-11 years</w:t>
      </w:r>
      <w:r w:rsidR="004456DB" w:rsidRPr="00BF55FF">
        <w:t>;</w:t>
      </w:r>
      <w:r w:rsidRPr="00BF55FF">
        <w:t xml:space="preserve"> a grandfathering restriction for patients currently receiving treatment through a special access program</w:t>
      </w:r>
      <w:r w:rsidR="004456DB" w:rsidRPr="00BF55FF">
        <w:t>;</w:t>
      </w:r>
      <w:r w:rsidRPr="00BF55FF">
        <w:t xml:space="preserve"> and an amendment to the existing restriction for new patients commencing from National Blood Authority-funded</w:t>
      </w:r>
      <w:r w:rsidR="00E2460E" w:rsidRPr="00BF55FF">
        <w:t xml:space="preserve"> </w:t>
      </w:r>
      <w:r w:rsidRPr="00BF55FF">
        <w:t>C1-INH to incorporate patients aged 2 years or older.</w:t>
      </w:r>
    </w:p>
    <w:p w14:paraId="00F22F37" w14:textId="09EFA8A0" w:rsidR="009D7615" w:rsidRPr="00BF55FF" w:rsidRDefault="000D0FCC" w:rsidP="009D7615">
      <w:pPr>
        <w:pStyle w:val="3-BodyText"/>
      </w:pPr>
      <w:bookmarkStart w:id="12" w:name="_Ref183441524"/>
      <w:r w:rsidRPr="00BF55FF">
        <w:t>The</w:t>
      </w:r>
      <w:r w:rsidR="00F25A81" w:rsidRPr="00BF55FF">
        <w:t xml:space="preserve"> evaluation noted</w:t>
      </w:r>
      <w:r w:rsidR="00A032BE" w:rsidRPr="00BF55FF">
        <w:t xml:space="preserve"> the following points regarding</w:t>
      </w:r>
      <w:r w:rsidR="00F25A81" w:rsidRPr="00BF55FF">
        <w:t xml:space="preserve"> the</w:t>
      </w:r>
      <w:r w:rsidRPr="00BF55FF">
        <w:t xml:space="preserve"> proposed restriction</w:t>
      </w:r>
      <w:r w:rsidR="009D7615" w:rsidRPr="00BF55FF">
        <w:t>:</w:t>
      </w:r>
      <w:bookmarkEnd w:id="12"/>
    </w:p>
    <w:p w14:paraId="4FD2E921" w14:textId="650EB3B9" w:rsidR="000D0FCC" w:rsidRPr="00BF55FF" w:rsidRDefault="009D7615" w:rsidP="00F0447B">
      <w:pPr>
        <w:pStyle w:val="3-BodyText"/>
        <w:numPr>
          <w:ilvl w:val="0"/>
          <w:numId w:val="10"/>
        </w:numPr>
      </w:pPr>
      <w:r w:rsidRPr="00BF55FF">
        <w:lastRenderedPageBreak/>
        <w:t xml:space="preserve">The </w:t>
      </w:r>
      <w:r w:rsidR="000D0FCC" w:rsidRPr="00BF55FF">
        <w:t>existing listing</w:t>
      </w:r>
      <w:r w:rsidR="00F25A81" w:rsidRPr="00BF55FF">
        <w:t xml:space="preserve"> for lanadelumab</w:t>
      </w:r>
      <w:r w:rsidR="000D0FCC" w:rsidRPr="00BF55FF">
        <w:t xml:space="preserve"> in patients aged </w:t>
      </w:r>
      <w:r w:rsidR="000D0FCC" w:rsidRPr="00BF55FF">
        <w:rPr>
          <w:rFonts w:cstheme="minorHAnsi"/>
        </w:rPr>
        <w:t>≥</w:t>
      </w:r>
      <w:r w:rsidR="000D0FCC" w:rsidRPr="00BF55FF">
        <w:t xml:space="preserve">12 years requires patients to have experienced </w:t>
      </w:r>
      <w:r w:rsidR="00E0387A" w:rsidRPr="00BF55FF">
        <w:rPr>
          <w:rFonts w:cstheme="minorHAnsi"/>
        </w:rPr>
        <w:t>≥</w:t>
      </w:r>
      <w:r w:rsidR="000D0FCC" w:rsidRPr="00BF55FF">
        <w:t>12 attacks in the preceding six months</w:t>
      </w:r>
      <w:r w:rsidR="005C2F53">
        <w:t>; t</w:t>
      </w:r>
      <w:r w:rsidR="005C2F53" w:rsidRPr="00BF55FF" w:rsidDel="00F91B72">
        <w:t xml:space="preserve">he PBAC previously considered that a threshold attack frequency was required to make listing cost-effective in patients aged </w:t>
      </w:r>
      <w:r w:rsidR="005C2F53" w:rsidRPr="00BF55FF" w:rsidDel="00F91B72">
        <w:rPr>
          <w:rFonts w:cstheme="minorHAnsi"/>
        </w:rPr>
        <w:t>≥</w:t>
      </w:r>
      <w:r w:rsidR="005C2F53" w:rsidRPr="00BF55FF" w:rsidDel="00F91B72">
        <w:t>12 years</w:t>
      </w:r>
      <w:r w:rsidR="005C2F53">
        <w:t xml:space="preserve"> (</w:t>
      </w:r>
      <w:r w:rsidR="005C2F53" w:rsidRPr="00BF55FF">
        <w:rPr>
          <w:rFonts w:eastAsia="Times New Roman" w:cs="Arial"/>
          <w:snapToGrid w:val="0"/>
          <w:szCs w:val="20"/>
        </w:rPr>
        <w:t>paragraph</w:t>
      </w:r>
      <w:r w:rsidR="006179DA">
        <w:rPr>
          <w:rFonts w:eastAsia="Times New Roman" w:cs="Arial"/>
          <w:snapToGrid w:val="0"/>
          <w:szCs w:val="20"/>
        </w:rPr>
        <w:t>s</w:t>
      </w:r>
      <w:r w:rsidR="005C2F53" w:rsidRPr="00BF55FF">
        <w:rPr>
          <w:rFonts w:eastAsia="Times New Roman" w:cs="Arial"/>
          <w:snapToGrid w:val="0"/>
          <w:szCs w:val="20"/>
        </w:rPr>
        <w:t xml:space="preserve"> </w:t>
      </w:r>
      <w:r w:rsidR="006179DA">
        <w:rPr>
          <w:rFonts w:eastAsia="Times New Roman" w:cs="Arial"/>
          <w:snapToGrid w:val="0"/>
          <w:szCs w:val="20"/>
        </w:rPr>
        <w:t>7.3 and 7.5</w:t>
      </w:r>
      <w:r w:rsidR="005C2F53" w:rsidRPr="00BF55FF">
        <w:rPr>
          <w:rFonts w:eastAsia="Times New Roman" w:cs="Arial"/>
          <w:snapToGrid w:val="0"/>
          <w:szCs w:val="20"/>
        </w:rPr>
        <w:t xml:space="preserve">, </w:t>
      </w:r>
      <w:r w:rsidR="005C2F53">
        <w:rPr>
          <w:color w:val="000000" w:themeColor="text1"/>
        </w:rPr>
        <w:t>l</w:t>
      </w:r>
      <w:r w:rsidR="005C2F53" w:rsidRPr="00BF55FF">
        <w:rPr>
          <w:color w:val="000000" w:themeColor="text1"/>
        </w:rPr>
        <w:t>anadelumab</w:t>
      </w:r>
      <w:r w:rsidR="006179DA">
        <w:rPr>
          <w:color w:val="000000" w:themeColor="text1"/>
        </w:rPr>
        <w:t xml:space="preserve"> </w:t>
      </w:r>
      <w:r w:rsidR="005C2F53" w:rsidRPr="00BF55FF">
        <w:rPr>
          <w:color w:val="000000" w:themeColor="text1"/>
        </w:rPr>
        <w:t xml:space="preserve">PSD, July </w:t>
      </w:r>
      <w:r w:rsidR="006179DA">
        <w:rPr>
          <w:color w:val="000000" w:themeColor="text1"/>
        </w:rPr>
        <w:t>2021</w:t>
      </w:r>
      <w:r w:rsidR="005C2F53">
        <w:t>)</w:t>
      </w:r>
      <w:r w:rsidR="005C2F53" w:rsidRPr="00BF55FF" w:rsidDel="00F91B72">
        <w:t>.</w:t>
      </w:r>
      <w:r w:rsidR="00BB34E4" w:rsidRPr="00BF55FF">
        <w:t xml:space="preserve"> The PSCR stated that it </w:t>
      </w:r>
      <w:r w:rsidR="007F5F2D" w:rsidRPr="00BF55FF">
        <w:t>would</w:t>
      </w:r>
      <w:r w:rsidR="00BB34E4" w:rsidRPr="00BF55FF">
        <w:t xml:space="preserve"> not </w:t>
      </w:r>
      <w:r w:rsidR="007F5F2D" w:rsidRPr="00BF55FF">
        <w:t>be</w:t>
      </w:r>
      <w:r w:rsidR="00BB34E4" w:rsidRPr="00BF55FF">
        <w:t xml:space="preserve"> clinically appropriate to wait for a child to experience 12 attacks in 6 months before accessing an effective prophylaxis</w:t>
      </w:r>
      <w:r w:rsidR="004456DB" w:rsidRPr="00BF55FF">
        <w:t xml:space="preserve"> (further discussed in </w:t>
      </w:r>
      <w:r w:rsidR="004456DB" w:rsidRPr="005E67E6">
        <w:t xml:space="preserve">paragraphs </w:t>
      </w:r>
      <w:r w:rsidR="004456DB" w:rsidRPr="005E67E6">
        <w:fldChar w:fldCharType="begin" w:fldLock="1"/>
      </w:r>
      <w:r w:rsidR="004456DB" w:rsidRPr="005E67E6">
        <w:instrText xml:space="preserve"> REF _Ref179889954 \r \h </w:instrText>
      </w:r>
      <w:r w:rsidR="00BF55FF" w:rsidRPr="005E67E6">
        <w:instrText xml:space="preserve"> \* MERGEFORMAT </w:instrText>
      </w:r>
      <w:r w:rsidR="004456DB" w:rsidRPr="005E67E6">
        <w:fldChar w:fldCharType="separate"/>
      </w:r>
      <w:r w:rsidR="009C2393">
        <w:t>3.6</w:t>
      </w:r>
      <w:r w:rsidR="004456DB" w:rsidRPr="005E67E6">
        <w:fldChar w:fldCharType="end"/>
      </w:r>
      <w:r w:rsidR="004456DB" w:rsidRPr="005E67E6">
        <w:t xml:space="preserve"> and </w:t>
      </w:r>
      <w:r w:rsidR="004456DB" w:rsidRPr="005E67E6">
        <w:fldChar w:fldCharType="begin" w:fldLock="1"/>
      </w:r>
      <w:r w:rsidR="004456DB" w:rsidRPr="005E67E6">
        <w:instrText xml:space="preserve"> REF _Ref179889956 \r \h </w:instrText>
      </w:r>
      <w:r w:rsidR="00BF55FF" w:rsidRPr="005E67E6">
        <w:instrText xml:space="preserve"> \* MERGEFORMAT </w:instrText>
      </w:r>
      <w:r w:rsidR="004456DB" w:rsidRPr="005E67E6">
        <w:fldChar w:fldCharType="separate"/>
      </w:r>
      <w:r w:rsidR="009C2393">
        <w:t>3.7</w:t>
      </w:r>
      <w:r w:rsidR="004456DB" w:rsidRPr="005E67E6">
        <w:fldChar w:fldCharType="end"/>
      </w:r>
      <w:r w:rsidR="004456DB" w:rsidRPr="00BF55FF">
        <w:t>)</w:t>
      </w:r>
      <w:r w:rsidR="00BB34E4" w:rsidRPr="00BF55FF">
        <w:t>.</w:t>
      </w:r>
    </w:p>
    <w:p w14:paraId="7BE7DA1C" w14:textId="2421A87D" w:rsidR="00627BBD" w:rsidRPr="00BF55FF" w:rsidDel="00F91B72" w:rsidRDefault="000C6B4C" w:rsidP="006179DA">
      <w:pPr>
        <w:pStyle w:val="ListParagraph"/>
        <w:numPr>
          <w:ilvl w:val="0"/>
          <w:numId w:val="10"/>
        </w:numPr>
        <w:jc w:val="both"/>
      </w:pPr>
      <w:r w:rsidRPr="00BF55FF">
        <w:t>T</w:t>
      </w:r>
      <w:r w:rsidR="00627BBD" w:rsidRPr="00BF55FF">
        <w:t>he SPRING trial, on which the submission relie</w:t>
      </w:r>
      <w:r w:rsidR="00D457AD" w:rsidRPr="00BF55FF">
        <w:t>d</w:t>
      </w:r>
      <w:r w:rsidRPr="00BF55FF">
        <w:t>,</w:t>
      </w:r>
      <w:r w:rsidR="00627BBD" w:rsidRPr="00BF55FF">
        <w:t xml:space="preserve"> required a history of</w:t>
      </w:r>
      <w:r w:rsidR="009676D2">
        <w:t xml:space="preserve"> at least</w:t>
      </w:r>
      <w:r w:rsidR="00627BBD" w:rsidRPr="00BF55FF">
        <w:t xml:space="preserve"> one attack per 3 months </w:t>
      </w:r>
      <w:r w:rsidR="00627BBD" w:rsidRPr="005E67E6">
        <w:t>and</w:t>
      </w:r>
      <w:r w:rsidR="009676D2">
        <w:t xml:space="preserve"> at least</w:t>
      </w:r>
      <w:r w:rsidR="00627BBD" w:rsidRPr="00BF55FF">
        <w:t xml:space="preserve"> one attack in the 3 months</w:t>
      </w:r>
      <w:r w:rsidR="009676D2">
        <w:t xml:space="preserve"> directly</w:t>
      </w:r>
      <w:r w:rsidR="00627BBD" w:rsidRPr="00BF55FF">
        <w:t xml:space="preserve"> preceding commencement of lanadelumab treatment.</w:t>
      </w:r>
      <w:r w:rsidR="00BB34E4" w:rsidRPr="00BF55FF">
        <w:rPr>
          <w:rFonts w:eastAsiaTheme="minorHAnsi" w:cstheme="minorBidi"/>
          <w:snapToGrid/>
          <w:szCs w:val="22"/>
        </w:rPr>
        <w:t xml:space="preserve"> The </w:t>
      </w:r>
      <w:r w:rsidR="001853D9">
        <w:rPr>
          <w:rFonts w:eastAsiaTheme="minorHAnsi" w:cstheme="minorBidi"/>
          <w:snapToGrid/>
          <w:szCs w:val="22"/>
        </w:rPr>
        <w:t xml:space="preserve">amended restriction proposed in the </w:t>
      </w:r>
      <w:r w:rsidR="00BB34E4" w:rsidRPr="00BF55FF">
        <w:rPr>
          <w:rFonts w:eastAsiaTheme="minorHAnsi" w:cstheme="minorBidi"/>
          <w:snapToGrid/>
          <w:szCs w:val="22"/>
        </w:rPr>
        <w:t xml:space="preserve">PSCR </w:t>
      </w:r>
      <w:r w:rsidR="001853D9">
        <w:rPr>
          <w:rFonts w:eastAsiaTheme="minorHAnsi" w:cstheme="minorBidi"/>
          <w:snapToGrid/>
          <w:szCs w:val="22"/>
        </w:rPr>
        <w:t>(2</w:t>
      </w:r>
      <w:r w:rsidR="00BB34E4" w:rsidRPr="00BF55FF">
        <w:rPr>
          <w:rFonts w:eastAsiaTheme="minorHAnsi" w:cstheme="minorBidi"/>
          <w:snapToGrid/>
          <w:szCs w:val="22"/>
        </w:rPr>
        <w:t xml:space="preserve"> treated attacks in the 6 months prior to treatment initiation</w:t>
      </w:r>
      <w:r w:rsidR="001853D9">
        <w:rPr>
          <w:rFonts w:eastAsiaTheme="minorHAnsi" w:cstheme="minorBidi"/>
          <w:snapToGrid/>
          <w:szCs w:val="22"/>
        </w:rPr>
        <w:t xml:space="preserve">) </w:t>
      </w:r>
      <w:r w:rsidR="00F91B72">
        <w:rPr>
          <w:rFonts w:eastAsiaTheme="minorHAnsi" w:cstheme="minorBidi"/>
          <w:snapToGrid/>
          <w:szCs w:val="22"/>
        </w:rPr>
        <w:t>is</w:t>
      </w:r>
      <w:r w:rsidR="001853D9">
        <w:rPr>
          <w:rFonts w:eastAsiaTheme="minorHAnsi" w:cstheme="minorBidi"/>
          <w:snapToGrid/>
          <w:szCs w:val="22"/>
        </w:rPr>
        <w:t xml:space="preserve"> </w:t>
      </w:r>
      <w:r w:rsidR="00BB34E4" w:rsidRPr="00BF55FF">
        <w:rPr>
          <w:rFonts w:eastAsiaTheme="minorHAnsi" w:cstheme="minorBidi"/>
          <w:snapToGrid/>
          <w:szCs w:val="22"/>
        </w:rPr>
        <w:t>consist</w:t>
      </w:r>
      <w:r w:rsidR="00F91B72">
        <w:rPr>
          <w:rFonts w:eastAsiaTheme="minorHAnsi" w:cstheme="minorBidi"/>
          <w:snapToGrid/>
          <w:szCs w:val="22"/>
        </w:rPr>
        <w:t>ent</w:t>
      </w:r>
      <w:r w:rsidR="00BB34E4" w:rsidRPr="00BF55FF">
        <w:rPr>
          <w:rFonts w:eastAsiaTheme="minorHAnsi" w:cstheme="minorBidi"/>
          <w:snapToGrid/>
          <w:szCs w:val="22"/>
        </w:rPr>
        <w:t xml:space="preserve"> with the SPRING trial</w:t>
      </w:r>
      <w:r w:rsidR="00F91B72">
        <w:rPr>
          <w:rFonts w:eastAsiaTheme="minorHAnsi" w:cstheme="minorBidi"/>
          <w:snapToGrid/>
          <w:szCs w:val="22"/>
        </w:rPr>
        <w:t xml:space="preserve"> patient population</w:t>
      </w:r>
      <w:r w:rsidR="00BB34E4" w:rsidRPr="00BF55FF">
        <w:rPr>
          <w:rFonts w:eastAsiaTheme="minorHAnsi" w:cstheme="minorBidi"/>
          <w:snapToGrid/>
          <w:szCs w:val="22"/>
        </w:rPr>
        <w:t>.</w:t>
      </w:r>
    </w:p>
    <w:p w14:paraId="2EB32D7A" w14:textId="06C22A92" w:rsidR="00D465BA" w:rsidRPr="00BF55FF" w:rsidRDefault="007D296F" w:rsidP="00E0387A">
      <w:pPr>
        <w:pStyle w:val="3-BodyText"/>
      </w:pPr>
      <w:r w:rsidRPr="00BF55FF">
        <w:t>The evaluation</w:t>
      </w:r>
      <w:r w:rsidR="00A55DC2" w:rsidRPr="00BF55FF">
        <w:t xml:space="preserve"> and the ESC</w:t>
      </w:r>
      <w:r w:rsidRPr="00BF55FF">
        <w:t xml:space="preserve"> </w:t>
      </w:r>
      <w:r w:rsidR="009D7615" w:rsidRPr="00BF55FF">
        <w:t>considered</w:t>
      </w:r>
      <w:r w:rsidR="004D62D5" w:rsidRPr="00BF55FF">
        <w:t xml:space="preserve"> that</w:t>
      </w:r>
      <w:r w:rsidR="00F7473E" w:rsidRPr="00BF55FF">
        <w:t xml:space="preserve"> as</w:t>
      </w:r>
      <w:r w:rsidR="00627BBD" w:rsidRPr="00BF55FF">
        <w:t xml:space="preserve"> treatment is usually continued indefinitely, the proposed restriction </w:t>
      </w:r>
      <w:r w:rsidR="009D7615" w:rsidRPr="00BF55FF">
        <w:t xml:space="preserve">may create issues of equity between </w:t>
      </w:r>
      <w:r w:rsidR="00627BBD" w:rsidRPr="00BF55FF">
        <w:t>two populations of patients aged over 12</w:t>
      </w:r>
      <w:r w:rsidR="00F7473E" w:rsidRPr="00BF55FF">
        <w:t xml:space="preserve"> years</w:t>
      </w:r>
      <w:r w:rsidR="00627BBD" w:rsidRPr="00BF55FF">
        <w:t xml:space="preserve"> receiving ongoing treatment: those who initiated treatment at ages </w:t>
      </w:r>
      <w:r w:rsidR="00D457AD" w:rsidRPr="00BF55FF">
        <w:rPr>
          <w:rFonts w:cstheme="minorHAnsi"/>
        </w:rPr>
        <w:t>≥</w:t>
      </w:r>
      <w:r w:rsidR="00627BBD" w:rsidRPr="00BF55FF">
        <w:t xml:space="preserve">12, satisfying the requirement for </w:t>
      </w:r>
      <w:r w:rsidR="007F5F2D" w:rsidRPr="00BF55FF">
        <w:t xml:space="preserve">at least </w:t>
      </w:r>
      <w:r w:rsidR="00627BBD" w:rsidRPr="00BF55FF">
        <w:t>12 attacks in the preceding six months</w:t>
      </w:r>
      <w:r w:rsidR="00E0387A" w:rsidRPr="00BF55FF">
        <w:t>;</w:t>
      </w:r>
      <w:r w:rsidR="00627BBD" w:rsidRPr="00BF55FF">
        <w:t xml:space="preserve"> and those who initiated treatment aged &lt;12, satisfying the requirement for</w:t>
      </w:r>
      <w:r w:rsidR="00A55DC2" w:rsidRPr="00BF55FF">
        <w:t xml:space="preserve"> only</w:t>
      </w:r>
      <w:r w:rsidR="00627BBD" w:rsidRPr="00BF55FF">
        <w:t xml:space="preserve"> one attack in the preceding three months</w:t>
      </w:r>
      <w:r w:rsidR="004D62D5" w:rsidRPr="00BF55FF">
        <w:t>.</w:t>
      </w:r>
      <w:r w:rsidR="009D7615" w:rsidRPr="00BF55FF">
        <w:t xml:space="preserve"> The evaluation</w:t>
      </w:r>
      <w:r w:rsidR="00A55DC2" w:rsidRPr="00BF55FF">
        <w:t xml:space="preserve"> and the ESC</w:t>
      </w:r>
      <w:r w:rsidR="009D7615" w:rsidRPr="00BF55FF">
        <w:t xml:space="preserve"> </w:t>
      </w:r>
      <w:r w:rsidR="00A55DC2" w:rsidRPr="00BF55FF">
        <w:t>noted</w:t>
      </w:r>
      <w:r w:rsidR="009D7615" w:rsidRPr="00BF55FF">
        <w:t xml:space="preserve"> that</w:t>
      </w:r>
      <w:r w:rsidR="00B83824" w:rsidRPr="00BF55FF">
        <w:t xml:space="preserve"> b</w:t>
      </w:r>
      <w:r w:rsidR="00606EFD" w:rsidRPr="00BF55FF">
        <w:t xml:space="preserve">etween 25% and 50% of patients with HAE </w:t>
      </w:r>
      <w:r w:rsidR="005F29F9" w:rsidRPr="00BF55FF">
        <w:t xml:space="preserve">who are </w:t>
      </w:r>
      <w:r w:rsidR="00606EFD" w:rsidRPr="00BF55FF">
        <w:t xml:space="preserve">aged </w:t>
      </w:r>
      <w:r w:rsidR="00CC4B45" w:rsidRPr="00BF55FF">
        <w:rPr>
          <w:rFonts w:cstheme="minorHAnsi"/>
        </w:rPr>
        <w:t>≥</w:t>
      </w:r>
      <w:r w:rsidR="00606EFD" w:rsidRPr="00BF55FF">
        <w:t>12</w:t>
      </w:r>
      <w:r w:rsidR="005F29F9" w:rsidRPr="00BF55FF">
        <w:t xml:space="preserve"> years </w:t>
      </w:r>
      <w:r w:rsidR="00E94274" w:rsidRPr="00BF55FF">
        <w:t>have</w:t>
      </w:r>
      <w:r w:rsidR="00606EFD" w:rsidRPr="00BF55FF">
        <w:t xml:space="preserve"> 12 or more attacks in a 6 month period and are eligible under the existing criterion, but nearly all </w:t>
      </w:r>
      <w:r w:rsidR="00CC4B45" w:rsidRPr="00BF55FF">
        <w:t>children</w:t>
      </w:r>
      <w:r w:rsidR="00421F6E" w:rsidRPr="00BF55FF">
        <w:t xml:space="preserve"> who are</w:t>
      </w:r>
      <w:r w:rsidR="00CC4B45" w:rsidRPr="00BF55FF">
        <w:t xml:space="preserve"> </w:t>
      </w:r>
      <w:r w:rsidR="005F29F9" w:rsidRPr="00BF55FF">
        <w:t xml:space="preserve">diagnosed with </w:t>
      </w:r>
      <w:r w:rsidR="00606EFD" w:rsidRPr="00BF55FF">
        <w:t xml:space="preserve">HAE </w:t>
      </w:r>
      <w:r w:rsidR="005F29F9" w:rsidRPr="00BF55FF">
        <w:t xml:space="preserve">before the age of 12 </w:t>
      </w:r>
      <w:r w:rsidR="00606EFD" w:rsidRPr="00BF55FF">
        <w:t>would be eligible under the</w:t>
      </w:r>
      <w:r w:rsidR="001F0E3B">
        <w:t xml:space="preserve"> submission’s</w:t>
      </w:r>
      <w:r w:rsidR="00606EFD" w:rsidRPr="00BF55FF">
        <w:t xml:space="preserve"> </w:t>
      </w:r>
      <w:r w:rsidR="00746753">
        <w:t>proposed</w:t>
      </w:r>
      <w:r w:rsidR="00746753" w:rsidRPr="00BF55FF">
        <w:t xml:space="preserve"> </w:t>
      </w:r>
      <w:r w:rsidR="00606EFD" w:rsidRPr="00BF55FF">
        <w:t>criterion</w:t>
      </w:r>
      <w:r w:rsidR="00746753">
        <w:t xml:space="preserve"> of one attack in 3 months</w:t>
      </w:r>
      <w:r w:rsidR="00606EFD" w:rsidRPr="00BF55FF">
        <w:t>.</w:t>
      </w:r>
      <w:r w:rsidR="00E80F55" w:rsidRPr="00BF55FF">
        <w:t xml:space="preserve"> </w:t>
      </w:r>
      <w:r w:rsidR="005879D3" w:rsidRPr="00BF55FF">
        <w:t xml:space="preserve"> </w:t>
      </w:r>
    </w:p>
    <w:p w14:paraId="0FDCE2F4" w14:textId="3C653221" w:rsidR="006637F0" w:rsidRPr="00B3207B" w:rsidRDefault="006637F0" w:rsidP="00AE5436">
      <w:pPr>
        <w:pStyle w:val="3-BodyText"/>
      </w:pPr>
      <w:bookmarkStart w:id="13" w:name="_Ref179889954"/>
      <w:r w:rsidRPr="00BF55FF">
        <w:t xml:space="preserve">The PSCR </w:t>
      </w:r>
      <w:r w:rsidR="001E0DE2" w:rsidRPr="00BF55FF">
        <w:t>maintained</w:t>
      </w:r>
      <w:r w:rsidR="00F227AB" w:rsidRPr="00BF55FF">
        <w:t xml:space="preserve"> that</w:t>
      </w:r>
      <w:r w:rsidR="00574547" w:rsidRPr="00BF55FF">
        <w:t xml:space="preserve"> a</w:t>
      </w:r>
      <w:r w:rsidRPr="00BF55FF">
        <w:t xml:space="preserve"> </w:t>
      </w:r>
      <w:r w:rsidR="00F227AB" w:rsidRPr="00BF55FF">
        <w:t xml:space="preserve">lower attack rate is warranted in the 2-11 </w:t>
      </w:r>
      <w:r w:rsidR="00067942" w:rsidRPr="00BF55FF">
        <w:t>year</w:t>
      </w:r>
      <w:r w:rsidR="00F227AB" w:rsidRPr="00BF55FF">
        <w:t xml:space="preserve"> </w:t>
      </w:r>
      <w:r w:rsidR="004456DB" w:rsidRPr="00BF55FF">
        <w:t xml:space="preserve">old </w:t>
      </w:r>
      <w:r w:rsidR="00F227AB" w:rsidRPr="00BF55FF">
        <w:t>population</w:t>
      </w:r>
      <w:r w:rsidR="00CB1E8A" w:rsidRPr="00BF55FF">
        <w:t>.</w:t>
      </w:r>
      <w:r w:rsidRPr="00BF55FF">
        <w:t xml:space="preserve"> </w:t>
      </w:r>
      <w:r w:rsidR="00CB1E8A" w:rsidRPr="00BF55FF">
        <w:t xml:space="preserve">The PSCR stated </w:t>
      </w:r>
      <w:r w:rsidR="00F227AB" w:rsidRPr="00BF55FF">
        <w:t>“given that these paediatric patients [experiencing HAE attacks before the age of 12] represent early onset disease</w:t>
      </w:r>
      <w:r w:rsidR="00CB1E8A" w:rsidRPr="00BF55FF">
        <w:t>,</w:t>
      </w:r>
      <w:r w:rsidR="00F227AB" w:rsidRPr="00BF55FF">
        <w:t xml:space="preserve"> they would likely qualify for treatment under the adolescent/adult criteria in the future”, and the proposed listing “will, by virtue of the early onset of disease, target a clinically relevant and severe phenotype of HAE without the distress and burden of enduring multiple attacks associated with the existing listing for adolescents and adults</w:t>
      </w:r>
      <w:r w:rsidR="004456DB" w:rsidRPr="00BF55FF">
        <w:t>.</w:t>
      </w:r>
      <w:r w:rsidR="00F227AB" w:rsidRPr="00BF55FF">
        <w:t xml:space="preserve">” The PSCR </w:t>
      </w:r>
      <w:r w:rsidRPr="00BF55FF">
        <w:t>cit</w:t>
      </w:r>
      <w:r w:rsidR="00F227AB" w:rsidRPr="00BF55FF">
        <w:t xml:space="preserve">ed </w:t>
      </w:r>
      <w:r w:rsidR="00CB1E8A" w:rsidRPr="00BF55FF">
        <w:t>a</w:t>
      </w:r>
      <w:r w:rsidR="00F227AB" w:rsidRPr="00BF55FF">
        <w:t xml:space="preserve"> survey </w:t>
      </w:r>
      <w:r w:rsidR="004456DB" w:rsidRPr="00BF55FF">
        <w:t>(</w:t>
      </w:r>
      <w:r w:rsidR="00F227AB" w:rsidRPr="00BF55FF">
        <w:t>conducted by the United States HAE Association</w:t>
      </w:r>
      <w:r w:rsidR="004456DB" w:rsidRPr="00BF55FF">
        <w:t>)</w:t>
      </w:r>
      <w:r w:rsidR="00F227AB" w:rsidRPr="00BF55FF">
        <w:t xml:space="preserve"> of 581 adult patients with a history of physician-confirmed HAE</w:t>
      </w:r>
      <w:r w:rsidR="00AE5436" w:rsidRPr="00BF55FF">
        <w:t xml:space="preserve"> (Christiansen 2016</w:t>
      </w:r>
      <w:r w:rsidR="00AE5436" w:rsidRPr="00BF55FF">
        <w:rPr>
          <w:rStyle w:val="FootnoteReference"/>
        </w:rPr>
        <w:footnoteReference w:id="2"/>
      </w:r>
      <w:r w:rsidR="00AE5436" w:rsidRPr="00BF55FF">
        <w:t>). The publication</w:t>
      </w:r>
      <w:r w:rsidR="00F227AB" w:rsidRPr="00BF55FF">
        <w:t xml:space="preserve"> </w:t>
      </w:r>
      <w:r w:rsidR="00AE5436" w:rsidRPr="00BF55FF">
        <w:t>state</w:t>
      </w:r>
      <w:r w:rsidR="004456DB" w:rsidRPr="00BF55FF">
        <w:t>d</w:t>
      </w:r>
      <w:r w:rsidRPr="00BF55FF">
        <w:t xml:space="preserve"> that</w:t>
      </w:r>
      <w:r w:rsidR="00AE5436" w:rsidRPr="00BF55FF">
        <w:t xml:space="preserve"> “Earlier onset of symptoms correlated with longer delays in diagnosis (P &lt;</w:t>
      </w:r>
      <w:r w:rsidR="005A5E01">
        <w:t>0</w:t>
      </w:r>
      <w:r w:rsidR="00AE5436" w:rsidRPr="00BF55FF">
        <w:t xml:space="preserve">.001) and predicted a more severe disease course, including increased number of attacks per year (P = </w:t>
      </w:r>
      <w:r w:rsidR="005A5E01">
        <w:t>0</w:t>
      </w:r>
      <w:r w:rsidR="00AE5436" w:rsidRPr="00BF55FF">
        <w:t xml:space="preserve">.0009) and hospital admissions (P = </w:t>
      </w:r>
      <w:r w:rsidR="005A5E01">
        <w:t>0</w:t>
      </w:r>
      <w:r w:rsidR="00AE5436" w:rsidRPr="00BF55FF">
        <w:t xml:space="preserve">.009). Earlier age of onset also significantly </w:t>
      </w:r>
      <w:r w:rsidR="00AE5436" w:rsidRPr="00B3207B">
        <w:t xml:space="preserve">correlated with increased perceived HAE severity (P = </w:t>
      </w:r>
      <w:r w:rsidR="005A5E01">
        <w:t>0</w:t>
      </w:r>
      <w:r w:rsidR="00AE5436" w:rsidRPr="00B3207B">
        <w:t>.0002), negative overall life impact (P &lt;</w:t>
      </w:r>
      <w:r w:rsidR="005A5E01">
        <w:t>0</w:t>
      </w:r>
      <w:r w:rsidR="00AE5436" w:rsidRPr="00B3207B">
        <w:t>.0001), and use of anabolic androgen.”</w:t>
      </w:r>
      <w:bookmarkEnd w:id="13"/>
    </w:p>
    <w:p w14:paraId="4D318469" w14:textId="31E76E17" w:rsidR="004456DB" w:rsidRDefault="006637F0" w:rsidP="000E2F84">
      <w:pPr>
        <w:pStyle w:val="3-BodyText"/>
        <w:rPr>
          <w:color w:val="000000" w:themeColor="text1"/>
        </w:rPr>
      </w:pPr>
      <w:bookmarkStart w:id="14" w:name="_Ref179889956"/>
      <w:r w:rsidRPr="00B3207B">
        <w:t xml:space="preserve">The ESC considered that while there </w:t>
      </w:r>
      <w:r w:rsidR="001E0DE2" w:rsidRPr="00B3207B">
        <w:t>may be</w:t>
      </w:r>
      <w:r w:rsidRPr="00B3207B">
        <w:t xml:space="preserve"> a link between early onset disease and severity, </w:t>
      </w:r>
      <w:r w:rsidR="007F5F2D" w:rsidRPr="00B3207B">
        <w:t xml:space="preserve">the submission had not presented </w:t>
      </w:r>
      <w:r w:rsidR="00F227AB" w:rsidRPr="00B3207B">
        <w:t xml:space="preserve">strong </w:t>
      </w:r>
      <w:r w:rsidRPr="00B3207B">
        <w:t xml:space="preserve">evidence to indicate </w:t>
      </w:r>
      <w:r w:rsidR="00A42BC9" w:rsidRPr="00B3207B">
        <w:t xml:space="preserve">that </w:t>
      </w:r>
      <w:r w:rsidRPr="00B3207B">
        <w:t xml:space="preserve">patients </w:t>
      </w:r>
      <w:r w:rsidR="00A42BC9" w:rsidRPr="00B3207B">
        <w:lastRenderedPageBreak/>
        <w:t xml:space="preserve">who </w:t>
      </w:r>
      <w:r w:rsidRPr="00B3207B">
        <w:t>experienc</w:t>
      </w:r>
      <w:r w:rsidR="00A42BC9" w:rsidRPr="00B3207B">
        <w:t>e</w:t>
      </w:r>
      <w:r w:rsidRPr="00B3207B">
        <w:t xml:space="preserve"> 1 attack at &lt;12 years </w:t>
      </w:r>
      <w:r w:rsidR="00A42BC9" w:rsidRPr="00B3207B">
        <w:t xml:space="preserve">of age </w:t>
      </w:r>
      <w:r w:rsidRPr="00B3207B">
        <w:t xml:space="preserve">are likely to experience </w:t>
      </w:r>
      <w:r w:rsidR="004456DB" w:rsidRPr="00B3207B">
        <w:rPr>
          <w:rFonts w:cstheme="minorHAnsi"/>
        </w:rPr>
        <w:t>≥</w:t>
      </w:r>
      <w:r w:rsidRPr="00B3207B">
        <w:t xml:space="preserve">12 attacks in 6 months when </w:t>
      </w:r>
      <w:r w:rsidR="00A42BC9" w:rsidRPr="00B3207B">
        <w:t xml:space="preserve">they are </w:t>
      </w:r>
      <w:r w:rsidR="0016232D" w:rsidRPr="00B3207B">
        <w:t>≥</w:t>
      </w:r>
      <w:r w:rsidRPr="00B3207B">
        <w:t>12 years</w:t>
      </w:r>
      <w:r w:rsidR="00A42BC9" w:rsidRPr="00B3207B">
        <w:t xml:space="preserve"> of age</w:t>
      </w:r>
      <w:r w:rsidRPr="00B3207B">
        <w:t>.</w:t>
      </w:r>
      <w:r w:rsidR="00BE3F97" w:rsidRPr="00B3207B">
        <w:t xml:space="preserve"> </w:t>
      </w:r>
      <w:r w:rsidR="00B46B5C" w:rsidRPr="00B3207B">
        <w:t>The ESC considered that</w:t>
      </w:r>
      <w:r w:rsidR="00A42BC9" w:rsidRPr="00B3207B">
        <w:t>,</w:t>
      </w:r>
      <w:r w:rsidR="00B46B5C" w:rsidRPr="00B3207B">
        <w:t xml:space="preserve"> in the absence of evidence to support the proposed lower baseline attack frequency in patients aged 2-11 years, it would be appropriate to expand the current restriction to </w:t>
      </w:r>
      <w:r w:rsidR="007B692A" w:rsidRPr="00B3207B">
        <w:t>be age agnostic</w:t>
      </w:r>
      <w:r w:rsidR="00B46B5C" w:rsidRPr="00B3207B">
        <w:t xml:space="preserve"> i</w:t>
      </w:r>
      <w:r w:rsidR="004456DB" w:rsidRPr="00B3207B">
        <w:t>.</w:t>
      </w:r>
      <w:r w:rsidR="00B46B5C" w:rsidRPr="00B3207B">
        <w:t>e</w:t>
      </w:r>
      <w:r w:rsidR="004456DB" w:rsidRPr="00B3207B">
        <w:t>.</w:t>
      </w:r>
      <w:r w:rsidR="00B46B5C" w:rsidRPr="00B3207B">
        <w:t xml:space="preserve"> with the same criteria around baseline attack frequency</w:t>
      </w:r>
      <w:r w:rsidR="004456DB" w:rsidRPr="00B3207B">
        <w:t>.</w:t>
      </w:r>
      <w:r w:rsidR="00B3207B" w:rsidRPr="00B3207B">
        <w:rPr>
          <w:color w:val="000000" w:themeColor="text1"/>
        </w:rPr>
        <w:t xml:space="preserve"> </w:t>
      </w:r>
      <w:r w:rsidR="000E2F84">
        <w:rPr>
          <w:color w:val="000000" w:themeColor="text1"/>
        </w:rPr>
        <w:t>While t</w:t>
      </w:r>
      <w:r w:rsidR="00B3207B" w:rsidRPr="00B3207B">
        <w:rPr>
          <w:color w:val="000000" w:themeColor="text1"/>
        </w:rPr>
        <w:t>he Pre-PBAC response acknowledged the</w:t>
      </w:r>
      <w:r w:rsidR="000E2F84">
        <w:rPr>
          <w:color w:val="000000" w:themeColor="text1"/>
        </w:rPr>
        <w:t xml:space="preserve"> lack of evidence</w:t>
      </w:r>
      <w:r w:rsidR="00B3207B" w:rsidRPr="00B3207B">
        <w:rPr>
          <w:color w:val="000000" w:themeColor="text1"/>
        </w:rPr>
        <w:t xml:space="preserve"> due to the rarity of the condition</w:t>
      </w:r>
      <w:r w:rsidR="000E2F84">
        <w:rPr>
          <w:color w:val="000000" w:themeColor="text1"/>
        </w:rPr>
        <w:t>,</w:t>
      </w:r>
      <w:r w:rsidR="00AA07FF">
        <w:rPr>
          <w:color w:val="000000" w:themeColor="text1"/>
        </w:rPr>
        <w:t xml:space="preserve"> </w:t>
      </w:r>
      <w:r w:rsidR="000E2F84">
        <w:rPr>
          <w:color w:val="000000" w:themeColor="text1"/>
        </w:rPr>
        <w:t xml:space="preserve">it stated </w:t>
      </w:r>
      <w:r w:rsidR="00B3207B" w:rsidRPr="00B3207B">
        <w:rPr>
          <w:color w:val="000000" w:themeColor="text1"/>
        </w:rPr>
        <w:t xml:space="preserve">that requiring ≥12 attacks in 6 months </w:t>
      </w:r>
      <w:r w:rsidR="000E2F84">
        <w:rPr>
          <w:color w:val="000000" w:themeColor="text1"/>
        </w:rPr>
        <w:t>may</w:t>
      </w:r>
      <w:r w:rsidR="00B3207B" w:rsidRPr="00B3207B">
        <w:rPr>
          <w:color w:val="000000" w:themeColor="text1"/>
        </w:rPr>
        <w:t xml:space="preserve"> result in no appreciable improvement in access to lanadelumab for the paediatric population due to no patients &lt;12 </w:t>
      </w:r>
      <w:r w:rsidR="00301CF9">
        <w:rPr>
          <w:color w:val="000000" w:themeColor="text1"/>
        </w:rPr>
        <w:t xml:space="preserve">years </w:t>
      </w:r>
      <w:r w:rsidR="00B3207B" w:rsidRPr="00B3207B">
        <w:rPr>
          <w:color w:val="000000" w:themeColor="text1"/>
        </w:rPr>
        <w:t>meeting this attack frequency</w:t>
      </w:r>
      <w:r w:rsidR="00AB5AF7">
        <w:rPr>
          <w:color w:val="000000" w:themeColor="text1"/>
        </w:rPr>
        <w:t xml:space="preserve"> threshold</w:t>
      </w:r>
      <w:r w:rsidR="00B3207B" w:rsidRPr="00B3207B">
        <w:rPr>
          <w:color w:val="000000" w:themeColor="text1"/>
        </w:rPr>
        <w:t>.</w:t>
      </w:r>
      <w:r w:rsidR="00B3207B">
        <w:rPr>
          <w:color w:val="000000" w:themeColor="text1"/>
        </w:rPr>
        <w:t xml:space="preserve"> </w:t>
      </w:r>
    </w:p>
    <w:p w14:paraId="766CA8AC" w14:textId="1BB5202B" w:rsidR="005E67E6" w:rsidRPr="00BF55FF" w:rsidRDefault="005E67E6" w:rsidP="005E67E6">
      <w:pPr>
        <w:pStyle w:val="3-BodyText"/>
      </w:pPr>
      <w:r w:rsidRPr="00BF55FF">
        <w:t xml:space="preserve">The TGA Product Information outlines that the recommended dosage is 300 mg every 2 or 4 weeks in patients aged </w:t>
      </w:r>
      <w:r w:rsidRPr="00BF55FF">
        <w:rPr>
          <w:rFonts w:cstheme="minorHAnsi"/>
        </w:rPr>
        <w:t>≥</w:t>
      </w:r>
      <w:r w:rsidRPr="00BF55FF">
        <w:t xml:space="preserve">12 years and 150 mg every 2 or 4 weeks in patients aged &lt;12 years (with the dosing interval dependent on other patient criteria). Only the 300 mg presentation is currently PBS-listed. </w:t>
      </w:r>
      <w:r w:rsidR="005A5E01">
        <w:t>T</w:t>
      </w:r>
      <w:r w:rsidRPr="00BF55FF">
        <w:t>he ESC considered that both presentations should be listed age agnostically</w:t>
      </w:r>
      <w:r w:rsidR="005A5E01">
        <w:t xml:space="preserve"> if the </w:t>
      </w:r>
      <w:r w:rsidR="00B32045">
        <w:t>PBAC were</w:t>
      </w:r>
      <w:r w:rsidR="005A5E01">
        <w:t xml:space="preserve"> to recommend access for </w:t>
      </w:r>
      <w:r w:rsidR="005A5E01" w:rsidRPr="00BF55FF">
        <w:t>patients aged &lt;12 years</w:t>
      </w:r>
      <w:r w:rsidRPr="00BF55FF">
        <w:t xml:space="preserve">. </w:t>
      </w:r>
    </w:p>
    <w:p w14:paraId="11227910" w14:textId="1861CAFC" w:rsidR="00AA07FF" w:rsidRDefault="00AA07FF" w:rsidP="00F314A2">
      <w:pPr>
        <w:pStyle w:val="3-BodyText"/>
      </w:pPr>
      <w:r>
        <w:t>The Pre-PBAC response requested that</w:t>
      </w:r>
      <w:r w:rsidR="00805648">
        <w:t xml:space="preserve"> if</w:t>
      </w:r>
      <w:r w:rsidR="00805648" w:rsidRPr="00AA07FF">
        <w:t xml:space="preserve"> the PBAC prefers an age agnostic listing, the grandfather provision</w:t>
      </w:r>
      <w:r w:rsidR="002C65B3">
        <w:t xml:space="preserve"> should</w:t>
      </w:r>
      <w:r w:rsidR="00805648" w:rsidRPr="00AA07FF">
        <w:t xml:space="preserve"> allow for patients on the </w:t>
      </w:r>
      <w:r w:rsidR="00805648">
        <w:t>current access program (based on the proposed restricti</w:t>
      </w:r>
      <w:r w:rsidR="002C65B3">
        <w:t>o</w:t>
      </w:r>
      <w:r w:rsidR="00805648">
        <w:t xml:space="preserve">n including a baseline attack rate of one attack in 3 months) to </w:t>
      </w:r>
      <w:r w:rsidR="00805648" w:rsidRPr="00AA07FF">
        <w:t xml:space="preserve">move onto PBS supply. </w:t>
      </w:r>
    </w:p>
    <w:bookmarkEnd w:id="14"/>
    <w:p w14:paraId="3D20F75B" w14:textId="130F696B" w:rsidR="00FC0895" w:rsidRDefault="00FE5DBA" w:rsidP="004076AE">
      <w:pPr>
        <w:pStyle w:val="3-BodyText"/>
      </w:pPr>
      <w:r w:rsidRPr="00BF55FF">
        <w:t xml:space="preserve">The submission proposed that the effective and published </w:t>
      </w:r>
      <w:r w:rsidR="004F566D" w:rsidRPr="00BF55FF">
        <w:t>prices for the 150</w:t>
      </w:r>
      <w:r w:rsidR="002F159B" w:rsidRPr="00BF55FF">
        <w:t xml:space="preserve"> </w:t>
      </w:r>
      <w:r w:rsidR="004F566D" w:rsidRPr="00BF55FF">
        <w:t>mg injection should be the same as the current prices for the 300</w:t>
      </w:r>
      <w:r w:rsidR="002F159B" w:rsidRPr="00BF55FF">
        <w:t xml:space="preserve"> </w:t>
      </w:r>
      <w:r w:rsidR="004F566D" w:rsidRPr="00BF55FF">
        <w:t>mg strength.</w:t>
      </w:r>
    </w:p>
    <w:p w14:paraId="0DA6C208" w14:textId="77777777" w:rsidR="00BF55FF" w:rsidRPr="00BF55FF" w:rsidRDefault="00BF55FF" w:rsidP="004076AE">
      <w:pPr>
        <w:pStyle w:val="3-BodyText"/>
        <w:numPr>
          <w:ilvl w:val="0"/>
          <w:numId w:val="0"/>
        </w:numPr>
        <w:ind w:left="720"/>
        <w:rPr>
          <w:i/>
          <w:iCs/>
        </w:rPr>
      </w:pPr>
      <w:r w:rsidRPr="00BF55FF">
        <w:rPr>
          <w:i/>
          <w:iCs/>
        </w:rPr>
        <w:t>For more detail on PBAC’s view, see section 7 PBAC outcome.</w:t>
      </w:r>
    </w:p>
    <w:p w14:paraId="7075B85C" w14:textId="798F1460" w:rsidR="00B50DB8" w:rsidRPr="00BF55FF" w:rsidDel="001953BB" w:rsidRDefault="00203181" w:rsidP="004E18E9">
      <w:pPr>
        <w:pStyle w:val="2-SectionHeading"/>
      </w:pPr>
      <w:bookmarkStart w:id="15" w:name="_Toc177389663"/>
      <w:r w:rsidRPr="00BF55FF" w:rsidDel="001953BB">
        <w:t xml:space="preserve">Population and </w:t>
      </w:r>
      <w:r w:rsidR="008E0D3C" w:rsidRPr="00BF55FF" w:rsidDel="001953BB">
        <w:t>d</w:t>
      </w:r>
      <w:r w:rsidRPr="00BF55FF" w:rsidDel="001953BB">
        <w:t>isease</w:t>
      </w:r>
      <w:bookmarkEnd w:id="15"/>
    </w:p>
    <w:p w14:paraId="44F8A8EF" w14:textId="40D229AE" w:rsidR="001C7784" w:rsidRPr="00BF55FF" w:rsidDel="001953BB" w:rsidRDefault="00E51D5A" w:rsidP="009B2173">
      <w:pPr>
        <w:pStyle w:val="3-BodyText"/>
        <w:rPr>
          <w:color w:val="000000" w:themeColor="text1"/>
        </w:rPr>
      </w:pPr>
      <w:r w:rsidRPr="00BF55FF" w:rsidDel="001953BB">
        <w:rPr>
          <w:color w:val="000000" w:themeColor="text1"/>
        </w:rPr>
        <w:t xml:space="preserve">HAE </w:t>
      </w:r>
      <w:r w:rsidR="00CB0551" w:rsidRPr="00BF55FF" w:rsidDel="001953BB">
        <w:rPr>
          <w:color w:val="000000" w:themeColor="text1"/>
        </w:rPr>
        <w:t>is a</w:t>
      </w:r>
      <w:r w:rsidR="00CA2312" w:rsidRPr="00BF55FF" w:rsidDel="001953BB">
        <w:rPr>
          <w:color w:val="000000" w:themeColor="text1"/>
        </w:rPr>
        <w:t>n uncommon</w:t>
      </w:r>
      <w:r w:rsidR="00CB0551" w:rsidRPr="00BF55FF" w:rsidDel="001953BB">
        <w:rPr>
          <w:color w:val="000000" w:themeColor="text1"/>
        </w:rPr>
        <w:t xml:space="preserve"> disease</w:t>
      </w:r>
      <w:r w:rsidR="00BC1E20" w:rsidRPr="00BF55FF" w:rsidDel="001953BB">
        <w:rPr>
          <w:color w:val="000000" w:themeColor="text1"/>
        </w:rPr>
        <w:t xml:space="preserve"> characterised by recurrent episodes of swelling</w:t>
      </w:r>
      <w:r w:rsidR="0063586E">
        <w:rPr>
          <w:color w:val="000000" w:themeColor="text1"/>
        </w:rPr>
        <w:t>.</w:t>
      </w:r>
      <w:r w:rsidR="00D85BD8" w:rsidRPr="00BF55FF" w:rsidDel="001953BB">
        <w:rPr>
          <w:color w:val="000000" w:themeColor="text1"/>
        </w:rPr>
        <w:t xml:space="preserve"> </w:t>
      </w:r>
      <w:r w:rsidR="0063586E">
        <w:rPr>
          <w:color w:val="000000" w:themeColor="text1"/>
        </w:rPr>
        <w:t>P</w:t>
      </w:r>
      <w:r w:rsidR="00D85BD8" w:rsidRPr="00BF55FF" w:rsidDel="001953BB">
        <w:rPr>
          <w:color w:val="000000" w:themeColor="text1"/>
        </w:rPr>
        <w:t>revalence estimates range from 1/10,000 to 1/150,000, clustering around</w:t>
      </w:r>
      <w:r w:rsidR="00AD118B" w:rsidRPr="00BF55FF" w:rsidDel="001953BB">
        <w:rPr>
          <w:color w:val="000000" w:themeColor="text1"/>
        </w:rPr>
        <w:t xml:space="preserve"> 1/60,000 individuals.</w:t>
      </w:r>
      <w:r w:rsidR="00D85BD8" w:rsidRPr="00BF55FF" w:rsidDel="001953BB">
        <w:rPr>
          <w:color w:val="000000" w:themeColor="text1"/>
        </w:rPr>
        <w:t xml:space="preserve"> Males and females are affected equally, and there are no identified differences among ethnic groups.</w:t>
      </w:r>
      <w:r w:rsidR="003C2B31" w:rsidRPr="00BF55FF" w:rsidDel="001953BB">
        <w:rPr>
          <w:color w:val="000000" w:themeColor="text1"/>
        </w:rPr>
        <w:t xml:space="preserve"> </w:t>
      </w:r>
      <w:r w:rsidR="001C7784" w:rsidRPr="00BF55FF" w:rsidDel="001953BB">
        <w:rPr>
          <w:color w:val="000000" w:themeColor="text1"/>
        </w:rPr>
        <w:t xml:space="preserve">It should be noted that </w:t>
      </w:r>
      <w:r w:rsidR="00D85BD8" w:rsidRPr="00BF55FF" w:rsidDel="001953BB">
        <w:rPr>
          <w:color w:val="000000" w:themeColor="text1"/>
        </w:rPr>
        <w:t>a prevalence of 1/60,000</w:t>
      </w:r>
      <w:r w:rsidR="001C7784" w:rsidRPr="00BF55FF" w:rsidDel="001953BB">
        <w:rPr>
          <w:color w:val="000000" w:themeColor="text1"/>
        </w:rPr>
        <w:t xml:space="preserve"> would imply that there are about 500 patients with HAE in Australia,</w:t>
      </w:r>
      <w:r w:rsidR="00D85BD8" w:rsidRPr="00BF55FF" w:rsidDel="001953BB">
        <w:rPr>
          <w:color w:val="000000" w:themeColor="text1"/>
        </w:rPr>
        <w:t xml:space="preserve"> and even the lowest </w:t>
      </w:r>
      <w:r w:rsidR="002A19BC" w:rsidRPr="00BF55FF" w:rsidDel="001953BB">
        <w:rPr>
          <w:color w:val="000000" w:themeColor="text1"/>
        </w:rPr>
        <w:t>estimated</w:t>
      </w:r>
      <w:r w:rsidR="00D85BD8" w:rsidRPr="00BF55FF" w:rsidDel="001953BB">
        <w:rPr>
          <w:color w:val="000000" w:themeColor="text1"/>
        </w:rPr>
        <w:t xml:space="preserve"> prevalence would imply 200</w:t>
      </w:r>
      <w:r w:rsidR="002A19BC" w:rsidRPr="00BF55FF" w:rsidDel="001953BB">
        <w:rPr>
          <w:color w:val="000000" w:themeColor="text1"/>
        </w:rPr>
        <w:t>. T</w:t>
      </w:r>
      <w:r w:rsidR="00D85BD8" w:rsidRPr="00BF55FF" w:rsidDel="001953BB">
        <w:rPr>
          <w:color w:val="000000" w:themeColor="text1"/>
        </w:rPr>
        <w:t>he database of the Australian Society of Clinical Immunology and Allergy has only 66 patients</w:t>
      </w:r>
      <w:r w:rsidR="002A19BC" w:rsidRPr="00BF55FF" w:rsidDel="001953BB">
        <w:rPr>
          <w:color w:val="000000" w:themeColor="text1"/>
        </w:rPr>
        <w:t>, so there appears to be substantial under-reporting</w:t>
      </w:r>
      <w:r w:rsidR="001C7784" w:rsidRPr="00BF55FF" w:rsidDel="001953BB">
        <w:rPr>
          <w:color w:val="000000" w:themeColor="text1"/>
        </w:rPr>
        <w:t>.</w:t>
      </w:r>
      <w:r w:rsidR="001C7784" w:rsidRPr="00BF55FF" w:rsidDel="001953BB">
        <w:rPr>
          <w:rStyle w:val="FootnoteReference"/>
          <w:color w:val="000000" w:themeColor="text1"/>
        </w:rPr>
        <w:footnoteReference w:id="3"/>
      </w:r>
    </w:p>
    <w:p w14:paraId="3779B68E" w14:textId="490581D3" w:rsidR="00EE0388" w:rsidRPr="00BF55FF" w:rsidDel="001953BB" w:rsidRDefault="004276BE" w:rsidP="009B2173">
      <w:pPr>
        <w:pStyle w:val="3-BodyText"/>
        <w:rPr>
          <w:color w:val="000000" w:themeColor="text1"/>
        </w:rPr>
      </w:pPr>
      <w:r w:rsidRPr="00BF55FF" w:rsidDel="001953BB">
        <w:rPr>
          <w:color w:val="000000" w:themeColor="text1"/>
        </w:rPr>
        <w:t>In most cases</w:t>
      </w:r>
      <w:r w:rsidR="0063586E">
        <w:rPr>
          <w:color w:val="000000" w:themeColor="text1"/>
        </w:rPr>
        <w:t>,</w:t>
      </w:r>
      <w:r w:rsidRPr="00BF55FF" w:rsidDel="001953BB">
        <w:rPr>
          <w:color w:val="000000" w:themeColor="text1"/>
        </w:rPr>
        <w:t xml:space="preserve"> HAE</w:t>
      </w:r>
      <w:r w:rsidR="00E51D5A" w:rsidRPr="00BF55FF" w:rsidDel="001953BB">
        <w:rPr>
          <w:color w:val="000000" w:themeColor="text1"/>
        </w:rPr>
        <w:t xml:space="preserve"> is due to </w:t>
      </w:r>
      <w:r w:rsidR="00CB0551" w:rsidRPr="00BF55FF" w:rsidDel="001953BB">
        <w:rPr>
          <w:color w:val="000000" w:themeColor="text1"/>
        </w:rPr>
        <w:t xml:space="preserve">gene mutations causing </w:t>
      </w:r>
      <w:r w:rsidR="00E51D5A" w:rsidRPr="00BF55FF" w:rsidDel="001953BB">
        <w:rPr>
          <w:color w:val="000000" w:themeColor="text1"/>
        </w:rPr>
        <w:t>deficiency</w:t>
      </w:r>
      <w:r w:rsidRPr="00BF55FF" w:rsidDel="001953BB">
        <w:rPr>
          <w:color w:val="000000" w:themeColor="text1"/>
        </w:rPr>
        <w:t xml:space="preserve"> (</w:t>
      </w:r>
      <w:r w:rsidR="001D0881" w:rsidRPr="00BF55FF" w:rsidDel="001953BB">
        <w:rPr>
          <w:color w:val="000000" w:themeColor="text1"/>
        </w:rPr>
        <w:t xml:space="preserve">“Type I”, </w:t>
      </w:r>
      <w:r w:rsidRPr="00BF55FF" w:rsidDel="001953BB">
        <w:rPr>
          <w:color w:val="000000" w:themeColor="text1"/>
        </w:rPr>
        <w:t>85% of cases)</w:t>
      </w:r>
      <w:r w:rsidR="00E51D5A" w:rsidRPr="00BF55FF" w:rsidDel="001953BB">
        <w:rPr>
          <w:color w:val="000000" w:themeColor="text1"/>
        </w:rPr>
        <w:t xml:space="preserve"> or dysfunction</w:t>
      </w:r>
      <w:r w:rsidRPr="00BF55FF" w:rsidDel="001953BB">
        <w:rPr>
          <w:color w:val="000000" w:themeColor="text1"/>
        </w:rPr>
        <w:t xml:space="preserve"> (</w:t>
      </w:r>
      <w:r w:rsidR="001D0881" w:rsidRPr="00BF55FF" w:rsidDel="001953BB">
        <w:rPr>
          <w:color w:val="000000" w:themeColor="text1"/>
        </w:rPr>
        <w:t xml:space="preserve">“Type II”, </w:t>
      </w:r>
      <w:r w:rsidRPr="00BF55FF" w:rsidDel="001953BB">
        <w:rPr>
          <w:color w:val="000000" w:themeColor="text1"/>
        </w:rPr>
        <w:t>15% of cases)</w:t>
      </w:r>
      <w:r w:rsidR="00E51D5A" w:rsidRPr="00BF55FF" w:rsidDel="001953BB">
        <w:rPr>
          <w:color w:val="000000" w:themeColor="text1"/>
        </w:rPr>
        <w:t xml:space="preserve"> of C1 inhibitor (C1-INH)</w:t>
      </w:r>
      <w:r w:rsidR="00CB0551" w:rsidRPr="00BF55FF" w:rsidDel="001953BB">
        <w:rPr>
          <w:color w:val="000000" w:themeColor="text1"/>
        </w:rPr>
        <w:t>;</w:t>
      </w:r>
      <w:r w:rsidRPr="00BF55FF" w:rsidDel="001953BB">
        <w:rPr>
          <w:color w:val="000000" w:themeColor="text1"/>
        </w:rPr>
        <w:t xml:space="preserve"> these cases are designated HAE – C1-INH. Reduced C1-INH function</w:t>
      </w:r>
      <w:r w:rsidR="00E51D5A" w:rsidRPr="00BF55FF" w:rsidDel="001953BB">
        <w:rPr>
          <w:color w:val="000000" w:themeColor="text1"/>
        </w:rPr>
        <w:t xml:space="preserve"> results in </w:t>
      </w:r>
      <w:r w:rsidRPr="00BF55FF" w:rsidDel="001953BB">
        <w:rPr>
          <w:color w:val="000000" w:themeColor="text1"/>
        </w:rPr>
        <w:t xml:space="preserve">episodes of </w:t>
      </w:r>
      <w:r w:rsidR="00E51D5A" w:rsidRPr="00BF55FF" w:rsidDel="001953BB">
        <w:rPr>
          <w:color w:val="000000" w:themeColor="text1"/>
        </w:rPr>
        <w:t xml:space="preserve">uncontrolled production of bradykinin, leading to local increases in vascular permeability and </w:t>
      </w:r>
      <w:r w:rsidR="00920069" w:rsidRPr="00BF55FF" w:rsidDel="001953BB">
        <w:rPr>
          <w:color w:val="000000" w:themeColor="text1"/>
        </w:rPr>
        <w:t>oedema</w:t>
      </w:r>
      <w:r w:rsidR="00E51D5A" w:rsidRPr="00BF55FF" w:rsidDel="001953BB">
        <w:rPr>
          <w:color w:val="000000" w:themeColor="text1"/>
        </w:rPr>
        <w:t xml:space="preserve">, and to low levels of C4, which is not related to pathogenesis but is a sensitive </w:t>
      </w:r>
      <w:r w:rsidR="00E51D5A" w:rsidRPr="00BF55FF" w:rsidDel="001953BB">
        <w:rPr>
          <w:color w:val="000000" w:themeColor="text1"/>
        </w:rPr>
        <w:lastRenderedPageBreak/>
        <w:t>and readily available diagnostic test. HAE</w:t>
      </w:r>
      <w:r w:rsidRPr="00BF55FF" w:rsidDel="001953BB">
        <w:rPr>
          <w:color w:val="000000" w:themeColor="text1"/>
        </w:rPr>
        <w:t xml:space="preserve"> </w:t>
      </w:r>
      <w:r w:rsidR="00921A41" w:rsidRPr="00BF55FF" w:rsidDel="001953BB">
        <w:rPr>
          <w:color w:val="000000" w:themeColor="text1"/>
        </w:rPr>
        <w:t>–</w:t>
      </w:r>
      <w:r w:rsidRPr="00BF55FF" w:rsidDel="001953BB">
        <w:rPr>
          <w:color w:val="000000" w:themeColor="text1"/>
        </w:rPr>
        <w:t xml:space="preserve"> C1-INH </w:t>
      </w:r>
      <w:r w:rsidR="00E51D5A" w:rsidRPr="00BF55FF" w:rsidDel="001953BB">
        <w:rPr>
          <w:color w:val="000000" w:themeColor="text1"/>
        </w:rPr>
        <w:t>displays autosomal dominant inheritance</w:t>
      </w:r>
      <w:r w:rsidRPr="00BF55FF" w:rsidDel="001953BB">
        <w:rPr>
          <w:color w:val="000000" w:themeColor="text1"/>
        </w:rPr>
        <w:t xml:space="preserve"> </w:t>
      </w:r>
      <w:r w:rsidR="00E51D5A" w:rsidRPr="00BF55FF" w:rsidDel="001953BB">
        <w:rPr>
          <w:color w:val="000000" w:themeColor="text1"/>
        </w:rPr>
        <w:t xml:space="preserve">and most patients have a positive family history. </w:t>
      </w:r>
    </w:p>
    <w:p w14:paraId="40F82CEE" w14:textId="21FBF800" w:rsidR="00500ABB" w:rsidRPr="00BF55FF" w:rsidDel="001953BB" w:rsidRDefault="009D573E" w:rsidP="009B2173">
      <w:pPr>
        <w:pStyle w:val="3-BodyText"/>
        <w:rPr>
          <w:color w:val="000000" w:themeColor="text1"/>
        </w:rPr>
      </w:pPr>
      <w:r w:rsidRPr="00BF55FF" w:rsidDel="001953BB">
        <w:rPr>
          <w:color w:val="000000" w:themeColor="text1"/>
        </w:rPr>
        <w:t>The first attack occurs before age 5</w:t>
      </w:r>
      <w:r w:rsidR="005E46D5" w:rsidRPr="00BF55FF" w:rsidDel="001953BB">
        <w:rPr>
          <w:color w:val="000000" w:themeColor="text1"/>
        </w:rPr>
        <w:t xml:space="preserve"> years</w:t>
      </w:r>
      <w:r w:rsidRPr="00BF55FF" w:rsidDel="001953BB">
        <w:rPr>
          <w:color w:val="000000" w:themeColor="text1"/>
        </w:rPr>
        <w:t xml:space="preserve"> in 40% of patients and before age 15</w:t>
      </w:r>
      <w:r w:rsidR="008D38A5" w:rsidRPr="00BF55FF" w:rsidDel="001953BB">
        <w:rPr>
          <w:color w:val="000000" w:themeColor="text1"/>
        </w:rPr>
        <w:t xml:space="preserve"> years</w:t>
      </w:r>
      <w:r w:rsidRPr="00BF55FF" w:rsidDel="001953BB">
        <w:rPr>
          <w:color w:val="000000" w:themeColor="text1"/>
        </w:rPr>
        <w:t xml:space="preserve"> in 75%</w:t>
      </w:r>
      <w:r w:rsidR="00F019F9">
        <w:rPr>
          <w:color w:val="000000" w:themeColor="text1"/>
        </w:rPr>
        <w:t xml:space="preserve"> of patients</w:t>
      </w:r>
      <w:r w:rsidRPr="00BF55FF" w:rsidDel="001953BB">
        <w:rPr>
          <w:color w:val="000000" w:themeColor="text1"/>
        </w:rPr>
        <w:t>, but diagnosis is often delayed, especially if there is no family history</w:t>
      </w:r>
      <w:r w:rsidR="00E5402A" w:rsidRPr="00BF55FF" w:rsidDel="001953BB">
        <w:rPr>
          <w:color w:val="000000" w:themeColor="text1"/>
        </w:rPr>
        <w:t xml:space="preserve"> and attacks are infrequent</w:t>
      </w:r>
      <w:r w:rsidRPr="00BF55FF" w:rsidDel="001953BB">
        <w:rPr>
          <w:color w:val="000000" w:themeColor="text1"/>
        </w:rPr>
        <w:t xml:space="preserve">. </w:t>
      </w:r>
      <w:r w:rsidR="00500ABB" w:rsidRPr="00BF55FF" w:rsidDel="001953BB">
        <w:rPr>
          <w:color w:val="000000" w:themeColor="text1"/>
        </w:rPr>
        <w:t>The submission stated</w:t>
      </w:r>
      <w:r w:rsidR="00E36EBA" w:rsidRPr="00BF55FF" w:rsidDel="001953BB">
        <w:rPr>
          <w:color w:val="000000" w:themeColor="text1"/>
        </w:rPr>
        <w:t>:</w:t>
      </w:r>
      <w:r w:rsidR="00500ABB" w:rsidRPr="00BF55FF" w:rsidDel="001953BB">
        <w:rPr>
          <w:color w:val="000000" w:themeColor="text1"/>
        </w:rPr>
        <w:t xml:space="preserve"> </w:t>
      </w:r>
      <w:r w:rsidR="00E36EBA" w:rsidRPr="00BF55FF" w:rsidDel="001953BB">
        <w:rPr>
          <w:color w:val="000000" w:themeColor="text1"/>
        </w:rPr>
        <w:t>“while approximately 50% of those with HAE suffer their first attack before the age of 10 years, the diagnosis of HAE is usually not made until the second or third decade of life. Studies have documented an average delay to diagnosis of 13 to 21 years despite improvements in screening and general awareness of HAE. Consequently, relatively few patients are diagnosed with HAE below the age of 12 years.”</w:t>
      </w:r>
    </w:p>
    <w:p w14:paraId="786182E0" w14:textId="61B9A4A3" w:rsidR="007643C5" w:rsidRPr="00BF55FF" w:rsidDel="001953BB" w:rsidRDefault="00D47AFB" w:rsidP="009B2173">
      <w:pPr>
        <w:pStyle w:val="3-BodyText"/>
        <w:rPr>
          <w:color w:val="000000" w:themeColor="text1"/>
        </w:rPr>
      </w:pPr>
      <w:bookmarkStart w:id="16" w:name="_Ref183529779"/>
      <w:r w:rsidRPr="00BF55FF" w:rsidDel="001953BB">
        <w:rPr>
          <w:color w:val="000000" w:themeColor="text1"/>
        </w:rPr>
        <w:t>Attacks can be spontaneous</w:t>
      </w:r>
      <w:r w:rsidR="00BE3F97" w:rsidRPr="00BF55FF" w:rsidDel="001953BB">
        <w:rPr>
          <w:color w:val="000000" w:themeColor="text1"/>
        </w:rPr>
        <w:t>,</w:t>
      </w:r>
      <w:r w:rsidR="00E77E4E" w:rsidRPr="00BF55FF" w:rsidDel="001953BB">
        <w:rPr>
          <w:color w:val="000000" w:themeColor="text1"/>
        </w:rPr>
        <w:t xml:space="preserve"> </w:t>
      </w:r>
      <w:r w:rsidRPr="00BF55FF" w:rsidDel="001953BB">
        <w:rPr>
          <w:color w:val="000000" w:themeColor="text1"/>
        </w:rPr>
        <w:t xml:space="preserve">or precipitated by </w:t>
      </w:r>
      <w:r w:rsidR="00E77E4E" w:rsidRPr="00BF55FF" w:rsidDel="001953BB">
        <w:rPr>
          <w:color w:val="000000" w:themeColor="text1"/>
        </w:rPr>
        <w:t xml:space="preserve">medications or </w:t>
      </w:r>
      <w:r w:rsidRPr="00BF55FF" w:rsidDel="001953BB">
        <w:rPr>
          <w:color w:val="000000" w:themeColor="text1"/>
        </w:rPr>
        <w:t xml:space="preserve">medical or dental procedures. </w:t>
      </w:r>
      <w:r w:rsidR="00E77E4E" w:rsidRPr="00BF55FF" w:rsidDel="001953BB">
        <w:rPr>
          <w:color w:val="000000" w:themeColor="text1"/>
        </w:rPr>
        <w:t>Attacks are unpredictable, and t</w:t>
      </w:r>
      <w:r w:rsidR="00F40BD3" w:rsidRPr="00BF55FF" w:rsidDel="001953BB">
        <w:rPr>
          <w:color w:val="000000" w:themeColor="text1"/>
        </w:rPr>
        <w:t xml:space="preserve">he frequency of attacks varies from one or two episodes per year to </w:t>
      </w:r>
      <w:r w:rsidR="001D0881" w:rsidRPr="00BF55FF" w:rsidDel="001953BB">
        <w:rPr>
          <w:color w:val="000000" w:themeColor="text1"/>
        </w:rPr>
        <w:t xml:space="preserve">more than one per </w:t>
      </w:r>
      <w:r w:rsidR="00F40BD3" w:rsidRPr="00BF55FF" w:rsidDel="001953BB">
        <w:rPr>
          <w:color w:val="000000" w:themeColor="text1"/>
        </w:rPr>
        <w:t>week</w:t>
      </w:r>
      <w:r w:rsidR="001670FF" w:rsidRPr="00BF55FF" w:rsidDel="001953BB">
        <w:rPr>
          <w:color w:val="000000" w:themeColor="text1"/>
        </w:rPr>
        <w:t>.</w:t>
      </w:r>
      <w:r w:rsidR="007643C5" w:rsidRPr="00BF55FF" w:rsidDel="001953BB">
        <w:rPr>
          <w:color w:val="000000" w:themeColor="text1"/>
        </w:rPr>
        <w:t xml:space="preserve"> In one </w:t>
      </w:r>
      <w:r w:rsidR="002A19BC" w:rsidRPr="00BF55FF" w:rsidDel="001953BB">
        <w:rPr>
          <w:color w:val="000000" w:themeColor="text1"/>
        </w:rPr>
        <w:t>series</w:t>
      </w:r>
      <w:r w:rsidR="007643C5" w:rsidRPr="00BF55FF" w:rsidDel="001953BB">
        <w:rPr>
          <w:color w:val="000000" w:themeColor="text1"/>
        </w:rPr>
        <w:t xml:space="preserve"> of 226 HAE patients</w:t>
      </w:r>
      <w:r w:rsidR="00710F65" w:rsidRPr="00BF55FF" w:rsidDel="001953BB">
        <w:rPr>
          <w:color w:val="000000" w:themeColor="text1"/>
        </w:rPr>
        <w:t xml:space="preserve"> followed for up to 19 years</w:t>
      </w:r>
      <w:r w:rsidR="007643C5" w:rsidRPr="00BF55FF" w:rsidDel="001953BB">
        <w:rPr>
          <w:color w:val="000000" w:themeColor="text1"/>
        </w:rPr>
        <w:t xml:space="preserve">, </w:t>
      </w:r>
      <w:r w:rsidR="00E77E4E" w:rsidRPr="00BF55FF" w:rsidDel="001953BB">
        <w:rPr>
          <w:color w:val="000000" w:themeColor="text1"/>
        </w:rPr>
        <w:t>2% had n</w:t>
      </w:r>
      <w:r w:rsidR="007817BF" w:rsidRPr="00BF55FF" w:rsidDel="001953BB">
        <w:rPr>
          <w:color w:val="000000" w:themeColor="text1"/>
        </w:rPr>
        <w:t>ever had an</w:t>
      </w:r>
      <w:r w:rsidR="00E77E4E" w:rsidRPr="00BF55FF" w:rsidDel="001953BB">
        <w:rPr>
          <w:color w:val="000000" w:themeColor="text1"/>
        </w:rPr>
        <w:t xml:space="preserve"> attack, </w:t>
      </w:r>
      <w:r w:rsidR="007643C5" w:rsidRPr="00BF55FF" w:rsidDel="001953BB">
        <w:rPr>
          <w:color w:val="000000" w:themeColor="text1"/>
        </w:rPr>
        <w:t>26% had &lt;1 attack per year, 23% had between 1 and 5 attacks per year, 16% had between 6 and 12 attacks per year, and 30% had over 12 per year</w:t>
      </w:r>
      <w:r w:rsidR="007817BF" w:rsidRPr="00BF55FF" w:rsidDel="001953BB">
        <w:rPr>
          <w:color w:val="000000" w:themeColor="text1"/>
        </w:rPr>
        <w:t>.</w:t>
      </w:r>
      <w:r w:rsidR="00D83A47" w:rsidRPr="00BF55FF" w:rsidDel="001953BB">
        <w:rPr>
          <w:color w:val="000000" w:themeColor="text1"/>
        </w:rPr>
        <w:t xml:space="preserve"> </w:t>
      </w:r>
      <w:r w:rsidR="00235DDA" w:rsidRPr="00BF55FF" w:rsidDel="001953BB">
        <w:rPr>
          <w:color w:val="000000" w:themeColor="text1"/>
        </w:rPr>
        <w:t>The submission stated that a</w:t>
      </w:r>
      <w:r w:rsidR="001670FF" w:rsidRPr="00BF55FF" w:rsidDel="001953BB">
        <w:rPr>
          <w:color w:val="000000" w:themeColor="text1"/>
        </w:rPr>
        <w:t>ttacks are</w:t>
      </w:r>
      <w:r w:rsidR="005B7B67" w:rsidRPr="00BF55FF" w:rsidDel="001953BB">
        <w:rPr>
          <w:color w:val="000000" w:themeColor="text1"/>
        </w:rPr>
        <w:t xml:space="preserve"> generally</w:t>
      </w:r>
      <w:r w:rsidR="001670FF" w:rsidRPr="00BF55FF" w:rsidDel="001953BB">
        <w:rPr>
          <w:color w:val="000000" w:themeColor="text1"/>
        </w:rPr>
        <w:t xml:space="preserve"> both less frequent and less severe</w:t>
      </w:r>
      <w:r w:rsidR="005B7B67" w:rsidRPr="00BF55FF" w:rsidDel="001953BB">
        <w:rPr>
          <w:color w:val="000000" w:themeColor="text1"/>
        </w:rPr>
        <w:t xml:space="preserve"> before puberty than after</w:t>
      </w:r>
      <w:r w:rsidR="00F40BD3" w:rsidRPr="00BF55FF" w:rsidDel="001953BB">
        <w:rPr>
          <w:color w:val="000000" w:themeColor="text1"/>
        </w:rPr>
        <w:t>.</w:t>
      </w:r>
      <w:bookmarkEnd w:id="16"/>
      <w:r w:rsidR="00E80F55" w:rsidRPr="00BF55FF" w:rsidDel="001953BB">
        <w:rPr>
          <w:color w:val="000000" w:themeColor="text1"/>
        </w:rPr>
        <w:t xml:space="preserve"> </w:t>
      </w:r>
    </w:p>
    <w:p w14:paraId="6969C117" w14:textId="6BBD3972" w:rsidR="00710F65" w:rsidRPr="00BF55FF" w:rsidDel="001953BB" w:rsidRDefault="009D573E" w:rsidP="009B2173">
      <w:pPr>
        <w:pStyle w:val="3-BodyText"/>
        <w:rPr>
          <w:color w:val="000000" w:themeColor="text1"/>
        </w:rPr>
      </w:pPr>
      <w:r w:rsidRPr="00BF55FF" w:rsidDel="001953BB">
        <w:rPr>
          <w:color w:val="000000" w:themeColor="text1"/>
        </w:rPr>
        <w:t>Attacks can affect the skin</w:t>
      </w:r>
      <w:r w:rsidR="00A12782" w:rsidRPr="00BF55FF" w:rsidDel="001953BB">
        <w:rPr>
          <w:color w:val="000000" w:themeColor="text1"/>
        </w:rPr>
        <w:t xml:space="preserve"> (most often the hands</w:t>
      </w:r>
      <w:r w:rsidR="00060A74" w:rsidRPr="00BF55FF" w:rsidDel="001953BB">
        <w:rPr>
          <w:color w:val="000000" w:themeColor="text1"/>
        </w:rPr>
        <w:t>,</w:t>
      </w:r>
      <w:r w:rsidR="00A12782" w:rsidRPr="00BF55FF" w:rsidDel="001953BB">
        <w:rPr>
          <w:color w:val="000000" w:themeColor="text1"/>
        </w:rPr>
        <w:t xml:space="preserve"> feet, </w:t>
      </w:r>
      <w:r w:rsidR="00060A74" w:rsidRPr="00BF55FF" w:rsidDel="001953BB">
        <w:rPr>
          <w:color w:val="000000" w:themeColor="text1"/>
        </w:rPr>
        <w:t>and</w:t>
      </w:r>
      <w:r w:rsidR="00A12782" w:rsidRPr="00BF55FF" w:rsidDel="001953BB">
        <w:rPr>
          <w:color w:val="000000" w:themeColor="text1"/>
        </w:rPr>
        <w:t xml:space="preserve"> face),</w:t>
      </w:r>
      <w:r w:rsidRPr="00BF55FF" w:rsidDel="001953BB">
        <w:rPr>
          <w:color w:val="000000" w:themeColor="text1"/>
        </w:rPr>
        <w:t xml:space="preserve"> the upper airway, or the gastro-intestinal tract. Attacks develop over several hours, and are always self-limiting, </w:t>
      </w:r>
      <w:r w:rsidR="00257C45" w:rsidRPr="00BF55FF" w:rsidDel="001953BB">
        <w:rPr>
          <w:color w:val="000000" w:themeColor="text1"/>
        </w:rPr>
        <w:t xml:space="preserve">usually </w:t>
      </w:r>
      <w:r w:rsidRPr="00BF55FF" w:rsidDel="001953BB">
        <w:rPr>
          <w:color w:val="000000" w:themeColor="text1"/>
        </w:rPr>
        <w:t xml:space="preserve">lasting </w:t>
      </w:r>
      <w:r w:rsidR="00E9437A" w:rsidRPr="00BF55FF" w:rsidDel="001953BB">
        <w:rPr>
          <w:color w:val="000000" w:themeColor="text1"/>
        </w:rPr>
        <w:t>about</w:t>
      </w:r>
      <w:r w:rsidR="00257C45" w:rsidRPr="00BF55FF" w:rsidDel="001953BB">
        <w:rPr>
          <w:color w:val="000000" w:themeColor="text1"/>
        </w:rPr>
        <w:t xml:space="preserve"> two days</w:t>
      </w:r>
      <w:r w:rsidR="00E9437A" w:rsidRPr="00BF55FF" w:rsidDel="001953BB">
        <w:rPr>
          <w:color w:val="000000" w:themeColor="text1"/>
        </w:rPr>
        <w:t xml:space="preserve">. </w:t>
      </w:r>
      <w:r w:rsidRPr="00BF55FF" w:rsidDel="001953BB">
        <w:rPr>
          <w:color w:val="000000" w:themeColor="text1"/>
        </w:rPr>
        <w:t>Attacks affecting the upper airway can be life-threatening</w:t>
      </w:r>
      <w:r w:rsidR="00450063" w:rsidRPr="00BF55FF" w:rsidDel="001953BB">
        <w:rPr>
          <w:color w:val="000000" w:themeColor="text1"/>
        </w:rPr>
        <w:t>. A</w:t>
      </w:r>
      <w:r w:rsidR="00CD3968" w:rsidRPr="00BF55FF" w:rsidDel="001953BB">
        <w:rPr>
          <w:color w:val="000000" w:themeColor="text1"/>
        </w:rPr>
        <w:t>lthough severe attacks are less common in young children</w:t>
      </w:r>
      <w:r w:rsidR="00450063" w:rsidRPr="00BF55FF" w:rsidDel="001953BB">
        <w:rPr>
          <w:color w:val="000000" w:themeColor="text1"/>
        </w:rPr>
        <w:t>,</w:t>
      </w:r>
      <w:r w:rsidRPr="00BF55FF" w:rsidDel="001953BB">
        <w:rPr>
          <w:color w:val="000000" w:themeColor="text1"/>
        </w:rPr>
        <w:t xml:space="preserve"> their </w:t>
      </w:r>
      <w:r w:rsidR="00CD3968" w:rsidRPr="00BF55FF" w:rsidDel="001953BB">
        <w:rPr>
          <w:color w:val="000000" w:themeColor="text1"/>
        </w:rPr>
        <w:t xml:space="preserve">airway is </w:t>
      </w:r>
      <w:r w:rsidRPr="00BF55FF" w:rsidDel="001953BB">
        <w:rPr>
          <w:color w:val="000000" w:themeColor="text1"/>
        </w:rPr>
        <w:t>smalle</w:t>
      </w:r>
      <w:r w:rsidR="00CD3968" w:rsidRPr="00BF55FF" w:rsidDel="001953BB">
        <w:rPr>
          <w:color w:val="000000" w:themeColor="text1"/>
        </w:rPr>
        <w:t>r</w:t>
      </w:r>
      <w:r w:rsidR="00450063" w:rsidRPr="00BF55FF" w:rsidDel="001953BB">
        <w:rPr>
          <w:color w:val="000000" w:themeColor="text1"/>
        </w:rPr>
        <w:t xml:space="preserve"> and they may be at higher risk. </w:t>
      </w:r>
      <w:r w:rsidR="0063586E">
        <w:rPr>
          <w:color w:val="000000" w:themeColor="text1"/>
        </w:rPr>
        <w:t>I</w:t>
      </w:r>
      <w:r w:rsidR="00450063" w:rsidRPr="00BF55FF" w:rsidDel="001953BB">
        <w:rPr>
          <w:color w:val="000000" w:themeColor="text1"/>
        </w:rPr>
        <w:t>n the largest reported series of deaths from laryngeal attacks in HAE,</w:t>
      </w:r>
      <w:r w:rsidR="003A6C6C" w:rsidRPr="00BF55FF" w:rsidDel="001953BB">
        <w:rPr>
          <w:color w:val="000000" w:themeColor="text1"/>
        </w:rPr>
        <w:t xml:space="preserve"> </w:t>
      </w:r>
      <w:r w:rsidR="00450063" w:rsidRPr="00BF55FF" w:rsidDel="001953BB">
        <w:rPr>
          <w:color w:val="000000" w:themeColor="text1"/>
        </w:rPr>
        <w:t>63/70 (90%) occurred in undiagnosed patients</w:t>
      </w:r>
      <w:r w:rsidR="003A6C6C" w:rsidRPr="00BF55FF" w:rsidDel="001953BB">
        <w:rPr>
          <w:color w:val="000000" w:themeColor="text1"/>
        </w:rPr>
        <w:t>. One of 70 deaths occurred in a child aged less than 16 years. T</w:t>
      </w:r>
      <w:r w:rsidR="00450063" w:rsidRPr="00BF55FF" w:rsidDel="001953BB">
        <w:rPr>
          <w:color w:val="000000" w:themeColor="text1"/>
        </w:rPr>
        <w:t>he overall risk of death</w:t>
      </w:r>
      <w:r w:rsidR="00490258" w:rsidRPr="00BF55FF" w:rsidDel="001953BB">
        <w:rPr>
          <w:color w:val="000000" w:themeColor="text1"/>
        </w:rPr>
        <w:t xml:space="preserve"> from laryngeal attacks</w:t>
      </w:r>
      <w:r w:rsidR="00450063" w:rsidRPr="00BF55FF" w:rsidDel="001953BB">
        <w:rPr>
          <w:color w:val="000000" w:themeColor="text1"/>
        </w:rPr>
        <w:t xml:space="preserve"> in patients known to have HAE was 1.1 (</w:t>
      </w:r>
      <w:r w:rsidR="00235DDA" w:rsidRPr="00BF55FF" w:rsidDel="001953BB">
        <w:rPr>
          <w:color w:val="000000" w:themeColor="text1"/>
        </w:rPr>
        <w:t xml:space="preserve">95% CI: </w:t>
      </w:r>
      <w:r w:rsidR="00450063" w:rsidRPr="00BF55FF" w:rsidDel="001953BB">
        <w:rPr>
          <w:color w:val="000000" w:themeColor="text1"/>
        </w:rPr>
        <w:t>0.4, 2.3) per 1000 patient</w:t>
      </w:r>
      <w:r w:rsidR="00B02C4D" w:rsidRPr="00BF55FF" w:rsidDel="001953BB">
        <w:rPr>
          <w:color w:val="000000" w:themeColor="text1"/>
        </w:rPr>
        <w:t>s</w:t>
      </w:r>
      <w:r w:rsidRPr="00BF55FF" w:rsidDel="001953BB">
        <w:rPr>
          <w:color w:val="000000" w:themeColor="text1"/>
        </w:rPr>
        <w:t>.</w:t>
      </w:r>
      <w:r w:rsidR="00060A74" w:rsidRPr="00BF55FF" w:rsidDel="001953BB">
        <w:rPr>
          <w:rStyle w:val="FootnoteReference"/>
          <w:color w:val="000000" w:themeColor="text1"/>
        </w:rPr>
        <w:footnoteReference w:id="4"/>
      </w:r>
      <w:r w:rsidR="00E9437A" w:rsidRPr="00BF55FF" w:rsidDel="001953BB">
        <w:rPr>
          <w:color w:val="000000" w:themeColor="text1"/>
        </w:rPr>
        <w:t xml:space="preserve"> </w:t>
      </w:r>
    </w:p>
    <w:p w14:paraId="6EAED622" w14:textId="7128BD70" w:rsidR="00F40BD3" w:rsidRPr="00BF55FF" w:rsidDel="001953BB" w:rsidRDefault="00F40BD3" w:rsidP="009B2173">
      <w:pPr>
        <w:pStyle w:val="3-BodyText"/>
        <w:rPr>
          <w:color w:val="000000" w:themeColor="text1"/>
        </w:rPr>
      </w:pPr>
      <w:r w:rsidRPr="00BF55FF" w:rsidDel="001953BB">
        <w:rPr>
          <w:color w:val="000000" w:themeColor="text1"/>
        </w:rPr>
        <w:t>Patients are often unable to work or attend school during an attack</w:t>
      </w:r>
      <w:r w:rsidR="00710F65" w:rsidRPr="00BF55FF" w:rsidDel="001953BB">
        <w:rPr>
          <w:color w:val="000000" w:themeColor="text1"/>
        </w:rPr>
        <w:t>. In a cross-sectional study of 164 adult patients identified through registries</w:t>
      </w:r>
      <w:r w:rsidR="00CA0CF6" w:rsidRPr="00BF55FF" w:rsidDel="001953BB">
        <w:rPr>
          <w:color w:val="000000" w:themeColor="text1"/>
        </w:rPr>
        <w:t xml:space="preserve"> in Germany, Spain and Denmark</w:t>
      </w:r>
      <w:r w:rsidR="00710F65" w:rsidRPr="00BF55FF" w:rsidDel="001953BB">
        <w:rPr>
          <w:color w:val="000000" w:themeColor="text1"/>
        </w:rPr>
        <w:t xml:space="preserve">, </w:t>
      </w:r>
      <w:r w:rsidR="00CA0CF6" w:rsidRPr="00BF55FF" w:rsidDel="001953BB">
        <w:rPr>
          <w:color w:val="000000" w:themeColor="text1"/>
        </w:rPr>
        <w:t xml:space="preserve">the </w:t>
      </w:r>
      <w:r w:rsidR="00097FF4" w:rsidRPr="00BF55FF" w:rsidDel="001953BB">
        <w:rPr>
          <w:color w:val="000000" w:themeColor="text1"/>
        </w:rPr>
        <w:t xml:space="preserve">median (range) number of attacks per year was 12.0 (1.0-156.0), the median (range) days of work or </w:t>
      </w:r>
      <w:r w:rsidR="005F0084" w:rsidRPr="00BF55FF" w:rsidDel="001953BB">
        <w:rPr>
          <w:color w:val="000000" w:themeColor="text1"/>
        </w:rPr>
        <w:t>education</w:t>
      </w:r>
      <w:r w:rsidR="00097FF4" w:rsidRPr="00BF55FF" w:rsidDel="001953BB">
        <w:rPr>
          <w:color w:val="000000" w:themeColor="text1"/>
        </w:rPr>
        <w:t xml:space="preserve"> lost in the most recent attack was 0.25 (0-8.0), and the median (range) number of days lost in the past year was 8.0 (0-210</w:t>
      </w:r>
      <w:r w:rsidR="003463BA" w:rsidRPr="00BF55FF" w:rsidDel="001953BB">
        <w:rPr>
          <w:color w:val="000000" w:themeColor="text1"/>
        </w:rPr>
        <w:t>.0</w:t>
      </w:r>
      <w:r w:rsidR="00097FF4" w:rsidRPr="00BF55FF" w:rsidDel="001953BB">
        <w:rPr>
          <w:color w:val="000000" w:themeColor="text1"/>
        </w:rPr>
        <w:t>).</w:t>
      </w:r>
      <w:r w:rsidR="00E91C64" w:rsidRPr="00BF55FF" w:rsidDel="001953BB">
        <w:rPr>
          <w:rStyle w:val="FootnoteReference"/>
          <w:color w:val="000000" w:themeColor="text1"/>
        </w:rPr>
        <w:footnoteReference w:id="5"/>
      </w:r>
      <w:r w:rsidR="00E80F55" w:rsidRPr="00BF55FF" w:rsidDel="001953BB">
        <w:rPr>
          <w:color w:val="000000" w:themeColor="text1"/>
        </w:rPr>
        <w:t xml:space="preserve"> </w:t>
      </w:r>
      <w:r w:rsidR="007359B1" w:rsidRPr="00BF55FF" w:rsidDel="001953BB">
        <w:rPr>
          <w:color w:val="000000" w:themeColor="text1"/>
        </w:rPr>
        <w:t>The principal determinant of absenteeism was attack frequency, and p</w:t>
      </w:r>
      <w:r w:rsidR="00CA0CF6" w:rsidRPr="00BF55FF" w:rsidDel="001953BB">
        <w:rPr>
          <w:color w:val="000000" w:themeColor="text1"/>
        </w:rPr>
        <w:t>atients</w:t>
      </w:r>
      <w:r w:rsidRPr="00BF55FF" w:rsidDel="001953BB">
        <w:rPr>
          <w:color w:val="000000" w:themeColor="text1"/>
        </w:rPr>
        <w:t xml:space="preserve"> with frequent attacks </w:t>
      </w:r>
      <w:r w:rsidR="003463BA" w:rsidRPr="00BF55FF" w:rsidDel="001953BB">
        <w:rPr>
          <w:color w:val="000000" w:themeColor="text1"/>
        </w:rPr>
        <w:t>were more likely to report</w:t>
      </w:r>
      <w:r w:rsidR="00257C45" w:rsidRPr="00BF55FF" w:rsidDel="001953BB">
        <w:rPr>
          <w:color w:val="000000" w:themeColor="text1"/>
        </w:rPr>
        <w:t xml:space="preserve"> difficulty </w:t>
      </w:r>
      <w:r w:rsidR="001D0881" w:rsidRPr="00BF55FF" w:rsidDel="001953BB">
        <w:rPr>
          <w:color w:val="000000" w:themeColor="text1"/>
        </w:rPr>
        <w:t xml:space="preserve">staying in </w:t>
      </w:r>
      <w:r w:rsidR="00257C45" w:rsidRPr="00BF55FF" w:rsidDel="001953BB">
        <w:rPr>
          <w:color w:val="000000" w:themeColor="text1"/>
        </w:rPr>
        <w:t>work</w:t>
      </w:r>
      <w:r w:rsidRPr="00BF55FF" w:rsidDel="001953BB">
        <w:rPr>
          <w:color w:val="000000" w:themeColor="text1"/>
        </w:rPr>
        <w:t xml:space="preserve"> or</w:t>
      </w:r>
      <w:r w:rsidR="00257C45" w:rsidRPr="00BF55FF" w:rsidDel="001953BB">
        <w:rPr>
          <w:color w:val="000000" w:themeColor="text1"/>
        </w:rPr>
        <w:t xml:space="preserve"> reaching their educational potential</w:t>
      </w:r>
      <w:r w:rsidR="003463BA" w:rsidRPr="00BF55FF" w:rsidDel="001953BB">
        <w:rPr>
          <w:color w:val="000000" w:themeColor="text1"/>
        </w:rPr>
        <w:t xml:space="preserve">. </w:t>
      </w:r>
    </w:p>
    <w:p w14:paraId="5D7F10AF" w14:textId="636624C4" w:rsidR="00D47AFB" w:rsidRPr="00BF55FF" w:rsidDel="001953BB" w:rsidRDefault="00FB370A" w:rsidP="009B2173">
      <w:pPr>
        <w:pStyle w:val="3-BodyText"/>
        <w:rPr>
          <w:color w:val="000000" w:themeColor="text1"/>
        </w:rPr>
      </w:pPr>
      <w:r w:rsidRPr="00BF55FF" w:rsidDel="001953BB">
        <w:rPr>
          <w:color w:val="000000" w:themeColor="text1"/>
        </w:rPr>
        <w:lastRenderedPageBreak/>
        <w:t>There are two broad approaches to treatment of HAE: ODT when attacks occur, and continuous treatment to prevent attacks.</w:t>
      </w:r>
      <w:r w:rsidR="00D47AFB" w:rsidRPr="00BF55FF" w:rsidDel="001953BB">
        <w:rPr>
          <w:color w:val="000000" w:themeColor="text1"/>
        </w:rPr>
        <w:t xml:space="preserve"> Short-term prophylaxis with</w:t>
      </w:r>
      <w:r w:rsidR="00346559" w:rsidRPr="00BF55FF" w:rsidDel="001953BB">
        <w:rPr>
          <w:color w:val="000000" w:themeColor="text1"/>
        </w:rPr>
        <w:t xml:space="preserve"> </w:t>
      </w:r>
      <w:r w:rsidR="00346559" w:rsidRPr="00BF55FF" w:rsidDel="001953BB">
        <w:t>intravenous</w:t>
      </w:r>
      <w:r w:rsidR="00D47AFB" w:rsidRPr="00BF55FF" w:rsidDel="001953BB">
        <w:rPr>
          <w:color w:val="000000" w:themeColor="text1"/>
        </w:rPr>
        <w:t xml:space="preserve"> C1-INH is used for medical or dental procedures likely to precipitate attacks</w:t>
      </w:r>
      <w:r w:rsidR="003B76C7" w:rsidRPr="00BF55FF" w:rsidDel="001953BB">
        <w:rPr>
          <w:color w:val="000000" w:themeColor="text1"/>
        </w:rPr>
        <w:t xml:space="preserve"> in patients using ODT</w:t>
      </w:r>
      <w:r w:rsidR="00D47AFB" w:rsidRPr="00BF55FF" w:rsidDel="001953BB">
        <w:rPr>
          <w:color w:val="000000" w:themeColor="text1"/>
        </w:rPr>
        <w:t>.</w:t>
      </w:r>
      <w:r w:rsidR="00E80F55" w:rsidRPr="00BF55FF" w:rsidDel="001953BB">
        <w:rPr>
          <w:color w:val="000000" w:themeColor="text1"/>
        </w:rPr>
        <w:t xml:space="preserve"> </w:t>
      </w:r>
    </w:p>
    <w:p w14:paraId="238CC844" w14:textId="0A9F87EC" w:rsidR="00FB370A" w:rsidRPr="00BF55FF" w:rsidDel="001953BB" w:rsidRDefault="00FB370A" w:rsidP="00BC1E20">
      <w:pPr>
        <w:pStyle w:val="3-BodyText"/>
        <w:rPr>
          <w:color w:val="000000" w:themeColor="text1"/>
        </w:rPr>
      </w:pPr>
      <w:r w:rsidRPr="00BF55FF" w:rsidDel="001953BB">
        <w:rPr>
          <w:color w:val="000000" w:themeColor="text1"/>
        </w:rPr>
        <w:t xml:space="preserve">ODT can be with icatibant, which blocks the action of bradykinin on its receptor, </w:t>
      </w:r>
      <w:r w:rsidR="00E9437A" w:rsidRPr="00BF55FF" w:rsidDel="001953BB">
        <w:rPr>
          <w:color w:val="000000" w:themeColor="text1"/>
        </w:rPr>
        <w:t>or with</w:t>
      </w:r>
      <w:r w:rsidR="00346559" w:rsidRPr="00BF55FF" w:rsidDel="001953BB">
        <w:rPr>
          <w:color w:val="000000" w:themeColor="text1"/>
        </w:rPr>
        <w:t xml:space="preserve"> </w:t>
      </w:r>
      <w:r w:rsidR="00346559" w:rsidRPr="00BF55FF" w:rsidDel="001953BB">
        <w:t>intravenous</w:t>
      </w:r>
      <w:r w:rsidR="000C0B60" w:rsidRPr="00BF55FF" w:rsidDel="001953BB">
        <w:rPr>
          <w:color w:val="000000" w:themeColor="text1"/>
        </w:rPr>
        <w:t xml:space="preserve"> </w:t>
      </w:r>
      <w:r w:rsidRPr="00BF55FF" w:rsidDel="001953BB">
        <w:rPr>
          <w:color w:val="000000" w:themeColor="text1"/>
        </w:rPr>
        <w:t>C1-INH</w:t>
      </w:r>
      <w:r w:rsidR="00F14B22" w:rsidRPr="00BF55FF" w:rsidDel="001953BB">
        <w:rPr>
          <w:color w:val="000000" w:themeColor="text1"/>
        </w:rPr>
        <w:t xml:space="preserve">. ODT administered by patients or carers as soon as an attack begins substantially reduces the </w:t>
      </w:r>
      <w:r w:rsidR="00E9437A" w:rsidRPr="00BF55FF" w:rsidDel="001953BB">
        <w:rPr>
          <w:color w:val="000000" w:themeColor="text1"/>
        </w:rPr>
        <w:t xml:space="preserve">severity and </w:t>
      </w:r>
      <w:r w:rsidR="00F14B22" w:rsidRPr="00BF55FF" w:rsidDel="001953BB">
        <w:rPr>
          <w:color w:val="000000" w:themeColor="text1"/>
        </w:rPr>
        <w:t>duration of the attack.</w:t>
      </w:r>
      <w:r w:rsidR="00E80F55" w:rsidRPr="00BF55FF" w:rsidDel="001953BB">
        <w:rPr>
          <w:color w:val="000000" w:themeColor="text1"/>
        </w:rPr>
        <w:t xml:space="preserve"> </w:t>
      </w:r>
      <w:r w:rsidR="00930A22" w:rsidRPr="00BF55FF" w:rsidDel="001953BB">
        <w:rPr>
          <w:color w:val="000000" w:themeColor="text1"/>
        </w:rPr>
        <w:t>I</w:t>
      </w:r>
      <w:r w:rsidR="00A51B93" w:rsidRPr="00BF55FF" w:rsidDel="001953BB">
        <w:rPr>
          <w:color w:val="000000" w:themeColor="text1"/>
        </w:rPr>
        <w:t xml:space="preserve">catibant is given by subcutaneous injection and C1-INH </w:t>
      </w:r>
      <w:r w:rsidR="00930A22" w:rsidRPr="00BF55FF" w:rsidDel="001953BB">
        <w:rPr>
          <w:color w:val="000000" w:themeColor="text1"/>
        </w:rPr>
        <w:t xml:space="preserve">for ODT </w:t>
      </w:r>
      <w:r w:rsidR="00A51B93" w:rsidRPr="00BF55FF" w:rsidDel="001953BB">
        <w:rPr>
          <w:color w:val="000000" w:themeColor="text1"/>
        </w:rPr>
        <w:t>by intravenous infusion.</w:t>
      </w:r>
      <w:r w:rsidR="005B7B29" w:rsidRPr="00BF55FF" w:rsidDel="001953BB">
        <w:rPr>
          <w:color w:val="000000" w:themeColor="text1"/>
        </w:rPr>
        <w:t xml:space="preserve"> The volume of injections of icatibant is relatively large</w:t>
      </w:r>
      <w:r w:rsidR="002B6730" w:rsidRPr="00BF55FF" w:rsidDel="001953BB">
        <w:rPr>
          <w:color w:val="000000" w:themeColor="text1"/>
        </w:rPr>
        <w:t xml:space="preserve"> (1 mL up to 25 kg body weight, 1.5 mL 26-40 kg, 2 mL 41-50 kg, and 2.5 mL 51-65 kg)</w:t>
      </w:r>
      <w:r w:rsidR="005B7B29" w:rsidRPr="00BF55FF" w:rsidDel="001953BB">
        <w:rPr>
          <w:color w:val="000000" w:themeColor="text1"/>
        </w:rPr>
        <w:t xml:space="preserve">, and </w:t>
      </w:r>
      <w:r w:rsidR="00BA70FE" w:rsidRPr="00BF55FF" w:rsidDel="001953BB">
        <w:rPr>
          <w:color w:val="000000" w:themeColor="text1"/>
        </w:rPr>
        <w:t xml:space="preserve">it </w:t>
      </w:r>
      <w:r w:rsidR="005B7B29" w:rsidRPr="00BF55FF" w:rsidDel="001953BB">
        <w:rPr>
          <w:color w:val="000000" w:themeColor="text1"/>
        </w:rPr>
        <w:t>may be difficult to admin</w:t>
      </w:r>
      <w:r w:rsidR="00BA70FE" w:rsidRPr="00BF55FF" w:rsidDel="001953BB">
        <w:rPr>
          <w:color w:val="000000" w:themeColor="text1"/>
        </w:rPr>
        <w:t>ister</w:t>
      </w:r>
      <w:r w:rsidR="005B7B29" w:rsidRPr="00BF55FF" w:rsidDel="001953BB">
        <w:rPr>
          <w:color w:val="000000" w:themeColor="text1"/>
        </w:rPr>
        <w:t xml:space="preserve"> to younger children. </w:t>
      </w:r>
      <w:r w:rsidR="00213636" w:rsidRPr="00BF55FF" w:rsidDel="001953BB">
        <w:rPr>
          <w:color w:val="000000" w:themeColor="text1"/>
        </w:rPr>
        <w:t>S</w:t>
      </w:r>
      <w:r w:rsidR="00110243" w:rsidRPr="00BF55FF" w:rsidDel="001953BB">
        <w:rPr>
          <w:color w:val="000000" w:themeColor="text1"/>
        </w:rPr>
        <w:t>ebetr</w:t>
      </w:r>
      <w:r w:rsidR="00780403" w:rsidRPr="00BF55FF" w:rsidDel="001953BB">
        <w:rPr>
          <w:color w:val="000000" w:themeColor="text1"/>
        </w:rPr>
        <w:t>a</w:t>
      </w:r>
      <w:r w:rsidR="00110243" w:rsidRPr="00BF55FF" w:rsidDel="001953BB">
        <w:rPr>
          <w:color w:val="000000" w:themeColor="text1"/>
        </w:rPr>
        <w:t>lstat, an</w:t>
      </w:r>
      <w:r w:rsidR="005110FB" w:rsidRPr="00BF55FF" w:rsidDel="001953BB">
        <w:rPr>
          <w:color w:val="000000" w:themeColor="text1"/>
        </w:rPr>
        <w:t xml:space="preserve"> orally-administered</w:t>
      </w:r>
      <w:r w:rsidR="00110243" w:rsidRPr="00BF55FF" w:rsidDel="001953BB">
        <w:rPr>
          <w:color w:val="000000" w:themeColor="text1"/>
        </w:rPr>
        <w:t xml:space="preserve"> inhibitor of plasma kallikrein</w:t>
      </w:r>
      <w:r w:rsidR="00780403" w:rsidRPr="00BF55FF" w:rsidDel="001953BB">
        <w:rPr>
          <w:color w:val="000000" w:themeColor="text1"/>
        </w:rPr>
        <w:t>, and deucrictibant, a</w:t>
      </w:r>
      <w:r w:rsidR="005110FB" w:rsidRPr="00BF55FF" w:rsidDel="001953BB">
        <w:rPr>
          <w:color w:val="000000" w:themeColor="text1"/>
        </w:rPr>
        <w:t>n orally-administered</w:t>
      </w:r>
      <w:r w:rsidR="00780403" w:rsidRPr="00BF55FF" w:rsidDel="001953BB">
        <w:rPr>
          <w:color w:val="000000" w:themeColor="text1"/>
        </w:rPr>
        <w:t xml:space="preserve"> bradykinin receptor antagonist,</w:t>
      </w:r>
      <w:r w:rsidR="005110FB" w:rsidRPr="00BF55FF" w:rsidDel="001953BB">
        <w:rPr>
          <w:color w:val="000000" w:themeColor="text1"/>
        </w:rPr>
        <w:t xml:space="preserve"> </w:t>
      </w:r>
      <w:r w:rsidR="00110243" w:rsidRPr="00BF55FF" w:rsidDel="001953BB">
        <w:rPr>
          <w:color w:val="000000" w:themeColor="text1"/>
        </w:rPr>
        <w:t>h</w:t>
      </w:r>
      <w:r w:rsidR="00780403" w:rsidRPr="00BF55FF" w:rsidDel="001953BB">
        <w:rPr>
          <w:color w:val="000000" w:themeColor="text1"/>
        </w:rPr>
        <w:t>ave</w:t>
      </w:r>
      <w:r w:rsidR="00110243" w:rsidRPr="00BF55FF" w:rsidDel="001953BB">
        <w:rPr>
          <w:color w:val="000000" w:themeColor="text1"/>
        </w:rPr>
        <w:t xml:space="preserve"> recently been reported to be effective </w:t>
      </w:r>
      <w:r w:rsidR="00780403" w:rsidRPr="00BF55FF" w:rsidDel="001953BB">
        <w:rPr>
          <w:color w:val="000000" w:themeColor="text1"/>
        </w:rPr>
        <w:t>for</w:t>
      </w:r>
      <w:r w:rsidR="00110243" w:rsidRPr="00BF55FF" w:rsidDel="001953BB">
        <w:rPr>
          <w:color w:val="000000" w:themeColor="text1"/>
        </w:rPr>
        <w:t xml:space="preserve"> ODT</w:t>
      </w:r>
      <w:r w:rsidR="00A51B93" w:rsidRPr="00BF55FF" w:rsidDel="001953BB">
        <w:rPr>
          <w:color w:val="000000" w:themeColor="text1"/>
        </w:rPr>
        <w:t>.</w:t>
      </w:r>
      <w:r w:rsidR="00A51B93" w:rsidRPr="00BF55FF" w:rsidDel="001953BB">
        <w:rPr>
          <w:rStyle w:val="FootnoteReference"/>
          <w:color w:val="000000" w:themeColor="text1"/>
        </w:rPr>
        <w:footnoteReference w:id="6"/>
      </w:r>
      <w:r w:rsidR="005C3FC5" w:rsidRPr="00BF55FF" w:rsidDel="001953BB">
        <w:rPr>
          <w:color w:val="000000" w:themeColor="text1"/>
        </w:rPr>
        <w:t xml:space="preserve"> </w:t>
      </w:r>
      <w:r w:rsidR="00021813" w:rsidRPr="00BF55FF" w:rsidDel="001953BB">
        <w:rPr>
          <w:color w:val="000000" w:themeColor="text1"/>
        </w:rPr>
        <w:t>However, t</w:t>
      </w:r>
      <w:r w:rsidR="005C3FC5" w:rsidRPr="00BF55FF" w:rsidDel="001953BB">
        <w:rPr>
          <w:color w:val="000000" w:themeColor="text1"/>
        </w:rPr>
        <w:t xml:space="preserve">hese treatments are not available in Australia. </w:t>
      </w:r>
    </w:p>
    <w:p w14:paraId="66518ECA" w14:textId="3813E03A" w:rsidR="001E4DB9" w:rsidRPr="00BF55FF" w:rsidDel="001953BB" w:rsidRDefault="00060CD7" w:rsidP="009B2173">
      <w:pPr>
        <w:pStyle w:val="3-BodyText"/>
        <w:rPr>
          <w:color w:val="000000" w:themeColor="text1"/>
        </w:rPr>
      </w:pPr>
      <w:r w:rsidRPr="00BF55FF" w:rsidDel="001953BB">
        <w:rPr>
          <w:color w:val="000000" w:themeColor="text1"/>
        </w:rPr>
        <w:t xml:space="preserve">Preventative treatment can be C1-INH, given by subcutaneous </w:t>
      </w:r>
      <w:r w:rsidR="001E4DB9" w:rsidRPr="00BF55FF" w:rsidDel="001953BB">
        <w:rPr>
          <w:color w:val="000000" w:themeColor="text1"/>
        </w:rPr>
        <w:t xml:space="preserve">rather than intravenous </w:t>
      </w:r>
      <w:r w:rsidRPr="00BF55FF" w:rsidDel="001953BB">
        <w:rPr>
          <w:color w:val="000000" w:themeColor="text1"/>
        </w:rPr>
        <w:t>injection,</w:t>
      </w:r>
      <w:r w:rsidR="00C90468" w:rsidRPr="00BF55FF" w:rsidDel="001953BB">
        <w:rPr>
          <w:color w:val="000000" w:themeColor="text1"/>
        </w:rPr>
        <w:t xml:space="preserve"> </w:t>
      </w:r>
      <w:r w:rsidRPr="00BF55FF" w:rsidDel="001953BB">
        <w:rPr>
          <w:color w:val="000000" w:themeColor="text1"/>
        </w:rPr>
        <w:t>or lanadelumab</w:t>
      </w:r>
      <w:r w:rsidR="001E4DB9" w:rsidRPr="00BF55FF" w:rsidDel="001953BB">
        <w:rPr>
          <w:color w:val="000000" w:themeColor="text1"/>
        </w:rPr>
        <w:t xml:space="preserve"> (</w:t>
      </w:r>
      <w:r w:rsidR="00BC1E20" w:rsidRPr="00BF55FF" w:rsidDel="001953BB">
        <w:rPr>
          <w:color w:val="000000" w:themeColor="text1"/>
        </w:rPr>
        <w:t xml:space="preserve">or </w:t>
      </w:r>
      <w:bookmarkStart w:id="17" w:name="_Hlk181881885"/>
      <w:r w:rsidR="001E4DB9" w:rsidRPr="00BF55FF" w:rsidDel="001953BB">
        <w:rPr>
          <w:color w:val="000000" w:themeColor="text1"/>
        </w:rPr>
        <w:t>berotrals</w:t>
      </w:r>
      <w:r w:rsidR="00C90468" w:rsidRPr="00BF55FF" w:rsidDel="001953BB">
        <w:rPr>
          <w:color w:val="000000" w:themeColor="text1"/>
        </w:rPr>
        <w:t>t</w:t>
      </w:r>
      <w:r w:rsidR="001E4DB9" w:rsidRPr="00BF55FF" w:rsidDel="001953BB">
        <w:rPr>
          <w:color w:val="000000" w:themeColor="text1"/>
        </w:rPr>
        <w:t>at</w:t>
      </w:r>
      <w:bookmarkEnd w:id="17"/>
      <w:r w:rsidR="001E4DB9" w:rsidRPr="00BF55FF" w:rsidDel="001953BB">
        <w:rPr>
          <w:color w:val="000000" w:themeColor="text1"/>
        </w:rPr>
        <w:t>, an orally-administered inhibitor of plasma kallikrein,</w:t>
      </w:r>
      <w:r w:rsidR="00BC1E20" w:rsidRPr="00BF55FF" w:rsidDel="001953BB">
        <w:rPr>
          <w:color w:val="000000" w:themeColor="text1"/>
        </w:rPr>
        <w:t xml:space="preserve"> which</w:t>
      </w:r>
      <w:r w:rsidR="001E4DB9" w:rsidRPr="00BF55FF" w:rsidDel="001953BB">
        <w:rPr>
          <w:color w:val="000000" w:themeColor="text1"/>
        </w:rPr>
        <w:t xml:space="preserve"> is approved in the USA for preventative treatment in HAE but is not registered in Australia)</w:t>
      </w:r>
      <w:r w:rsidRPr="00BF55FF" w:rsidDel="001953BB">
        <w:rPr>
          <w:color w:val="000000" w:themeColor="text1"/>
        </w:rPr>
        <w:t>.</w:t>
      </w:r>
      <w:r w:rsidR="005B7B67" w:rsidRPr="00BF55FF" w:rsidDel="001953BB">
        <w:rPr>
          <w:color w:val="000000" w:themeColor="text1"/>
        </w:rPr>
        <w:t xml:space="preserve"> </w:t>
      </w:r>
    </w:p>
    <w:p w14:paraId="2AB8AC47" w14:textId="5551B8B5" w:rsidR="00257C45" w:rsidRPr="00BF55FF" w:rsidDel="001953BB" w:rsidRDefault="00395763" w:rsidP="00E66574">
      <w:pPr>
        <w:pStyle w:val="3-BodyText"/>
        <w:rPr>
          <w:color w:val="000000" w:themeColor="text1"/>
        </w:rPr>
      </w:pPr>
      <w:r w:rsidRPr="00BF55FF" w:rsidDel="001953BB">
        <w:rPr>
          <w:color w:val="000000" w:themeColor="text1"/>
        </w:rPr>
        <w:t>Indications for preventative treatment are not well-defined</w:t>
      </w:r>
      <w:r w:rsidR="005B7B29" w:rsidRPr="00BF55FF" w:rsidDel="001953BB">
        <w:rPr>
          <w:color w:val="000000" w:themeColor="text1"/>
        </w:rPr>
        <w:t>.</w:t>
      </w:r>
      <w:r w:rsidR="005E3BEE" w:rsidRPr="00BF55FF" w:rsidDel="001953BB">
        <w:rPr>
          <w:color w:val="000000" w:themeColor="text1"/>
        </w:rPr>
        <w:t xml:space="preserve"> Important factors entering into the decision to start preventative treatment are the impact on the patient’s quality of life</w:t>
      </w:r>
      <w:r w:rsidR="002B4D63" w:rsidRPr="00BF55FF" w:rsidDel="001953BB">
        <w:rPr>
          <w:color w:val="000000" w:themeColor="text1"/>
        </w:rPr>
        <w:t>,</w:t>
      </w:r>
      <w:r w:rsidR="005E3BEE" w:rsidRPr="00BF55FF" w:rsidDel="001953BB">
        <w:rPr>
          <w:color w:val="000000" w:themeColor="text1"/>
        </w:rPr>
        <w:t xml:space="preserve"> determined </w:t>
      </w:r>
      <w:r w:rsidR="002B4D63" w:rsidRPr="00BF55FF" w:rsidDel="001953BB">
        <w:rPr>
          <w:color w:val="000000" w:themeColor="text1"/>
        </w:rPr>
        <w:t xml:space="preserve">mainly </w:t>
      </w:r>
      <w:r w:rsidR="005E3BEE" w:rsidRPr="00BF55FF" w:rsidDel="001953BB">
        <w:rPr>
          <w:color w:val="000000" w:themeColor="text1"/>
        </w:rPr>
        <w:t>by the frequency of attacks; whether patients or carers can administer ODT, or, if they cannot, whether they have rapid access to a health-care facility where ODT can be administered; the effectiveness of ODT for an individual; the perceived burden of preventative treatment relative to ODT; and uncertainty about the long-term safety of lanadelumab.</w:t>
      </w:r>
      <w:r w:rsidR="005E3BEE" w:rsidRPr="00BF55FF" w:rsidDel="001953BB">
        <w:rPr>
          <w:rStyle w:val="FootnoteReference"/>
          <w:color w:val="000000" w:themeColor="text1"/>
        </w:rPr>
        <w:footnoteReference w:id="7"/>
      </w:r>
      <w:r w:rsidR="005E3BEE" w:rsidRPr="00BF55FF" w:rsidDel="001953BB">
        <w:rPr>
          <w:color w:val="000000" w:themeColor="text1"/>
        </w:rPr>
        <w:t xml:space="preserve"> </w:t>
      </w:r>
      <w:r w:rsidR="005B7B29" w:rsidRPr="00BF55FF" w:rsidDel="001953BB">
        <w:rPr>
          <w:color w:val="000000" w:themeColor="text1"/>
        </w:rPr>
        <w:t>As a result, the proportion of patients who receive preventative treatment varies widely among treatment centres.</w:t>
      </w:r>
      <w:r w:rsidR="005B7B29" w:rsidRPr="00BF55FF" w:rsidDel="001953BB">
        <w:rPr>
          <w:rStyle w:val="FootnoteReference"/>
          <w:color w:val="000000" w:themeColor="text1"/>
        </w:rPr>
        <w:footnoteReference w:id="8"/>
      </w:r>
      <w:r w:rsidR="005B7B29" w:rsidRPr="00BF55FF" w:rsidDel="001953BB">
        <w:rPr>
          <w:color w:val="000000" w:themeColor="text1"/>
        </w:rPr>
        <w:t xml:space="preserve"> </w:t>
      </w:r>
      <w:r w:rsidR="0024447D" w:rsidRPr="00BF55FF" w:rsidDel="001953BB">
        <w:rPr>
          <w:color w:val="000000" w:themeColor="text1"/>
        </w:rPr>
        <w:t xml:space="preserve">The use of preventative treatment does not eliminate use of ODT, because patients </w:t>
      </w:r>
      <w:r w:rsidR="00060CD7" w:rsidRPr="00BF55FF" w:rsidDel="001953BB">
        <w:rPr>
          <w:color w:val="000000" w:themeColor="text1"/>
        </w:rPr>
        <w:t xml:space="preserve">still require </w:t>
      </w:r>
      <w:r w:rsidR="005B7B29" w:rsidRPr="00BF55FF" w:rsidDel="001953BB">
        <w:rPr>
          <w:color w:val="000000" w:themeColor="text1"/>
        </w:rPr>
        <w:t>ODT</w:t>
      </w:r>
      <w:r w:rsidR="00060CD7" w:rsidRPr="00BF55FF" w:rsidDel="001953BB">
        <w:rPr>
          <w:color w:val="000000" w:themeColor="text1"/>
        </w:rPr>
        <w:t xml:space="preserve"> in the event of breakthrough attacks. </w:t>
      </w:r>
      <w:r w:rsidR="00395D1D" w:rsidRPr="00BF55FF" w:rsidDel="001953BB">
        <w:rPr>
          <w:color w:val="000000" w:themeColor="text1"/>
        </w:rPr>
        <w:t>Once preventative treatment is begun and found to be effective</w:t>
      </w:r>
      <w:r w:rsidR="00930A22" w:rsidRPr="00BF55FF" w:rsidDel="001953BB">
        <w:rPr>
          <w:color w:val="000000" w:themeColor="text1"/>
        </w:rPr>
        <w:t>,</w:t>
      </w:r>
      <w:r w:rsidR="00395D1D" w:rsidRPr="00BF55FF" w:rsidDel="001953BB">
        <w:rPr>
          <w:color w:val="000000" w:themeColor="text1"/>
        </w:rPr>
        <w:t xml:space="preserve"> it is continued indefinitely (paragraph 3.6, </w:t>
      </w:r>
      <w:r w:rsidR="00786527">
        <w:rPr>
          <w:color w:val="000000" w:themeColor="text1"/>
        </w:rPr>
        <w:t>l</w:t>
      </w:r>
      <w:r w:rsidR="00395D1D" w:rsidRPr="00BF55FF" w:rsidDel="001953BB">
        <w:rPr>
          <w:color w:val="000000" w:themeColor="text1"/>
        </w:rPr>
        <w:t>anadelumab</w:t>
      </w:r>
      <w:r w:rsidR="00840DAE" w:rsidRPr="00BF55FF" w:rsidDel="001953BB">
        <w:rPr>
          <w:color w:val="000000" w:themeColor="text1"/>
        </w:rPr>
        <w:t xml:space="preserve"> PSD</w:t>
      </w:r>
      <w:r w:rsidR="00395D1D" w:rsidRPr="00BF55FF" w:rsidDel="001953BB">
        <w:rPr>
          <w:color w:val="000000" w:themeColor="text1"/>
        </w:rPr>
        <w:t>, July 2021).</w:t>
      </w:r>
      <w:r w:rsidR="00E80F55" w:rsidRPr="00BF55FF" w:rsidDel="001953BB">
        <w:rPr>
          <w:color w:val="000000" w:themeColor="text1"/>
        </w:rPr>
        <w:t xml:space="preserve"> </w:t>
      </w:r>
    </w:p>
    <w:p w14:paraId="47C97F88" w14:textId="0AF8F8F2" w:rsidR="00343573" w:rsidRPr="00BF55FF" w:rsidDel="001953BB" w:rsidRDefault="00343573" w:rsidP="009B2173">
      <w:pPr>
        <w:pStyle w:val="3-BodyText"/>
      </w:pPr>
      <w:r w:rsidRPr="00BF55FF" w:rsidDel="001953BB">
        <w:rPr>
          <w:color w:val="000000" w:themeColor="text1"/>
        </w:rPr>
        <w:lastRenderedPageBreak/>
        <w:t xml:space="preserve">Lanadelumab </w:t>
      </w:r>
      <w:r w:rsidR="008F0CC7" w:rsidRPr="00BF55FF" w:rsidDel="001953BB">
        <w:rPr>
          <w:color w:val="000000" w:themeColor="text1"/>
        </w:rPr>
        <w:t xml:space="preserve">binds to and inhibits plasma kallikrein, preventing the cleavage of high-molecular weight kininogen and the generation of bradykinin. Lanadelumab does not inhibit the tissue kallikrein-kinin system. This is believed to </w:t>
      </w:r>
      <w:r w:rsidR="00C22ABF" w:rsidRPr="00BF55FF" w:rsidDel="001953BB">
        <w:rPr>
          <w:color w:val="000000" w:themeColor="text1"/>
        </w:rPr>
        <w:t>be</w:t>
      </w:r>
      <w:r w:rsidR="008F0CC7" w:rsidRPr="00BF55FF" w:rsidDel="001953BB">
        <w:rPr>
          <w:color w:val="000000" w:themeColor="text1"/>
        </w:rPr>
        <w:t xml:space="preserve"> important </w:t>
      </w:r>
      <w:r w:rsidR="00C22ABF" w:rsidRPr="00BF55FF" w:rsidDel="001953BB">
        <w:rPr>
          <w:color w:val="000000" w:themeColor="text1"/>
        </w:rPr>
        <w:t xml:space="preserve">because of the role of bradykinin in vasomotor tone and endothelial function, but </w:t>
      </w:r>
      <w:r w:rsidR="00903815" w:rsidRPr="00BF55FF" w:rsidDel="001953BB">
        <w:rPr>
          <w:color w:val="000000" w:themeColor="text1"/>
        </w:rPr>
        <w:t xml:space="preserve">long-term </w:t>
      </w:r>
      <w:r w:rsidR="00C22ABF" w:rsidRPr="00BF55FF" w:rsidDel="001953BB">
        <w:rPr>
          <w:color w:val="000000" w:themeColor="text1"/>
        </w:rPr>
        <w:t>adverse effects of lanadelumab arising from reduced activity of tissue bradykinin are possible</w:t>
      </w:r>
      <w:r w:rsidR="00903815" w:rsidRPr="00BF55FF" w:rsidDel="001953BB">
        <w:rPr>
          <w:color w:val="000000" w:themeColor="text1"/>
        </w:rPr>
        <w:t>, and this uncertainty is a factor in balancing long-term prophylaxis against ODT</w:t>
      </w:r>
      <w:r w:rsidR="00C22ABF" w:rsidRPr="00BF55FF" w:rsidDel="001953BB">
        <w:rPr>
          <w:color w:val="000000" w:themeColor="text1"/>
        </w:rPr>
        <w:t xml:space="preserve">. Absorption after subcutaneous injection is slow and the elimination half-life is 15 days, so steady-state activity is reached only </w:t>
      </w:r>
      <w:r w:rsidR="00A10587" w:rsidRPr="00BF55FF" w:rsidDel="001953BB">
        <w:rPr>
          <w:color w:val="000000" w:themeColor="text1"/>
        </w:rPr>
        <w:t>after 2 months with 2- or 4- weekly injections.</w:t>
      </w:r>
      <w:r w:rsidR="00A10587" w:rsidRPr="00BF55FF" w:rsidDel="001953BB">
        <w:rPr>
          <w:rStyle w:val="FootnoteReference"/>
          <w:color w:val="000000" w:themeColor="text1"/>
        </w:rPr>
        <w:footnoteReference w:id="9"/>
      </w:r>
      <w:r w:rsidR="00C22ABF" w:rsidRPr="00BF55FF" w:rsidDel="001953BB">
        <w:rPr>
          <w:color w:val="000000" w:themeColor="text1"/>
        </w:rPr>
        <w:t xml:space="preserve"> </w:t>
      </w:r>
    </w:p>
    <w:p w14:paraId="1FAD30C6" w14:textId="5441EF56" w:rsidR="00BF55FF" w:rsidRPr="00BF55FF" w:rsidDel="001953BB" w:rsidRDefault="00BF55FF" w:rsidP="00BF55FF">
      <w:pPr>
        <w:pStyle w:val="3-BodyText"/>
        <w:numPr>
          <w:ilvl w:val="0"/>
          <w:numId w:val="0"/>
        </w:numPr>
        <w:ind w:left="720"/>
        <w:rPr>
          <w:i/>
          <w:iCs/>
          <w:color w:val="000000" w:themeColor="text1"/>
        </w:rPr>
      </w:pPr>
      <w:r w:rsidRPr="00BF55FF" w:rsidDel="001953BB">
        <w:rPr>
          <w:i/>
          <w:iCs/>
          <w:color w:val="000000" w:themeColor="text1"/>
        </w:rPr>
        <w:t>For more detail on PBAC’s view, see section 7 PBAC outcome.</w:t>
      </w:r>
    </w:p>
    <w:p w14:paraId="51E5AE96" w14:textId="3927651B" w:rsidR="00B50DB8" w:rsidRPr="00BF55FF" w:rsidRDefault="00B50DB8" w:rsidP="004E18E9">
      <w:pPr>
        <w:pStyle w:val="2-SectionHeading"/>
      </w:pPr>
      <w:bookmarkStart w:id="18" w:name="_Toc177389664"/>
      <w:r w:rsidRPr="00BF55FF">
        <w:t>Comparator</w:t>
      </w:r>
      <w:bookmarkEnd w:id="18"/>
    </w:p>
    <w:p w14:paraId="2E738875" w14:textId="42E59459" w:rsidR="00411610" w:rsidRPr="00BF55FF" w:rsidRDefault="00F232A5" w:rsidP="00346559">
      <w:pPr>
        <w:pStyle w:val="3-BodyText"/>
      </w:pPr>
      <w:bookmarkStart w:id="19" w:name="_Hlk181816896"/>
      <w:r w:rsidRPr="00BF55FF">
        <w:t xml:space="preserve">The </w:t>
      </w:r>
      <w:r w:rsidR="00013B8A" w:rsidRPr="00BF55FF">
        <w:t xml:space="preserve">ESC considered that the </w:t>
      </w:r>
      <w:r w:rsidRPr="00BF55FF">
        <w:t>nominated comparator</w:t>
      </w:r>
      <w:r w:rsidR="00013B8A" w:rsidRPr="00BF55FF">
        <w:t>,</w:t>
      </w:r>
      <w:r w:rsidRPr="00BF55FF">
        <w:t xml:space="preserve"> ODT with either icatibant or intravenous C1-INH</w:t>
      </w:r>
      <w:r w:rsidR="00013B8A" w:rsidRPr="00BF55FF">
        <w:t>, was appropriate</w:t>
      </w:r>
      <w:r w:rsidRPr="00BF55FF">
        <w:t xml:space="preserve">. This comparator was accepted by </w:t>
      </w:r>
      <w:r w:rsidR="004B1B96" w:rsidRPr="00BF55FF">
        <w:t xml:space="preserve">the </w:t>
      </w:r>
      <w:r w:rsidRPr="00BF55FF">
        <w:t xml:space="preserve">PBAC </w:t>
      </w:r>
      <w:r w:rsidR="004B1B96" w:rsidRPr="00BF55FF">
        <w:t xml:space="preserve">in its previous </w:t>
      </w:r>
      <w:r w:rsidRPr="00BF55FF">
        <w:t>consideration</w:t>
      </w:r>
      <w:r w:rsidR="004B1B96" w:rsidRPr="00BF55FF">
        <w:t>s</w:t>
      </w:r>
      <w:r w:rsidRPr="00BF55FF">
        <w:t xml:space="preserve"> of lanadelumab in adults and adolescents</w:t>
      </w:r>
      <w:r w:rsidR="0021485E">
        <w:t xml:space="preserve"> (paragraph </w:t>
      </w:r>
      <w:r w:rsidR="00E0440F">
        <w:t>7.</w:t>
      </w:r>
      <w:r w:rsidR="0036055F">
        <w:t>6</w:t>
      </w:r>
      <w:r w:rsidR="0021485E">
        <w:t>, lanadelumab PSD, July 20</w:t>
      </w:r>
      <w:r w:rsidR="0036055F">
        <w:t>20</w:t>
      </w:r>
      <w:r w:rsidR="0021485E">
        <w:t>)</w:t>
      </w:r>
      <w:r w:rsidR="001B7DF0" w:rsidRPr="00BF55FF">
        <w:t>.</w:t>
      </w:r>
      <w:r w:rsidRPr="00BF55FF">
        <w:t xml:space="preserve"> Preventative use of C1-INH </w:t>
      </w:r>
      <w:r w:rsidR="00A81795" w:rsidRPr="00BF55FF">
        <w:t xml:space="preserve">would </w:t>
      </w:r>
      <w:r w:rsidR="00647C1B" w:rsidRPr="00BF55FF">
        <w:t xml:space="preserve">also </w:t>
      </w:r>
      <w:r w:rsidR="00A81795" w:rsidRPr="00BF55FF">
        <w:t>be an alternative comparator,</w:t>
      </w:r>
      <w:r w:rsidRPr="00BF55FF">
        <w:t xml:space="preserve"> but</w:t>
      </w:r>
      <w:r w:rsidR="002626F8" w:rsidRPr="00BF55FF">
        <w:t xml:space="preserve"> the</w:t>
      </w:r>
      <w:r w:rsidRPr="00BF55FF">
        <w:t xml:space="preserve"> </w:t>
      </w:r>
      <w:r w:rsidR="00A81795" w:rsidRPr="00BF55FF">
        <w:t xml:space="preserve">PBAC </w:t>
      </w:r>
      <w:r w:rsidR="002626F8" w:rsidRPr="00BF55FF">
        <w:t xml:space="preserve">previously </w:t>
      </w:r>
      <w:r w:rsidR="00A81795" w:rsidRPr="00BF55FF">
        <w:t>considered that</w:t>
      </w:r>
      <w:r w:rsidR="0063586E">
        <w:t>,</w:t>
      </w:r>
      <w:r w:rsidR="00A81795" w:rsidRPr="00BF55FF">
        <w:t xml:space="preserve"> as </w:t>
      </w:r>
      <w:r w:rsidR="00A23DE1" w:rsidRPr="00BF55FF">
        <w:t xml:space="preserve">this </w:t>
      </w:r>
      <w:r w:rsidR="00A81795" w:rsidRPr="00BF55FF">
        <w:t>use is</w:t>
      </w:r>
      <w:r w:rsidRPr="00BF55FF">
        <w:t xml:space="preserve"> confined to patients experiencing eight or more attacks per mont</w:t>
      </w:r>
      <w:r w:rsidR="00A81795" w:rsidRPr="00BF55FF">
        <w:t>h,</w:t>
      </w:r>
      <w:r w:rsidRPr="00BF55FF">
        <w:t xml:space="preserve"> </w:t>
      </w:r>
      <w:bookmarkEnd w:id="19"/>
      <w:r w:rsidRPr="00BF55FF">
        <w:t xml:space="preserve">ODT was </w:t>
      </w:r>
      <w:r w:rsidR="00A81795" w:rsidRPr="00BF55FF">
        <w:t>appropriate as the comparator for the lanadelumab-eligible population</w:t>
      </w:r>
      <w:r w:rsidR="00A23DE1" w:rsidRPr="00BF55FF">
        <w:t xml:space="preserve"> as a whole</w:t>
      </w:r>
      <w:r w:rsidR="001B7DF0" w:rsidRPr="00BF55FF">
        <w:t xml:space="preserve"> (paragraphs 5.2</w:t>
      </w:r>
      <w:r w:rsidR="00871ABF">
        <w:t xml:space="preserve"> and</w:t>
      </w:r>
      <w:r w:rsidR="001B7DF0" w:rsidRPr="00BF55FF">
        <w:t xml:space="preserve"> 5.3, </w:t>
      </w:r>
      <w:r w:rsidR="00871ABF">
        <w:t>l</w:t>
      </w:r>
      <w:r w:rsidR="001B7DF0" w:rsidRPr="00BF55FF">
        <w:t>anadelumab</w:t>
      </w:r>
      <w:r w:rsidR="00840DAE" w:rsidRPr="00BF55FF">
        <w:t xml:space="preserve"> PSD,</w:t>
      </w:r>
      <w:r w:rsidR="001B7DF0" w:rsidRPr="00BF55FF">
        <w:t xml:space="preserve"> July 2021).</w:t>
      </w:r>
      <w:r w:rsidR="00CD6E55" w:rsidRPr="00BF55FF">
        <w:t xml:space="preserve"> </w:t>
      </w:r>
      <w:r w:rsidR="00786527">
        <w:t>I</w:t>
      </w:r>
      <w:r w:rsidR="00CD6E55" w:rsidRPr="00BF55FF">
        <w:t>n the clinical section of the current submission, the number of attacks in the baseline observation period was</w:t>
      </w:r>
      <w:r w:rsidR="00936672" w:rsidRPr="00BF55FF">
        <w:t xml:space="preserve"> used as</w:t>
      </w:r>
      <w:r w:rsidR="00CD6E55" w:rsidRPr="00BF55FF">
        <w:t xml:space="preserve"> the point of comparison</w:t>
      </w:r>
      <w:r w:rsidR="001C1EB6" w:rsidRPr="00BF55FF">
        <w:t>,</w:t>
      </w:r>
      <w:r w:rsidR="00936672" w:rsidRPr="00BF55FF">
        <w:t xml:space="preserve"> as a proxy for ODT use</w:t>
      </w:r>
      <w:r w:rsidR="00CD6E55" w:rsidRPr="00BF55FF">
        <w:t>.</w:t>
      </w:r>
    </w:p>
    <w:p w14:paraId="1BA5FBEB" w14:textId="0B56385A" w:rsidR="00226CA1" w:rsidRDefault="002251C6" w:rsidP="00226CA1">
      <w:pPr>
        <w:pStyle w:val="3-BodyText"/>
      </w:pPr>
      <w:r>
        <w:t xml:space="preserve">The </w:t>
      </w:r>
      <w:r w:rsidR="00411610" w:rsidRPr="00BF55FF">
        <w:t>PBAC consider</w:t>
      </w:r>
      <w:r>
        <w:t>ed</w:t>
      </w:r>
      <w:r w:rsidR="00411610" w:rsidRPr="00BF55FF">
        <w:t xml:space="preserve"> a submission for garadacimab, an inhibitor of activated Factor XII, at its November 2024 meeting. The submission “request[s] a General Schedule Authority Required (Written) listing for the initial treatment and an Authority Required (Telephone/Online) listing for the continuing treatment of HAE”. The completed efficacy trial of garadacimab enrolled patients 12 years of age or older</w:t>
      </w:r>
      <w:r w:rsidR="00346559" w:rsidRPr="00BF55FF">
        <w:t>.</w:t>
      </w:r>
      <w:r w:rsidR="00411610" w:rsidRPr="00BF55FF">
        <w:rPr>
          <w:rStyle w:val="FootnoteReference"/>
        </w:rPr>
        <w:footnoteReference w:id="10"/>
      </w:r>
      <w:r w:rsidR="00411610" w:rsidRPr="00BF55FF">
        <w:t xml:space="preserve"> </w:t>
      </w:r>
      <w:r w:rsidR="00346559" w:rsidRPr="00BF55FF">
        <w:t>A</w:t>
      </w:r>
      <w:r w:rsidR="00411610" w:rsidRPr="00BF55FF">
        <w:t xml:space="preserve"> study of garadacimab in children aged 2 to 11 years (NCT05819775) is underway and scheduled for completion in late 2026.</w:t>
      </w:r>
      <w:r w:rsidR="00411610" w:rsidRPr="00BF55FF">
        <w:rPr>
          <w:rStyle w:val="FootnoteReference"/>
        </w:rPr>
        <w:footnoteReference w:id="11"/>
      </w:r>
      <w:r w:rsidR="00411610" w:rsidRPr="00BF55FF">
        <w:t xml:space="preserve"> Garadacimab could therefore be considered a near-market comparator. </w:t>
      </w:r>
    </w:p>
    <w:p w14:paraId="72E6E55A" w14:textId="0CB302F1" w:rsidR="00BF55FF" w:rsidRPr="00BF55FF" w:rsidRDefault="00BF55FF" w:rsidP="00BF55FF">
      <w:pPr>
        <w:pStyle w:val="3-BodyText"/>
        <w:numPr>
          <w:ilvl w:val="0"/>
          <w:numId w:val="0"/>
        </w:numPr>
        <w:ind w:left="720"/>
        <w:rPr>
          <w:i/>
          <w:iCs/>
        </w:rPr>
      </w:pPr>
      <w:r w:rsidRPr="00BF55FF">
        <w:rPr>
          <w:i/>
          <w:iCs/>
        </w:rPr>
        <w:t>For more detail on PBAC’s view, see section 7 PBAC outcome.</w:t>
      </w:r>
    </w:p>
    <w:p w14:paraId="7F9C27C8" w14:textId="77777777" w:rsidR="00223D5A" w:rsidRPr="00BF55FF" w:rsidRDefault="00223D5A" w:rsidP="00FE3B48">
      <w:pPr>
        <w:pStyle w:val="2-SectionHeading"/>
      </w:pPr>
      <w:bookmarkStart w:id="20" w:name="_Toc177389665"/>
      <w:bookmarkStart w:id="21" w:name="_Toc22897640"/>
      <w:r w:rsidRPr="00BF55FF">
        <w:lastRenderedPageBreak/>
        <w:t>Consideration of the evidence</w:t>
      </w:r>
      <w:bookmarkEnd w:id="20"/>
    </w:p>
    <w:p w14:paraId="655BE10D" w14:textId="77777777" w:rsidR="00BF55FF" w:rsidRPr="004A73F1" w:rsidRDefault="00BF55FF" w:rsidP="00BF55FF">
      <w:pPr>
        <w:pStyle w:val="4-SubsectionHeading"/>
        <w:rPr>
          <w:i w:val="0"/>
        </w:rPr>
      </w:pPr>
      <w:bookmarkStart w:id="22" w:name="_Hlk76375935"/>
      <w:bookmarkStart w:id="23" w:name="_Toc177389666"/>
      <w:r w:rsidRPr="004A73F1">
        <w:rPr>
          <w:i w:val="0"/>
        </w:rPr>
        <w:t>Sponsor hearing</w:t>
      </w:r>
    </w:p>
    <w:p w14:paraId="70077190" w14:textId="2AD9376F" w:rsidR="00BF55FF" w:rsidRPr="004A73F1" w:rsidRDefault="00BF55FF" w:rsidP="00F0447B">
      <w:pPr>
        <w:pStyle w:val="3-BodyText"/>
        <w:rPr>
          <w:rFonts w:ascii="Calibri" w:hAnsi="Calibri" w:cs="Calibri"/>
          <w:bCs/>
          <w:snapToGrid w:val="0"/>
        </w:rPr>
      </w:pPr>
      <w:r w:rsidRPr="004A73F1">
        <w:rPr>
          <w:rFonts w:ascii="Calibri" w:hAnsi="Calibri" w:cs="Calibri"/>
          <w:bCs/>
          <w:snapToGrid w:val="0"/>
        </w:rPr>
        <w:t xml:space="preserve">There </w:t>
      </w:r>
      <w:r w:rsidRPr="004A73F1">
        <w:t>was</w:t>
      </w:r>
      <w:r w:rsidRPr="004A73F1">
        <w:rPr>
          <w:rFonts w:ascii="Calibri" w:hAnsi="Calibri" w:cs="Calibri"/>
          <w:bCs/>
          <w:snapToGrid w:val="0"/>
        </w:rPr>
        <w:t xml:space="preserve"> no hearing for this item.</w:t>
      </w:r>
    </w:p>
    <w:p w14:paraId="57DC8584" w14:textId="77777777" w:rsidR="00BF55FF" w:rsidRPr="004A73F1" w:rsidRDefault="00BF55FF" w:rsidP="00BF55FF">
      <w:pPr>
        <w:pStyle w:val="4-SubsectionHeading"/>
        <w:rPr>
          <w:i w:val="0"/>
        </w:rPr>
      </w:pPr>
      <w:r w:rsidRPr="004A73F1">
        <w:rPr>
          <w:i w:val="0"/>
        </w:rPr>
        <w:t>Consumer comments</w:t>
      </w:r>
    </w:p>
    <w:p w14:paraId="52622131" w14:textId="2C003A53" w:rsidR="003D429A" w:rsidRPr="007B061A" w:rsidRDefault="0018289A" w:rsidP="00F0447B">
      <w:pPr>
        <w:pStyle w:val="3-BodyText"/>
        <w:rPr>
          <w:rFonts w:cs="Arial"/>
          <w:bCs/>
          <w:snapToGrid w:val="0"/>
        </w:rPr>
      </w:pPr>
      <w:bookmarkStart w:id="24" w:name="_Hlk76382618"/>
      <w:r w:rsidRPr="007B061A">
        <w:rPr>
          <w:rFonts w:cs="Arial"/>
          <w:bCs/>
          <w:snapToGrid w:val="0"/>
        </w:rPr>
        <w:t>The</w:t>
      </w:r>
      <w:r w:rsidR="00BF55FF" w:rsidRPr="007B061A">
        <w:rPr>
          <w:rFonts w:cs="Arial"/>
          <w:bCs/>
          <w:snapToGrid w:val="0"/>
        </w:rPr>
        <w:t xml:space="preserve"> PBAC noted and welcomed the input from individuals (</w:t>
      </w:r>
      <w:r w:rsidR="00CE5984" w:rsidRPr="007B061A">
        <w:rPr>
          <w:rFonts w:cs="Arial"/>
          <w:bCs/>
          <w:snapToGrid w:val="0"/>
        </w:rPr>
        <w:t>2</w:t>
      </w:r>
      <w:r w:rsidR="00BF55FF" w:rsidRPr="007B061A">
        <w:rPr>
          <w:rFonts w:cs="Arial"/>
          <w:bCs/>
          <w:snapToGrid w:val="0"/>
        </w:rPr>
        <w:t>),</w:t>
      </w:r>
      <w:r w:rsidR="00E325F2" w:rsidRPr="007B061A">
        <w:rPr>
          <w:rFonts w:cs="Arial"/>
          <w:bCs/>
          <w:snapToGrid w:val="0"/>
        </w:rPr>
        <w:t xml:space="preserve"> and</w:t>
      </w:r>
      <w:r w:rsidR="00BF55FF" w:rsidRPr="007B061A">
        <w:rPr>
          <w:rFonts w:cs="Arial"/>
          <w:bCs/>
          <w:snapToGrid w:val="0"/>
        </w:rPr>
        <w:t xml:space="preserve"> health care professionals (</w:t>
      </w:r>
      <w:r w:rsidR="00C02B8B">
        <w:rPr>
          <w:rFonts w:cs="Arial"/>
          <w:bCs/>
          <w:snapToGrid w:val="0"/>
        </w:rPr>
        <w:t>2</w:t>
      </w:r>
      <w:r w:rsidR="00BF55FF" w:rsidRPr="007B061A">
        <w:rPr>
          <w:rFonts w:cs="Arial"/>
          <w:bCs/>
          <w:snapToGrid w:val="0"/>
        </w:rPr>
        <w:t xml:space="preserve">). The comments described a range of benefits of treatment with </w:t>
      </w:r>
      <w:r w:rsidR="00CE5984" w:rsidRPr="007B061A">
        <w:rPr>
          <w:rFonts w:cs="Arial"/>
          <w:bCs/>
          <w:snapToGrid w:val="0"/>
        </w:rPr>
        <w:t>lanadelumab</w:t>
      </w:r>
      <w:r w:rsidR="00BF55FF" w:rsidRPr="007B061A">
        <w:rPr>
          <w:rFonts w:cs="Arial"/>
          <w:bCs/>
          <w:snapToGrid w:val="0"/>
        </w:rPr>
        <w:t xml:space="preserve"> including </w:t>
      </w:r>
      <w:r w:rsidR="003D429A" w:rsidRPr="007B061A">
        <w:rPr>
          <w:rFonts w:cs="Arial"/>
          <w:bCs/>
          <w:snapToGrid w:val="0"/>
        </w:rPr>
        <w:t xml:space="preserve">improved quality of life, avoidance </w:t>
      </w:r>
      <w:r w:rsidR="00CE5984" w:rsidRPr="007B061A">
        <w:rPr>
          <w:rFonts w:cs="Arial"/>
          <w:bCs/>
          <w:snapToGrid w:val="0"/>
        </w:rPr>
        <w:t xml:space="preserve">of acute hospital presentations, </w:t>
      </w:r>
      <w:r w:rsidR="003D429A" w:rsidRPr="007B061A">
        <w:rPr>
          <w:rFonts w:cs="Arial"/>
          <w:bCs/>
          <w:snapToGrid w:val="0"/>
        </w:rPr>
        <w:t xml:space="preserve">and lower frequency of needle insertions (compared to other long term prophylactic options). </w:t>
      </w:r>
    </w:p>
    <w:p w14:paraId="078C6CDC" w14:textId="25A07BFE" w:rsidR="00C02B8B" w:rsidRPr="00C02B8B" w:rsidRDefault="00C02B8B" w:rsidP="009B5C89">
      <w:pPr>
        <w:pStyle w:val="3-BodyText"/>
        <w:rPr>
          <w:snapToGrid w:val="0"/>
        </w:rPr>
      </w:pPr>
      <w:r>
        <w:rPr>
          <w:rFonts w:cs="Arial"/>
          <w:bCs/>
          <w:snapToGrid w:val="0"/>
        </w:rPr>
        <w:t>A</w:t>
      </w:r>
      <w:r w:rsidRPr="007B061A">
        <w:rPr>
          <w:rFonts w:cs="Arial"/>
          <w:bCs/>
          <w:snapToGrid w:val="0"/>
        </w:rPr>
        <w:t xml:space="preserve"> </w:t>
      </w:r>
      <w:r w:rsidR="003D429A" w:rsidRPr="007B061A">
        <w:rPr>
          <w:rFonts w:cs="Arial"/>
          <w:bCs/>
          <w:snapToGrid w:val="0"/>
        </w:rPr>
        <w:t>health professional noted that treatment of most paediatric patients is usually based on</w:t>
      </w:r>
      <w:r>
        <w:rPr>
          <w:rFonts w:cs="Arial"/>
          <w:bCs/>
          <w:snapToGrid w:val="0"/>
        </w:rPr>
        <w:t xml:space="preserve"> ODT</w:t>
      </w:r>
      <w:r w:rsidR="003D429A" w:rsidRPr="007B061A">
        <w:rPr>
          <w:rFonts w:cs="Arial"/>
          <w:bCs/>
          <w:snapToGrid w:val="0"/>
        </w:rPr>
        <w:t xml:space="preserve">, with relatively low use of </w:t>
      </w:r>
      <w:r w:rsidR="00B32045" w:rsidRPr="007B061A">
        <w:rPr>
          <w:rFonts w:cs="Arial"/>
          <w:bCs/>
          <w:snapToGrid w:val="0"/>
        </w:rPr>
        <w:t>long-term</w:t>
      </w:r>
      <w:r w:rsidR="003D429A" w:rsidRPr="007B061A">
        <w:rPr>
          <w:rFonts w:cs="Arial"/>
          <w:bCs/>
          <w:snapToGrid w:val="0"/>
        </w:rPr>
        <w:t xml:space="preserve"> prophylactic (LTP) therapies prior to puberty. </w:t>
      </w:r>
      <w:r w:rsidR="0018289A" w:rsidRPr="007B061A">
        <w:rPr>
          <w:rFonts w:cs="Arial"/>
          <w:bCs/>
          <w:snapToGrid w:val="0"/>
        </w:rPr>
        <w:t xml:space="preserve">They noted that </w:t>
      </w:r>
      <w:r w:rsidR="003D429A" w:rsidRPr="007B061A">
        <w:rPr>
          <w:rFonts w:cs="Arial"/>
          <w:bCs/>
          <w:snapToGrid w:val="0"/>
        </w:rPr>
        <w:t>some paediatric patients with a more severe phenotype do require LTP based on attack frequency and severity (e.g. laryngeal involvement),</w:t>
      </w:r>
      <w:r w:rsidR="0018289A" w:rsidRPr="007B061A">
        <w:rPr>
          <w:rFonts w:cs="Arial"/>
          <w:bCs/>
          <w:snapToGrid w:val="0"/>
        </w:rPr>
        <w:t xml:space="preserve"> but that as </w:t>
      </w:r>
      <w:r w:rsidR="003D429A" w:rsidRPr="007B061A">
        <w:rPr>
          <w:rFonts w:cs="Arial"/>
          <w:bCs/>
          <w:snapToGrid w:val="0"/>
        </w:rPr>
        <w:t xml:space="preserve">lanadelumab </w:t>
      </w:r>
      <w:r w:rsidR="008D6623" w:rsidRPr="007B061A">
        <w:rPr>
          <w:rFonts w:cs="Arial"/>
          <w:bCs/>
          <w:snapToGrid w:val="0"/>
        </w:rPr>
        <w:t>preventative treatment</w:t>
      </w:r>
      <w:r w:rsidR="003D429A" w:rsidRPr="007B061A">
        <w:rPr>
          <w:rFonts w:cs="Arial"/>
          <w:bCs/>
          <w:snapToGrid w:val="0"/>
        </w:rPr>
        <w:t xml:space="preserve"> requires ongoing subcutaneous injections</w:t>
      </w:r>
      <w:r w:rsidR="0018289A" w:rsidRPr="007B061A">
        <w:rPr>
          <w:rFonts w:cs="Arial"/>
          <w:bCs/>
          <w:snapToGrid w:val="0"/>
        </w:rPr>
        <w:t xml:space="preserve"> (albeit less than other LTP options)</w:t>
      </w:r>
      <w:r w:rsidR="008D6623" w:rsidRPr="007B061A">
        <w:rPr>
          <w:rFonts w:cs="Arial"/>
          <w:bCs/>
          <w:snapToGrid w:val="0"/>
        </w:rPr>
        <w:t xml:space="preserve">, </w:t>
      </w:r>
      <w:r w:rsidR="003D429A" w:rsidRPr="007B061A">
        <w:rPr>
          <w:rFonts w:cs="Arial"/>
          <w:bCs/>
          <w:snapToGrid w:val="0"/>
        </w:rPr>
        <w:t xml:space="preserve">decisions for treatment are not taken lightly. </w:t>
      </w:r>
    </w:p>
    <w:p w14:paraId="7B89A43F" w14:textId="562C0067" w:rsidR="00C02B8B" w:rsidRPr="00C02B8B" w:rsidRDefault="00C02B8B" w:rsidP="00C02B8B">
      <w:pPr>
        <w:pStyle w:val="3-BodyText"/>
        <w:rPr>
          <w:snapToGrid w:val="0"/>
        </w:rPr>
      </w:pPr>
      <w:r>
        <w:rPr>
          <w:rFonts w:cs="Arial"/>
          <w:bCs/>
          <w:snapToGrid w:val="0"/>
        </w:rPr>
        <w:t>Another</w:t>
      </w:r>
      <w:r w:rsidRPr="00C02B8B">
        <w:rPr>
          <w:rFonts w:cs="Arial"/>
          <w:bCs/>
          <w:snapToGrid w:val="0"/>
        </w:rPr>
        <w:t xml:space="preserve"> health professional</w:t>
      </w:r>
      <w:r>
        <w:rPr>
          <w:rFonts w:cs="Arial"/>
          <w:bCs/>
          <w:snapToGrid w:val="0"/>
        </w:rPr>
        <w:t xml:space="preserve"> noted</w:t>
      </w:r>
      <w:r w:rsidRPr="00C02B8B">
        <w:rPr>
          <w:rFonts w:cs="Arial"/>
          <w:bCs/>
          <w:snapToGrid w:val="0"/>
        </w:rPr>
        <w:t xml:space="preserve"> that young children with genetic and biochemical markers for HAE may not require prophylaxis because HAE attacks are generally very infrequent before puberty; however there are exceptions of children who suffer reasonably frequent attacks. The health professional advised that suitable LDP options should be available to these patients, to avoid adverse occurrences including the potentially traumatic requirement to attend hospital for treatment with IV C1-INH, unnecessary surgery associated with recurrent abdominal pain, and dangerous and potentially fatal laryngeal attacks associated with angioedema.</w:t>
      </w:r>
    </w:p>
    <w:p w14:paraId="7568B2E2" w14:textId="598DD0C6" w:rsidR="003D429A" w:rsidRPr="007B061A" w:rsidRDefault="00C02B8B" w:rsidP="009B5C89">
      <w:pPr>
        <w:pStyle w:val="3-BodyText"/>
        <w:rPr>
          <w:snapToGrid w:val="0"/>
        </w:rPr>
      </w:pPr>
      <w:r>
        <w:rPr>
          <w:rFonts w:cs="Arial"/>
          <w:bCs/>
          <w:snapToGrid w:val="0"/>
        </w:rPr>
        <w:t>An</w:t>
      </w:r>
      <w:r w:rsidRPr="007B061A">
        <w:rPr>
          <w:rFonts w:cs="Arial"/>
          <w:bCs/>
          <w:snapToGrid w:val="0"/>
        </w:rPr>
        <w:t xml:space="preserve"> </w:t>
      </w:r>
      <w:r w:rsidR="00E325F2" w:rsidRPr="007B061A">
        <w:rPr>
          <w:rFonts w:cs="Arial"/>
          <w:bCs/>
          <w:snapToGrid w:val="0"/>
        </w:rPr>
        <w:t>individual who previously used lanadelumab noted it was more effective than other preventatives including danazol</w:t>
      </w:r>
      <w:r w:rsidR="006A3177">
        <w:rPr>
          <w:rFonts w:cs="Arial"/>
          <w:bCs/>
          <w:snapToGrid w:val="0"/>
        </w:rPr>
        <w:t xml:space="preserve">, which the PBAC noted is </w:t>
      </w:r>
      <w:r w:rsidR="00D32CA1" w:rsidRPr="007B061A">
        <w:rPr>
          <w:rFonts w:cs="Arial"/>
          <w:bCs/>
          <w:snapToGrid w:val="0"/>
        </w:rPr>
        <w:t>no longer available in Australia</w:t>
      </w:r>
      <w:r w:rsidR="00FC4D09">
        <w:rPr>
          <w:rFonts w:cs="Arial"/>
          <w:bCs/>
          <w:snapToGrid w:val="0"/>
        </w:rPr>
        <w:t>,</w:t>
      </w:r>
      <w:r w:rsidR="00D32CA1" w:rsidRPr="007B061A">
        <w:rPr>
          <w:rFonts w:cs="Arial"/>
          <w:bCs/>
          <w:snapToGrid w:val="0"/>
        </w:rPr>
        <w:t xml:space="preserve"> </w:t>
      </w:r>
      <w:r w:rsidR="00E325F2" w:rsidRPr="007B061A">
        <w:rPr>
          <w:rFonts w:cs="Arial"/>
          <w:bCs/>
          <w:snapToGrid w:val="0"/>
        </w:rPr>
        <w:t xml:space="preserve">and </w:t>
      </w:r>
      <w:r w:rsidR="00301CF9">
        <w:rPr>
          <w:rFonts w:cs="Arial"/>
          <w:bCs/>
          <w:snapToGrid w:val="0"/>
        </w:rPr>
        <w:t>B</w:t>
      </w:r>
      <w:r w:rsidR="00E325F2" w:rsidRPr="007B061A">
        <w:rPr>
          <w:rFonts w:cs="Arial"/>
          <w:bCs/>
          <w:snapToGrid w:val="0"/>
        </w:rPr>
        <w:t>erinert</w:t>
      </w:r>
      <w:r w:rsidR="004A73F1" w:rsidRPr="007B061A">
        <w:rPr>
          <w:rFonts w:cs="Arial"/>
          <w:bCs/>
          <w:snapToGrid w:val="0"/>
        </w:rPr>
        <w:t xml:space="preserve"> (C1-INH)</w:t>
      </w:r>
      <w:r w:rsidR="00E325F2" w:rsidRPr="007B061A">
        <w:rPr>
          <w:rFonts w:cs="Arial"/>
          <w:bCs/>
          <w:snapToGrid w:val="0"/>
        </w:rPr>
        <w:t>, and has been attack free while on lanadelumab</w:t>
      </w:r>
      <w:r w:rsidR="00FC4D09">
        <w:rPr>
          <w:rFonts w:cs="Arial"/>
          <w:bCs/>
          <w:snapToGrid w:val="0"/>
        </w:rPr>
        <w:t xml:space="preserve">. Another </w:t>
      </w:r>
      <w:r w:rsidR="0018289A" w:rsidRPr="007B061A">
        <w:rPr>
          <w:rFonts w:cs="Arial"/>
          <w:bCs/>
          <w:snapToGrid w:val="0"/>
        </w:rPr>
        <w:t>individual wanting to access lanadelumab noted that the requirement for lanadelumab to be refrigerated makes travel difficult</w:t>
      </w:r>
      <w:r w:rsidR="00E325F2" w:rsidRPr="007B061A">
        <w:rPr>
          <w:rFonts w:cs="Arial"/>
          <w:bCs/>
          <w:snapToGrid w:val="0"/>
        </w:rPr>
        <w:t xml:space="preserve">. </w:t>
      </w:r>
    </w:p>
    <w:bookmarkEnd w:id="22"/>
    <w:bookmarkEnd w:id="24"/>
    <w:p w14:paraId="609C0765" w14:textId="6EF5CFA0" w:rsidR="00B60939" w:rsidRDefault="00B60939" w:rsidP="002E4F02">
      <w:pPr>
        <w:pStyle w:val="4-SubsectionHeading"/>
        <w:rPr>
          <w:i w:val="0"/>
        </w:rPr>
      </w:pPr>
      <w:r w:rsidRPr="00BF55FF">
        <w:rPr>
          <w:i w:val="0"/>
        </w:rPr>
        <w:t>Clinical trial</w:t>
      </w:r>
      <w:bookmarkEnd w:id="21"/>
      <w:bookmarkEnd w:id="23"/>
      <w:r w:rsidR="00FE3B48" w:rsidRPr="00BF55FF">
        <w:rPr>
          <w:i w:val="0"/>
        </w:rPr>
        <w:t>s</w:t>
      </w:r>
    </w:p>
    <w:p w14:paraId="55C4C3D7" w14:textId="1B9849C8" w:rsidR="00C643EF" w:rsidRPr="00BF55FF" w:rsidRDefault="00A73134" w:rsidP="00AE0A79">
      <w:pPr>
        <w:pStyle w:val="3-BodyText"/>
      </w:pPr>
      <w:r w:rsidRPr="00BF55FF">
        <w:t xml:space="preserve">The submission </w:t>
      </w:r>
      <w:r w:rsidR="00D5243B" w:rsidRPr="00BF55FF">
        <w:t>wa</w:t>
      </w:r>
      <w:r w:rsidRPr="00BF55FF">
        <w:t xml:space="preserve">s based on one </w:t>
      </w:r>
      <w:r w:rsidR="00930A22" w:rsidRPr="00BF55FF">
        <w:t>single-arm</w:t>
      </w:r>
      <w:r w:rsidR="00C643EF" w:rsidRPr="00BF55FF">
        <w:t>,</w:t>
      </w:r>
      <w:r w:rsidR="00930A22" w:rsidRPr="00BF55FF">
        <w:t xml:space="preserve"> open label study of lanadelumab</w:t>
      </w:r>
      <w:r w:rsidR="00C643EF" w:rsidRPr="00BF55FF">
        <w:t xml:space="preserve"> (SPRING)</w:t>
      </w:r>
      <w:r w:rsidR="00930A22" w:rsidRPr="00BF55FF">
        <w:t>. This study was designed to evaluate the safety and pharmacokinetics of lanadelumab in patients with HAE aged 2-1</w:t>
      </w:r>
      <w:r w:rsidR="0057229C" w:rsidRPr="00BF55FF">
        <w:t xml:space="preserve">1 </w:t>
      </w:r>
      <w:r w:rsidR="00930A22" w:rsidRPr="00BF55FF">
        <w:t>years</w:t>
      </w:r>
      <w:r w:rsidR="00D02159" w:rsidRPr="00BF55FF">
        <w:t>;</w:t>
      </w:r>
      <w:r w:rsidR="00930A22" w:rsidRPr="00BF55FF">
        <w:t xml:space="preserve"> assessment of </w:t>
      </w:r>
      <w:r w:rsidR="00D02159" w:rsidRPr="00BF55FF">
        <w:t>attack rate</w:t>
      </w:r>
      <w:r w:rsidR="00930A22" w:rsidRPr="00BF55FF">
        <w:t xml:space="preserve"> was a secondary objective</w:t>
      </w:r>
      <w:r w:rsidR="00D02159" w:rsidRPr="00BF55FF">
        <w:t>. Changes in health-related quality of life were an exploratory objective</w:t>
      </w:r>
      <w:r w:rsidR="00930A22" w:rsidRPr="00BF55FF">
        <w:t>.</w:t>
      </w:r>
      <w:r w:rsidR="00D02159" w:rsidRPr="00BF55FF">
        <w:t xml:space="preserve"> </w:t>
      </w:r>
    </w:p>
    <w:p w14:paraId="2B59ABAC" w14:textId="0CE9F420" w:rsidR="00862502" w:rsidRPr="00BF55FF" w:rsidRDefault="00A73134" w:rsidP="00AE0A79">
      <w:pPr>
        <w:pStyle w:val="3-BodyText"/>
      </w:pPr>
      <w:r w:rsidRPr="00BF55FF">
        <w:t>Details of the tria</w:t>
      </w:r>
      <w:r w:rsidR="00930A22" w:rsidRPr="00BF55FF">
        <w:t>l</w:t>
      </w:r>
      <w:r w:rsidRPr="00BF55FF">
        <w:t xml:space="preserve"> </w:t>
      </w:r>
      <w:r w:rsidR="00404489" w:rsidRPr="00BF55FF">
        <w:t xml:space="preserve">documents and related publications </w:t>
      </w:r>
      <w:r w:rsidRPr="00BF55FF">
        <w:t xml:space="preserve">are provided in </w:t>
      </w:r>
      <w:r w:rsidR="00037BF8" w:rsidRPr="00BF55FF">
        <w:fldChar w:fldCharType="begin" w:fldLock="1"/>
      </w:r>
      <w:r w:rsidR="00037BF8" w:rsidRPr="00BF55FF">
        <w:instrText xml:space="preserve"> REF _Ref173666144 \h </w:instrText>
      </w:r>
      <w:r w:rsidR="00BF55FF" w:rsidRPr="00BF55FF">
        <w:instrText xml:space="preserve"> \* MERGEFORMAT </w:instrText>
      </w:r>
      <w:r w:rsidR="00037BF8" w:rsidRPr="00BF55FF">
        <w:fldChar w:fldCharType="separate"/>
      </w:r>
      <w:r w:rsidR="009C2393" w:rsidRPr="00851372">
        <w:t xml:space="preserve">Table </w:t>
      </w:r>
      <w:r w:rsidR="009C2393">
        <w:t>2</w:t>
      </w:r>
      <w:r w:rsidR="00037BF8" w:rsidRPr="00BF55FF">
        <w:fldChar w:fldCharType="end"/>
      </w:r>
      <w:r w:rsidR="00037BF8" w:rsidRPr="00BF55FF">
        <w:t>.</w:t>
      </w:r>
    </w:p>
    <w:p w14:paraId="7AAC6AED" w14:textId="2B8627C1" w:rsidR="00930A22" w:rsidRPr="00BF55FF" w:rsidRDefault="00037BF8" w:rsidP="00037BF8">
      <w:pPr>
        <w:pStyle w:val="Caption"/>
      </w:pPr>
      <w:bookmarkStart w:id="25" w:name="_Ref173666144"/>
      <w:bookmarkStart w:id="26" w:name="_Toc107569795"/>
      <w:bookmarkStart w:id="27" w:name="_Toc171332071"/>
      <w:r w:rsidRPr="00851372">
        <w:lastRenderedPageBreak/>
        <w:t xml:space="preserve">Table </w:t>
      </w:r>
      <w:r w:rsidR="00ED245D" w:rsidRPr="00851372">
        <w:fldChar w:fldCharType="begin" w:fldLock="1"/>
      </w:r>
      <w:r w:rsidR="00ED245D" w:rsidRPr="00851372">
        <w:instrText xml:space="preserve"> SEQ Table \* ARABIC </w:instrText>
      </w:r>
      <w:r w:rsidR="00ED245D" w:rsidRPr="00851372">
        <w:fldChar w:fldCharType="separate"/>
      </w:r>
      <w:r w:rsidR="009C2393">
        <w:rPr>
          <w:noProof/>
        </w:rPr>
        <w:t>2</w:t>
      </w:r>
      <w:r w:rsidR="00ED245D" w:rsidRPr="00851372">
        <w:fldChar w:fldCharType="end"/>
      </w:r>
      <w:bookmarkEnd w:id="25"/>
      <w:r w:rsidR="00930A22" w:rsidRPr="00851372">
        <w:t>: Trials (and associated reports) presented in the submission</w:t>
      </w:r>
      <w:bookmarkEnd w:id="26"/>
      <w:bookmarkEnd w:id="27"/>
    </w:p>
    <w:tbl>
      <w:tblPr>
        <w:tblStyle w:val="TableGrid"/>
        <w:tblW w:w="5000" w:type="pct"/>
        <w:tblLook w:val="04A0" w:firstRow="1" w:lastRow="0" w:firstColumn="1" w:lastColumn="0" w:noHBand="0" w:noVBand="1"/>
      </w:tblPr>
      <w:tblGrid>
        <w:gridCol w:w="1392"/>
        <w:gridCol w:w="4180"/>
        <w:gridCol w:w="3445"/>
      </w:tblGrid>
      <w:tr w:rsidR="001B7DF0" w:rsidRPr="00BF55FF" w14:paraId="684FB3DB" w14:textId="77777777" w:rsidTr="00BC7A1E">
        <w:trPr>
          <w:trHeight w:val="20"/>
        </w:trPr>
        <w:tc>
          <w:tcPr>
            <w:tcW w:w="1392" w:type="dxa"/>
            <w:shd w:val="clear" w:color="auto" w:fill="auto"/>
          </w:tcPr>
          <w:p w14:paraId="438F0A6C" w14:textId="77777777" w:rsidR="001B7DF0" w:rsidRPr="00BF55FF" w:rsidRDefault="001B7DF0" w:rsidP="00F248EF">
            <w:pPr>
              <w:pStyle w:val="In-tableHeading"/>
              <w:rPr>
                <w:lang w:val="en-AU"/>
              </w:rPr>
            </w:pPr>
            <w:r w:rsidRPr="00BF55FF">
              <w:rPr>
                <w:lang w:val="en-AU"/>
              </w:rPr>
              <w:t>Trial ID</w:t>
            </w:r>
          </w:p>
        </w:tc>
        <w:tc>
          <w:tcPr>
            <w:tcW w:w="4362" w:type="dxa"/>
            <w:shd w:val="clear" w:color="auto" w:fill="auto"/>
          </w:tcPr>
          <w:p w14:paraId="618FA288" w14:textId="12870D98" w:rsidR="001B7DF0" w:rsidRPr="00BF55FF" w:rsidRDefault="00F248EF" w:rsidP="00F248EF">
            <w:pPr>
              <w:pStyle w:val="In-tableHeading"/>
              <w:rPr>
                <w:lang w:val="en-AU"/>
              </w:rPr>
            </w:pPr>
            <w:r w:rsidRPr="00BF55FF">
              <w:rPr>
                <w:lang w:val="en-AU"/>
              </w:rPr>
              <w:t>Protocol title/publication title</w:t>
            </w:r>
          </w:p>
        </w:tc>
        <w:tc>
          <w:tcPr>
            <w:tcW w:w="3597" w:type="dxa"/>
            <w:shd w:val="clear" w:color="auto" w:fill="auto"/>
          </w:tcPr>
          <w:p w14:paraId="5E5B1851" w14:textId="5202E0AA" w:rsidR="001B7DF0" w:rsidRPr="00BF55FF" w:rsidRDefault="00F248EF" w:rsidP="00F248EF">
            <w:pPr>
              <w:pStyle w:val="In-tableHeading"/>
              <w:rPr>
                <w:lang w:val="en-AU"/>
              </w:rPr>
            </w:pPr>
            <w:r w:rsidRPr="00BF55FF">
              <w:rPr>
                <w:lang w:val="en-AU"/>
              </w:rPr>
              <w:t>Publication citation</w:t>
            </w:r>
          </w:p>
        </w:tc>
      </w:tr>
      <w:tr w:rsidR="001B7DF0" w:rsidRPr="00BF55FF" w14:paraId="6EFA0E6B" w14:textId="77777777" w:rsidTr="00BC7A1E">
        <w:trPr>
          <w:trHeight w:val="20"/>
        </w:trPr>
        <w:tc>
          <w:tcPr>
            <w:tcW w:w="1392" w:type="dxa"/>
            <w:shd w:val="clear" w:color="auto" w:fill="auto"/>
          </w:tcPr>
          <w:p w14:paraId="54B3B625" w14:textId="77777777" w:rsidR="001B7DF0" w:rsidRPr="00BF55FF" w:rsidRDefault="001B7DF0">
            <w:pPr>
              <w:pStyle w:val="PBACTabletext"/>
            </w:pPr>
            <w:r w:rsidRPr="00BF55FF">
              <w:t>SPRING (NCT04070326)</w:t>
            </w:r>
          </w:p>
        </w:tc>
        <w:tc>
          <w:tcPr>
            <w:tcW w:w="4362" w:type="dxa"/>
            <w:shd w:val="clear" w:color="auto" w:fill="auto"/>
          </w:tcPr>
          <w:p w14:paraId="0D5F7E43" w14:textId="6A6A713E" w:rsidR="001B7DF0" w:rsidRPr="00BF55FF" w:rsidRDefault="001B7DF0">
            <w:pPr>
              <w:pStyle w:val="PBACTabletext"/>
            </w:pPr>
            <w:r w:rsidRPr="00BF55FF">
              <w:t xml:space="preserve">Lanadelumab in patients 2 to less Than 12 Years old with hereditary angioedema: Results from the Phase 3 SPRING study. </w:t>
            </w:r>
          </w:p>
        </w:tc>
        <w:tc>
          <w:tcPr>
            <w:tcW w:w="3597" w:type="dxa"/>
            <w:shd w:val="clear" w:color="auto" w:fill="auto"/>
          </w:tcPr>
          <w:p w14:paraId="237B9B7F" w14:textId="77777777" w:rsidR="001B7DF0" w:rsidRPr="00BF55FF" w:rsidRDefault="001B7DF0">
            <w:pPr>
              <w:pStyle w:val="PBACTabletext"/>
            </w:pPr>
            <w:r w:rsidRPr="00BF55FF">
              <w:t>CSR, August 2021</w:t>
            </w:r>
          </w:p>
        </w:tc>
      </w:tr>
      <w:tr w:rsidR="001B7DF0" w:rsidRPr="00BF55FF" w14:paraId="6998F053" w14:textId="77777777" w:rsidTr="00BC7A1E">
        <w:trPr>
          <w:trHeight w:val="20"/>
        </w:trPr>
        <w:tc>
          <w:tcPr>
            <w:tcW w:w="1392" w:type="dxa"/>
            <w:shd w:val="clear" w:color="auto" w:fill="auto"/>
            <w:vAlign w:val="center"/>
          </w:tcPr>
          <w:p w14:paraId="0A0816C3" w14:textId="77777777" w:rsidR="001B7DF0" w:rsidRPr="00BF55FF" w:rsidRDefault="001B7DF0">
            <w:pPr>
              <w:pStyle w:val="PBACTabletext"/>
            </w:pPr>
            <w:r w:rsidRPr="00BF55FF">
              <w:t>Maurer et al 2024</w:t>
            </w:r>
          </w:p>
        </w:tc>
        <w:tc>
          <w:tcPr>
            <w:tcW w:w="4362" w:type="dxa"/>
            <w:shd w:val="clear" w:color="auto" w:fill="auto"/>
          </w:tcPr>
          <w:p w14:paraId="735DDBED" w14:textId="19041164" w:rsidR="001B7DF0" w:rsidRPr="00BF55FF" w:rsidRDefault="001B7DF0">
            <w:pPr>
              <w:pStyle w:val="PBACTabletext"/>
            </w:pPr>
            <w:r w:rsidRPr="00BF55FF">
              <w:t>Maurer, M</w:t>
            </w:r>
            <w:r w:rsidR="00F248EF" w:rsidRPr="00BF55FF">
              <w:t>. et al.</w:t>
            </w:r>
            <w:r w:rsidR="00E80F55" w:rsidRPr="00BF55FF">
              <w:t xml:space="preserve"> </w:t>
            </w:r>
            <w:r w:rsidRPr="00BF55FF">
              <w:t xml:space="preserve">Lanadelumab in patients 2 to Less Than 12 years Old With Hereditary angioedema: Results from the Phase 3 SPRING study. </w:t>
            </w:r>
          </w:p>
        </w:tc>
        <w:tc>
          <w:tcPr>
            <w:tcW w:w="3597" w:type="dxa"/>
            <w:shd w:val="clear" w:color="auto" w:fill="auto"/>
          </w:tcPr>
          <w:p w14:paraId="72CB0FED" w14:textId="343B62A0" w:rsidR="001B7DF0" w:rsidRPr="00BF55FF" w:rsidRDefault="00F248EF">
            <w:pPr>
              <w:pStyle w:val="PBACTabletext"/>
            </w:pPr>
            <w:r w:rsidRPr="00BF55FF">
              <w:t>Journal of Allergy and Clinical Immunology: In Practice 2024 12(1): 201-211.e206.</w:t>
            </w:r>
          </w:p>
        </w:tc>
      </w:tr>
      <w:tr w:rsidR="001B7DF0" w:rsidRPr="00BF55FF" w14:paraId="08533A76" w14:textId="77777777" w:rsidTr="00BC7A1E">
        <w:trPr>
          <w:trHeight w:val="20"/>
        </w:trPr>
        <w:tc>
          <w:tcPr>
            <w:tcW w:w="1392" w:type="dxa"/>
            <w:shd w:val="clear" w:color="auto" w:fill="auto"/>
            <w:vAlign w:val="center"/>
          </w:tcPr>
          <w:p w14:paraId="2B488AED" w14:textId="77777777" w:rsidR="001B7DF0" w:rsidRPr="00BF55FF" w:rsidRDefault="001B7DF0">
            <w:pPr>
              <w:pStyle w:val="PBACTabletext"/>
            </w:pPr>
            <w:r w:rsidRPr="00BF55FF">
              <w:t>Lumry et al 2023</w:t>
            </w:r>
          </w:p>
        </w:tc>
        <w:tc>
          <w:tcPr>
            <w:tcW w:w="4362" w:type="dxa"/>
            <w:shd w:val="clear" w:color="auto" w:fill="auto"/>
          </w:tcPr>
          <w:p w14:paraId="3DF8B201" w14:textId="62DC3C92" w:rsidR="001B7DF0" w:rsidRPr="00BF55FF" w:rsidRDefault="001B7DF0">
            <w:pPr>
              <w:pStyle w:val="PBACTabletext"/>
            </w:pPr>
            <w:r w:rsidRPr="00BF55FF">
              <w:t xml:space="preserve">Lumry, W., et al. Efficacy of lanadelumab at fixed and modified dosing regimens in patients aged 2 to &lt;12 years old with hereditary angioedema (HAE) in the Phase 3, open-label, multicenter SPRING study." </w:t>
            </w:r>
          </w:p>
          <w:p w14:paraId="190679B8" w14:textId="35CB6BAF" w:rsidR="00F248EF" w:rsidRPr="00BF55FF" w:rsidRDefault="00F248EF">
            <w:pPr>
              <w:pStyle w:val="PBACTabletext"/>
            </w:pPr>
            <w:r w:rsidRPr="00BF55FF">
              <w:t>Conference abstract</w:t>
            </w:r>
          </w:p>
        </w:tc>
        <w:tc>
          <w:tcPr>
            <w:tcW w:w="3597" w:type="dxa"/>
            <w:shd w:val="clear" w:color="auto" w:fill="auto"/>
          </w:tcPr>
          <w:p w14:paraId="28785698" w14:textId="59AE888F" w:rsidR="001B7DF0" w:rsidRPr="00BF55FF" w:rsidRDefault="00F248EF">
            <w:pPr>
              <w:pStyle w:val="PBACTabletext"/>
            </w:pPr>
            <w:r w:rsidRPr="00BF55FF">
              <w:t>Journal of Allergy and Clinical Immunology 2023 151(2): AB140.</w:t>
            </w:r>
          </w:p>
        </w:tc>
      </w:tr>
      <w:tr w:rsidR="001B7DF0" w:rsidRPr="00BF55FF" w14:paraId="39ABA309" w14:textId="77777777" w:rsidTr="00BC7A1E">
        <w:trPr>
          <w:trHeight w:val="20"/>
        </w:trPr>
        <w:tc>
          <w:tcPr>
            <w:tcW w:w="1392" w:type="dxa"/>
            <w:shd w:val="clear" w:color="auto" w:fill="auto"/>
            <w:vAlign w:val="center"/>
          </w:tcPr>
          <w:p w14:paraId="7BF67E01" w14:textId="77777777" w:rsidR="001B7DF0" w:rsidRPr="00BF55FF" w:rsidRDefault="001B7DF0">
            <w:pPr>
              <w:pStyle w:val="PBACTabletext"/>
            </w:pPr>
            <w:r w:rsidRPr="00BF55FF">
              <w:t>Watt et al 2023</w:t>
            </w:r>
          </w:p>
        </w:tc>
        <w:tc>
          <w:tcPr>
            <w:tcW w:w="4362" w:type="dxa"/>
            <w:shd w:val="clear" w:color="auto" w:fill="auto"/>
          </w:tcPr>
          <w:p w14:paraId="3A4CF4F5" w14:textId="4DE1DD7E" w:rsidR="001B7DF0" w:rsidRPr="00BF55FF" w:rsidRDefault="001B7DF0">
            <w:pPr>
              <w:pStyle w:val="PBACTabletext"/>
            </w:pPr>
            <w:r w:rsidRPr="00BF55FF">
              <w:t>Watt, M., et a</w:t>
            </w:r>
            <w:r w:rsidR="00F248EF" w:rsidRPr="00BF55FF">
              <w:t>l</w:t>
            </w:r>
            <w:r w:rsidRPr="00BF55FF">
              <w:t>. "Health-related Quality of Life (</w:t>
            </w:r>
            <w:proofErr w:type="spellStart"/>
            <w:r w:rsidRPr="00BF55FF">
              <w:t>HRQoL</w:t>
            </w:r>
            <w:proofErr w:type="spellEnd"/>
            <w:r w:rsidRPr="00BF55FF">
              <w:t xml:space="preserve">) in </w:t>
            </w:r>
            <w:proofErr w:type="spellStart"/>
            <w:r w:rsidRPr="00BF55FF">
              <w:t>pediatric</w:t>
            </w:r>
            <w:proofErr w:type="spellEnd"/>
            <w:r w:rsidRPr="00BF55FF">
              <w:t xml:space="preserve"> patients with hereditary angioedema (HAE) receiving lanadelumab: Exploratory results from the SPRING study. </w:t>
            </w:r>
            <w:r w:rsidR="00F248EF" w:rsidRPr="00BF55FF">
              <w:t xml:space="preserve">Conference abstract </w:t>
            </w:r>
          </w:p>
        </w:tc>
        <w:tc>
          <w:tcPr>
            <w:tcW w:w="3597" w:type="dxa"/>
            <w:shd w:val="clear" w:color="auto" w:fill="auto"/>
          </w:tcPr>
          <w:p w14:paraId="355E39F0" w14:textId="1066D0DB" w:rsidR="001B7DF0" w:rsidRPr="00BF55FF" w:rsidRDefault="00F248EF">
            <w:pPr>
              <w:pStyle w:val="PBACTabletext"/>
            </w:pPr>
            <w:r w:rsidRPr="00BF55FF">
              <w:t>Journal of Allergy and Clinical Immunology 2023 151(2): AB139.</w:t>
            </w:r>
          </w:p>
        </w:tc>
      </w:tr>
    </w:tbl>
    <w:p w14:paraId="04A72BC6" w14:textId="3C534477" w:rsidR="00931627" w:rsidRPr="00BF55FF" w:rsidRDefault="00930A22" w:rsidP="00930A22">
      <w:pPr>
        <w:pStyle w:val="TableFigureFooter"/>
      </w:pPr>
      <w:r w:rsidRPr="00BF55FF">
        <w:t xml:space="preserve">Source: Table 21, p23 of the submission. </w:t>
      </w:r>
    </w:p>
    <w:p w14:paraId="089A51B0" w14:textId="1E244A74" w:rsidR="00930A22" w:rsidRPr="00BF55FF" w:rsidRDefault="00930A22" w:rsidP="00930A22">
      <w:pPr>
        <w:pStyle w:val="TableFigureFooter"/>
      </w:pPr>
      <w:r w:rsidRPr="00BF55FF">
        <w:t xml:space="preserve">CSR </w:t>
      </w:r>
      <w:r w:rsidR="00931627" w:rsidRPr="00BF55FF">
        <w:t xml:space="preserve">= </w:t>
      </w:r>
      <w:r w:rsidRPr="00BF55FF">
        <w:t>clinical study report.</w:t>
      </w:r>
    </w:p>
    <w:p w14:paraId="7C329AE9" w14:textId="62A87A60" w:rsidR="008739FA" w:rsidRPr="00BF55FF" w:rsidRDefault="008F120A" w:rsidP="00AE0A79">
      <w:pPr>
        <w:pStyle w:val="3-BodyText"/>
      </w:pPr>
      <w:r w:rsidRPr="00BF55FF">
        <w:t xml:space="preserve">The key features of the </w:t>
      </w:r>
      <w:r w:rsidR="00F45528" w:rsidRPr="00BF55FF">
        <w:t>SPRING study</w:t>
      </w:r>
      <w:r w:rsidRPr="00BF55FF">
        <w:t xml:space="preserve"> are summarised in</w:t>
      </w:r>
      <w:r w:rsidR="00D6076E" w:rsidRPr="00BF55FF">
        <w:t xml:space="preserve"> </w:t>
      </w:r>
      <w:r w:rsidR="00F15E6D" w:rsidRPr="00BF55FF">
        <w:fldChar w:fldCharType="begin" w:fldLock="1"/>
      </w:r>
      <w:r w:rsidR="00F15E6D" w:rsidRPr="00BF55FF">
        <w:instrText xml:space="preserve"> REF _Ref173928875 \h  \* MERGEFORMAT </w:instrText>
      </w:r>
      <w:r w:rsidR="00F15E6D" w:rsidRPr="00BF55FF">
        <w:fldChar w:fldCharType="separate"/>
      </w:r>
      <w:r w:rsidR="009C2393" w:rsidRPr="009C2393">
        <w:t>Table 3</w:t>
      </w:r>
      <w:r w:rsidR="00F15E6D" w:rsidRPr="00BF55FF">
        <w:fldChar w:fldCharType="end"/>
      </w:r>
      <w:r w:rsidRPr="00BF55FF">
        <w:t>.</w:t>
      </w:r>
      <w:bookmarkStart w:id="28" w:name="_Ref104804098"/>
    </w:p>
    <w:p w14:paraId="288C4BA4" w14:textId="5D1DF659" w:rsidR="009741FF" w:rsidRPr="00BF55FF" w:rsidRDefault="009F6A8C" w:rsidP="00AE0A79">
      <w:pPr>
        <w:pStyle w:val="3-BodyText"/>
        <w:rPr>
          <w:rFonts w:eastAsiaTheme="majorEastAsia" w:cstheme="minorHAnsi"/>
          <w:bCs/>
          <w:szCs w:val="24"/>
        </w:rPr>
      </w:pPr>
      <w:r>
        <w:t xml:space="preserve">As discussed in paragraph </w:t>
      </w:r>
      <w:r>
        <w:fldChar w:fldCharType="begin" w:fldLock="1"/>
      </w:r>
      <w:r>
        <w:instrText xml:space="preserve"> REF _Ref183441524 \r \h </w:instrText>
      </w:r>
      <w:r>
        <w:fldChar w:fldCharType="separate"/>
      </w:r>
      <w:r w:rsidR="009C2393">
        <w:t>3.4</w:t>
      </w:r>
      <w:r>
        <w:fldChar w:fldCharType="end"/>
      </w:r>
      <w:r>
        <w:t>, patients in t</w:t>
      </w:r>
      <w:r w:rsidRPr="00BF55FF">
        <w:t>he SPRING trial required a history of</w:t>
      </w:r>
      <w:r w:rsidR="009676D2">
        <w:t xml:space="preserve"> at least</w:t>
      </w:r>
      <w:r w:rsidRPr="00BF55FF">
        <w:t xml:space="preserve"> one attack per 3 months </w:t>
      </w:r>
      <w:r w:rsidRPr="005E67E6">
        <w:t>and</w:t>
      </w:r>
      <w:r w:rsidR="00965751">
        <w:t xml:space="preserve"> also</w:t>
      </w:r>
      <w:r w:rsidR="009676D2">
        <w:t xml:space="preserve"> at least</w:t>
      </w:r>
      <w:r w:rsidRPr="00BF55FF">
        <w:t xml:space="preserve"> one attack in the 3 months</w:t>
      </w:r>
      <w:r w:rsidR="00965751">
        <w:t xml:space="preserve"> directly</w:t>
      </w:r>
      <w:r w:rsidRPr="00BF55FF">
        <w:t xml:space="preserve"> preceding commencement of lanadelumab treatment.</w:t>
      </w:r>
      <w:r>
        <w:t xml:space="preserve"> </w:t>
      </w:r>
      <w:r w:rsidR="00786527">
        <w:t>While</w:t>
      </w:r>
      <w:r w:rsidR="009676D2">
        <w:t xml:space="preserve"> p</w:t>
      </w:r>
      <w:r w:rsidR="00D02159" w:rsidRPr="00BF55FF">
        <w:t xml:space="preserve">atients were required to have “a history of ≥1.0 angioedema attacks per 3 months”, </w:t>
      </w:r>
      <w:r w:rsidR="00786527">
        <w:t xml:space="preserve">it was </w:t>
      </w:r>
      <w:r w:rsidR="00786527" w:rsidRPr="00BF55FF">
        <w:t xml:space="preserve">not stated </w:t>
      </w:r>
      <w:r w:rsidR="00D02159" w:rsidRPr="00BF55FF">
        <w:t xml:space="preserve">whether this </w:t>
      </w:r>
      <w:r w:rsidR="00AF6BDD" w:rsidRPr="00BF55FF">
        <w:t>was to be a long-term average or a highest observed frequency. Patients meeting this criterion stopped preventative treatment and entered an observation period of at least 4 weeks and up to 12 weeks. Those who reported a</w:t>
      </w:r>
      <w:r w:rsidR="008739FA" w:rsidRPr="00BF55FF">
        <w:t>n</w:t>
      </w:r>
      <w:r w:rsidR="00AF6BDD" w:rsidRPr="00BF55FF">
        <w:t xml:space="preserve"> attack within the</w:t>
      </w:r>
      <w:r w:rsidR="00894D1F" w:rsidRPr="00BF55FF">
        <w:t xml:space="preserve"> first four weeks</w:t>
      </w:r>
      <w:r w:rsidR="00AF6BDD" w:rsidRPr="00BF55FF">
        <w:t xml:space="preserve"> enter</w:t>
      </w:r>
      <w:r w:rsidR="00894D1F" w:rsidRPr="00BF55FF">
        <w:t>ed</w:t>
      </w:r>
      <w:r w:rsidR="00AF6BDD" w:rsidRPr="00BF55FF">
        <w:t xml:space="preserve"> the lanadelumab treatment phase</w:t>
      </w:r>
      <w:r w:rsidR="00894D1F" w:rsidRPr="00BF55FF">
        <w:t xml:space="preserve"> at 4 weeks, and those who recorded an attack after 4 weeks entered the lanadelumab treatment phase</w:t>
      </w:r>
      <w:r w:rsidR="00AF6BDD" w:rsidRPr="00BF55FF">
        <w:t xml:space="preserve"> as soon as the attack occurred. Those who had two attacks within the first two weeks of the observation period could begin lanadelumab </w:t>
      </w:r>
      <w:r w:rsidR="008739FA" w:rsidRPr="00BF55FF">
        <w:t xml:space="preserve">immediately. </w:t>
      </w:r>
    </w:p>
    <w:p w14:paraId="1F12A5A8" w14:textId="41195FD9" w:rsidR="00D02159" w:rsidRPr="00BF55FF" w:rsidRDefault="008739FA" w:rsidP="00AE0A79">
      <w:pPr>
        <w:pStyle w:val="3-BodyText"/>
        <w:rPr>
          <w:rFonts w:eastAsiaTheme="majorEastAsia" w:cstheme="minorHAnsi"/>
          <w:bCs/>
          <w:szCs w:val="24"/>
        </w:rPr>
      </w:pPr>
      <w:bookmarkStart w:id="29" w:name="_Ref175229545"/>
      <w:r w:rsidRPr="00BF55FF">
        <w:t>Attacks during the observation period were used to calculate a rate that was used as the baseline for the study, but</w:t>
      </w:r>
      <w:r w:rsidR="008A310B" w:rsidRPr="00BF55FF">
        <w:t xml:space="preserve"> barring</w:t>
      </w:r>
      <w:r w:rsidRPr="00BF55FF">
        <w:t xml:space="preserve"> patients w</w:t>
      </w:r>
      <w:r w:rsidR="003C15C7" w:rsidRPr="00BF55FF">
        <w:t>ho had</w:t>
      </w:r>
      <w:r w:rsidRPr="00BF55FF">
        <w:t xml:space="preserve"> multiple attacks </w:t>
      </w:r>
      <w:r w:rsidR="003C15C7" w:rsidRPr="00BF55FF">
        <w:t xml:space="preserve">before completing </w:t>
      </w:r>
      <w:r w:rsidRPr="00BF55FF">
        <w:t>four weeks of the observation period, the rate was based on a single attack</w:t>
      </w:r>
      <w:r w:rsidR="00B63B7A" w:rsidRPr="00BF55FF">
        <w:t xml:space="preserve">. </w:t>
      </w:r>
      <w:r w:rsidR="000D221A" w:rsidRPr="00BF55FF">
        <w:t xml:space="preserve">That is, </w:t>
      </w:r>
      <w:r w:rsidR="00242CD2" w:rsidRPr="00BF55FF">
        <w:t xml:space="preserve">a patient who had </w:t>
      </w:r>
      <w:r w:rsidR="00D731D3" w:rsidRPr="00BF55FF">
        <w:t>an</w:t>
      </w:r>
      <w:r w:rsidR="005E6D3A" w:rsidRPr="00BF55FF">
        <w:t xml:space="preserve"> attack at </w:t>
      </w:r>
      <w:r w:rsidR="00473B5E" w:rsidRPr="00BF55FF">
        <w:t>3</w:t>
      </w:r>
      <w:r w:rsidR="005E6D3A" w:rsidRPr="00BF55FF">
        <w:t xml:space="preserve"> weeks would be recorded as having a baseline attack rate of 1</w:t>
      </w:r>
      <w:r w:rsidR="00473B5E" w:rsidRPr="00BF55FF">
        <w:t>.3</w:t>
      </w:r>
      <w:r w:rsidR="005E6D3A" w:rsidRPr="00BF55FF">
        <w:t>/month</w:t>
      </w:r>
      <w:r w:rsidR="00473B5E" w:rsidRPr="00BF55FF">
        <w:t>, a patient who had an attack at 4 weeks would be recorded as have a rate of 1/month</w:t>
      </w:r>
      <w:r w:rsidR="00C31BC5" w:rsidRPr="00BF55FF">
        <w:t xml:space="preserve"> and a patient who had </w:t>
      </w:r>
      <w:r w:rsidR="00D731D3" w:rsidRPr="00BF55FF">
        <w:t>an</w:t>
      </w:r>
      <w:r w:rsidR="00C31BC5" w:rsidRPr="00BF55FF">
        <w:t xml:space="preserve"> attack at 8 weeks would be recorded as having a baseline attack rate of 0.5/month</w:t>
      </w:r>
      <w:r w:rsidR="009741FF" w:rsidRPr="00BF55FF">
        <w:t>.</w:t>
      </w:r>
      <w:bookmarkEnd w:id="29"/>
      <w:r w:rsidR="00242CD2" w:rsidRPr="00BF55FF">
        <w:t xml:space="preserve"> </w:t>
      </w:r>
    </w:p>
    <w:p w14:paraId="1BD77DF3" w14:textId="35D5E444" w:rsidR="00A71857" w:rsidRPr="00BF55FF" w:rsidRDefault="00A71857" w:rsidP="00AE0A79">
      <w:pPr>
        <w:pStyle w:val="3-BodyText"/>
        <w:rPr>
          <w:rFonts w:eastAsiaTheme="majorEastAsia" w:cstheme="minorHAnsi"/>
          <w:bCs/>
          <w:szCs w:val="24"/>
        </w:rPr>
      </w:pPr>
      <w:bookmarkStart w:id="30" w:name="_Ref175659340"/>
      <w:r w:rsidRPr="00BF55FF">
        <w:t>This</w:t>
      </w:r>
      <w:r w:rsidR="0003293F">
        <w:t xml:space="preserve"> method</w:t>
      </w:r>
      <w:r w:rsidRPr="00BF55FF">
        <w:t xml:space="preserve"> requires the assumption that if a patient ha</w:t>
      </w:r>
      <w:r w:rsidR="00473B5E" w:rsidRPr="00BF55FF">
        <w:t>d</w:t>
      </w:r>
      <w:r w:rsidRPr="00BF55FF">
        <w:t xml:space="preserve"> an attack early in the observation </w:t>
      </w:r>
      <w:r w:rsidR="00920069" w:rsidRPr="00BF55FF">
        <w:t>period,</w:t>
      </w:r>
      <w:r w:rsidRPr="00BF55FF">
        <w:t xml:space="preserve"> they would </w:t>
      </w:r>
      <w:r w:rsidR="00473B5E" w:rsidRPr="00BF55FF">
        <w:t xml:space="preserve">have </w:t>
      </w:r>
      <w:r w:rsidRPr="00BF55FF">
        <w:t>go</w:t>
      </w:r>
      <w:r w:rsidR="00473B5E" w:rsidRPr="00BF55FF">
        <w:t>ne</w:t>
      </w:r>
      <w:r w:rsidRPr="00BF55FF">
        <w:t xml:space="preserve"> on</w:t>
      </w:r>
      <w:r w:rsidR="003A73BF" w:rsidRPr="00BF55FF">
        <w:t xml:space="preserve"> to</w:t>
      </w:r>
      <w:r w:rsidRPr="00BF55FF">
        <w:t xml:space="preserve"> have repeated attacks at the same rate. </w:t>
      </w:r>
      <w:r w:rsidR="00B97744" w:rsidRPr="00BF55FF">
        <w:t>The evaluation considered that t</w:t>
      </w:r>
      <w:r w:rsidR="003A73BF" w:rsidRPr="00BF55FF">
        <w:t>his assumption is unlikely to be valid. The unpredictability of attacks of HAE is a prominent feature of the disease that impairs quality of life.</w:t>
      </w:r>
      <w:r w:rsidR="00452ED8" w:rsidRPr="00BF55FF">
        <w:t xml:space="preserve"> A fall in the attack rate with time is particularly likely where a threshold attack rate is required for entry to the study.</w:t>
      </w:r>
      <w:r w:rsidR="003A73BF" w:rsidRPr="00BF55FF">
        <w:t xml:space="preserve"> In the HELP trial of lanadelumab vs placebo in adult and adolescent patients with HAE, the mean attack rate in the placebo </w:t>
      </w:r>
      <w:r w:rsidR="003A73BF" w:rsidRPr="00BF55FF">
        <w:lastRenderedPageBreak/>
        <w:t xml:space="preserve">group was 4 attacks per month at baseline, but less than 2.5 attacks per month in month 3; 31.7% of patients in the placebo group had a reduction in attack rate of 50% or more from baseline and </w:t>
      </w:r>
      <w:r w:rsidR="00452ED8" w:rsidRPr="00BF55FF">
        <w:t>2.4</w:t>
      </w:r>
      <w:r w:rsidR="003A73BF" w:rsidRPr="00BF55FF">
        <w:t xml:space="preserve">% of placebo-treated patients were attack free </w:t>
      </w:r>
      <w:r w:rsidR="00473B5E" w:rsidRPr="00BF55FF">
        <w:t>throughout the 26 week treatment period.</w:t>
      </w:r>
      <w:r w:rsidR="00473B5E" w:rsidRPr="00BF55FF">
        <w:rPr>
          <w:rStyle w:val="FootnoteReference"/>
        </w:rPr>
        <w:footnoteReference w:id="12"/>
      </w:r>
      <w:bookmarkEnd w:id="30"/>
      <w:r w:rsidR="003A73BF" w:rsidRPr="00BF55FF">
        <w:t xml:space="preserve"> </w:t>
      </w:r>
    </w:p>
    <w:p w14:paraId="48AAD21A" w14:textId="2054D679" w:rsidR="00B63B7A" w:rsidRPr="00BF55FF" w:rsidRDefault="00B63B7A" w:rsidP="00AE0A79">
      <w:pPr>
        <w:pStyle w:val="3-BodyText"/>
        <w:rPr>
          <w:rFonts w:eastAsiaTheme="majorEastAsia" w:cstheme="minorHAnsi"/>
          <w:bCs/>
          <w:szCs w:val="24"/>
        </w:rPr>
      </w:pPr>
      <w:bookmarkStart w:id="31" w:name="_Ref178624391"/>
      <w:r w:rsidRPr="00BF55FF">
        <w:t xml:space="preserve">Patients aged 2-5 </w:t>
      </w:r>
      <w:r w:rsidR="00C40327" w:rsidRPr="00BF55FF">
        <w:t xml:space="preserve">years </w:t>
      </w:r>
      <w:r w:rsidRPr="00BF55FF">
        <w:t>were to receive lanadelumab 150 mg</w:t>
      </w:r>
      <w:r w:rsidR="0003293F">
        <w:t xml:space="preserve"> every 4 weeks</w:t>
      </w:r>
      <w:r w:rsidRPr="00BF55FF">
        <w:t xml:space="preserve"> </w:t>
      </w:r>
      <w:r w:rsidR="0003293F">
        <w:t>(</w:t>
      </w:r>
      <w:r w:rsidR="009C26AA" w:rsidRPr="00BF55FF">
        <w:t>Q4W</w:t>
      </w:r>
      <w:r w:rsidR="0003293F">
        <w:t>)</w:t>
      </w:r>
      <w:r w:rsidR="009C26AA" w:rsidRPr="00BF55FF">
        <w:t xml:space="preserve"> </w:t>
      </w:r>
      <w:r w:rsidRPr="00BF55FF">
        <w:t xml:space="preserve">and patients aged 6-12 lanadelumab 150 mg </w:t>
      </w:r>
      <w:r w:rsidR="0003293F">
        <w:t>every 2 weeks (</w:t>
      </w:r>
      <w:r w:rsidR="009C26AA" w:rsidRPr="00BF55FF">
        <w:t>Q2W</w:t>
      </w:r>
      <w:r w:rsidR="0003293F">
        <w:t>)</w:t>
      </w:r>
      <w:r w:rsidRPr="00BF55FF">
        <w:t xml:space="preserve">. These doses were chosen on pharmacokinetic grounds, to provide similar exposure to 300 mg </w:t>
      </w:r>
      <w:r w:rsidR="009C26AA" w:rsidRPr="00BF55FF">
        <w:t>Q2W</w:t>
      </w:r>
      <w:r w:rsidRPr="00BF55FF">
        <w:t xml:space="preserve">, the dose for adolescents and adults. </w:t>
      </w:r>
      <w:r w:rsidR="00EE0A20" w:rsidRPr="00BF55FF">
        <w:t>Patients aged 6-12 who were well-controlled after 26 weeks could change to 150 mg</w:t>
      </w:r>
      <w:r w:rsidR="009C26AA" w:rsidRPr="00BF55FF">
        <w:t xml:space="preserve"> Q4W</w:t>
      </w:r>
      <w:r w:rsidR="00EE0A20" w:rsidRPr="00BF55FF">
        <w:t>.</w:t>
      </w:r>
      <w:bookmarkEnd w:id="31"/>
      <w:r w:rsidR="00EE0A20" w:rsidRPr="00BF55FF">
        <w:t xml:space="preserve"> </w:t>
      </w:r>
    </w:p>
    <w:p w14:paraId="6B04445C" w14:textId="7F4CD3EE" w:rsidR="00EE0A20" w:rsidRPr="00BF55FF" w:rsidRDefault="00EE0A20" w:rsidP="001C0C2C">
      <w:pPr>
        <w:pStyle w:val="3-BodyText"/>
        <w:rPr>
          <w:rFonts w:eastAsiaTheme="majorEastAsia" w:cstheme="minorHAnsi"/>
          <w:bCs/>
          <w:szCs w:val="24"/>
        </w:rPr>
      </w:pPr>
      <w:r w:rsidRPr="00BF55FF">
        <w:t>Although long-term preventative treatment was stopped at the beginning of the baseline period, short-term prophylaxis with C1-INH</w:t>
      </w:r>
      <w:r w:rsidR="00D731D3" w:rsidRPr="00BF55FF">
        <w:t>,</w:t>
      </w:r>
      <w:r w:rsidRPr="00BF55FF">
        <w:t xml:space="preserve"> androgens or antifibrinolytics was allowed for medical or dental procedures</w:t>
      </w:r>
      <w:r w:rsidR="00D47AFB" w:rsidRPr="00BF55FF">
        <w:t>. Such procedures were reported for 7/21 (33.3%) patients</w:t>
      </w:r>
      <w:r w:rsidR="00D731D3" w:rsidRPr="00BF55FF">
        <w:t xml:space="preserve"> but the number for which short-term prophylaxis was used </w:t>
      </w:r>
      <w:r w:rsidR="003A412D" w:rsidRPr="00BF55FF">
        <w:t>wa</w:t>
      </w:r>
      <w:r w:rsidR="00D731D3" w:rsidRPr="00BF55FF">
        <w:t>s not reported</w:t>
      </w:r>
      <w:r w:rsidR="00D47AFB" w:rsidRPr="00BF55FF">
        <w:t xml:space="preserve">. </w:t>
      </w:r>
    </w:p>
    <w:p w14:paraId="66CC28FC" w14:textId="2969ED28" w:rsidR="00453DE0" w:rsidRPr="00BF55FF" w:rsidRDefault="00453DE0" w:rsidP="00CE52BC">
      <w:pPr>
        <w:pStyle w:val="3-BodyText"/>
        <w:numPr>
          <w:ilvl w:val="0"/>
          <w:numId w:val="0"/>
        </w:numPr>
        <w:ind w:left="1440"/>
        <w:rPr>
          <w:rFonts w:ascii="Arial Narrow" w:eastAsiaTheme="majorEastAsia" w:hAnsi="Arial Narrow" w:cstheme="majorBidi"/>
          <w:b/>
          <w:sz w:val="20"/>
          <w:szCs w:val="24"/>
        </w:rPr>
      </w:pPr>
    </w:p>
    <w:p w14:paraId="355E2F15" w14:textId="4E15E049" w:rsidR="007F1017" w:rsidRPr="00BF55FF" w:rsidRDefault="00696EF9" w:rsidP="0003293F">
      <w:pPr>
        <w:pStyle w:val="3-BodyText"/>
        <w:keepNext/>
        <w:keepLines/>
        <w:numPr>
          <w:ilvl w:val="0"/>
          <w:numId w:val="0"/>
        </w:numPr>
        <w:spacing w:after="0"/>
        <w:rPr>
          <w:rStyle w:val="CommentReference"/>
          <w:rFonts w:eastAsiaTheme="majorEastAsia" w:cstheme="majorBidi"/>
          <w:szCs w:val="24"/>
        </w:rPr>
      </w:pPr>
      <w:bookmarkStart w:id="32" w:name="_Ref173928875"/>
      <w:r w:rsidRPr="00BF55FF">
        <w:rPr>
          <w:rStyle w:val="CommentReference"/>
          <w:rFonts w:eastAsiaTheme="majorEastAsia" w:cstheme="majorBidi"/>
          <w:szCs w:val="24"/>
        </w:rPr>
        <w:t xml:space="preserve">Table </w:t>
      </w:r>
      <w:r w:rsidRPr="00BF55FF">
        <w:rPr>
          <w:rStyle w:val="CommentReference"/>
          <w:rFonts w:eastAsiaTheme="majorEastAsia" w:cstheme="majorBidi"/>
          <w:szCs w:val="24"/>
        </w:rPr>
        <w:fldChar w:fldCharType="begin" w:fldLock="1"/>
      </w:r>
      <w:r w:rsidRPr="00BF55FF">
        <w:rPr>
          <w:rStyle w:val="CommentReference"/>
          <w:rFonts w:eastAsiaTheme="majorEastAsia" w:cstheme="majorBidi"/>
          <w:szCs w:val="24"/>
        </w:rPr>
        <w:instrText xml:space="preserve"> SEQ Table \* ARABIC </w:instrText>
      </w:r>
      <w:r w:rsidRPr="00BF55FF">
        <w:rPr>
          <w:rStyle w:val="CommentReference"/>
          <w:rFonts w:eastAsiaTheme="majorEastAsia" w:cstheme="majorBidi"/>
          <w:szCs w:val="24"/>
        </w:rPr>
        <w:fldChar w:fldCharType="separate"/>
      </w:r>
      <w:r w:rsidR="009C2393">
        <w:rPr>
          <w:rStyle w:val="CommentReference"/>
          <w:rFonts w:eastAsiaTheme="majorEastAsia" w:cstheme="majorBidi"/>
          <w:noProof/>
          <w:szCs w:val="24"/>
        </w:rPr>
        <w:t>3</w:t>
      </w:r>
      <w:r w:rsidRPr="00BF55FF">
        <w:rPr>
          <w:rStyle w:val="CommentReference"/>
          <w:rFonts w:eastAsiaTheme="majorEastAsia" w:cstheme="majorBidi"/>
          <w:szCs w:val="24"/>
        </w:rPr>
        <w:fldChar w:fldCharType="end"/>
      </w:r>
      <w:bookmarkEnd w:id="28"/>
      <w:bookmarkEnd w:id="32"/>
      <w:r w:rsidR="00D6076E" w:rsidRPr="00BF55FF">
        <w:rPr>
          <w:rStyle w:val="CommentReference"/>
          <w:rFonts w:eastAsiaTheme="majorEastAsia" w:cstheme="majorBidi"/>
          <w:szCs w:val="24"/>
        </w:rPr>
        <w:t xml:space="preserve">: </w:t>
      </w:r>
      <w:r w:rsidR="007F1017" w:rsidRPr="00BF55FF">
        <w:rPr>
          <w:rStyle w:val="CommentReference"/>
          <w:rFonts w:eastAsiaTheme="majorEastAsia" w:cstheme="majorBidi"/>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131"/>
        <w:gridCol w:w="849"/>
        <w:gridCol w:w="2097"/>
        <w:gridCol w:w="1122"/>
        <w:gridCol w:w="1692"/>
      </w:tblGrid>
      <w:tr w:rsidR="00831971" w:rsidRPr="00BF55FF" w14:paraId="53DD7CC6" w14:textId="77777777" w:rsidTr="00AE0A79">
        <w:trPr>
          <w:cantSplit/>
          <w:tblHeader/>
        </w:trPr>
        <w:tc>
          <w:tcPr>
            <w:tcW w:w="713" w:type="pct"/>
            <w:shd w:val="clear" w:color="auto" w:fill="auto"/>
            <w:vAlign w:val="center"/>
          </w:tcPr>
          <w:p w14:paraId="794116BC" w14:textId="77777777" w:rsidR="007F1017" w:rsidRPr="00BF55FF" w:rsidRDefault="007F1017" w:rsidP="006A388E">
            <w:pPr>
              <w:pStyle w:val="In-tableHeading"/>
              <w:rPr>
                <w:lang w:val="en-AU"/>
              </w:rPr>
            </w:pPr>
            <w:r w:rsidRPr="00BF55FF">
              <w:rPr>
                <w:lang w:val="en-AU"/>
              </w:rPr>
              <w:t>Trial</w:t>
            </w:r>
          </w:p>
        </w:tc>
        <w:tc>
          <w:tcPr>
            <w:tcW w:w="466" w:type="pct"/>
            <w:shd w:val="clear" w:color="auto" w:fill="auto"/>
            <w:vAlign w:val="center"/>
          </w:tcPr>
          <w:p w14:paraId="51122FE5" w14:textId="77777777" w:rsidR="007F1017" w:rsidRPr="00BF55FF" w:rsidRDefault="007F1017" w:rsidP="006A388E">
            <w:pPr>
              <w:pStyle w:val="In-tableHeading"/>
              <w:jc w:val="center"/>
              <w:rPr>
                <w:lang w:val="en-AU"/>
              </w:rPr>
            </w:pPr>
            <w:r w:rsidRPr="00BF55FF">
              <w:rPr>
                <w:lang w:val="en-AU"/>
              </w:rPr>
              <w:t>N</w:t>
            </w:r>
          </w:p>
        </w:tc>
        <w:tc>
          <w:tcPr>
            <w:tcW w:w="627" w:type="pct"/>
            <w:shd w:val="clear" w:color="auto" w:fill="auto"/>
            <w:vAlign w:val="center"/>
          </w:tcPr>
          <w:p w14:paraId="41C438EF" w14:textId="77777777" w:rsidR="007F1017" w:rsidRPr="00BF55FF" w:rsidRDefault="007F1017" w:rsidP="006A388E">
            <w:pPr>
              <w:pStyle w:val="In-tableHeading"/>
              <w:jc w:val="center"/>
              <w:rPr>
                <w:lang w:val="en-AU"/>
              </w:rPr>
            </w:pPr>
            <w:r w:rsidRPr="00BF55FF">
              <w:rPr>
                <w:lang w:val="en-AU"/>
              </w:rPr>
              <w:t>Design/ duration</w:t>
            </w:r>
          </w:p>
        </w:tc>
        <w:tc>
          <w:tcPr>
            <w:tcW w:w="471" w:type="pct"/>
            <w:shd w:val="clear" w:color="auto" w:fill="auto"/>
            <w:vAlign w:val="center"/>
          </w:tcPr>
          <w:p w14:paraId="1FC91360" w14:textId="77777777" w:rsidR="007F1017" w:rsidRPr="00BF55FF" w:rsidRDefault="007F1017" w:rsidP="006A388E">
            <w:pPr>
              <w:pStyle w:val="In-tableHeading"/>
              <w:jc w:val="center"/>
              <w:rPr>
                <w:lang w:val="en-AU"/>
              </w:rPr>
            </w:pPr>
            <w:r w:rsidRPr="00BF55FF">
              <w:rPr>
                <w:lang w:val="en-AU"/>
              </w:rPr>
              <w:t>Risk of bias</w:t>
            </w:r>
          </w:p>
        </w:tc>
        <w:tc>
          <w:tcPr>
            <w:tcW w:w="1163" w:type="pct"/>
            <w:shd w:val="clear" w:color="auto" w:fill="auto"/>
            <w:vAlign w:val="center"/>
          </w:tcPr>
          <w:p w14:paraId="7FF90896" w14:textId="77777777" w:rsidR="007F1017" w:rsidRPr="00BF55FF" w:rsidRDefault="007F1017" w:rsidP="006A388E">
            <w:pPr>
              <w:pStyle w:val="In-tableHeading"/>
              <w:jc w:val="center"/>
              <w:rPr>
                <w:lang w:val="en-AU"/>
              </w:rPr>
            </w:pPr>
            <w:r w:rsidRPr="00BF55FF">
              <w:rPr>
                <w:lang w:val="en-AU"/>
              </w:rPr>
              <w:t>Patient population</w:t>
            </w:r>
          </w:p>
        </w:tc>
        <w:tc>
          <w:tcPr>
            <w:tcW w:w="622" w:type="pct"/>
            <w:shd w:val="clear" w:color="auto" w:fill="auto"/>
            <w:vAlign w:val="center"/>
          </w:tcPr>
          <w:p w14:paraId="0FCB63F9" w14:textId="77777777" w:rsidR="007F1017" w:rsidRPr="00BF55FF" w:rsidRDefault="007F1017" w:rsidP="006A388E">
            <w:pPr>
              <w:pStyle w:val="In-tableHeading"/>
              <w:jc w:val="center"/>
              <w:rPr>
                <w:lang w:val="en-AU"/>
              </w:rPr>
            </w:pPr>
            <w:r w:rsidRPr="00BF55FF">
              <w:rPr>
                <w:lang w:val="en-AU"/>
              </w:rPr>
              <w:t>Outcome(s)</w:t>
            </w:r>
          </w:p>
        </w:tc>
        <w:tc>
          <w:tcPr>
            <w:tcW w:w="938" w:type="pct"/>
            <w:shd w:val="clear" w:color="auto" w:fill="auto"/>
            <w:vAlign w:val="center"/>
          </w:tcPr>
          <w:p w14:paraId="08C6F624" w14:textId="77777777" w:rsidR="007F1017" w:rsidRPr="00BF55FF" w:rsidRDefault="007F1017" w:rsidP="006A388E">
            <w:pPr>
              <w:pStyle w:val="In-tableHeading"/>
              <w:jc w:val="center"/>
              <w:rPr>
                <w:lang w:val="en-AU"/>
              </w:rPr>
            </w:pPr>
            <w:r w:rsidRPr="00BF55FF">
              <w:rPr>
                <w:lang w:val="en-AU"/>
              </w:rPr>
              <w:t>Use in modelled evaluation</w:t>
            </w:r>
          </w:p>
        </w:tc>
      </w:tr>
      <w:tr w:rsidR="00831971" w:rsidRPr="00BF55FF" w14:paraId="4EE88DCB" w14:textId="77777777" w:rsidTr="00AE0A79">
        <w:trPr>
          <w:cantSplit/>
        </w:trPr>
        <w:tc>
          <w:tcPr>
            <w:tcW w:w="713" w:type="pct"/>
            <w:shd w:val="clear" w:color="auto" w:fill="auto"/>
            <w:vAlign w:val="center"/>
          </w:tcPr>
          <w:p w14:paraId="6EE77D33" w14:textId="3E620296" w:rsidR="007F1017" w:rsidRPr="00BF55FF" w:rsidRDefault="00C861EE" w:rsidP="006A388E">
            <w:pPr>
              <w:pStyle w:val="TableText0"/>
              <w:rPr>
                <w:b/>
                <w:bCs w:val="0"/>
              </w:rPr>
            </w:pPr>
            <w:r w:rsidRPr="00BF55FF">
              <w:rPr>
                <w:bCs w:val="0"/>
              </w:rPr>
              <w:t>SPRING</w:t>
            </w:r>
          </w:p>
        </w:tc>
        <w:tc>
          <w:tcPr>
            <w:tcW w:w="466" w:type="pct"/>
            <w:shd w:val="clear" w:color="auto" w:fill="auto"/>
            <w:vAlign w:val="center"/>
          </w:tcPr>
          <w:p w14:paraId="41BB0E41" w14:textId="3B8DC815" w:rsidR="007F1017" w:rsidRPr="00BF55FF" w:rsidRDefault="00831971" w:rsidP="006A388E">
            <w:pPr>
              <w:pStyle w:val="TableText0"/>
              <w:jc w:val="center"/>
              <w:rPr>
                <w:b/>
                <w:bCs w:val="0"/>
              </w:rPr>
            </w:pPr>
            <w:r w:rsidRPr="00BF55FF">
              <w:rPr>
                <w:bCs w:val="0"/>
              </w:rPr>
              <w:t>21; 4 were aged 2-5</w:t>
            </w:r>
            <w:r w:rsidR="00AE0A79" w:rsidRPr="00BF55FF">
              <w:rPr>
                <w:bCs w:val="0"/>
              </w:rPr>
              <w:t xml:space="preserve"> years</w:t>
            </w:r>
            <w:r w:rsidRPr="00BF55FF">
              <w:rPr>
                <w:bCs w:val="0"/>
              </w:rPr>
              <w:t xml:space="preserve"> and 17 were aged 6-12</w:t>
            </w:r>
            <w:r w:rsidR="00AE0A79" w:rsidRPr="00BF55FF">
              <w:rPr>
                <w:bCs w:val="0"/>
              </w:rPr>
              <w:t xml:space="preserve"> years</w:t>
            </w:r>
          </w:p>
        </w:tc>
        <w:tc>
          <w:tcPr>
            <w:tcW w:w="627" w:type="pct"/>
            <w:shd w:val="clear" w:color="auto" w:fill="auto"/>
            <w:vAlign w:val="center"/>
          </w:tcPr>
          <w:p w14:paraId="401EAFDA" w14:textId="21381E88" w:rsidR="007F1017" w:rsidRPr="00BF55FF" w:rsidRDefault="00C861EE" w:rsidP="006A388E">
            <w:pPr>
              <w:pStyle w:val="TableText0"/>
              <w:jc w:val="center"/>
              <w:rPr>
                <w:b/>
                <w:bCs w:val="0"/>
              </w:rPr>
            </w:pPr>
            <w:r w:rsidRPr="00BF55FF">
              <w:rPr>
                <w:bCs w:val="0"/>
              </w:rPr>
              <w:t>SA, OL,</w:t>
            </w:r>
          </w:p>
          <w:p w14:paraId="744D08AC" w14:textId="0CC6A8D0" w:rsidR="007F1017" w:rsidRPr="00BF55FF" w:rsidRDefault="00C861EE" w:rsidP="006A388E">
            <w:pPr>
              <w:pStyle w:val="TableText0"/>
              <w:jc w:val="center"/>
              <w:rPr>
                <w:b/>
                <w:bCs w:val="0"/>
              </w:rPr>
            </w:pPr>
            <w:r w:rsidRPr="00BF55FF">
              <w:rPr>
                <w:bCs w:val="0"/>
              </w:rPr>
              <w:t>52 weeks</w:t>
            </w:r>
          </w:p>
        </w:tc>
        <w:tc>
          <w:tcPr>
            <w:tcW w:w="471" w:type="pct"/>
            <w:shd w:val="clear" w:color="auto" w:fill="auto"/>
            <w:vAlign w:val="center"/>
          </w:tcPr>
          <w:p w14:paraId="4A529D74" w14:textId="11885E26" w:rsidR="007F1017" w:rsidRPr="00BF55FF" w:rsidRDefault="00C861EE" w:rsidP="006A388E">
            <w:pPr>
              <w:pStyle w:val="TableText0"/>
              <w:jc w:val="center"/>
              <w:rPr>
                <w:b/>
                <w:bCs w:val="0"/>
                <w:vertAlign w:val="superscript"/>
              </w:rPr>
            </w:pPr>
            <w:r w:rsidRPr="00BF55FF">
              <w:rPr>
                <w:bCs w:val="0"/>
              </w:rPr>
              <w:t>High</w:t>
            </w:r>
            <w:r w:rsidR="00774499" w:rsidRPr="00BF55FF">
              <w:rPr>
                <w:bCs w:val="0"/>
                <w:vertAlign w:val="superscript"/>
              </w:rPr>
              <w:t>a</w:t>
            </w:r>
          </w:p>
        </w:tc>
        <w:tc>
          <w:tcPr>
            <w:tcW w:w="1163" w:type="pct"/>
            <w:shd w:val="clear" w:color="auto" w:fill="auto"/>
            <w:vAlign w:val="center"/>
          </w:tcPr>
          <w:p w14:paraId="5E6F456D" w14:textId="057A071E" w:rsidR="007F1017" w:rsidRPr="00BF55FF" w:rsidRDefault="00C861EE" w:rsidP="006A388E">
            <w:pPr>
              <w:pStyle w:val="TableText0"/>
              <w:jc w:val="center"/>
              <w:rPr>
                <w:b/>
                <w:bCs w:val="0"/>
              </w:rPr>
            </w:pPr>
            <w:r w:rsidRPr="00BF55FF">
              <w:rPr>
                <w:bCs w:val="0"/>
              </w:rPr>
              <w:t xml:space="preserve">Aged 2-12 years, HAE, </w:t>
            </w:r>
            <w:r w:rsidRPr="00BF55FF">
              <w:rPr>
                <w:bCs w:val="0"/>
              </w:rPr>
              <w:sym w:font="Symbol" w:char="F0B3"/>
            </w:r>
            <w:r w:rsidRPr="00BF55FF">
              <w:rPr>
                <w:bCs w:val="0"/>
              </w:rPr>
              <w:t xml:space="preserve"> 1 attack per 3 months and </w:t>
            </w:r>
            <w:r w:rsidRPr="00BF55FF">
              <w:rPr>
                <w:bCs w:val="0"/>
              </w:rPr>
              <w:sym w:font="Symbol" w:char="F0B3"/>
            </w:r>
            <w:r w:rsidRPr="00BF55FF">
              <w:rPr>
                <w:bCs w:val="0"/>
              </w:rPr>
              <w:t xml:space="preserve"> 1 attack in observation period</w:t>
            </w:r>
            <w:r w:rsidR="00211E28" w:rsidRPr="00BF55FF">
              <w:rPr>
                <w:bCs w:val="0"/>
              </w:rPr>
              <w:t xml:space="preserve"> up to 12wk</w:t>
            </w:r>
            <w:r w:rsidRPr="00BF55FF">
              <w:rPr>
                <w:bCs w:val="0"/>
              </w:rPr>
              <w:t xml:space="preserve"> with no </w:t>
            </w:r>
            <w:r w:rsidR="00831971" w:rsidRPr="00BF55FF">
              <w:rPr>
                <w:bCs w:val="0"/>
              </w:rPr>
              <w:t xml:space="preserve">LTP; patients aged 2-5 received 150 mg </w:t>
            </w:r>
            <w:r w:rsidR="00A969D6" w:rsidRPr="00BF55FF">
              <w:rPr>
                <w:bCs w:val="0"/>
              </w:rPr>
              <w:t xml:space="preserve">Q4W </w:t>
            </w:r>
            <w:r w:rsidR="00831971" w:rsidRPr="00BF55FF">
              <w:rPr>
                <w:bCs w:val="0"/>
              </w:rPr>
              <w:t xml:space="preserve">for 52 wks; patients aged 6-12 received 150 mg </w:t>
            </w:r>
            <w:r w:rsidR="00A969D6" w:rsidRPr="00BF55FF">
              <w:rPr>
                <w:bCs w:val="0"/>
              </w:rPr>
              <w:t>Q2W</w:t>
            </w:r>
            <w:r w:rsidR="00831971" w:rsidRPr="00BF55FF">
              <w:rPr>
                <w:bCs w:val="0"/>
              </w:rPr>
              <w:t xml:space="preserve"> for 26 wks, then if well-controlled could switch to 150 mg </w:t>
            </w:r>
            <w:r w:rsidR="00A969D6" w:rsidRPr="00BF55FF">
              <w:rPr>
                <w:bCs w:val="0"/>
              </w:rPr>
              <w:t>Q4W</w:t>
            </w:r>
            <w:r w:rsidR="00831971" w:rsidRPr="00BF55FF">
              <w:rPr>
                <w:bCs w:val="0"/>
              </w:rPr>
              <w:t xml:space="preserve"> for 26 wks</w:t>
            </w:r>
          </w:p>
        </w:tc>
        <w:tc>
          <w:tcPr>
            <w:tcW w:w="622" w:type="pct"/>
            <w:shd w:val="clear" w:color="auto" w:fill="auto"/>
            <w:vAlign w:val="center"/>
          </w:tcPr>
          <w:p w14:paraId="6DC76214" w14:textId="3220FD89" w:rsidR="007F1017" w:rsidRPr="00BF55FF" w:rsidRDefault="00831971" w:rsidP="006A388E">
            <w:pPr>
              <w:pStyle w:val="TableText0"/>
              <w:jc w:val="center"/>
              <w:rPr>
                <w:b/>
                <w:bCs w:val="0"/>
              </w:rPr>
            </w:pPr>
            <w:r w:rsidRPr="00BF55FF">
              <w:rPr>
                <w:bCs w:val="0"/>
              </w:rPr>
              <w:t>Safety (primary outcome); number of attacks in 52</w:t>
            </w:r>
            <w:r w:rsidR="00AE0A79" w:rsidRPr="00BF55FF">
              <w:rPr>
                <w:bCs w:val="0"/>
              </w:rPr>
              <w:t> </w:t>
            </w:r>
            <w:r w:rsidRPr="00BF55FF">
              <w:rPr>
                <w:bCs w:val="0"/>
              </w:rPr>
              <w:t>wk treatment period</w:t>
            </w:r>
          </w:p>
        </w:tc>
        <w:tc>
          <w:tcPr>
            <w:tcW w:w="938" w:type="pct"/>
            <w:shd w:val="clear" w:color="auto" w:fill="auto"/>
            <w:vAlign w:val="center"/>
          </w:tcPr>
          <w:p w14:paraId="150A804C" w14:textId="77777777" w:rsidR="007F1017" w:rsidRPr="00BF55FF" w:rsidRDefault="007F1017" w:rsidP="006A388E">
            <w:pPr>
              <w:pStyle w:val="TableText0"/>
              <w:jc w:val="center"/>
              <w:rPr>
                <w:b/>
                <w:bCs w:val="0"/>
              </w:rPr>
            </w:pPr>
            <w:r w:rsidRPr="00BF55FF">
              <w:rPr>
                <w:bCs w:val="0"/>
              </w:rPr>
              <w:t>Not used</w:t>
            </w:r>
          </w:p>
        </w:tc>
      </w:tr>
    </w:tbl>
    <w:p w14:paraId="5CF0988B" w14:textId="77777777" w:rsidR="00A969D6" w:rsidRPr="00BF55FF" w:rsidRDefault="00045017" w:rsidP="006A388E">
      <w:pPr>
        <w:pStyle w:val="FooterTableFigure"/>
        <w:keepNext/>
        <w:keepLines/>
      </w:pPr>
      <w:r w:rsidRPr="00BF55FF">
        <w:t xml:space="preserve">Source: </w:t>
      </w:r>
      <w:r w:rsidR="00831971" w:rsidRPr="00BF55FF">
        <w:t xml:space="preserve">Figure 6, </w:t>
      </w:r>
      <w:r w:rsidR="00C643EF" w:rsidRPr="00BF55FF">
        <w:t>Table 22, pp24-27</w:t>
      </w:r>
      <w:r w:rsidRPr="00BF55FF">
        <w:t xml:space="preserve"> of the submission.</w:t>
      </w:r>
      <w:r w:rsidR="00C643EF" w:rsidRPr="00BF55FF">
        <w:t xml:space="preserve"> </w:t>
      </w:r>
    </w:p>
    <w:p w14:paraId="774F575D" w14:textId="356FC1B9" w:rsidR="00EC131E" w:rsidRPr="00BF55FF" w:rsidRDefault="00C643EF" w:rsidP="006A388E">
      <w:pPr>
        <w:pStyle w:val="FooterTableFigure"/>
        <w:keepNext/>
        <w:keepLines/>
      </w:pPr>
      <w:r w:rsidRPr="00BF55FF">
        <w:t>HAE = hereditary angioedema</w:t>
      </w:r>
      <w:r w:rsidR="00AE0A79" w:rsidRPr="00BF55FF">
        <w:t>; LTP = long term prophylaxis</w:t>
      </w:r>
      <w:r w:rsidRPr="00BF55FF">
        <w:t>; OL = open label</w:t>
      </w:r>
      <w:r w:rsidR="00AE0A79" w:rsidRPr="00BF55FF">
        <w:t>; Q4W = every 4 weeks; Q2W = every 2 weeks; SA = single arm; wks = weeks</w:t>
      </w:r>
      <w:r w:rsidRPr="00BF55FF">
        <w:t xml:space="preserve">. </w:t>
      </w:r>
    </w:p>
    <w:p w14:paraId="6F7E21B8" w14:textId="4FBAFA5D" w:rsidR="004609DD" w:rsidRPr="00BF55FF" w:rsidRDefault="00774499" w:rsidP="008A310B">
      <w:pPr>
        <w:pStyle w:val="FooterTableFigure"/>
        <w:keepNext/>
        <w:keepLines/>
      </w:pPr>
      <w:r w:rsidRPr="00BF55FF">
        <w:rPr>
          <w:vertAlign w:val="superscript"/>
        </w:rPr>
        <w:t>a</w:t>
      </w:r>
      <w:r w:rsidR="00EC131E" w:rsidRPr="00BF55FF">
        <w:rPr>
          <w:vertAlign w:val="superscript"/>
        </w:rPr>
        <w:t xml:space="preserve"> </w:t>
      </w:r>
      <w:r w:rsidRPr="00BF55FF">
        <w:t xml:space="preserve">High risk of bias </w:t>
      </w:r>
      <w:r w:rsidR="001F72BE" w:rsidRPr="00BF55FF">
        <w:t xml:space="preserve">for efficacy outcomes </w:t>
      </w:r>
      <w:r w:rsidRPr="00BF55FF">
        <w:t>as there was no comparator</w:t>
      </w:r>
      <w:r w:rsidR="001F72BE" w:rsidRPr="00BF55FF">
        <w:t xml:space="preserve">, </w:t>
      </w:r>
      <w:r w:rsidRPr="00BF55FF">
        <w:t>unblinded outcomes</w:t>
      </w:r>
      <w:r w:rsidR="001F72BE" w:rsidRPr="00BF55FF">
        <w:t xml:space="preserve">, no control of time varying cofounding due to change in baseline rate, no control of confounding due to recall bias in establishing </w:t>
      </w:r>
      <w:r w:rsidR="003C158C" w:rsidRPr="00BF55FF">
        <w:t>baseline</w:t>
      </w:r>
      <w:r w:rsidR="001F72BE" w:rsidRPr="00BF55FF">
        <w:t xml:space="preserve"> rate.</w:t>
      </w:r>
    </w:p>
    <w:p w14:paraId="1A684103" w14:textId="6EF2254A" w:rsidR="006C4899" w:rsidRPr="00BF55FF" w:rsidRDefault="004609DD" w:rsidP="00AE0A79">
      <w:pPr>
        <w:pStyle w:val="3-BodyText"/>
      </w:pPr>
      <w:r w:rsidRPr="00BF55FF">
        <w:t xml:space="preserve">As described in </w:t>
      </w:r>
      <w:r w:rsidRPr="00BF55FF">
        <w:fldChar w:fldCharType="begin" w:fldLock="1"/>
      </w:r>
      <w:r w:rsidRPr="00BF55FF">
        <w:instrText xml:space="preserve"> REF _Ref173928875 \h  \* MERGEFORMAT </w:instrText>
      </w:r>
      <w:r w:rsidRPr="00BF55FF">
        <w:fldChar w:fldCharType="separate"/>
      </w:r>
      <w:r w:rsidR="009C2393" w:rsidRPr="009C2393">
        <w:t>Table 3</w:t>
      </w:r>
      <w:r w:rsidRPr="00BF55FF">
        <w:fldChar w:fldCharType="end"/>
      </w:r>
      <w:r w:rsidRPr="00BF55FF">
        <w:t xml:space="preserve">, the primary outcome for the study was safety, with efficacy as a secondary outcome. </w:t>
      </w:r>
      <w:r w:rsidR="006C4899" w:rsidRPr="00BF55FF">
        <w:t>The mean (</w:t>
      </w:r>
      <w:r w:rsidR="000C42AC" w:rsidRPr="00BF55FF">
        <w:t>standard deviation</w:t>
      </w:r>
      <w:r w:rsidR="006C4899" w:rsidRPr="00BF55FF">
        <w:t>) number of attacks in the p</w:t>
      </w:r>
      <w:r w:rsidR="00F45528" w:rsidRPr="00BF55FF">
        <w:t>receding</w:t>
      </w:r>
      <w:r w:rsidR="006C4899" w:rsidRPr="00BF55FF">
        <w:t xml:space="preserve"> 12 months was 15.5 (14.5), which</w:t>
      </w:r>
      <w:r w:rsidR="00264817" w:rsidRPr="00BF55FF">
        <w:t>, as expected,</w:t>
      </w:r>
      <w:r w:rsidR="006C4899" w:rsidRPr="00BF55FF">
        <w:t xml:space="preserve"> is much lower than the mean number of attacks observed in the standard-of-care arm of the HELP trial (54.8/patient year; paragraph 6.8, </w:t>
      </w:r>
      <w:r w:rsidR="0003293F">
        <w:t>l</w:t>
      </w:r>
      <w:r w:rsidR="006C4899" w:rsidRPr="00BF55FF">
        <w:t>anadelumab</w:t>
      </w:r>
      <w:r w:rsidR="00840DAE" w:rsidRPr="00BF55FF">
        <w:t xml:space="preserve"> PSD</w:t>
      </w:r>
      <w:r w:rsidR="006C4899" w:rsidRPr="00BF55FF">
        <w:t>, July 2021)</w:t>
      </w:r>
      <w:r w:rsidR="00567703" w:rsidRPr="00BF55FF">
        <w:t>,</w:t>
      </w:r>
      <w:r w:rsidR="00264817" w:rsidRPr="00BF55FF">
        <w:t xml:space="preserve"> since HAE attacks generally become more frequent after puberty (paragraph</w:t>
      </w:r>
      <w:r w:rsidR="0003293F">
        <w:t xml:space="preserve"> </w:t>
      </w:r>
      <w:r w:rsidR="0003293F">
        <w:fldChar w:fldCharType="begin" w:fldLock="1"/>
      </w:r>
      <w:r w:rsidR="0003293F">
        <w:instrText xml:space="preserve"> REF _Ref183529779 \r \h </w:instrText>
      </w:r>
      <w:r w:rsidR="0003293F">
        <w:fldChar w:fldCharType="separate"/>
      </w:r>
      <w:r w:rsidR="009C2393">
        <w:t>4.4</w:t>
      </w:r>
      <w:r w:rsidR="0003293F">
        <w:fldChar w:fldCharType="end"/>
      </w:r>
      <w:r w:rsidR="00264817" w:rsidRPr="00BF55FF">
        <w:t>).</w:t>
      </w:r>
      <w:r w:rsidR="00567703" w:rsidRPr="00BF55FF">
        <w:t xml:space="preserve"> </w:t>
      </w:r>
      <w:r w:rsidR="00264817" w:rsidRPr="00BF55FF">
        <w:t>It was also</w:t>
      </w:r>
      <w:r w:rsidR="006C4899" w:rsidRPr="00BF55FF">
        <w:t xml:space="preserve"> lower than the number of attacks required for</w:t>
      </w:r>
      <w:r w:rsidR="00AC7901" w:rsidRPr="00BF55FF">
        <w:t xml:space="preserve"> PB</w:t>
      </w:r>
      <w:r w:rsidR="006A388E" w:rsidRPr="00BF55FF">
        <w:t>S</w:t>
      </w:r>
      <w:r w:rsidR="006C4899" w:rsidRPr="00BF55FF">
        <w:t xml:space="preserve"> eligibility for lanadelumab in adults and adolescents (12 in six months). </w:t>
      </w:r>
      <w:r w:rsidR="00645913" w:rsidRPr="00BF55FF">
        <w:t xml:space="preserve">During the baseline period, 5/21 </w:t>
      </w:r>
      <w:r w:rsidR="00E9416B" w:rsidRPr="00BF55FF">
        <w:t xml:space="preserve">(23.8%) </w:t>
      </w:r>
      <w:r w:rsidR="00645913" w:rsidRPr="00BF55FF">
        <w:t>patients in</w:t>
      </w:r>
      <w:r w:rsidR="0003293F">
        <w:t xml:space="preserve"> </w:t>
      </w:r>
      <w:r w:rsidR="0003293F">
        <w:lastRenderedPageBreak/>
        <w:t>the</w:t>
      </w:r>
      <w:r w:rsidR="00645913" w:rsidRPr="00BF55FF">
        <w:t xml:space="preserve"> SPRING</w:t>
      </w:r>
      <w:r w:rsidR="0003293F">
        <w:t xml:space="preserve"> trial</w:t>
      </w:r>
      <w:r w:rsidR="00645913" w:rsidRPr="00BF55FF">
        <w:t xml:space="preserve"> </w:t>
      </w:r>
      <w:r w:rsidR="00E9416B" w:rsidRPr="00BF55FF">
        <w:t>were recorded as having a baseline attack rate</w:t>
      </w:r>
      <w:r w:rsidR="00645913" w:rsidRPr="00BF55FF">
        <w:t xml:space="preserve"> </w:t>
      </w:r>
      <w:r w:rsidR="00645913" w:rsidRPr="00BF55FF">
        <w:sym w:font="Symbol" w:char="F0B3"/>
      </w:r>
      <w:r w:rsidR="00645913" w:rsidRPr="00BF55FF">
        <w:t>2 attacks per month</w:t>
      </w:r>
      <w:r w:rsidR="00E9416B" w:rsidRPr="00BF55FF">
        <w:t>, but because of the way baseline attack rate was defined, this does not mean that the</w:t>
      </w:r>
      <w:r w:rsidR="00D72EBF" w:rsidRPr="00BF55FF">
        <w:t>y</w:t>
      </w:r>
      <w:r w:rsidR="00E9416B" w:rsidRPr="00BF55FF">
        <w:t xml:space="preserve"> would have satisfied the </w:t>
      </w:r>
      <w:r w:rsidR="008B730A" w:rsidRPr="00BF55FF">
        <w:t xml:space="preserve">PBS </w:t>
      </w:r>
      <w:r w:rsidR="00E9416B" w:rsidRPr="00BF55FF">
        <w:t>eligibility criterion of 12 attacks in 6 months.</w:t>
      </w:r>
      <w:r w:rsidR="00E80F55" w:rsidRPr="00BF55FF">
        <w:t xml:space="preserve"> </w:t>
      </w:r>
      <w:r w:rsidR="00645913" w:rsidRPr="00BF55FF">
        <w:t xml:space="preserve"> </w:t>
      </w:r>
    </w:p>
    <w:p w14:paraId="5E0AEE57" w14:textId="2C895C7E" w:rsidR="00CA2312" w:rsidRPr="00BF55FF" w:rsidRDefault="00264817" w:rsidP="00AE0A79">
      <w:pPr>
        <w:pStyle w:val="3-BodyText"/>
      </w:pPr>
      <w:r w:rsidRPr="00BF55FF">
        <w:t>In the SPRING trial, l</w:t>
      </w:r>
      <w:r w:rsidR="00CA2312" w:rsidRPr="00BF55FF">
        <w:t xml:space="preserve">aryngeal attacks </w:t>
      </w:r>
      <w:r w:rsidR="003A412D" w:rsidRPr="00BF55FF">
        <w:t>were reported</w:t>
      </w:r>
      <w:r w:rsidR="00CA2312" w:rsidRPr="00BF55FF">
        <w:t xml:space="preserve"> in 5/21 (23.8%) patients and were </w:t>
      </w:r>
      <w:r w:rsidR="003A412D" w:rsidRPr="00BF55FF">
        <w:t xml:space="preserve">reported to be </w:t>
      </w:r>
      <w:r w:rsidR="00CA2312" w:rsidRPr="00BF55FF">
        <w:t xml:space="preserve">the primary form of attack in 1/21 (4.8%). </w:t>
      </w:r>
      <w:r w:rsidR="003A412D" w:rsidRPr="00BF55FF">
        <w:t xml:space="preserve">The </w:t>
      </w:r>
      <w:r w:rsidR="00635B03" w:rsidRPr="00BF55FF">
        <w:t>Clinical Study Report (</w:t>
      </w:r>
      <w:r w:rsidR="003A412D" w:rsidRPr="00BF55FF">
        <w:t>CSR</w:t>
      </w:r>
      <w:r w:rsidR="00635B03" w:rsidRPr="00BF55FF">
        <w:t>)</w:t>
      </w:r>
      <w:r w:rsidR="003A412D" w:rsidRPr="00BF55FF">
        <w:t xml:space="preserve"> did not </w:t>
      </w:r>
      <w:r w:rsidR="00F43044" w:rsidRPr="00BF55FF">
        <w:t>state</w:t>
      </w:r>
      <w:r w:rsidR="003A412D" w:rsidRPr="00BF55FF">
        <w:t xml:space="preserve"> criteria for diagnosis of laryngeal attacks and no information on the severity of the attacks (</w:t>
      </w:r>
      <w:r w:rsidR="00BB5E18" w:rsidRPr="00BF55FF">
        <w:t>e.g.</w:t>
      </w:r>
      <w:r w:rsidR="003A412D" w:rsidRPr="00BF55FF">
        <w:t>, need for hospitalisation or for intubation) was provided.</w:t>
      </w:r>
      <w:r w:rsidR="00E80F55" w:rsidRPr="00BF55FF">
        <w:t xml:space="preserve"> </w:t>
      </w:r>
    </w:p>
    <w:p w14:paraId="07E409E6" w14:textId="63CDFF9B" w:rsidR="000023BC" w:rsidRPr="00BF55FF" w:rsidRDefault="004B1B96" w:rsidP="00AE0A79">
      <w:pPr>
        <w:pStyle w:val="3-BodyText"/>
      </w:pPr>
      <w:r w:rsidRPr="00BF55FF">
        <w:t xml:space="preserve">The </w:t>
      </w:r>
      <w:r w:rsidR="00211E25" w:rsidRPr="00BF55FF">
        <w:t xml:space="preserve">majority of patients (16/21, 76.2%) were not receiving preventative treatment at the screening visit. </w:t>
      </w:r>
      <w:r w:rsidR="00BD4370" w:rsidRPr="00BF55FF">
        <w:t xml:space="preserve">A </w:t>
      </w:r>
      <w:r w:rsidR="0088444D" w:rsidRPr="00BF55FF">
        <w:t>substantial minority</w:t>
      </w:r>
      <w:r w:rsidR="00645913" w:rsidRPr="00BF55FF">
        <w:t xml:space="preserve"> </w:t>
      </w:r>
      <w:r w:rsidR="0088444D" w:rsidRPr="00BF55FF">
        <w:t>(</w:t>
      </w:r>
      <w:r w:rsidR="001B3429" w:rsidRPr="00BF55FF">
        <w:t>5</w:t>
      </w:r>
      <w:r w:rsidR="00645913" w:rsidRPr="00BF55FF">
        <w:t xml:space="preserve">/21 </w:t>
      </w:r>
      <w:r w:rsidR="0088444D" w:rsidRPr="00BF55FF">
        <w:t>= 2</w:t>
      </w:r>
      <w:r w:rsidR="001B3429" w:rsidRPr="00BF55FF">
        <w:t>3.8</w:t>
      </w:r>
      <w:r w:rsidR="0088444D" w:rsidRPr="00BF55FF">
        <w:t xml:space="preserve">%) </w:t>
      </w:r>
      <w:r w:rsidR="00CA2312" w:rsidRPr="00BF55FF">
        <w:t>were not receiving the standard of care</w:t>
      </w:r>
      <w:r w:rsidR="000023BC" w:rsidRPr="00BF55FF">
        <w:t xml:space="preserve"> for ODT</w:t>
      </w:r>
      <w:r w:rsidR="00CA2312" w:rsidRPr="00BF55FF">
        <w:t xml:space="preserve"> of</w:t>
      </w:r>
      <w:r w:rsidR="0088444D" w:rsidRPr="00BF55FF">
        <w:t xml:space="preserve"> either C1-INH or icatibant</w:t>
      </w:r>
      <w:r w:rsidR="001B3429" w:rsidRPr="00BF55FF">
        <w:t>, and of the 16 who had received ODT</w:t>
      </w:r>
      <w:r w:rsidR="0003293F">
        <w:t>,</w:t>
      </w:r>
      <w:r w:rsidR="001B3429" w:rsidRPr="00BF55FF">
        <w:t xml:space="preserve"> only three (14.3%) had received icatibant</w:t>
      </w:r>
      <w:r w:rsidR="00CA2312" w:rsidRPr="00BF55FF">
        <w:t xml:space="preserve">. </w:t>
      </w:r>
      <w:bookmarkStart w:id="33" w:name="_Toc22897641"/>
      <w:r w:rsidR="00B97744" w:rsidRPr="00BF55FF">
        <w:t>The evaluation considered t</w:t>
      </w:r>
      <w:r w:rsidR="0034681E" w:rsidRPr="00BF55FF">
        <w:t xml:space="preserve">his </w:t>
      </w:r>
      <w:r w:rsidR="00B97744" w:rsidRPr="00BF55FF">
        <w:t xml:space="preserve">to be </w:t>
      </w:r>
      <w:r w:rsidR="0034681E" w:rsidRPr="00BF55FF">
        <w:t>important</w:t>
      </w:r>
      <w:r w:rsidR="000023BC" w:rsidRPr="00BF55FF">
        <w:t xml:space="preserve"> because:</w:t>
      </w:r>
      <w:r w:rsidR="0034681E" w:rsidRPr="00BF55FF">
        <w:t xml:space="preserve"> </w:t>
      </w:r>
    </w:p>
    <w:p w14:paraId="71A5C26B" w14:textId="11CF11C9" w:rsidR="000023BC" w:rsidRPr="00BF55FF" w:rsidRDefault="00E33A42" w:rsidP="000023BC">
      <w:pPr>
        <w:pStyle w:val="3-BodyText"/>
        <w:numPr>
          <w:ilvl w:val="0"/>
          <w:numId w:val="0"/>
        </w:numPr>
        <w:ind w:left="1440"/>
      </w:pPr>
      <w:r w:rsidRPr="00BF55FF">
        <w:t xml:space="preserve">(a) the number of patients receiving a prescription for icatibant is used by the submission to estimate the number of potential users of </w:t>
      </w:r>
      <w:proofErr w:type="spellStart"/>
      <w:r w:rsidRPr="00BF55FF">
        <w:t>lanadelumab</w:t>
      </w:r>
      <w:proofErr w:type="spellEnd"/>
      <w:r w:rsidR="000023BC" w:rsidRPr="00BF55FF">
        <w:t xml:space="preserve"> (paragraph </w:t>
      </w:r>
      <w:r w:rsidR="000023BC" w:rsidRPr="00BF55FF">
        <w:fldChar w:fldCharType="begin" w:fldLock="1"/>
      </w:r>
      <w:r w:rsidR="000023BC" w:rsidRPr="00BF55FF">
        <w:instrText xml:space="preserve"> REF _Ref179477327 \r \h </w:instrText>
      </w:r>
      <w:r w:rsidR="00BF55FF" w:rsidRPr="00BF55FF">
        <w:instrText xml:space="preserve"> \* MERGEFORMAT </w:instrText>
      </w:r>
      <w:r w:rsidR="000023BC" w:rsidRPr="00BF55FF">
        <w:fldChar w:fldCharType="separate"/>
      </w:r>
      <w:r w:rsidR="009C2393">
        <w:t>6.36</w:t>
      </w:r>
      <w:r w:rsidR="000023BC" w:rsidRPr="00BF55FF">
        <w:fldChar w:fldCharType="end"/>
      </w:r>
      <w:r w:rsidR="000023BC" w:rsidRPr="00BF55FF">
        <w:t>)</w:t>
      </w:r>
      <w:r w:rsidRPr="00BF55FF">
        <w:t xml:space="preserve">, and </w:t>
      </w:r>
    </w:p>
    <w:p w14:paraId="33D1A96D" w14:textId="40898A4C" w:rsidR="00CA2312" w:rsidRPr="00BF55FF" w:rsidRDefault="00E33A42" w:rsidP="000023BC">
      <w:pPr>
        <w:pStyle w:val="3-BodyText"/>
        <w:numPr>
          <w:ilvl w:val="0"/>
          <w:numId w:val="0"/>
        </w:numPr>
        <w:ind w:left="1440"/>
      </w:pPr>
      <w:r w:rsidRPr="00BF55FF">
        <w:t xml:space="preserve">(b) it is difficult to reconcile </w:t>
      </w:r>
      <w:r w:rsidR="00CA2312" w:rsidRPr="00BF55FF">
        <w:t xml:space="preserve">not using </w:t>
      </w:r>
      <w:r w:rsidR="00211E25" w:rsidRPr="00BF55FF">
        <w:t xml:space="preserve">prophylaxis or </w:t>
      </w:r>
      <w:r w:rsidR="00CA2312" w:rsidRPr="00BF55FF">
        <w:t xml:space="preserve">ODT </w:t>
      </w:r>
      <w:r w:rsidRPr="00BF55FF">
        <w:t>with the submission’s argument that</w:t>
      </w:r>
      <w:r w:rsidR="0009640A" w:rsidRPr="00BF55FF">
        <w:t xml:space="preserve"> the eligibility criterion for older patients should not be used for those aged 2-11 because</w:t>
      </w:r>
      <w:r w:rsidRPr="00BF55FF">
        <w:t xml:space="preserve"> “it would not be considered appropriate to wait for a patient aged between 2-11 years of age to experience 12 attacks in 6 months”. </w:t>
      </w:r>
    </w:p>
    <w:p w14:paraId="4A4FE085" w14:textId="1A436E97" w:rsidR="00B60939" w:rsidRPr="00BF55FF" w:rsidRDefault="00F15E6D" w:rsidP="00404489">
      <w:pPr>
        <w:pStyle w:val="4-SubsectionHeading"/>
        <w:rPr>
          <w:i w:val="0"/>
        </w:rPr>
      </w:pPr>
      <w:bookmarkStart w:id="34" w:name="_Toc177389667"/>
      <w:r w:rsidRPr="00BF55FF">
        <w:rPr>
          <w:i w:val="0"/>
        </w:rPr>
        <w:t xml:space="preserve">Comparative </w:t>
      </w:r>
      <w:r w:rsidR="00C643EF" w:rsidRPr="00BF55FF">
        <w:rPr>
          <w:i w:val="0"/>
        </w:rPr>
        <w:t>E</w:t>
      </w:r>
      <w:r w:rsidR="00B60939" w:rsidRPr="00BF55FF">
        <w:rPr>
          <w:i w:val="0"/>
        </w:rPr>
        <w:t>ffectiveness</w:t>
      </w:r>
      <w:bookmarkEnd w:id="33"/>
      <w:bookmarkEnd w:id="34"/>
    </w:p>
    <w:p w14:paraId="312672AD" w14:textId="5047EE56" w:rsidR="00F15E6D" w:rsidRPr="00BF55FF" w:rsidRDefault="00F15E6D" w:rsidP="00AE0A79">
      <w:pPr>
        <w:pStyle w:val="3-BodyText"/>
        <w:rPr>
          <w:lang w:eastAsia="en-US"/>
        </w:rPr>
      </w:pPr>
      <w:r w:rsidRPr="00BF55FF">
        <w:rPr>
          <w:lang w:eastAsia="en-US"/>
        </w:rPr>
        <w:t>The</w:t>
      </w:r>
      <w:r w:rsidR="00CC702E" w:rsidRPr="00BF55FF">
        <w:rPr>
          <w:lang w:eastAsia="en-US"/>
        </w:rPr>
        <w:t xml:space="preserve"> efficacy</w:t>
      </w:r>
      <w:r w:rsidRPr="00BF55FF">
        <w:rPr>
          <w:lang w:eastAsia="en-US"/>
        </w:rPr>
        <w:t xml:space="preserve"> results of the SPRING study </w:t>
      </w:r>
      <w:r w:rsidR="00A17207" w:rsidRPr="00BF55FF">
        <w:rPr>
          <w:lang w:eastAsia="en-US"/>
        </w:rPr>
        <w:t xml:space="preserve">are </w:t>
      </w:r>
      <w:r w:rsidRPr="00BF55FF">
        <w:rPr>
          <w:lang w:eastAsia="en-US"/>
        </w:rPr>
        <w:t xml:space="preserve">shown in </w:t>
      </w:r>
      <w:r w:rsidRPr="00BF55FF">
        <w:rPr>
          <w:lang w:eastAsia="en-US"/>
        </w:rPr>
        <w:fldChar w:fldCharType="begin" w:fldLock="1"/>
      </w:r>
      <w:r w:rsidRPr="00BF55FF">
        <w:rPr>
          <w:lang w:eastAsia="en-US"/>
        </w:rPr>
        <w:instrText xml:space="preserve"> REF _Ref173929013 \h </w:instrText>
      </w:r>
      <w:r w:rsidR="00BF55FF" w:rsidRPr="00BF55FF">
        <w:rPr>
          <w:lang w:eastAsia="en-US"/>
        </w:rPr>
        <w:instrText xml:space="preserve"> \* MERGEFORMAT </w:instrText>
      </w:r>
      <w:r w:rsidRPr="00BF55FF">
        <w:rPr>
          <w:lang w:eastAsia="en-US"/>
        </w:rPr>
      </w:r>
      <w:r w:rsidRPr="00BF55FF">
        <w:rPr>
          <w:lang w:eastAsia="en-US"/>
        </w:rPr>
        <w:fldChar w:fldCharType="separate"/>
      </w:r>
      <w:r w:rsidR="009C2393" w:rsidRPr="00BF55FF">
        <w:t xml:space="preserve">Table </w:t>
      </w:r>
      <w:r w:rsidR="009C2393">
        <w:t>4</w:t>
      </w:r>
      <w:r w:rsidRPr="00BF55FF">
        <w:rPr>
          <w:lang w:eastAsia="en-US"/>
        </w:rPr>
        <w:fldChar w:fldCharType="end"/>
      </w:r>
      <w:r w:rsidRPr="00BF55FF">
        <w:rPr>
          <w:lang w:eastAsia="en-US"/>
        </w:rPr>
        <w:t>.</w:t>
      </w:r>
    </w:p>
    <w:p w14:paraId="312F0965" w14:textId="7BD0BD35" w:rsidR="005D26B4" w:rsidRPr="00BF55FF" w:rsidRDefault="00D6076E" w:rsidP="00D6076E">
      <w:pPr>
        <w:pStyle w:val="TableFigureHeading"/>
        <w:rPr>
          <w:rStyle w:val="CommentReference"/>
          <w:b/>
          <w:szCs w:val="24"/>
        </w:rPr>
      </w:pPr>
      <w:bookmarkStart w:id="35" w:name="_Ref173929013"/>
      <w:r w:rsidRPr="00BF55FF">
        <w:lastRenderedPageBreak/>
        <w:t xml:space="preserve">Table </w:t>
      </w:r>
      <w:r w:rsidR="00ED245D" w:rsidRPr="00BF55FF">
        <w:fldChar w:fldCharType="begin" w:fldLock="1"/>
      </w:r>
      <w:r w:rsidR="00ED245D" w:rsidRPr="00BF55FF">
        <w:instrText xml:space="preserve"> SEQ Table \* ARABIC </w:instrText>
      </w:r>
      <w:r w:rsidR="00ED245D" w:rsidRPr="00BF55FF">
        <w:fldChar w:fldCharType="separate"/>
      </w:r>
      <w:r w:rsidR="009C2393">
        <w:rPr>
          <w:noProof/>
        </w:rPr>
        <w:t>4</w:t>
      </w:r>
      <w:r w:rsidR="00ED245D" w:rsidRPr="00BF55FF">
        <w:fldChar w:fldCharType="end"/>
      </w:r>
      <w:bookmarkEnd w:id="35"/>
      <w:r w:rsidRPr="00BF55FF">
        <w:t>:</w:t>
      </w:r>
      <w:r w:rsidR="005D26B4" w:rsidRPr="00BF55FF">
        <w:rPr>
          <w:rStyle w:val="CommentReference"/>
          <w:b/>
          <w:szCs w:val="24"/>
        </w:rPr>
        <w:t xml:space="preserve"> </w:t>
      </w:r>
      <w:r w:rsidR="00470FA2" w:rsidRPr="00BF55FF">
        <w:rPr>
          <w:rStyle w:val="CommentReference"/>
          <w:b/>
          <w:szCs w:val="24"/>
        </w:rPr>
        <w:t>Efficacy outcomes</w:t>
      </w:r>
      <w:r w:rsidR="005D26B4" w:rsidRPr="00BF55FF">
        <w:rPr>
          <w:rStyle w:val="CommentReference"/>
          <w:b/>
          <w:szCs w:val="24"/>
        </w:rPr>
        <w:t xml:space="preserve"> </w:t>
      </w:r>
      <w:r w:rsidR="00C643EF" w:rsidRPr="00BF55FF">
        <w:rPr>
          <w:rStyle w:val="CommentReference"/>
          <w:b/>
          <w:szCs w:val="24"/>
        </w:rPr>
        <w:t>in</w:t>
      </w:r>
      <w:r w:rsidR="009C26AA" w:rsidRPr="00BF55FF">
        <w:rPr>
          <w:rStyle w:val="CommentReference"/>
          <w:b/>
          <w:szCs w:val="24"/>
        </w:rPr>
        <w:t xml:space="preserve"> the</w:t>
      </w:r>
      <w:r w:rsidR="00C643EF" w:rsidRPr="00BF55FF">
        <w:rPr>
          <w:rStyle w:val="CommentReference"/>
          <w:b/>
          <w:szCs w:val="24"/>
        </w:rPr>
        <w:t xml:space="preserve"> SPRING</w:t>
      </w:r>
      <w:r w:rsidR="00D51F1C" w:rsidRPr="00BF55FF">
        <w:rPr>
          <w:rStyle w:val="CommentReference"/>
          <w:b/>
          <w:szCs w:val="24"/>
        </w:rPr>
        <w:t xml:space="preserve"> </w:t>
      </w:r>
      <w:r w:rsidR="00D946FC" w:rsidRPr="00BF55FF">
        <w:rPr>
          <w:rStyle w:val="CommentReference"/>
          <w:b/>
          <w:szCs w:val="24"/>
        </w:rPr>
        <w:t>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959"/>
        <w:gridCol w:w="3697"/>
      </w:tblGrid>
      <w:tr w:rsidR="0009786A" w:rsidRPr="00BF55FF" w14:paraId="2C6BC2A7" w14:textId="77777777" w:rsidTr="000005EE">
        <w:trPr>
          <w:cantSplit/>
          <w:trHeight w:val="850"/>
          <w:tblHeader/>
        </w:trPr>
        <w:tc>
          <w:tcPr>
            <w:tcW w:w="1309" w:type="pct"/>
            <w:vAlign w:val="center"/>
          </w:tcPr>
          <w:p w14:paraId="38B4F48D" w14:textId="7551FD35" w:rsidR="0009786A" w:rsidRPr="00BF55FF" w:rsidRDefault="0009786A" w:rsidP="001E34DF">
            <w:pPr>
              <w:pStyle w:val="In-tableHeading"/>
              <w:rPr>
                <w:lang w:val="en-AU"/>
              </w:rPr>
            </w:pPr>
          </w:p>
        </w:tc>
        <w:tc>
          <w:tcPr>
            <w:tcW w:w="1641" w:type="pct"/>
            <w:vAlign w:val="center"/>
          </w:tcPr>
          <w:p w14:paraId="72D9EC94" w14:textId="77777777" w:rsidR="0009786A" w:rsidRPr="00BF55FF" w:rsidRDefault="0009786A" w:rsidP="0009786A">
            <w:pPr>
              <w:pStyle w:val="In-tableHeading"/>
              <w:jc w:val="center"/>
              <w:rPr>
                <w:lang w:val="en-AU"/>
              </w:rPr>
            </w:pPr>
            <w:r w:rsidRPr="00BF55FF">
              <w:rPr>
                <w:lang w:val="en-AU"/>
              </w:rPr>
              <w:t xml:space="preserve">Lanadelumab </w:t>
            </w:r>
          </w:p>
          <w:p w14:paraId="111690D4" w14:textId="19791563" w:rsidR="0009786A" w:rsidRPr="00BF55FF" w:rsidRDefault="0009786A" w:rsidP="0009786A">
            <w:pPr>
              <w:pStyle w:val="In-tableHeading"/>
              <w:jc w:val="center"/>
              <w:rPr>
                <w:lang w:val="en-AU"/>
              </w:rPr>
            </w:pPr>
            <w:r w:rsidRPr="00BF55FF">
              <w:rPr>
                <w:lang w:val="en-AU"/>
              </w:rPr>
              <w:t>N = 21</w:t>
            </w:r>
          </w:p>
        </w:tc>
        <w:tc>
          <w:tcPr>
            <w:tcW w:w="2050" w:type="pct"/>
            <w:vAlign w:val="center"/>
          </w:tcPr>
          <w:p w14:paraId="18FBAEC1" w14:textId="778B49B7" w:rsidR="0009786A" w:rsidRPr="00BF55FF" w:rsidRDefault="0009786A" w:rsidP="006D475A">
            <w:pPr>
              <w:pStyle w:val="In-tableHeading"/>
              <w:jc w:val="center"/>
              <w:rPr>
                <w:vertAlign w:val="superscript"/>
                <w:lang w:val="en-AU"/>
              </w:rPr>
            </w:pPr>
            <w:r w:rsidRPr="00BF55FF">
              <w:rPr>
                <w:lang w:val="en-AU"/>
              </w:rPr>
              <w:t>Baseline Observation Period</w:t>
            </w:r>
            <w:r w:rsidR="00931627" w:rsidRPr="00BF55FF">
              <w:rPr>
                <w:vertAlign w:val="superscript"/>
                <w:lang w:val="en-AU"/>
              </w:rPr>
              <w:t>a</w:t>
            </w:r>
          </w:p>
          <w:p w14:paraId="0207FD94" w14:textId="1B48B5D4" w:rsidR="0009786A" w:rsidRPr="00BF55FF" w:rsidRDefault="0009786A" w:rsidP="006D475A">
            <w:pPr>
              <w:pStyle w:val="In-tableHeading"/>
              <w:jc w:val="center"/>
              <w:rPr>
                <w:lang w:val="en-AU"/>
              </w:rPr>
            </w:pPr>
            <w:r w:rsidRPr="00BF55FF">
              <w:rPr>
                <w:lang w:val="en-AU"/>
              </w:rPr>
              <w:t>N = 21</w:t>
            </w:r>
          </w:p>
        </w:tc>
      </w:tr>
      <w:tr w:rsidR="0009786A" w:rsidRPr="00BF55FF" w14:paraId="214AA93C" w14:textId="77777777" w:rsidTr="000005EE">
        <w:trPr>
          <w:cantSplit/>
        </w:trPr>
        <w:tc>
          <w:tcPr>
            <w:tcW w:w="5000" w:type="pct"/>
            <w:gridSpan w:val="3"/>
            <w:vAlign w:val="center"/>
          </w:tcPr>
          <w:p w14:paraId="393E3017" w14:textId="1BF518E5" w:rsidR="0009786A" w:rsidRPr="00BF55FF" w:rsidRDefault="0009786A" w:rsidP="006B1B1D">
            <w:pPr>
              <w:pStyle w:val="TableText0"/>
              <w:rPr>
                <w:b/>
              </w:rPr>
            </w:pPr>
            <w:r w:rsidRPr="00BF55FF">
              <w:rPr>
                <w:b/>
              </w:rPr>
              <w:t xml:space="preserve"> Attacks/month</w:t>
            </w:r>
          </w:p>
        </w:tc>
      </w:tr>
      <w:tr w:rsidR="0009786A" w:rsidRPr="00BF55FF" w14:paraId="0B7C49B0" w14:textId="77777777" w:rsidTr="000005EE">
        <w:trPr>
          <w:cantSplit/>
        </w:trPr>
        <w:tc>
          <w:tcPr>
            <w:tcW w:w="1309" w:type="pct"/>
            <w:vAlign w:val="center"/>
          </w:tcPr>
          <w:p w14:paraId="3885ECD8" w14:textId="77777777" w:rsidR="000D221A" w:rsidRPr="00BF55FF" w:rsidRDefault="0009786A" w:rsidP="006B1B1D">
            <w:pPr>
              <w:pStyle w:val="TableText0"/>
              <w:rPr>
                <w:b/>
                <w:bCs w:val="0"/>
              </w:rPr>
            </w:pPr>
            <w:r w:rsidRPr="00BF55FF">
              <w:rPr>
                <w:bCs w:val="0"/>
              </w:rPr>
              <w:t>All Attacks</w:t>
            </w:r>
            <w:r w:rsidR="000D221A" w:rsidRPr="00BF55FF">
              <w:rPr>
                <w:bCs w:val="0"/>
              </w:rPr>
              <w:t xml:space="preserve">, </w:t>
            </w:r>
          </w:p>
          <w:p w14:paraId="08FF09C7" w14:textId="184C0C70" w:rsidR="0009786A" w:rsidRPr="00BF55FF" w:rsidRDefault="000D221A" w:rsidP="006B1B1D">
            <w:pPr>
              <w:pStyle w:val="TableText0"/>
              <w:rPr>
                <w:b/>
                <w:bCs w:val="0"/>
              </w:rPr>
            </w:pPr>
            <w:r w:rsidRPr="00BF55FF">
              <w:rPr>
                <w:bCs w:val="0"/>
              </w:rPr>
              <w:t>Mean, (SD)</w:t>
            </w:r>
          </w:p>
          <w:p w14:paraId="1FCF629C" w14:textId="49D90C6C" w:rsidR="000D221A" w:rsidRPr="00BF55FF" w:rsidRDefault="000D221A" w:rsidP="006B1B1D">
            <w:pPr>
              <w:pStyle w:val="TableText0"/>
              <w:rPr>
                <w:b/>
                <w:bCs w:val="0"/>
              </w:rPr>
            </w:pPr>
            <w:r w:rsidRPr="00BF55FF">
              <w:rPr>
                <w:bCs w:val="0"/>
              </w:rPr>
              <w:t>Median</w:t>
            </w:r>
            <w:r w:rsidR="00D72EBF" w:rsidRPr="00BF55FF">
              <w:rPr>
                <w:bCs w:val="0"/>
              </w:rPr>
              <w:t xml:space="preserve"> (range)</w:t>
            </w:r>
          </w:p>
        </w:tc>
        <w:tc>
          <w:tcPr>
            <w:tcW w:w="1641" w:type="pct"/>
          </w:tcPr>
          <w:p w14:paraId="4EB731E5" w14:textId="77777777" w:rsidR="000D221A" w:rsidRPr="00BF55FF" w:rsidRDefault="000D221A" w:rsidP="006B1B1D">
            <w:pPr>
              <w:pStyle w:val="TableText0"/>
              <w:rPr>
                <w:b/>
                <w:bCs w:val="0"/>
              </w:rPr>
            </w:pPr>
          </w:p>
          <w:p w14:paraId="0E1C4EF3" w14:textId="46A8A463" w:rsidR="0009786A" w:rsidRPr="00BF55FF" w:rsidRDefault="0009786A" w:rsidP="00B37FEF">
            <w:pPr>
              <w:pStyle w:val="TableText0"/>
              <w:jc w:val="center"/>
              <w:rPr>
                <w:b/>
                <w:bCs w:val="0"/>
              </w:rPr>
            </w:pPr>
            <w:r w:rsidRPr="00BF55FF">
              <w:rPr>
                <w:bCs w:val="0"/>
              </w:rPr>
              <w:t>0.08 (0.170)</w:t>
            </w:r>
          </w:p>
          <w:p w14:paraId="7206C692" w14:textId="63DBCC82" w:rsidR="000D221A" w:rsidRPr="00BF55FF" w:rsidRDefault="000D221A" w:rsidP="00B37FEF">
            <w:pPr>
              <w:pStyle w:val="TableText0"/>
              <w:jc w:val="center"/>
              <w:rPr>
                <w:b/>
                <w:bCs w:val="0"/>
              </w:rPr>
            </w:pPr>
            <w:r w:rsidRPr="00BF55FF">
              <w:rPr>
                <w:bCs w:val="0"/>
              </w:rPr>
              <w:t>0.00</w:t>
            </w:r>
            <w:r w:rsidR="00D72EBF" w:rsidRPr="00BF55FF">
              <w:rPr>
                <w:bCs w:val="0"/>
              </w:rPr>
              <w:t xml:space="preserve"> (0.0 - 0.5)</w:t>
            </w:r>
          </w:p>
        </w:tc>
        <w:tc>
          <w:tcPr>
            <w:tcW w:w="2050" w:type="pct"/>
          </w:tcPr>
          <w:p w14:paraId="22737FD2" w14:textId="77777777" w:rsidR="000D221A" w:rsidRPr="00BF55FF" w:rsidRDefault="000D221A" w:rsidP="006B1B1D">
            <w:pPr>
              <w:pStyle w:val="TableText0"/>
              <w:rPr>
                <w:b/>
                <w:bCs w:val="0"/>
              </w:rPr>
            </w:pPr>
          </w:p>
          <w:p w14:paraId="77FE08C1" w14:textId="31B25BAB" w:rsidR="0009786A" w:rsidRPr="00BF55FF" w:rsidRDefault="0009786A" w:rsidP="00B37FEF">
            <w:pPr>
              <w:pStyle w:val="TableText0"/>
              <w:jc w:val="center"/>
              <w:rPr>
                <w:b/>
                <w:bCs w:val="0"/>
              </w:rPr>
            </w:pPr>
            <w:r w:rsidRPr="00BF55FF">
              <w:rPr>
                <w:bCs w:val="0"/>
              </w:rPr>
              <w:t>1.84 (1.525)</w:t>
            </w:r>
          </w:p>
          <w:p w14:paraId="08FCCF52" w14:textId="590815B3" w:rsidR="000D221A" w:rsidRPr="00BF55FF" w:rsidRDefault="000D221A" w:rsidP="00B37FEF">
            <w:pPr>
              <w:pStyle w:val="TableText0"/>
              <w:jc w:val="center"/>
              <w:rPr>
                <w:b/>
                <w:bCs w:val="0"/>
              </w:rPr>
            </w:pPr>
            <w:r w:rsidRPr="00BF55FF">
              <w:rPr>
                <w:bCs w:val="0"/>
              </w:rPr>
              <w:t>1.44</w:t>
            </w:r>
            <w:r w:rsidR="00D72EBF" w:rsidRPr="00BF55FF">
              <w:rPr>
                <w:bCs w:val="0"/>
              </w:rPr>
              <w:t xml:space="preserve"> (0.6 - 6.7)</w:t>
            </w:r>
          </w:p>
        </w:tc>
      </w:tr>
      <w:tr w:rsidR="0009786A" w:rsidRPr="00BF55FF" w14:paraId="38F664A5" w14:textId="77777777" w:rsidTr="000005EE">
        <w:trPr>
          <w:cantSplit/>
        </w:trPr>
        <w:tc>
          <w:tcPr>
            <w:tcW w:w="1309" w:type="pct"/>
            <w:vAlign w:val="center"/>
          </w:tcPr>
          <w:p w14:paraId="04C271AD" w14:textId="77777777" w:rsidR="0009786A" w:rsidRPr="00BF55FF" w:rsidRDefault="0009786A" w:rsidP="006B1B1D">
            <w:pPr>
              <w:pStyle w:val="TableText0"/>
              <w:rPr>
                <w:b/>
                <w:bCs w:val="0"/>
              </w:rPr>
            </w:pPr>
            <w:r w:rsidRPr="00BF55FF">
              <w:rPr>
                <w:bCs w:val="0"/>
              </w:rPr>
              <w:t>Moderate or Severe Attacks</w:t>
            </w:r>
          </w:p>
          <w:p w14:paraId="5F2E0F72" w14:textId="77777777" w:rsidR="000D221A" w:rsidRPr="00BF55FF" w:rsidRDefault="000D221A" w:rsidP="006B1B1D">
            <w:pPr>
              <w:pStyle w:val="TableText0"/>
              <w:rPr>
                <w:b/>
                <w:bCs w:val="0"/>
              </w:rPr>
            </w:pPr>
            <w:r w:rsidRPr="00BF55FF">
              <w:rPr>
                <w:bCs w:val="0"/>
              </w:rPr>
              <w:t>Mean (SD)</w:t>
            </w:r>
          </w:p>
          <w:p w14:paraId="19A927DE" w14:textId="537C69AB" w:rsidR="000D221A" w:rsidRPr="00BF55FF" w:rsidRDefault="000D221A" w:rsidP="006B1B1D">
            <w:pPr>
              <w:pStyle w:val="TableText0"/>
              <w:rPr>
                <w:b/>
                <w:bCs w:val="0"/>
              </w:rPr>
            </w:pPr>
            <w:r w:rsidRPr="00BF55FF">
              <w:rPr>
                <w:bCs w:val="0"/>
              </w:rPr>
              <w:t>Median</w:t>
            </w:r>
            <w:r w:rsidR="00D72EBF" w:rsidRPr="00BF55FF">
              <w:rPr>
                <w:bCs w:val="0"/>
              </w:rPr>
              <w:t xml:space="preserve"> (range)</w:t>
            </w:r>
          </w:p>
        </w:tc>
        <w:tc>
          <w:tcPr>
            <w:tcW w:w="1641" w:type="pct"/>
          </w:tcPr>
          <w:p w14:paraId="19BD03C0" w14:textId="77777777" w:rsidR="000D221A" w:rsidRPr="00BF55FF" w:rsidRDefault="000D221A" w:rsidP="00B37FEF">
            <w:pPr>
              <w:pStyle w:val="TableText0"/>
              <w:jc w:val="center"/>
              <w:rPr>
                <w:b/>
                <w:bCs w:val="0"/>
              </w:rPr>
            </w:pPr>
          </w:p>
          <w:p w14:paraId="3C76B973" w14:textId="77777777" w:rsidR="0009786A" w:rsidRPr="00BF55FF" w:rsidRDefault="0009786A" w:rsidP="00B37FEF">
            <w:pPr>
              <w:pStyle w:val="TableText0"/>
              <w:jc w:val="center"/>
              <w:rPr>
                <w:b/>
                <w:bCs w:val="0"/>
              </w:rPr>
            </w:pPr>
            <w:r w:rsidRPr="00BF55FF">
              <w:rPr>
                <w:bCs w:val="0"/>
              </w:rPr>
              <w:t>0.08 (0.160)</w:t>
            </w:r>
          </w:p>
          <w:p w14:paraId="096B34BC" w14:textId="2E42F0E8" w:rsidR="000D221A" w:rsidRPr="00BF55FF" w:rsidRDefault="00C83248" w:rsidP="00B37FEF">
            <w:pPr>
              <w:pStyle w:val="TableText0"/>
              <w:jc w:val="center"/>
              <w:rPr>
                <w:b/>
                <w:bCs w:val="0"/>
              </w:rPr>
            </w:pPr>
            <w:r w:rsidRPr="00BF55FF">
              <w:rPr>
                <w:bCs w:val="0"/>
              </w:rPr>
              <w:t>0.00</w:t>
            </w:r>
            <w:r w:rsidR="00D72EBF" w:rsidRPr="00BF55FF">
              <w:rPr>
                <w:bCs w:val="0"/>
              </w:rPr>
              <w:t xml:space="preserve"> (0.0 - 0.5)</w:t>
            </w:r>
          </w:p>
        </w:tc>
        <w:tc>
          <w:tcPr>
            <w:tcW w:w="2050" w:type="pct"/>
          </w:tcPr>
          <w:p w14:paraId="1DDCE162" w14:textId="77777777" w:rsidR="0009786A" w:rsidRPr="00BF55FF" w:rsidRDefault="0009786A" w:rsidP="00B37FEF">
            <w:pPr>
              <w:pStyle w:val="TableText0"/>
              <w:jc w:val="center"/>
              <w:rPr>
                <w:b/>
                <w:bCs w:val="0"/>
              </w:rPr>
            </w:pPr>
          </w:p>
          <w:p w14:paraId="044B30D8" w14:textId="77777777" w:rsidR="0009786A" w:rsidRPr="00BF55FF" w:rsidRDefault="0009786A" w:rsidP="00B37FEF">
            <w:pPr>
              <w:pStyle w:val="TableText0"/>
              <w:jc w:val="center"/>
              <w:rPr>
                <w:b/>
                <w:bCs w:val="0"/>
              </w:rPr>
            </w:pPr>
            <w:r w:rsidRPr="00BF55FF">
              <w:rPr>
                <w:bCs w:val="0"/>
              </w:rPr>
              <w:t>1.27 (1.286</w:t>
            </w:r>
            <w:r w:rsidR="000D221A" w:rsidRPr="00BF55FF">
              <w:rPr>
                <w:bCs w:val="0"/>
              </w:rPr>
              <w:t>)</w:t>
            </w:r>
          </w:p>
          <w:p w14:paraId="70D2D5E7" w14:textId="5BE55EBF" w:rsidR="000D221A" w:rsidRPr="00BF55FF" w:rsidRDefault="00C83248" w:rsidP="00B37FEF">
            <w:pPr>
              <w:pStyle w:val="TableText0"/>
              <w:jc w:val="center"/>
              <w:rPr>
                <w:b/>
                <w:bCs w:val="0"/>
              </w:rPr>
            </w:pPr>
            <w:r w:rsidRPr="00BF55FF">
              <w:rPr>
                <w:bCs w:val="0"/>
              </w:rPr>
              <w:t>0.88</w:t>
            </w:r>
            <w:r w:rsidR="00D72EBF" w:rsidRPr="00BF55FF">
              <w:rPr>
                <w:bCs w:val="0"/>
              </w:rPr>
              <w:t xml:space="preserve"> (0.0 - 5.0)</w:t>
            </w:r>
          </w:p>
        </w:tc>
      </w:tr>
      <w:tr w:rsidR="0009786A" w:rsidRPr="00BF55FF" w14:paraId="53F768CC" w14:textId="77777777" w:rsidTr="000005EE">
        <w:trPr>
          <w:cantSplit/>
        </w:trPr>
        <w:tc>
          <w:tcPr>
            <w:tcW w:w="1309" w:type="pct"/>
            <w:vAlign w:val="center"/>
          </w:tcPr>
          <w:p w14:paraId="24DC7BD3" w14:textId="47919B37" w:rsidR="0009786A" w:rsidRPr="00BF55FF" w:rsidRDefault="0009786A" w:rsidP="006B1B1D">
            <w:pPr>
              <w:pStyle w:val="TableText0"/>
              <w:rPr>
                <w:b/>
                <w:bCs w:val="0"/>
              </w:rPr>
            </w:pPr>
            <w:r w:rsidRPr="00BF55FF">
              <w:rPr>
                <w:bCs w:val="0"/>
              </w:rPr>
              <w:t>High-Morbidity Attacks</w:t>
            </w:r>
            <w:r w:rsidR="00931627" w:rsidRPr="00BF55FF">
              <w:rPr>
                <w:bCs w:val="0"/>
                <w:vertAlign w:val="superscript"/>
              </w:rPr>
              <w:t>b</w:t>
            </w:r>
          </w:p>
          <w:p w14:paraId="16C22274" w14:textId="77777777" w:rsidR="000D221A" w:rsidRPr="00BF55FF" w:rsidRDefault="000D221A" w:rsidP="006B1B1D">
            <w:pPr>
              <w:pStyle w:val="TableText0"/>
              <w:rPr>
                <w:b/>
                <w:bCs w:val="0"/>
              </w:rPr>
            </w:pPr>
            <w:r w:rsidRPr="00BF55FF">
              <w:rPr>
                <w:bCs w:val="0"/>
              </w:rPr>
              <w:t>Mean (SD)</w:t>
            </w:r>
          </w:p>
          <w:p w14:paraId="0E708FE8" w14:textId="747352EF" w:rsidR="000D221A" w:rsidRPr="00BF55FF" w:rsidRDefault="000D221A" w:rsidP="006B1B1D">
            <w:pPr>
              <w:pStyle w:val="TableText0"/>
              <w:rPr>
                <w:b/>
                <w:bCs w:val="0"/>
              </w:rPr>
            </w:pPr>
            <w:r w:rsidRPr="00BF55FF">
              <w:rPr>
                <w:bCs w:val="0"/>
              </w:rPr>
              <w:t>Median</w:t>
            </w:r>
            <w:r w:rsidR="00D72EBF" w:rsidRPr="00BF55FF">
              <w:rPr>
                <w:bCs w:val="0"/>
              </w:rPr>
              <w:t xml:space="preserve"> (range)</w:t>
            </w:r>
          </w:p>
        </w:tc>
        <w:tc>
          <w:tcPr>
            <w:tcW w:w="1641" w:type="pct"/>
          </w:tcPr>
          <w:p w14:paraId="20D17AB1" w14:textId="77777777" w:rsidR="000D221A" w:rsidRPr="00BF55FF" w:rsidRDefault="000D221A" w:rsidP="00B37FEF">
            <w:pPr>
              <w:pStyle w:val="TableText0"/>
              <w:jc w:val="center"/>
              <w:rPr>
                <w:b/>
                <w:bCs w:val="0"/>
              </w:rPr>
            </w:pPr>
          </w:p>
          <w:p w14:paraId="0DE65E45" w14:textId="782A8DF3" w:rsidR="0009786A" w:rsidRPr="00BF55FF" w:rsidRDefault="0009786A" w:rsidP="00F0447B">
            <w:pPr>
              <w:pStyle w:val="TableText0"/>
              <w:numPr>
                <w:ilvl w:val="1"/>
                <w:numId w:val="9"/>
              </w:numPr>
              <w:jc w:val="center"/>
              <w:rPr>
                <w:b/>
                <w:bCs w:val="0"/>
              </w:rPr>
            </w:pPr>
            <w:r w:rsidRPr="00BF55FF">
              <w:rPr>
                <w:bCs w:val="0"/>
              </w:rPr>
              <w:t>(0.034)</w:t>
            </w:r>
          </w:p>
          <w:p w14:paraId="0F4D6032" w14:textId="40EAE3DD" w:rsidR="000D221A" w:rsidRPr="00BF55FF" w:rsidRDefault="0000732B" w:rsidP="00B37FEF">
            <w:pPr>
              <w:pStyle w:val="TableText0"/>
              <w:jc w:val="center"/>
              <w:rPr>
                <w:b/>
                <w:bCs w:val="0"/>
              </w:rPr>
            </w:pPr>
            <w:r w:rsidRPr="00BF55FF">
              <w:rPr>
                <w:bCs w:val="0"/>
              </w:rPr>
              <w:t>0.00</w:t>
            </w:r>
            <w:r w:rsidR="00D72EBF" w:rsidRPr="00BF55FF">
              <w:rPr>
                <w:bCs w:val="0"/>
              </w:rPr>
              <w:t xml:space="preserve"> (0.0 - 0.2)</w:t>
            </w:r>
          </w:p>
        </w:tc>
        <w:tc>
          <w:tcPr>
            <w:tcW w:w="2050" w:type="pct"/>
          </w:tcPr>
          <w:p w14:paraId="5EB852F5" w14:textId="77777777" w:rsidR="0009786A" w:rsidRPr="00BF55FF" w:rsidRDefault="0009786A" w:rsidP="00B37FEF">
            <w:pPr>
              <w:pStyle w:val="TableText0"/>
              <w:jc w:val="center"/>
              <w:rPr>
                <w:b/>
                <w:bCs w:val="0"/>
              </w:rPr>
            </w:pPr>
          </w:p>
          <w:p w14:paraId="05DCD63A" w14:textId="77777777" w:rsidR="0009786A" w:rsidRPr="00BF55FF" w:rsidRDefault="0009786A" w:rsidP="00B37FEF">
            <w:pPr>
              <w:pStyle w:val="TableText0"/>
              <w:jc w:val="center"/>
              <w:rPr>
                <w:b/>
                <w:bCs w:val="0"/>
              </w:rPr>
            </w:pPr>
            <w:r w:rsidRPr="00BF55FF">
              <w:rPr>
                <w:bCs w:val="0"/>
              </w:rPr>
              <w:t>0.16 (0.304)</w:t>
            </w:r>
          </w:p>
          <w:p w14:paraId="26701863" w14:textId="0921032A" w:rsidR="000D221A" w:rsidRPr="00BF55FF" w:rsidRDefault="0000732B" w:rsidP="00B37FEF">
            <w:pPr>
              <w:pStyle w:val="TableText0"/>
              <w:jc w:val="center"/>
              <w:rPr>
                <w:b/>
                <w:bCs w:val="0"/>
              </w:rPr>
            </w:pPr>
            <w:r w:rsidRPr="00BF55FF">
              <w:rPr>
                <w:bCs w:val="0"/>
              </w:rPr>
              <w:t>0.00</w:t>
            </w:r>
            <w:r w:rsidR="00D72EBF" w:rsidRPr="00BF55FF">
              <w:rPr>
                <w:bCs w:val="0"/>
              </w:rPr>
              <w:t xml:space="preserve"> (0.0 - 0.8)</w:t>
            </w:r>
          </w:p>
        </w:tc>
      </w:tr>
      <w:tr w:rsidR="0009786A" w:rsidRPr="00BF55FF" w14:paraId="35AAF8B3" w14:textId="77777777" w:rsidTr="000005EE">
        <w:trPr>
          <w:cantSplit/>
        </w:trPr>
        <w:tc>
          <w:tcPr>
            <w:tcW w:w="1309" w:type="pct"/>
            <w:vAlign w:val="center"/>
          </w:tcPr>
          <w:p w14:paraId="760C7649" w14:textId="1ADB1BDC" w:rsidR="0009786A" w:rsidRPr="00BF55FF" w:rsidRDefault="005D0853" w:rsidP="006B1B1D">
            <w:pPr>
              <w:pStyle w:val="TableText0"/>
              <w:rPr>
                <w:b/>
                <w:bCs w:val="0"/>
              </w:rPr>
            </w:pPr>
            <w:r w:rsidRPr="00BF55FF">
              <w:rPr>
                <w:bCs w:val="0"/>
              </w:rPr>
              <w:t>Patients with no attacks, n (%)</w:t>
            </w:r>
          </w:p>
        </w:tc>
        <w:tc>
          <w:tcPr>
            <w:tcW w:w="1641" w:type="pct"/>
            <w:vAlign w:val="center"/>
          </w:tcPr>
          <w:p w14:paraId="5722D59D" w14:textId="1D85F40C" w:rsidR="0009786A" w:rsidRPr="00BF55FF" w:rsidRDefault="0009786A" w:rsidP="00B37FEF">
            <w:pPr>
              <w:pStyle w:val="TableText0"/>
              <w:jc w:val="center"/>
              <w:rPr>
                <w:b/>
                <w:bCs w:val="0"/>
              </w:rPr>
            </w:pPr>
            <w:r w:rsidRPr="00BF55FF">
              <w:rPr>
                <w:bCs w:val="0"/>
              </w:rPr>
              <w:t>16 (76.2%)</w:t>
            </w:r>
          </w:p>
        </w:tc>
        <w:tc>
          <w:tcPr>
            <w:tcW w:w="2050" w:type="pct"/>
          </w:tcPr>
          <w:p w14:paraId="2780D20B" w14:textId="52C9209A" w:rsidR="0009786A" w:rsidRPr="00BF55FF" w:rsidRDefault="0009786A" w:rsidP="00B37FEF">
            <w:pPr>
              <w:pStyle w:val="TableText0"/>
              <w:jc w:val="center"/>
              <w:rPr>
                <w:b/>
                <w:bCs w:val="0"/>
              </w:rPr>
            </w:pPr>
            <w:r w:rsidRPr="00BF55FF">
              <w:rPr>
                <w:bCs w:val="0"/>
              </w:rPr>
              <w:t>NA</w:t>
            </w:r>
          </w:p>
        </w:tc>
      </w:tr>
      <w:tr w:rsidR="00F45528" w:rsidRPr="00BF55FF" w14:paraId="674934E2" w14:textId="77777777" w:rsidTr="000005EE">
        <w:trPr>
          <w:cantSplit/>
        </w:trPr>
        <w:tc>
          <w:tcPr>
            <w:tcW w:w="1309" w:type="pct"/>
            <w:vAlign w:val="center"/>
          </w:tcPr>
          <w:p w14:paraId="5EAA2715" w14:textId="0C10E3EC" w:rsidR="00F45528" w:rsidRPr="00BF55FF" w:rsidRDefault="005D0853" w:rsidP="006B1B1D">
            <w:pPr>
              <w:pStyle w:val="TableText0"/>
              <w:rPr>
                <w:b/>
                <w:bCs w:val="0"/>
              </w:rPr>
            </w:pPr>
            <w:r w:rsidRPr="00BF55FF">
              <w:rPr>
                <w:bCs w:val="0"/>
              </w:rPr>
              <w:t>P</w:t>
            </w:r>
            <w:r w:rsidR="00F45528" w:rsidRPr="00BF55FF">
              <w:rPr>
                <w:bCs w:val="0"/>
              </w:rPr>
              <w:t>atients with attacks</w:t>
            </w:r>
            <w:r w:rsidRPr="00BF55FF">
              <w:rPr>
                <w:bCs w:val="0"/>
              </w:rPr>
              <w:t>, n (%)</w:t>
            </w:r>
          </w:p>
        </w:tc>
        <w:tc>
          <w:tcPr>
            <w:tcW w:w="1641" w:type="pct"/>
            <w:vAlign w:val="center"/>
          </w:tcPr>
          <w:p w14:paraId="40AA3DCD" w14:textId="5925FF68" w:rsidR="00F45528" w:rsidRPr="00BF55FF" w:rsidRDefault="005D0853" w:rsidP="00B37FEF">
            <w:pPr>
              <w:pStyle w:val="TableText0"/>
              <w:jc w:val="center"/>
              <w:rPr>
                <w:b/>
                <w:bCs w:val="0"/>
              </w:rPr>
            </w:pPr>
            <w:r w:rsidRPr="00BF55FF">
              <w:rPr>
                <w:bCs w:val="0"/>
              </w:rPr>
              <w:t>5 (23.8%)</w:t>
            </w:r>
          </w:p>
        </w:tc>
        <w:tc>
          <w:tcPr>
            <w:tcW w:w="2050" w:type="pct"/>
          </w:tcPr>
          <w:p w14:paraId="5E11ADE6" w14:textId="37738C36" w:rsidR="00F45528" w:rsidRPr="00BF55FF" w:rsidRDefault="006B1B1D" w:rsidP="00B37FEF">
            <w:pPr>
              <w:pStyle w:val="TableText0"/>
              <w:jc w:val="center"/>
              <w:rPr>
                <w:b/>
                <w:bCs w:val="0"/>
              </w:rPr>
            </w:pPr>
            <w:r w:rsidRPr="00BF55FF">
              <w:rPr>
                <w:bCs w:val="0"/>
              </w:rPr>
              <w:t>NA</w:t>
            </w:r>
          </w:p>
        </w:tc>
      </w:tr>
      <w:tr w:rsidR="00211E25" w:rsidRPr="00BF55FF" w14:paraId="023EAAD1" w14:textId="77777777" w:rsidTr="000005EE">
        <w:trPr>
          <w:cantSplit/>
        </w:trPr>
        <w:tc>
          <w:tcPr>
            <w:tcW w:w="1309" w:type="pct"/>
            <w:vAlign w:val="center"/>
          </w:tcPr>
          <w:p w14:paraId="64A2EF88" w14:textId="2C21FF53" w:rsidR="00211E25" w:rsidRPr="00BF55FF" w:rsidRDefault="00211E25" w:rsidP="006B1B1D">
            <w:pPr>
              <w:pStyle w:val="TableText0"/>
              <w:rPr>
                <w:b/>
                <w:bCs w:val="0"/>
              </w:rPr>
            </w:pPr>
            <w:r w:rsidRPr="00BF55FF">
              <w:rPr>
                <w:bCs w:val="0"/>
              </w:rPr>
              <w:t>Number of attacks</w:t>
            </w:r>
          </w:p>
        </w:tc>
        <w:tc>
          <w:tcPr>
            <w:tcW w:w="1641" w:type="pct"/>
            <w:vAlign w:val="center"/>
          </w:tcPr>
          <w:p w14:paraId="59CC15AA" w14:textId="317528C1" w:rsidR="00211E25" w:rsidRPr="00BF55FF" w:rsidRDefault="00211E25" w:rsidP="00B37FEF">
            <w:pPr>
              <w:pStyle w:val="TableText0"/>
              <w:jc w:val="center"/>
              <w:rPr>
                <w:b/>
                <w:bCs w:val="0"/>
              </w:rPr>
            </w:pPr>
            <w:r w:rsidRPr="00BF55FF">
              <w:rPr>
                <w:bCs w:val="0"/>
              </w:rPr>
              <w:t>23</w:t>
            </w:r>
          </w:p>
        </w:tc>
        <w:tc>
          <w:tcPr>
            <w:tcW w:w="2050" w:type="pct"/>
          </w:tcPr>
          <w:p w14:paraId="056802C3" w14:textId="7A9C37D2" w:rsidR="00211E25" w:rsidRPr="00BF55FF" w:rsidRDefault="006B1B1D" w:rsidP="00B37FEF">
            <w:pPr>
              <w:pStyle w:val="TableText0"/>
              <w:jc w:val="center"/>
              <w:rPr>
                <w:b/>
                <w:bCs w:val="0"/>
              </w:rPr>
            </w:pPr>
            <w:r w:rsidRPr="00BF55FF">
              <w:rPr>
                <w:bCs w:val="0"/>
              </w:rPr>
              <w:t>NR</w:t>
            </w:r>
          </w:p>
        </w:tc>
      </w:tr>
      <w:tr w:rsidR="00470FA2" w:rsidRPr="00BF55FF" w14:paraId="7C29A12D" w14:textId="77777777" w:rsidTr="000005EE">
        <w:trPr>
          <w:cantSplit/>
        </w:trPr>
        <w:tc>
          <w:tcPr>
            <w:tcW w:w="5000" w:type="pct"/>
            <w:gridSpan w:val="3"/>
            <w:vAlign w:val="center"/>
          </w:tcPr>
          <w:p w14:paraId="3F495AB5" w14:textId="4C46A190" w:rsidR="00470FA2" w:rsidRPr="00BF55FF" w:rsidRDefault="00470FA2" w:rsidP="006B1B1D">
            <w:pPr>
              <w:pStyle w:val="TableText0"/>
              <w:rPr>
                <w:b/>
              </w:rPr>
            </w:pPr>
            <w:r w:rsidRPr="00BF55FF">
              <w:rPr>
                <w:b/>
              </w:rPr>
              <w:t>Achieved MCID for change in PedsQL, n</w:t>
            </w:r>
            <w:r w:rsidR="000E25D9" w:rsidRPr="00BF55FF">
              <w:rPr>
                <w:b/>
              </w:rPr>
              <w:t>/N</w:t>
            </w:r>
            <w:r w:rsidRPr="00BF55FF">
              <w:rPr>
                <w:b/>
              </w:rPr>
              <w:t>, %</w:t>
            </w:r>
          </w:p>
        </w:tc>
      </w:tr>
      <w:tr w:rsidR="00470FA2" w:rsidRPr="00BF55FF" w14:paraId="10328779" w14:textId="77777777" w:rsidTr="000005EE">
        <w:trPr>
          <w:cantSplit/>
        </w:trPr>
        <w:tc>
          <w:tcPr>
            <w:tcW w:w="1309" w:type="pct"/>
            <w:vAlign w:val="center"/>
          </w:tcPr>
          <w:p w14:paraId="16550765" w14:textId="1BA24E6C" w:rsidR="00470FA2" w:rsidRPr="00BF55FF" w:rsidRDefault="000E25D9" w:rsidP="006B1B1D">
            <w:pPr>
              <w:pStyle w:val="TableText0"/>
              <w:rPr>
                <w:b/>
                <w:bCs w:val="0"/>
              </w:rPr>
            </w:pPr>
            <w:r w:rsidRPr="00BF55FF">
              <w:rPr>
                <w:bCs w:val="0"/>
              </w:rPr>
              <w:t>Aged 2-4</w:t>
            </w:r>
          </w:p>
        </w:tc>
        <w:tc>
          <w:tcPr>
            <w:tcW w:w="1641" w:type="pct"/>
            <w:vAlign w:val="center"/>
          </w:tcPr>
          <w:p w14:paraId="57096CEE" w14:textId="536E13FB" w:rsidR="00470FA2" w:rsidRPr="00BF55FF" w:rsidRDefault="000E25D9" w:rsidP="00B37FEF">
            <w:pPr>
              <w:pStyle w:val="TableText0"/>
              <w:jc w:val="center"/>
              <w:rPr>
                <w:b/>
                <w:bCs w:val="0"/>
              </w:rPr>
            </w:pPr>
            <w:r w:rsidRPr="00BF55FF">
              <w:rPr>
                <w:bCs w:val="0"/>
              </w:rPr>
              <w:t>2/2 (100%)</w:t>
            </w:r>
          </w:p>
        </w:tc>
        <w:tc>
          <w:tcPr>
            <w:tcW w:w="2050" w:type="pct"/>
          </w:tcPr>
          <w:p w14:paraId="1FA4CBFE" w14:textId="2E5F9A83" w:rsidR="00470FA2" w:rsidRPr="00BF55FF" w:rsidRDefault="00470FA2" w:rsidP="00B37FEF">
            <w:pPr>
              <w:pStyle w:val="TableText0"/>
              <w:jc w:val="center"/>
              <w:rPr>
                <w:b/>
                <w:bCs w:val="0"/>
              </w:rPr>
            </w:pPr>
            <w:r w:rsidRPr="00BF55FF">
              <w:rPr>
                <w:bCs w:val="0"/>
              </w:rPr>
              <w:t>NA</w:t>
            </w:r>
          </w:p>
        </w:tc>
      </w:tr>
      <w:tr w:rsidR="000E25D9" w:rsidRPr="00BF55FF" w14:paraId="6F8972B8" w14:textId="77777777" w:rsidTr="000005EE">
        <w:trPr>
          <w:cantSplit/>
        </w:trPr>
        <w:tc>
          <w:tcPr>
            <w:tcW w:w="1309" w:type="pct"/>
            <w:vAlign w:val="center"/>
          </w:tcPr>
          <w:p w14:paraId="7B5BE6E5" w14:textId="1E2FEE4C" w:rsidR="000E25D9" w:rsidRPr="00BF55FF" w:rsidRDefault="000E25D9" w:rsidP="006B1B1D">
            <w:pPr>
              <w:pStyle w:val="TableText0"/>
              <w:rPr>
                <w:b/>
                <w:bCs w:val="0"/>
              </w:rPr>
            </w:pPr>
            <w:r w:rsidRPr="00BF55FF">
              <w:rPr>
                <w:bCs w:val="0"/>
              </w:rPr>
              <w:t>Aged 5-7</w:t>
            </w:r>
          </w:p>
        </w:tc>
        <w:tc>
          <w:tcPr>
            <w:tcW w:w="1641" w:type="pct"/>
            <w:vAlign w:val="center"/>
          </w:tcPr>
          <w:p w14:paraId="0FB5DF06" w14:textId="5CB8EA2C" w:rsidR="000E25D9" w:rsidRPr="00BF55FF" w:rsidRDefault="000E25D9" w:rsidP="00B37FEF">
            <w:pPr>
              <w:pStyle w:val="TableText0"/>
              <w:jc w:val="center"/>
              <w:rPr>
                <w:b/>
                <w:bCs w:val="0"/>
              </w:rPr>
            </w:pPr>
            <w:r w:rsidRPr="00BF55FF">
              <w:rPr>
                <w:bCs w:val="0"/>
              </w:rPr>
              <w:t>4/5 (80%)</w:t>
            </w:r>
          </w:p>
        </w:tc>
        <w:tc>
          <w:tcPr>
            <w:tcW w:w="2050" w:type="pct"/>
          </w:tcPr>
          <w:p w14:paraId="4F399802" w14:textId="6BD38717" w:rsidR="000E25D9" w:rsidRPr="00BF55FF" w:rsidRDefault="000E25D9" w:rsidP="00B37FEF">
            <w:pPr>
              <w:pStyle w:val="TableText0"/>
              <w:jc w:val="center"/>
              <w:rPr>
                <w:b/>
                <w:bCs w:val="0"/>
              </w:rPr>
            </w:pPr>
            <w:r w:rsidRPr="00BF55FF">
              <w:rPr>
                <w:bCs w:val="0"/>
              </w:rPr>
              <w:t>NA</w:t>
            </w:r>
          </w:p>
        </w:tc>
      </w:tr>
      <w:tr w:rsidR="000E25D9" w:rsidRPr="00BF55FF" w14:paraId="0DC2A586" w14:textId="77777777" w:rsidTr="000005EE">
        <w:trPr>
          <w:cantSplit/>
        </w:trPr>
        <w:tc>
          <w:tcPr>
            <w:tcW w:w="1309" w:type="pct"/>
            <w:vAlign w:val="center"/>
          </w:tcPr>
          <w:p w14:paraId="0C6F923B" w14:textId="5DB514EB" w:rsidR="000E25D9" w:rsidRPr="00BF55FF" w:rsidRDefault="000E25D9" w:rsidP="006B1B1D">
            <w:pPr>
              <w:pStyle w:val="TableText0"/>
              <w:rPr>
                <w:b/>
                <w:bCs w:val="0"/>
              </w:rPr>
            </w:pPr>
            <w:r w:rsidRPr="00BF55FF">
              <w:rPr>
                <w:bCs w:val="0"/>
              </w:rPr>
              <w:t>Aged 8-11</w:t>
            </w:r>
          </w:p>
        </w:tc>
        <w:tc>
          <w:tcPr>
            <w:tcW w:w="1641" w:type="pct"/>
            <w:vAlign w:val="center"/>
          </w:tcPr>
          <w:p w14:paraId="2F499B48" w14:textId="6D22914C" w:rsidR="000E25D9" w:rsidRPr="00BF55FF" w:rsidRDefault="000E25D9" w:rsidP="00B37FEF">
            <w:pPr>
              <w:pStyle w:val="TableText0"/>
              <w:jc w:val="center"/>
              <w:rPr>
                <w:b/>
                <w:bCs w:val="0"/>
              </w:rPr>
            </w:pPr>
            <w:r w:rsidRPr="00BF55FF">
              <w:rPr>
                <w:bCs w:val="0"/>
              </w:rPr>
              <w:t>9/13 (69.2%)</w:t>
            </w:r>
          </w:p>
        </w:tc>
        <w:tc>
          <w:tcPr>
            <w:tcW w:w="2050" w:type="pct"/>
          </w:tcPr>
          <w:p w14:paraId="35D6D553" w14:textId="6E182513" w:rsidR="000E25D9" w:rsidRPr="00BF55FF" w:rsidRDefault="000E25D9" w:rsidP="00B37FEF">
            <w:pPr>
              <w:pStyle w:val="TableText0"/>
              <w:jc w:val="center"/>
              <w:rPr>
                <w:b/>
                <w:bCs w:val="0"/>
              </w:rPr>
            </w:pPr>
            <w:r w:rsidRPr="00BF55FF">
              <w:rPr>
                <w:bCs w:val="0"/>
              </w:rPr>
              <w:t>NA</w:t>
            </w:r>
          </w:p>
        </w:tc>
      </w:tr>
      <w:tr w:rsidR="004F0FC4" w:rsidRPr="00BF55FF" w14:paraId="7DFA201C" w14:textId="77777777" w:rsidTr="000005EE">
        <w:trPr>
          <w:cantSplit/>
        </w:trPr>
        <w:tc>
          <w:tcPr>
            <w:tcW w:w="5000" w:type="pct"/>
            <w:gridSpan w:val="3"/>
            <w:vAlign w:val="center"/>
          </w:tcPr>
          <w:p w14:paraId="5AB57298" w14:textId="36E51112" w:rsidR="004F0FC4" w:rsidRPr="00BF55FF" w:rsidRDefault="004F0FC4" w:rsidP="006B1B1D">
            <w:pPr>
              <w:pStyle w:val="TableText0"/>
              <w:rPr>
                <w:b/>
              </w:rPr>
            </w:pPr>
            <w:r w:rsidRPr="00BF55FF">
              <w:rPr>
                <w:b/>
              </w:rPr>
              <w:t xml:space="preserve">Rescue </w:t>
            </w:r>
            <w:r w:rsidR="000E25D9" w:rsidRPr="00BF55FF">
              <w:rPr>
                <w:b/>
              </w:rPr>
              <w:t>m</w:t>
            </w:r>
            <w:r w:rsidRPr="00BF55FF">
              <w:rPr>
                <w:b/>
              </w:rPr>
              <w:t>edication, occasions of use</w:t>
            </w:r>
            <w:r w:rsidR="000E25D9" w:rsidRPr="00BF55FF">
              <w:rPr>
                <w:b/>
              </w:rPr>
              <w:t xml:space="preserve"> during treatment period</w:t>
            </w:r>
          </w:p>
        </w:tc>
      </w:tr>
      <w:tr w:rsidR="004F0FC4" w:rsidRPr="00BF55FF" w14:paraId="518DFFDD" w14:textId="77777777" w:rsidTr="000005EE">
        <w:trPr>
          <w:cantSplit/>
        </w:trPr>
        <w:tc>
          <w:tcPr>
            <w:tcW w:w="1309" w:type="pct"/>
            <w:vAlign w:val="center"/>
          </w:tcPr>
          <w:p w14:paraId="31F0E4C2" w14:textId="678A15EF" w:rsidR="004F0FC4" w:rsidRPr="00BF55FF" w:rsidRDefault="004F0FC4" w:rsidP="006B1B1D">
            <w:pPr>
              <w:pStyle w:val="TableText0"/>
              <w:rPr>
                <w:b/>
                <w:bCs w:val="0"/>
              </w:rPr>
            </w:pPr>
            <w:r w:rsidRPr="00BF55FF">
              <w:rPr>
                <w:bCs w:val="0"/>
              </w:rPr>
              <w:t>Icatibant</w:t>
            </w:r>
          </w:p>
        </w:tc>
        <w:tc>
          <w:tcPr>
            <w:tcW w:w="1641" w:type="pct"/>
            <w:vAlign w:val="center"/>
          </w:tcPr>
          <w:p w14:paraId="0184C2CB" w14:textId="247D96F7" w:rsidR="004F0FC4" w:rsidRPr="00BF55FF" w:rsidRDefault="004F0FC4" w:rsidP="00B37FEF">
            <w:pPr>
              <w:pStyle w:val="TableText0"/>
              <w:jc w:val="center"/>
              <w:rPr>
                <w:b/>
                <w:bCs w:val="0"/>
              </w:rPr>
            </w:pPr>
            <w:r w:rsidRPr="00BF55FF">
              <w:rPr>
                <w:bCs w:val="0"/>
              </w:rPr>
              <w:t>6</w:t>
            </w:r>
          </w:p>
        </w:tc>
        <w:tc>
          <w:tcPr>
            <w:tcW w:w="2050" w:type="pct"/>
          </w:tcPr>
          <w:p w14:paraId="5D3190D4" w14:textId="22C9F6D2" w:rsidR="004F0FC4" w:rsidRPr="00BF55FF" w:rsidRDefault="004F0FC4" w:rsidP="00B37FEF">
            <w:pPr>
              <w:pStyle w:val="TableText0"/>
              <w:jc w:val="center"/>
              <w:rPr>
                <w:b/>
                <w:bCs w:val="0"/>
              </w:rPr>
            </w:pPr>
            <w:r w:rsidRPr="00BF55FF">
              <w:rPr>
                <w:bCs w:val="0"/>
              </w:rPr>
              <w:t>5</w:t>
            </w:r>
          </w:p>
        </w:tc>
      </w:tr>
      <w:tr w:rsidR="004F0FC4" w:rsidRPr="00BF55FF" w14:paraId="7DE4F081" w14:textId="77777777" w:rsidTr="000005EE">
        <w:trPr>
          <w:cantSplit/>
        </w:trPr>
        <w:tc>
          <w:tcPr>
            <w:tcW w:w="1309" w:type="pct"/>
            <w:vAlign w:val="center"/>
          </w:tcPr>
          <w:p w14:paraId="1A200F78" w14:textId="4C8F7234" w:rsidR="004F0FC4" w:rsidRPr="00BF55FF" w:rsidRDefault="004F0FC4" w:rsidP="006B1B1D">
            <w:pPr>
              <w:pStyle w:val="TableText0"/>
              <w:rPr>
                <w:b/>
                <w:bCs w:val="0"/>
              </w:rPr>
            </w:pPr>
            <w:r w:rsidRPr="00BF55FF">
              <w:rPr>
                <w:bCs w:val="0"/>
              </w:rPr>
              <w:t>C1-INH</w:t>
            </w:r>
          </w:p>
        </w:tc>
        <w:tc>
          <w:tcPr>
            <w:tcW w:w="1641" w:type="pct"/>
            <w:vAlign w:val="center"/>
          </w:tcPr>
          <w:p w14:paraId="5AFE4090" w14:textId="1A4D4E85" w:rsidR="004F0FC4" w:rsidRPr="00BF55FF" w:rsidRDefault="004F0FC4" w:rsidP="00B37FEF">
            <w:pPr>
              <w:pStyle w:val="TableText0"/>
              <w:jc w:val="center"/>
              <w:rPr>
                <w:b/>
                <w:bCs w:val="0"/>
              </w:rPr>
            </w:pPr>
            <w:r w:rsidRPr="00BF55FF">
              <w:rPr>
                <w:bCs w:val="0"/>
              </w:rPr>
              <w:t>14</w:t>
            </w:r>
          </w:p>
        </w:tc>
        <w:tc>
          <w:tcPr>
            <w:tcW w:w="2050" w:type="pct"/>
          </w:tcPr>
          <w:p w14:paraId="66FFC993" w14:textId="003A99B0" w:rsidR="004F0FC4" w:rsidRPr="00BF55FF" w:rsidRDefault="004F0FC4" w:rsidP="00B37FEF">
            <w:pPr>
              <w:pStyle w:val="TableText0"/>
              <w:jc w:val="center"/>
              <w:rPr>
                <w:b/>
                <w:bCs w:val="0"/>
              </w:rPr>
            </w:pPr>
            <w:r w:rsidRPr="00BF55FF">
              <w:rPr>
                <w:bCs w:val="0"/>
              </w:rPr>
              <w:t>38</w:t>
            </w:r>
          </w:p>
        </w:tc>
      </w:tr>
    </w:tbl>
    <w:p w14:paraId="7B13C8AF" w14:textId="4A7F194B" w:rsidR="00760C4E" w:rsidRPr="00BF55FF" w:rsidRDefault="00760C4E" w:rsidP="00D86231">
      <w:pPr>
        <w:pStyle w:val="FooterTableFigure"/>
        <w:rPr>
          <w:sz w:val="20"/>
        </w:rPr>
      </w:pPr>
      <w:r w:rsidRPr="00BF55FF">
        <w:t>Source:</w:t>
      </w:r>
      <w:r w:rsidR="0009786A" w:rsidRPr="00BF55FF">
        <w:t xml:space="preserve"> Table 30, p37, Table 32, p41, Table 33, p43, Table 34, p44</w:t>
      </w:r>
      <w:r w:rsidR="00A06E1E" w:rsidRPr="00BF55FF">
        <w:t>, Figure 8, p45</w:t>
      </w:r>
      <w:r w:rsidR="005D0853" w:rsidRPr="00BF55FF">
        <w:t xml:space="preserve">, Table 36, p47 </w:t>
      </w:r>
      <w:r w:rsidR="00B03F73" w:rsidRPr="00BF55FF">
        <w:t>of the submission</w:t>
      </w:r>
      <w:r w:rsidR="000E25D9" w:rsidRPr="00BF55FF">
        <w:t>;</w:t>
      </w:r>
      <w:r w:rsidR="00A06E1E" w:rsidRPr="00BF55FF">
        <w:t xml:space="preserve"> </w:t>
      </w:r>
      <w:r w:rsidR="00F4323B" w:rsidRPr="00BF55FF">
        <w:t xml:space="preserve">Table 12, p97, Table 18, p105, Table 22, p110, </w:t>
      </w:r>
      <w:r w:rsidR="004F0FC4" w:rsidRPr="00BF55FF">
        <w:t>Table 25, pp120-4</w:t>
      </w:r>
      <w:r w:rsidR="00C83248" w:rsidRPr="00BF55FF">
        <w:t>,</w:t>
      </w:r>
      <w:r w:rsidR="004F0FC4" w:rsidRPr="00BF55FF">
        <w:t xml:space="preserve"> SPRING CSR. </w:t>
      </w:r>
    </w:p>
    <w:p w14:paraId="114B035C" w14:textId="01142F2F" w:rsidR="00B83739" w:rsidRPr="00BF55FF" w:rsidRDefault="00470FA2" w:rsidP="00D86231">
      <w:pPr>
        <w:pStyle w:val="FooterTableFigure"/>
        <w:rPr>
          <w:rFonts w:eastAsia="Calibri"/>
        </w:rPr>
      </w:pPr>
      <w:r w:rsidRPr="00BF55FF">
        <w:rPr>
          <w:rFonts w:eastAsia="Calibri"/>
        </w:rPr>
        <w:t xml:space="preserve">MCID = minimum clinically-important difference; </w:t>
      </w:r>
      <w:r w:rsidR="0009786A" w:rsidRPr="00BF55FF">
        <w:rPr>
          <w:rFonts w:eastAsia="Calibri"/>
        </w:rPr>
        <w:t xml:space="preserve">NA = not applicable; </w:t>
      </w:r>
      <w:r w:rsidR="006B1B1D" w:rsidRPr="00BF55FF">
        <w:rPr>
          <w:rFonts w:eastAsia="Calibri"/>
        </w:rPr>
        <w:t xml:space="preserve">NR = not reported; </w:t>
      </w:r>
      <w:r w:rsidRPr="00BF55FF">
        <w:rPr>
          <w:rFonts w:eastAsia="Calibri"/>
        </w:rPr>
        <w:t xml:space="preserve">PedsQL = paediatric quality of life inventory; </w:t>
      </w:r>
      <w:r w:rsidR="0009786A" w:rsidRPr="00BF55FF">
        <w:rPr>
          <w:rFonts w:eastAsia="Calibri"/>
        </w:rPr>
        <w:t xml:space="preserve">SD = standard deviation. </w:t>
      </w:r>
    </w:p>
    <w:p w14:paraId="77BC1D68" w14:textId="6C563155" w:rsidR="00931627" w:rsidRPr="00BF55FF" w:rsidRDefault="00931627" w:rsidP="00931627">
      <w:pPr>
        <w:pStyle w:val="FooterTableFigure"/>
      </w:pPr>
      <w:proofErr w:type="spellStart"/>
      <w:r w:rsidRPr="00BF55FF">
        <w:rPr>
          <w:vertAlign w:val="superscript"/>
        </w:rPr>
        <w:t>a</w:t>
      </w:r>
      <w:proofErr w:type="spellEnd"/>
      <w:r w:rsidRPr="00BF55FF">
        <w:t xml:space="preserve"> Up to twelve weeks duration, but patients were observed only until an attack occurred, then entered the treatment period, except for attacks in the first 4 weeks, except that patients having 2 attacks in the first 2 weeks could enter the treatment period immediately;</w:t>
      </w:r>
      <w:r w:rsidRPr="00BF55FF">
        <w:rPr>
          <w:vertAlign w:val="superscript"/>
        </w:rPr>
        <w:t xml:space="preserve"> </w:t>
      </w:r>
      <w:r w:rsidRPr="00BF55FF">
        <w:t>preventative treatment, if used, was ceased at the start of the observation period.</w:t>
      </w:r>
    </w:p>
    <w:p w14:paraId="3F2D84EA" w14:textId="0B7419D9" w:rsidR="005E6D3A" w:rsidRPr="00BF55FF" w:rsidRDefault="00931627" w:rsidP="00D86231">
      <w:pPr>
        <w:pStyle w:val="FooterTableFigure"/>
        <w:rPr>
          <w:rFonts w:eastAsia="Calibri"/>
        </w:rPr>
      </w:pPr>
      <w:r w:rsidRPr="00BF55FF">
        <w:rPr>
          <w:rFonts w:asciiTheme="minorHAnsi" w:hAnsiTheme="minorHAnsi" w:cstheme="minorHAnsi"/>
          <w:szCs w:val="18"/>
          <w:vertAlign w:val="superscript"/>
        </w:rPr>
        <w:t>b</w:t>
      </w:r>
      <w:r w:rsidRPr="00BF55FF">
        <w:rPr>
          <w:vertAlign w:val="superscript"/>
        </w:rPr>
        <w:t xml:space="preserve"> </w:t>
      </w:r>
      <w:r w:rsidRPr="00BF55FF">
        <w:rPr>
          <w:rStyle w:val="TableFigureFooterChar"/>
        </w:rPr>
        <w:t>A high-morbidity attack was any attack that: was severe; resulted in hospitalization (except hospitalization for observation &lt;24 hours); was hemodynamically significant (systolic blood pressure &lt;90 or required IV hydration or was associated with syncope or near-syncope); or was laryngeal (SPRING CSR, p56).</w:t>
      </w:r>
    </w:p>
    <w:p w14:paraId="69E7AF47" w14:textId="6D20C87B" w:rsidR="00FD512F" w:rsidRPr="00BF55FF" w:rsidRDefault="005411DD" w:rsidP="00FD512F">
      <w:pPr>
        <w:pStyle w:val="3-BodyText"/>
        <w:rPr>
          <w:rFonts w:ascii="Calibri" w:hAnsi="Calibri" w:cs="Calibri"/>
          <w:color w:val="212121"/>
          <w:lang w:eastAsia="en-GB"/>
        </w:rPr>
      </w:pPr>
      <w:r w:rsidRPr="00BF55FF">
        <w:t xml:space="preserve">The number of </w:t>
      </w:r>
      <w:r w:rsidR="00A73DE3" w:rsidRPr="00BF55FF">
        <w:t>HAE a</w:t>
      </w:r>
      <w:r w:rsidR="005E6D3A" w:rsidRPr="00BF55FF">
        <w:t xml:space="preserve">ttacks </w:t>
      </w:r>
      <w:r w:rsidR="004773B9" w:rsidRPr="00BF55FF">
        <w:t xml:space="preserve">was </w:t>
      </w:r>
      <w:r w:rsidR="00D72EBF" w:rsidRPr="00BF55FF">
        <w:t>reduced by treatment</w:t>
      </w:r>
      <w:r w:rsidR="00D51F1C" w:rsidRPr="00BF55FF">
        <w:t xml:space="preserve"> with lanadelumab</w:t>
      </w:r>
      <w:r w:rsidR="005E6D3A" w:rsidRPr="00BF55FF">
        <w:t xml:space="preserve">. </w:t>
      </w:r>
      <w:r w:rsidR="00B97744" w:rsidRPr="00BF55FF">
        <w:t>The evaluation considered that i</w:t>
      </w:r>
      <w:r w:rsidR="005E6D3A" w:rsidRPr="00BF55FF">
        <w:t xml:space="preserve">t </w:t>
      </w:r>
      <w:r w:rsidR="004B1B96" w:rsidRPr="00BF55FF">
        <w:t>wa</w:t>
      </w:r>
      <w:r w:rsidR="005E6D3A" w:rsidRPr="00BF55FF">
        <w:t xml:space="preserve">s </w:t>
      </w:r>
      <w:r w:rsidR="00C83248" w:rsidRPr="00BF55FF">
        <w:t>difficult</w:t>
      </w:r>
      <w:r w:rsidR="005E6D3A" w:rsidRPr="00BF55FF">
        <w:t xml:space="preserve"> to compare the on-treatment rates with the baseline rates </w:t>
      </w:r>
      <w:r w:rsidR="00D731D3" w:rsidRPr="00BF55FF">
        <w:t xml:space="preserve">because of the way the baseline rate was defined </w:t>
      </w:r>
      <w:r w:rsidR="00894D1F" w:rsidRPr="00BF55FF">
        <w:t>(s</w:t>
      </w:r>
      <w:r w:rsidR="009741FF" w:rsidRPr="00BF55FF">
        <w:t xml:space="preserve">ee </w:t>
      </w:r>
      <w:r w:rsidR="0072110D" w:rsidRPr="00BF55FF">
        <w:t>paragraph</w:t>
      </w:r>
      <w:r w:rsidR="00CF078F" w:rsidRPr="00BF55FF">
        <w:t>s</w:t>
      </w:r>
      <w:r w:rsidR="00CC3762" w:rsidRPr="00BF55FF">
        <w:t xml:space="preserve"> </w:t>
      </w:r>
      <w:r w:rsidR="004B1B96" w:rsidRPr="00BF55FF">
        <w:fldChar w:fldCharType="begin" w:fldLock="1"/>
      </w:r>
      <w:r w:rsidR="004B1B96" w:rsidRPr="00BF55FF">
        <w:instrText xml:space="preserve"> REF _Ref175229545 \r \h  \* MERGEFORMAT </w:instrText>
      </w:r>
      <w:r w:rsidR="004B1B96" w:rsidRPr="00BF55FF">
        <w:fldChar w:fldCharType="separate"/>
      </w:r>
      <w:r w:rsidR="009C2393">
        <w:t>6.10</w:t>
      </w:r>
      <w:r w:rsidR="004B1B96" w:rsidRPr="00BF55FF">
        <w:fldChar w:fldCharType="end"/>
      </w:r>
      <w:r w:rsidR="004B1B96" w:rsidRPr="00BF55FF">
        <w:t xml:space="preserve"> and </w:t>
      </w:r>
      <w:r w:rsidR="004B1B96" w:rsidRPr="00BF55FF">
        <w:fldChar w:fldCharType="begin" w:fldLock="1"/>
      </w:r>
      <w:r w:rsidR="004B1B96" w:rsidRPr="00BF55FF">
        <w:instrText xml:space="preserve"> REF _Ref175659340 \r \h  \* MERGEFORMAT </w:instrText>
      </w:r>
      <w:r w:rsidR="004B1B96" w:rsidRPr="00BF55FF">
        <w:fldChar w:fldCharType="separate"/>
      </w:r>
      <w:r w:rsidR="009C2393">
        <w:t>6.11</w:t>
      </w:r>
      <w:r w:rsidR="004B1B96" w:rsidRPr="00BF55FF">
        <w:fldChar w:fldCharType="end"/>
      </w:r>
      <w:r w:rsidR="00894D1F" w:rsidRPr="00BF55FF">
        <w:t>)</w:t>
      </w:r>
      <w:r w:rsidR="009741FF" w:rsidRPr="00BF55FF">
        <w:t>.</w:t>
      </w:r>
      <w:r w:rsidR="00894D1F" w:rsidRPr="00BF55FF">
        <w:t xml:space="preserve"> </w:t>
      </w:r>
      <w:r w:rsidR="00144676" w:rsidRPr="00BF55FF">
        <w:t>The study</w:t>
      </w:r>
      <w:r w:rsidR="009043AF" w:rsidRPr="00BF55FF">
        <w:t xml:space="preserve"> results are</w:t>
      </w:r>
      <w:r w:rsidR="00144676" w:rsidRPr="00BF55FF">
        <w:t xml:space="preserve"> shown graphically in </w:t>
      </w:r>
      <w:r w:rsidR="00144676" w:rsidRPr="00BF55FF">
        <w:fldChar w:fldCharType="begin" w:fldLock="1"/>
      </w:r>
      <w:r w:rsidR="00144676" w:rsidRPr="00BF55FF">
        <w:instrText xml:space="preserve"> REF _Ref175742527 \h </w:instrText>
      </w:r>
      <w:r w:rsidR="009043AF" w:rsidRPr="00BF55FF">
        <w:instrText xml:space="preserve"> \* MERGEFORMAT </w:instrText>
      </w:r>
      <w:r w:rsidR="00144676" w:rsidRPr="00BF55FF">
        <w:fldChar w:fldCharType="separate"/>
      </w:r>
      <w:r w:rsidR="009C2393" w:rsidRPr="00BF55FF">
        <w:t xml:space="preserve">Figure </w:t>
      </w:r>
      <w:r w:rsidR="009C2393">
        <w:t>1</w:t>
      </w:r>
      <w:r w:rsidR="00144676" w:rsidRPr="00BF55FF">
        <w:fldChar w:fldCharType="end"/>
      </w:r>
      <w:r w:rsidR="00144676" w:rsidRPr="00BF55FF">
        <w:t xml:space="preserve">. This shows </w:t>
      </w:r>
      <w:r w:rsidR="00144676" w:rsidRPr="00BF55FF">
        <w:rPr>
          <w:lang w:eastAsia="en-GB"/>
        </w:rPr>
        <w:t>attacks for individual patients during the study, by original treatment assignment. The horizontal line is marked gr</w:t>
      </w:r>
      <w:r w:rsidR="00FD512F" w:rsidRPr="00BF55FF">
        <w:rPr>
          <w:lang w:eastAsia="en-GB"/>
        </w:rPr>
        <w:t>e</w:t>
      </w:r>
      <w:r w:rsidR="00144676" w:rsidRPr="00BF55FF">
        <w:rPr>
          <w:lang w:eastAsia="en-GB"/>
        </w:rPr>
        <w:t>y after the patient’s </w:t>
      </w:r>
      <w:hyperlink r:id="rId9" w:tooltip="https://www.sciencedirect.com/topics/medicine-and-dentistry/drug-dose-regimen" w:history="1">
        <w:r w:rsidR="00144676" w:rsidRPr="00BF55FF">
          <w:rPr>
            <w:lang w:eastAsia="en-GB"/>
          </w:rPr>
          <w:t>dose regimen</w:t>
        </w:r>
      </w:hyperlink>
      <w:r w:rsidR="00E80F55" w:rsidRPr="00BF55FF">
        <w:rPr>
          <w:lang w:eastAsia="en-GB"/>
        </w:rPr>
        <w:t xml:space="preserve"> </w:t>
      </w:r>
      <w:r w:rsidR="00144676" w:rsidRPr="00BF55FF">
        <w:rPr>
          <w:lang w:eastAsia="en-GB"/>
        </w:rPr>
        <w:t>changed. Only attacks that occurred during the baseline observation and treatment periods are depicted.</w:t>
      </w:r>
      <w:r w:rsidR="00FD512F" w:rsidRPr="00BF55FF">
        <w:rPr>
          <w:lang w:eastAsia="en-GB"/>
        </w:rPr>
        <w:t xml:space="preserve"> During </w:t>
      </w:r>
      <w:r w:rsidR="004773B9" w:rsidRPr="00BF55FF">
        <w:rPr>
          <w:lang w:eastAsia="en-GB"/>
        </w:rPr>
        <w:t xml:space="preserve">the </w:t>
      </w:r>
      <w:r w:rsidR="00FD512F" w:rsidRPr="00BF55FF">
        <w:rPr>
          <w:lang w:eastAsia="en-GB"/>
        </w:rPr>
        <w:t>fixed dosing</w:t>
      </w:r>
      <w:r w:rsidR="004773B9" w:rsidRPr="00BF55FF">
        <w:rPr>
          <w:lang w:eastAsia="en-GB"/>
        </w:rPr>
        <w:t xml:space="preserve"> period (Day 0 to 182</w:t>
      </w:r>
      <w:r w:rsidR="00FD512F" w:rsidRPr="00BF55FF">
        <w:rPr>
          <w:lang w:eastAsia="en-GB"/>
        </w:rPr>
        <w:t>)</w:t>
      </w:r>
      <w:r w:rsidR="00D51F1C" w:rsidRPr="00BF55FF">
        <w:rPr>
          <w:lang w:eastAsia="en-GB"/>
        </w:rPr>
        <w:t>,</w:t>
      </w:r>
      <w:r w:rsidR="00FD512F" w:rsidRPr="00BF55FF">
        <w:rPr>
          <w:lang w:eastAsia="en-GB"/>
        </w:rPr>
        <w:t xml:space="preserve"> 4/21 patients reported 13 attacks. </w:t>
      </w:r>
      <w:r w:rsidR="004773B9" w:rsidRPr="00BF55FF">
        <w:rPr>
          <w:lang w:eastAsia="en-GB"/>
        </w:rPr>
        <w:t>After this</w:t>
      </w:r>
      <w:r w:rsidR="00FD512F" w:rsidRPr="00BF55FF">
        <w:rPr>
          <w:lang w:eastAsia="en-GB"/>
        </w:rPr>
        <w:t xml:space="preserve"> (</w:t>
      </w:r>
      <w:r w:rsidR="004773B9" w:rsidRPr="00BF55FF">
        <w:rPr>
          <w:lang w:eastAsia="en-GB"/>
        </w:rPr>
        <w:t xml:space="preserve">when </w:t>
      </w:r>
      <w:r w:rsidR="00FD512F" w:rsidRPr="00BF55FF">
        <w:rPr>
          <w:lang w:eastAsia="en-GB"/>
        </w:rPr>
        <w:t>dosing could be adjusted to Q4W in patients over 6 years</w:t>
      </w:r>
      <w:r w:rsidR="009C26AA" w:rsidRPr="00BF55FF">
        <w:rPr>
          <w:lang w:eastAsia="en-GB"/>
        </w:rPr>
        <w:t xml:space="preserve">, paragraph </w:t>
      </w:r>
      <w:r w:rsidR="009C26AA" w:rsidRPr="00BF55FF">
        <w:rPr>
          <w:lang w:eastAsia="en-GB"/>
        </w:rPr>
        <w:fldChar w:fldCharType="begin" w:fldLock="1"/>
      </w:r>
      <w:r w:rsidR="009C26AA" w:rsidRPr="00BF55FF">
        <w:rPr>
          <w:lang w:eastAsia="en-GB"/>
        </w:rPr>
        <w:instrText xml:space="preserve"> REF _Ref178624391 \r \h </w:instrText>
      </w:r>
      <w:r w:rsidR="00BF55FF" w:rsidRPr="00BF55FF">
        <w:rPr>
          <w:lang w:eastAsia="en-GB"/>
        </w:rPr>
        <w:instrText xml:space="preserve"> \* MERGEFORMAT </w:instrText>
      </w:r>
      <w:r w:rsidR="009C26AA" w:rsidRPr="00BF55FF">
        <w:rPr>
          <w:lang w:eastAsia="en-GB"/>
        </w:rPr>
      </w:r>
      <w:r w:rsidR="009C26AA" w:rsidRPr="00BF55FF">
        <w:rPr>
          <w:lang w:eastAsia="en-GB"/>
        </w:rPr>
        <w:fldChar w:fldCharType="separate"/>
      </w:r>
      <w:r w:rsidR="009C2393">
        <w:rPr>
          <w:lang w:eastAsia="en-GB"/>
        </w:rPr>
        <w:t>6.12</w:t>
      </w:r>
      <w:r w:rsidR="009C26AA" w:rsidRPr="00BF55FF">
        <w:rPr>
          <w:lang w:eastAsia="en-GB"/>
        </w:rPr>
        <w:fldChar w:fldCharType="end"/>
      </w:r>
      <w:r w:rsidR="00FD512F" w:rsidRPr="00BF55FF">
        <w:rPr>
          <w:lang w:eastAsia="en-GB"/>
        </w:rPr>
        <w:t>), 5</w:t>
      </w:r>
      <w:r w:rsidR="004773B9" w:rsidRPr="00BF55FF">
        <w:rPr>
          <w:lang w:eastAsia="en-GB"/>
        </w:rPr>
        <w:t> </w:t>
      </w:r>
      <w:r w:rsidR="00FD512F" w:rsidRPr="00BF55FF">
        <w:rPr>
          <w:lang w:eastAsia="en-GB"/>
        </w:rPr>
        <w:t>patients reported 10 attacks and 15 patients were attack free.</w:t>
      </w:r>
    </w:p>
    <w:p w14:paraId="18ACB792" w14:textId="77777777" w:rsidR="00F16288" w:rsidRPr="00F16288" w:rsidRDefault="00F16288" w:rsidP="00144676">
      <w:pPr>
        <w:pStyle w:val="3-BodyText"/>
        <w:numPr>
          <w:ilvl w:val="0"/>
          <w:numId w:val="0"/>
        </w:numPr>
        <w:ind w:left="720"/>
      </w:pPr>
    </w:p>
    <w:p w14:paraId="15FB2A65" w14:textId="28C83432" w:rsidR="00144676" w:rsidRPr="00BF55FF" w:rsidRDefault="00144676" w:rsidP="009917FE">
      <w:pPr>
        <w:pStyle w:val="Caption"/>
      </w:pPr>
      <w:bookmarkStart w:id="36" w:name="_Ref175742527"/>
      <w:r w:rsidRPr="00BF55FF">
        <w:lastRenderedPageBreak/>
        <w:t xml:space="preserve">Figure </w:t>
      </w:r>
      <w:r w:rsidR="00ED245D" w:rsidRPr="00BF55FF">
        <w:fldChar w:fldCharType="begin" w:fldLock="1"/>
      </w:r>
      <w:r w:rsidR="00ED245D" w:rsidRPr="00BF55FF">
        <w:instrText xml:space="preserve"> SEQ Figure \* ARABIC </w:instrText>
      </w:r>
      <w:r w:rsidR="00ED245D" w:rsidRPr="00BF55FF">
        <w:fldChar w:fldCharType="separate"/>
      </w:r>
      <w:r w:rsidR="009C2393">
        <w:rPr>
          <w:noProof/>
        </w:rPr>
        <w:t>1</w:t>
      </w:r>
      <w:r w:rsidR="00ED245D" w:rsidRPr="00BF55FF">
        <w:fldChar w:fldCharType="end"/>
      </w:r>
      <w:bookmarkEnd w:id="36"/>
      <w:r w:rsidRPr="00BF55FF">
        <w:t>: Individual patient data from the SPRING study</w:t>
      </w:r>
    </w:p>
    <w:p w14:paraId="0DEEBF02" w14:textId="52AD2BEE" w:rsidR="00144676" w:rsidRPr="00BF55FF" w:rsidRDefault="00144676" w:rsidP="009917FE">
      <w:pPr>
        <w:keepNext/>
        <w:keepLines/>
        <w:rPr>
          <w:rFonts w:cs="Calibri"/>
          <w:color w:val="212121"/>
          <w:sz w:val="20"/>
          <w:szCs w:val="20"/>
          <w:lang w:eastAsia="en-GB"/>
        </w:rPr>
      </w:pPr>
      <w:r w:rsidRPr="00BF55FF">
        <w:rPr>
          <w:rFonts w:cs="Calibri"/>
          <w:color w:val="212121"/>
          <w:sz w:val="20"/>
          <w:szCs w:val="20"/>
          <w:lang w:eastAsia="en-GB"/>
        </w:rPr>
        <w:fldChar w:fldCharType="begin" w:fldLock="1"/>
      </w:r>
      <w:r w:rsidR="00A51750" w:rsidRPr="00BF55FF">
        <w:rPr>
          <w:rFonts w:cs="Calibri"/>
          <w:color w:val="212121"/>
          <w:sz w:val="20"/>
          <w:szCs w:val="20"/>
          <w:lang w:eastAsia="en-GB"/>
        </w:rPr>
        <w:instrText xml:space="preserve"> INCLUDEPICTURE "C:\\Users\\suzannehill\\Library\\Group Containers\\UBF8T346G9.ms\\WebArchiveCopyPasteTempFiles\\com.microsoft.Word\\cid543549091*image002.png@01DAF896.B58FE460" \* MERGEFORMAT </w:instrText>
      </w:r>
      <w:r w:rsidRPr="00BF55FF">
        <w:rPr>
          <w:rFonts w:cs="Calibri"/>
          <w:color w:val="212121"/>
          <w:sz w:val="20"/>
          <w:szCs w:val="20"/>
          <w:lang w:eastAsia="en-GB"/>
        </w:rPr>
        <w:fldChar w:fldCharType="separate"/>
      </w:r>
      <w:r w:rsidRPr="00BF55FF">
        <w:rPr>
          <w:rFonts w:cs="Calibri"/>
          <w:noProof/>
          <w:color w:val="212121"/>
          <w:sz w:val="20"/>
          <w:szCs w:val="20"/>
          <w:lang w:eastAsia="en-GB"/>
        </w:rPr>
        <w:drawing>
          <wp:inline distT="0" distB="0" distL="0" distR="0" wp14:anchorId="13249DF8" wp14:editId="7ECCE870">
            <wp:extent cx="5731510" cy="2934335"/>
            <wp:effectExtent l="0" t="0" r="0" b="0"/>
            <wp:docPr id="96287513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934335"/>
                    </a:xfrm>
                    <a:prstGeom prst="rect">
                      <a:avLst/>
                    </a:prstGeom>
                    <a:noFill/>
                    <a:ln>
                      <a:noFill/>
                    </a:ln>
                  </pic:spPr>
                </pic:pic>
              </a:graphicData>
            </a:graphic>
          </wp:inline>
        </w:drawing>
      </w:r>
      <w:r w:rsidRPr="00BF55FF">
        <w:rPr>
          <w:rFonts w:cs="Calibri"/>
          <w:color w:val="212121"/>
          <w:sz w:val="20"/>
          <w:szCs w:val="20"/>
          <w:lang w:eastAsia="en-GB"/>
        </w:rPr>
        <w:fldChar w:fldCharType="end"/>
      </w:r>
    </w:p>
    <w:p w14:paraId="6E3DD096" w14:textId="0D81CEBE" w:rsidR="00144676" w:rsidRPr="00BF55FF" w:rsidRDefault="00144676" w:rsidP="009917FE">
      <w:pPr>
        <w:pStyle w:val="TableFigureFooter"/>
        <w:keepNext/>
        <w:spacing w:after="0"/>
        <w:contextualSpacing w:val="0"/>
      </w:pPr>
      <w:r w:rsidRPr="00BF55FF">
        <w:t xml:space="preserve">Source: Figure 3, </w:t>
      </w:r>
      <w:r w:rsidR="00FD512F" w:rsidRPr="00BF55FF">
        <w:t xml:space="preserve">p 208, </w:t>
      </w:r>
      <w:r w:rsidRPr="00BF55FF">
        <w:t>Maurer et al 2024.</w:t>
      </w:r>
    </w:p>
    <w:p w14:paraId="03E36D2D" w14:textId="309753BE" w:rsidR="009917FE" w:rsidRPr="00BF55FF" w:rsidRDefault="009917FE" w:rsidP="00635B03">
      <w:pPr>
        <w:pStyle w:val="Tablenotes"/>
        <w:spacing w:after="120"/>
        <w:contextualSpacing w:val="0"/>
        <w:rPr>
          <w:sz w:val="18"/>
          <w:szCs w:val="18"/>
        </w:rPr>
      </w:pPr>
      <w:r w:rsidRPr="00BF55FF">
        <w:rPr>
          <w:sz w:val="18"/>
          <w:szCs w:val="18"/>
          <w:lang w:eastAsia="en-GB"/>
        </w:rPr>
        <w:t>Note: Patient 17 had one attack after the baseline observation period and before administration of the first dose (the attack is not depicted).</w:t>
      </w:r>
    </w:p>
    <w:p w14:paraId="1AF66939" w14:textId="7EFA1DBB" w:rsidR="00C83248" w:rsidRPr="00BF55FF" w:rsidRDefault="00D72EBF" w:rsidP="00AE0A79">
      <w:pPr>
        <w:pStyle w:val="3-BodyText"/>
      </w:pPr>
      <w:r w:rsidRPr="00BF55FF">
        <w:t>M</w:t>
      </w:r>
      <w:r w:rsidR="00C83248" w:rsidRPr="00BF55FF">
        <w:t>oderate-</w:t>
      </w:r>
      <w:r w:rsidR="0003293F">
        <w:t>to-</w:t>
      </w:r>
      <w:r w:rsidR="00C83248" w:rsidRPr="00BF55FF">
        <w:t xml:space="preserve">severe attacks and high-morbidity attacks </w:t>
      </w:r>
      <w:r w:rsidR="003C15C7" w:rsidRPr="00BF55FF">
        <w:t xml:space="preserve">were also fewer on treatment, but there were few events </w:t>
      </w:r>
      <w:r w:rsidR="00C83248" w:rsidRPr="00BF55FF">
        <w:t>both on-treatment and during the baseline observation period.</w:t>
      </w:r>
      <w:r w:rsidR="00E80F55" w:rsidRPr="00BF55FF">
        <w:t xml:space="preserve"> </w:t>
      </w:r>
    </w:p>
    <w:p w14:paraId="573FA92F" w14:textId="08A12DCC" w:rsidR="009741FF" w:rsidRPr="00BF55FF" w:rsidRDefault="00E80F55" w:rsidP="00AE0A79">
      <w:pPr>
        <w:pStyle w:val="3-BodyText"/>
      </w:pPr>
      <w:r w:rsidRPr="00BF55FF">
        <w:t>The</w:t>
      </w:r>
      <w:r w:rsidR="009741FF" w:rsidRPr="00BF55FF">
        <w:t xml:space="preserve"> maj</w:t>
      </w:r>
      <w:r w:rsidR="00894D1F" w:rsidRPr="00BF55FF">
        <w:t>ority of</w:t>
      </w:r>
      <w:r w:rsidR="009741FF" w:rsidRPr="00BF55FF">
        <w:t xml:space="preserve"> patients</w:t>
      </w:r>
      <w:r w:rsidR="006B1B1D" w:rsidRPr="00BF55FF">
        <w:t xml:space="preserve"> (16/21, 76.2%)</w:t>
      </w:r>
      <w:r w:rsidR="009741FF" w:rsidRPr="00BF55FF">
        <w:t xml:space="preserve"> were attack-free on treatment. </w:t>
      </w:r>
      <w:r w:rsidR="005D0853" w:rsidRPr="00BF55FF">
        <w:t>The five patients who had attacks had a total of 23 attacks over the 52 week</w:t>
      </w:r>
      <w:r w:rsidR="00A5215D" w:rsidRPr="00BF55FF">
        <w:t>s</w:t>
      </w:r>
      <w:r w:rsidR="005D0853" w:rsidRPr="00BF55FF">
        <w:t xml:space="preserve"> treatment period, fewer than the historical average</w:t>
      </w:r>
      <w:r w:rsidR="00A5215D" w:rsidRPr="00BF55FF">
        <w:t xml:space="preserve"> for the group as a whole</w:t>
      </w:r>
      <w:r w:rsidR="00AA7073" w:rsidRPr="00BF55FF">
        <w:t>,</w:t>
      </w:r>
      <w:r w:rsidR="00A5215D" w:rsidRPr="00BF55FF">
        <w:t xml:space="preserve"> but not necessarily for those</w:t>
      </w:r>
      <w:r w:rsidR="00AA7073" w:rsidRPr="00BF55FF">
        <w:t xml:space="preserve"> individual</w:t>
      </w:r>
      <w:r w:rsidR="00A5215D" w:rsidRPr="00BF55FF">
        <w:t xml:space="preserve"> patients.</w:t>
      </w:r>
      <w:r w:rsidRPr="00BF55FF">
        <w:t xml:space="preserve">  </w:t>
      </w:r>
      <w:r w:rsidR="005D0853" w:rsidRPr="00BF55FF">
        <w:t xml:space="preserve"> </w:t>
      </w:r>
    </w:p>
    <w:p w14:paraId="60854D3C" w14:textId="3826A611" w:rsidR="00894D1F" w:rsidRPr="00BF55FF" w:rsidRDefault="00894D1F" w:rsidP="00AE0A79">
      <w:pPr>
        <w:pStyle w:val="3-BodyText"/>
      </w:pPr>
      <w:r w:rsidRPr="00BF55FF">
        <w:t>Quality of life scores</w:t>
      </w:r>
      <w:r w:rsidR="006275C6">
        <w:t xml:space="preserve"> using </w:t>
      </w:r>
      <w:r w:rsidR="006275C6" w:rsidRPr="006275C6">
        <w:t>PedsQL</w:t>
      </w:r>
      <w:r w:rsidRPr="00BF55FF">
        <w:t xml:space="preserve"> improved to a meaningful extent in </w:t>
      </w:r>
      <w:r w:rsidR="009E6E66" w:rsidRPr="00BF55FF">
        <w:t>the</w:t>
      </w:r>
      <w:r w:rsidRPr="00BF55FF">
        <w:t xml:space="preserve"> majority of patients</w:t>
      </w:r>
      <w:r w:rsidR="004609DD" w:rsidRPr="00BF55FF">
        <w:t xml:space="preserve"> although this may have been less apparent in the older children in the trial</w:t>
      </w:r>
      <w:r w:rsidR="00F43044" w:rsidRPr="00BF55FF">
        <w:t xml:space="preserve"> (</w:t>
      </w:r>
      <w:r w:rsidR="00564D64" w:rsidRPr="00BF55FF">
        <w:fldChar w:fldCharType="begin" w:fldLock="1"/>
      </w:r>
      <w:r w:rsidR="00564D64" w:rsidRPr="00BF55FF">
        <w:instrText xml:space="preserve"> REF _Ref173929013 \h  \* MERGEFORMAT </w:instrText>
      </w:r>
      <w:r w:rsidR="00564D64" w:rsidRPr="00BF55FF">
        <w:fldChar w:fldCharType="separate"/>
      </w:r>
      <w:r w:rsidR="009C2393" w:rsidRPr="00BF55FF">
        <w:t xml:space="preserve">Table </w:t>
      </w:r>
      <w:r w:rsidR="009C2393">
        <w:t>4</w:t>
      </w:r>
      <w:r w:rsidR="00564D64" w:rsidRPr="00BF55FF">
        <w:fldChar w:fldCharType="end"/>
      </w:r>
      <w:r w:rsidR="00F43044" w:rsidRPr="00BF55FF">
        <w:t>)</w:t>
      </w:r>
      <w:r w:rsidRPr="00BF55FF">
        <w:t xml:space="preserve">. </w:t>
      </w:r>
      <w:r w:rsidR="00B97744" w:rsidRPr="00BF55FF">
        <w:t>The evaluation considered that i</w:t>
      </w:r>
      <w:r w:rsidRPr="00BF55FF">
        <w:t>t is difficult to interpret this finding in the context of a single-arm</w:t>
      </w:r>
      <w:r w:rsidR="004609DD" w:rsidRPr="00BF55FF">
        <w:t xml:space="preserve"> unblinded </w:t>
      </w:r>
      <w:r w:rsidRPr="00BF55FF">
        <w:t>trial</w:t>
      </w:r>
      <w:r w:rsidR="004609DD" w:rsidRPr="00BF55FF">
        <w:t xml:space="preserve"> with small numbers.</w:t>
      </w:r>
    </w:p>
    <w:p w14:paraId="1452C351" w14:textId="64E6C76F" w:rsidR="00B60939" w:rsidRPr="00BF55FF" w:rsidRDefault="00F15E6D" w:rsidP="00404489">
      <w:pPr>
        <w:pStyle w:val="4-SubsectionHeading"/>
        <w:rPr>
          <w:i w:val="0"/>
        </w:rPr>
      </w:pPr>
      <w:bookmarkStart w:id="37" w:name="_Toc22897642"/>
      <w:bookmarkStart w:id="38" w:name="_Toc177389668"/>
      <w:r w:rsidRPr="00BF55FF">
        <w:rPr>
          <w:i w:val="0"/>
        </w:rPr>
        <w:t xml:space="preserve">Comparative </w:t>
      </w:r>
      <w:r w:rsidR="00EF07E9" w:rsidRPr="00BF55FF">
        <w:rPr>
          <w:i w:val="0"/>
        </w:rPr>
        <w:t>H</w:t>
      </w:r>
      <w:r w:rsidR="00B60939" w:rsidRPr="00BF55FF">
        <w:rPr>
          <w:i w:val="0"/>
        </w:rPr>
        <w:t>arms</w:t>
      </w:r>
      <w:bookmarkEnd w:id="37"/>
      <w:bookmarkEnd w:id="38"/>
    </w:p>
    <w:p w14:paraId="48E96809" w14:textId="009B4975" w:rsidR="00037BF8" w:rsidRPr="00BF55FF" w:rsidRDefault="00037BF8" w:rsidP="00AE0A79">
      <w:pPr>
        <w:pStyle w:val="3-BodyText"/>
        <w:rPr>
          <w:lang w:eastAsia="en-US"/>
        </w:rPr>
      </w:pPr>
      <w:r w:rsidRPr="00BF55FF">
        <w:rPr>
          <w:lang w:eastAsia="en-US"/>
        </w:rPr>
        <w:t>Adverse events</w:t>
      </w:r>
      <w:r w:rsidR="00CC702E" w:rsidRPr="00BF55FF">
        <w:rPr>
          <w:lang w:eastAsia="en-US"/>
        </w:rPr>
        <w:t xml:space="preserve"> from the SPRING study</w:t>
      </w:r>
      <w:r w:rsidRPr="00BF55FF">
        <w:rPr>
          <w:lang w:eastAsia="en-US"/>
        </w:rPr>
        <w:t xml:space="preserve"> are shown in </w:t>
      </w:r>
      <w:r w:rsidRPr="00BF55FF">
        <w:rPr>
          <w:lang w:eastAsia="en-US"/>
        </w:rPr>
        <w:fldChar w:fldCharType="begin" w:fldLock="1"/>
      </w:r>
      <w:r w:rsidRPr="00BF55FF">
        <w:rPr>
          <w:lang w:eastAsia="en-US"/>
        </w:rPr>
        <w:instrText xml:space="preserve"> REF _Ref173666212 \h </w:instrText>
      </w:r>
      <w:r w:rsidR="00BF55FF" w:rsidRPr="00BF55FF">
        <w:rPr>
          <w:lang w:eastAsia="en-US"/>
        </w:rPr>
        <w:instrText xml:space="preserve"> \* MERGEFORMAT </w:instrText>
      </w:r>
      <w:r w:rsidRPr="00BF55FF">
        <w:rPr>
          <w:lang w:eastAsia="en-US"/>
        </w:rPr>
      </w:r>
      <w:r w:rsidRPr="00BF55FF">
        <w:rPr>
          <w:lang w:eastAsia="en-US"/>
        </w:rPr>
        <w:fldChar w:fldCharType="separate"/>
      </w:r>
      <w:r w:rsidR="009C2393" w:rsidRPr="00BF55FF">
        <w:t xml:space="preserve">Table </w:t>
      </w:r>
      <w:r w:rsidR="009C2393">
        <w:t>5</w:t>
      </w:r>
      <w:r w:rsidRPr="00BF55FF">
        <w:rPr>
          <w:lang w:eastAsia="en-US"/>
        </w:rPr>
        <w:fldChar w:fldCharType="end"/>
      </w:r>
      <w:r w:rsidRPr="00BF55FF">
        <w:rPr>
          <w:lang w:eastAsia="en-US"/>
        </w:rPr>
        <w:t>.</w:t>
      </w:r>
    </w:p>
    <w:p w14:paraId="19C9CD0C" w14:textId="16BF8C3C" w:rsidR="005D0853" w:rsidRPr="00BF55FF" w:rsidRDefault="00037BF8" w:rsidP="00037BF8">
      <w:pPr>
        <w:pStyle w:val="Caption"/>
      </w:pPr>
      <w:bookmarkStart w:id="39" w:name="_Ref173666212"/>
      <w:bookmarkStart w:id="40" w:name="_Toc34656761"/>
      <w:bookmarkStart w:id="41" w:name="_Toc171332085"/>
      <w:r w:rsidRPr="00BF55FF">
        <w:lastRenderedPageBreak/>
        <w:t xml:space="preserve">Table </w:t>
      </w:r>
      <w:r w:rsidR="00ED245D" w:rsidRPr="00BF55FF">
        <w:fldChar w:fldCharType="begin" w:fldLock="1"/>
      </w:r>
      <w:r w:rsidR="00ED245D" w:rsidRPr="00BF55FF">
        <w:instrText xml:space="preserve"> SEQ Table \* ARABIC </w:instrText>
      </w:r>
      <w:r w:rsidR="00ED245D" w:rsidRPr="00BF55FF">
        <w:fldChar w:fldCharType="separate"/>
      </w:r>
      <w:r w:rsidR="009C2393">
        <w:rPr>
          <w:noProof/>
        </w:rPr>
        <w:t>5</w:t>
      </w:r>
      <w:r w:rsidR="00ED245D" w:rsidRPr="00BF55FF">
        <w:fldChar w:fldCharType="end"/>
      </w:r>
      <w:bookmarkEnd w:id="39"/>
      <w:r w:rsidRPr="00BF55FF">
        <w:t>:</w:t>
      </w:r>
      <w:r w:rsidR="005D0853" w:rsidRPr="00BF55FF">
        <w:tab/>
        <w:t xml:space="preserve">Treatment-emergent adverse events </w:t>
      </w:r>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63"/>
        <w:gridCol w:w="2256"/>
      </w:tblGrid>
      <w:tr w:rsidR="005D0853" w:rsidRPr="00BF55FF" w14:paraId="24F79EAB" w14:textId="77777777" w:rsidTr="000D2646">
        <w:trPr>
          <w:trHeight w:val="227"/>
        </w:trPr>
        <w:tc>
          <w:tcPr>
            <w:tcW w:w="1884" w:type="pct"/>
            <w:shd w:val="clear" w:color="auto" w:fill="FFFFFF" w:themeFill="background1"/>
          </w:tcPr>
          <w:p w14:paraId="44744BC3" w14:textId="77777777" w:rsidR="005D0853" w:rsidRPr="00BF55FF" w:rsidRDefault="005D0853" w:rsidP="00950032">
            <w:pPr>
              <w:pStyle w:val="Tabletext"/>
              <w:keepNext/>
              <w:keepLines/>
              <w:rPr>
                <w:b/>
                <w:bCs/>
              </w:rPr>
            </w:pPr>
          </w:p>
        </w:tc>
        <w:tc>
          <w:tcPr>
            <w:tcW w:w="3116" w:type="pct"/>
            <w:gridSpan w:val="2"/>
            <w:shd w:val="clear" w:color="auto" w:fill="FFFFFF" w:themeFill="background1"/>
            <w:vAlign w:val="center"/>
          </w:tcPr>
          <w:p w14:paraId="482DED5B" w14:textId="30324741" w:rsidR="005D0853" w:rsidRPr="00BF55FF" w:rsidRDefault="005D0853" w:rsidP="00950032">
            <w:pPr>
              <w:pStyle w:val="Tabletext"/>
              <w:keepNext/>
              <w:keepLines/>
              <w:jc w:val="center"/>
              <w:rPr>
                <w:b/>
                <w:bCs/>
              </w:rPr>
            </w:pPr>
            <w:r w:rsidRPr="00BF55FF">
              <w:rPr>
                <w:b/>
                <w:bCs/>
              </w:rPr>
              <w:t>N = 21</w:t>
            </w:r>
          </w:p>
        </w:tc>
      </w:tr>
      <w:tr w:rsidR="005D0853" w:rsidRPr="00BF55FF" w14:paraId="4769264F" w14:textId="77777777" w:rsidTr="000D2646">
        <w:trPr>
          <w:trHeight w:val="227"/>
        </w:trPr>
        <w:tc>
          <w:tcPr>
            <w:tcW w:w="1884" w:type="pct"/>
            <w:shd w:val="clear" w:color="auto" w:fill="FFFFFF" w:themeFill="background1"/>
          </w:tcPr>
          <w:p w14:paraId="5E929F41" w14:textId="4ED0ECF3" w:rsidR="005D0853" w:rsidRPr="00BF55FF" w:rsidRDefault="005D0853" w:rsidP="00950032">
            <w:pPr>
              <w:pStyle w:val="Tabletext"/>
              <w:keepNext/>
              <w:keepLines/>
              <w:rPr>
                <w:b/>
                <w:bCs/>
              </w:rPr>
            </w:pPr>
          </w:p>
        </w:tc>
        <w:tc>
          <w:tcPr>
            <w:tcW w:w="1865" w:type="pct"/>
            <w:shd w:val="clear" w:color="auto" w:fill="FFFFFF" w:themeFill="background1"/>
            <w:vAlign w:val="center"/>
          </w:tcPr>
          <w:p w14:paraId="23AD9C53" w14:textId="45C3828D" w:rsidR="005D0853" w:rsidRPr="00BF55FF" w:rsidRDefault="006B1B1D" w:rsidP="00950032">
            <w:pPr>
              <w:pStyle w:val="Tabletext"/>
              <w:keepNext/>
              <w:keepLines/>
              <w:jc w:val="center"/>
              <w:rPr>
                <w:b/>
                <w:bCs/>
              </w:rPr>
            </w:pPr>
            <w:r w:rsidRPr="00BF55FF">
              <w:rPr>
                <w:b/>
                <w:bCs/>
              </w:rPr>
              <w:t>Number of patients reporting events</w:t>
            </w:r>
            <w:r w:rsidR="005D0853" w:rsidRPr="00BF55FF">
              <w:rPr>
                <w:b/>
                <w:bCs/>
              </w:rPr>
              <w:t xml:space="preserve"> (%)</w:t>
            </w:r>
          </w:p>
        </w:tc>
        <w:tc>
          <w:tcPr>
            <w:tcW w:w="1251" w:type="pct"/>
            <w:shd w:val="clear" w:color="auto" w:fill="FFFFFF" w:themeFill="background1"/>
            <w:vAlign w:val="center"/>
          </w:tcPr>
          <w:p w14:paraId="5652F40B" w14:textId="28D2339A" w:rsidR="005D0853" w:rsidRPr="00BF55FF" w:rsidRDefault="00F87D1E" w:rsidP="00950032">
            <w:pPr>
              <w:pStyle w:val="TableText0"/>
              <w:jc w:val="center"/>
              <w:rPr>
                <w:b/>
                <w:bCs w:val="0"/>
              </w:rPr>
            </w:pPr>
            <w:r w:rsidRPr="00BF55FF">
              <w:rPr>
                <w:b/>
                <w:bCs w:val="0"/>
              </w:rPr>
              <w:t>Number of events</w:t>
            </w:r>
          </w:p>
        </w:tc>
        <w:bookmarkStart w:id="42" w:name="_Toc22897643"/>
      </w:tr>
      <w:tr w:rsidR="005D0853" w:rsidRPr="00BF55FF" w14:paraId="10C67D57" w14:textId="77777777" w:rsidTr="000D2646">
        <w:trPr>
          <w:trHeight w:val="227"/>
        </w:trPr>
        <w:tc>
          <w:tcPr>
            <w:tcW w:w="1884" w:type="pct"/>
            <w:shd w:val="clear" w:color="auto" w:fill="FFFFFF" w:themeFill="background1"/>
            <w:vAlign w:val="center"/>
            <w:hideMark/>
          </w:tcPr>
          <w:p w14:paraId="27EF7626" w14:textId="77777777" w:rsidR="005D0853" w:rsidRPr="00BF55FF" w:rsidRDefault="005D0853" w:rsidP="00950032">
            <w:pPr>
              <w:pStyle w:val="Tabletext"/>
              <w:keepNext/>
              <w:keepLines/>
            </w:pPr>
            <w:r w:rsidRPr="00BF55FF">
              <w:t>Any TEAE</w:t>
            </w:r>
          </w:p>
        </w:tc>
        <w:tc>
          <w:tcPr>
            <w:tcW w:w="1865" w:type="pct"/>
            <w:shd w:val="clear" w:color="auto" w:fill="FFFFFF" w:themeFill="background1"/>
            <w:vAlign w:val="center"/>
          </w:tcPr>
          <w:p w14:paraId="16102D3E" w14:textId="77777777" w:rsidR="005D0853" w:rsidRPr="00BF55FF" w:rsidRDefault="005D0853" w:rsidP="00950032">
            <w:pPr>
              <w:pStyle w:val="Tabletext"/>
              <w:keepNext/>
              <w:keepLines/>
              <w:jc w:val="center"/>
            </w:pPr>
            <w:r w:rsidRPr="00BF55FF">
              <w:t>17 (81.0)</w:t>
            </w:r>
          </w:p>
        </w:tc>
        <w:tc>
          <w:tcPr>
            <w:tcW w:w="1251" w:type="pct"/>
            <w:shd w:val="clear" w:color="auto" w:fill="FFFFFF" w:themeFill="background1"/>
            <w:vAlign w:val="center"/>
          </w:tcPr>
          <w:p w14:paraId="05A4726D" w14:textId="77777777" w:rsidR="005D0853" w:rsidRPr="00BF55FF" w:rsidRDefault="005D0853" w:rsidP="00950032">
            <w:pPr>
              <w:pStyle w:val="Tabletext"/>
              <w:keepNext/>
              <w:keepLines/>
              <w:jc w:val="center"/>
            </w:pPr>
            <w:r w:rsidRPr="00BF55FF">
              <w:t>210</w:t>
            </w:r>
          </w:p>
        </w:tc>
      </w:tr>
      <w:tr w:rsidR="005D0853" w:rsidRPr="00BF55FF" w14:paraId="444325AD" w14:textId="77777777" w:rsidTr="000D2646">
        <w:trPr>
          <w:trHeight w:val="227"/>
        </w:trPr>
        <w:tc>
          <w:tcPr>
            <w:tcW w:w="1884" w:type="pct"/>
            <w:shd w:val="clear" w:color="auto" w:fill="FFFFFF" w:themeFill="background1"/>
            <w:vAlign w:val="center"/>
            <w:hideMark/>
          </w:tcPr>
          <w:p w14:paraId="29C33FDC" w14:textId="7A124AE3" w:rsidR="005D0853" w:rsidRPr="00BF55FF" w:rsidRDefault="005D0853" w:rsidP="00950032">
            <w:pPr>
              <w:pStyle w:val="Tabletext"/>
              <w:keepNext/>
              <w:keepLines/>
            </w:pPr>
            <w:r w:rsidRPr="00BF55FF">
              <w:t xml:space="preserve">Any </w:t>
            </w:r>
            <w:r w:rsidR="00F225C6" w:rsidRPr="00BF55FF">
              <w:t>treatment-</w:t>
            </w:r>
            <w:r w:rsidRPr="00BF55FF">
              <w:t>related TEAE</w:t>
            </w:r>
          </w:p>
        </w:tc>
        <w:tc>
          <w:tcPr>
            <w:tcW w:w="1865" w:type="pct"/>
            <w:shd w:val="clear" w:color="auto" w:fill="FFFFFF" w:themeFill="background1"/>
            <w:vAlign w:val="center"/>
          </w:tcPr>
          <w:p w14:paraId="57AD8A43" w14:textId="77777777" w:rsidR="005D0853" w:rsidRPr="00BF55FF" w:rsidRDefault="005D0853" w:rsidP="00950032">
            <w:pPr>
              <w:pStyle w:val="Tabletext"/>
              <w:keepNext/>
              <w:keepLines/>
              <w:jc w:val="center"/>
            </w:pPr>
            <w:r w:rsidRPr="00BF55FF">
              <w:t>7 (33.3)</w:t>
            </w:r>
          </w:p>
        </w:tc>
        <w:tc>
          <w:tcPr>
            <w:tcW w:w="1251" w:type="pct"/>
            <w:shd w:val="clear" w:color="auto" w:fill="FFFFFF" w:themeFill="background1"/>
            <w:vAlign w:val="center"/>
          </w:tcPr>
          <w:p w14:paraId="379E056E" w14:textId="77777777" w:rsidR="005D0853" w:rsidRPr="00BF55FF" w:rsidRDefault="005D0853" w:rsidP="00950032">
            <w:pPr>
              <w:pStyle w:val="Tabletext"/>
              <w:keepNext/>
              <w:keepLines/>
              <w:jc w:val="center"/>
            </w:pPr>
            <w:r w:rsidRPr="00BF55FF">
              <w:t>121</w:t>
            </w:r>
          </w:p>
        </w:tc>
      </w:tr>
      <w:tr w:rsidR="00F225C6" w:rsidRPr="00BF55FF" w14:paraId="26B50769" w14:textId="77777777" w:rsidTr="000D2646">
        <w:trPr>
          <w:trHeight w:val="227"/>
        </w:trPr>
        <w:tc>
          <w:tcPr>
            <w:tcW w:w="1884" w:type="pct"/>
            <w:shd w:val="clear" w:color="auto" w:fill="FFFFFF" w:themeFill="background1"/>
            <w:vAlign w:val="center"/>
          </w:tcPr>
          <w:p w14:paraId="55AE1BCA" w14:textId="0691FF29" w:rsidR="00F225C6" w:rsidRPr="00BF55FF" w:rsidRDefault="00F225C6" w:rsidP="00950032">
            <w:pPr>
              <w:pStyle w:val="Tabletext"/>
              <w:keepNext/>
              <w:keepLines/>
            </w:pPr>
            <w:r w:rsidRPr="00BF55FF">
              <w:t>Injection site pain</w:t>
            </w:r>
          </w:p>
        </w:tc>
        <w:tc>
          <w:tcPr>
            <w:tcW w:w="1865" w:type="pct"/>
            <w:shd w:val="clear" w:color="auto" w:fill="FFFFFF" w:themeFill="background1"/>
            <w:vAlign w:val="center"/>
          </w:tcPr>
          <w:p w14:paraId="136CE994" w14:textId="2803CB3F" w:rsidR="00F225C6" w:rsidRPr="00BF55FF" w:rsidRDefault="00F225C6" w:rsidP="00950032">
            <w:pPr>
              <w:pStyle w:val="Tabletext"/>
              <w:keepNext/>
              <w:keepLines/>
              <w:jc w:val="center"/>
            </w:pPr>
            <w:r w:rsidRPr="00BF55FF">
              <w:t>6 (28.6%)</w:t>
            </w:r>
          </w:p>
        </w:tc>
        <w:tc>
          <w:tcPr>
            <w:tcW w:w="1251" w:type="pct"/>
            <w:shd w:val="clear" w:color="auto" w:fill="FFFFFF" w:themeFill="background1"/>
            <w:vAlign w:val="center"/>
          </w:tcPr>
          <w:p w14:paraId="54499A65" w14:textId="6B7C143E" w:rsidR="00F225C6" w:rsidRPr="00BF55FF" w:rsidRDefault="00F225C6" w:rsidP="00950032">
            <w:pPr>
              <w:pStyle w:val="Tabletext"/>
              <w:keepNext/>
              <w:keepLines/>
              <w:jc w:val="center"/>
            </w:pPr>
            <w:r w:rsidRPr="00BF55FF">
              <w:t>88</w:t>
            </w:r>
          </w:p>
        </w:tc>
      </w:tr>
      <w:tr w:rsidR="00F225C6" w:rsidRPr="00BF55FF" w14:paraId="7FD10770" w14:textId="77777777" w:rsidTr="000D2646">
        <w:trPr>
          <w:trHeight w:val="227"/>
        </w:trPr>
        <w:tc>
          <w:tcPr>
            <w:tcW w:w="1884" w:type="pct"/>
            <w:shd w:val="clear" w:color="auto" w:fill="FFFFFF" w:themeFill="background1"/>
            <w:vAlign w:val="center"/>
          </w:tcPr>
          <w:p w14:paraId="4009EB18" w14:textId="34FCD042" w:rsidR="00F225C6" w:rsidRPr="00BF55FF" w:rsidRDefault="00F225C6" w:rsidP="00950032">
            <w:pPr>
              <w:pStyle w:val="Tabletext"/>
              <w:keepNext/>
              <w:keepLines/>
            </w:pPr>
            <w:r w:rsidRPr="00BF55FF">
              <w:t>Injection site erythema</w:t>
            </w:r>
          </w:p>
        </w:tc>
        <w:tc>
          <w:tcPr>
            <w:tcW w:w="1865" w:type="pct"/>
            <w:shd w:val="clear" w:color="auto" w:fill="FFFFFF" w:themeFill="background1"/>
            <w:vAlign w:val="center"/>
          </w:tcPr>
          <w:p w14:paraId="578CC664" w14:textId="73F33151" w:rsidR="00F225C6" w:rsidRPr="00BF55FF" w:rsidRDefault="00F225C6" w:rsidP="00950032">
            <w:pPr>
              <w:pStyle w:val="Tabletext"/>
              <w:keepNext/>
              <w:keepLines/>
              <w:jc w:val="center"/>
            </w:pPr>
            <w:r w:rsidRPr="00BF55FF">
              <w:t>3 (14.3%)</w:t>
            </w:r>
          </w:p>
        </w:tc>
        <w:tc>
          <w:tcPr>
            <w:tcW w:w="1251" w:type="pct"/>
            <w:shd w:val="clear" w:color="auto" w:fill="FFFFFF" w:themeFill="background1"/>
            <w:vAlign w:val="center"/>
          </w:tcPr>
          <w:p w14:paraId="4EA3DFE4" w14:textId="4FE54146" w:rsidR="00F225C6" w:rsidRPr="00BF55FF" w:rsidRDefault="00F225C6" w:rsidP="00950032">
            <w:pPr>
              <w:pStyle w:val="Tabletext"/>
              <w:keepNext/>
              <w:keepLines/>
              <w:jc w:val="center"/>
            </w:pPr>
            <w:r w:rsidRPr="00BF55FF">
              <w:t>29</w:t>
            </w:r>
          </w:p>
        </w:tc>
      </w:tr>
      <w:tr w:rsidR="002A62B1" w:rsidRPr="00BF55FF" w14:paraId="3616FF46" w14:textId="77777777" w:rsidTr="000D2646">
        <w:trPr>
          <w:trHeight w:val="227"/>
        </w:trPr>
        <w:tc>
          <w:tcPr>
            <w:tcW w:w="1884" w:type="pct"/>
            <w:shd w:val="clear" w:color="auto" w:fill="FFFFFF" w:themeFill="background1"/>
            <w:vAlign w:val="center"/>
          </w:tcPr>
          <w:p w14:paraId="623DC792" w14:textId="72D2FB93" w:rsidR="002A62B1" w:rsidRPr="00BF55FF" w:rsidRDefault="002A62B1" w:rsidP="00950032">
            <w:pPr>
              <w:pStyle w:val="Tabletext"/>
              <w:keepNext/>
              <w:keepLines/>
            </w:pPr>
            <w:r w:rsidRPr="00BF55FF">
              <w:t>Infections and infestations</w:t>
            </w:r>
          </w:p>
        </w:tc>
        <w:tc>
          <w:tcPr>
            <w:tcW w:w="1865" w:type="pct"/>
            <w:shd w:val="clear" w:color="auto" w:fill="FFFFFF" w:themeFill="background1"/>
            <w:vAlign w:val="center"/>
          </w:tcPr>
          <w:p w14:paraId="771E29B1" w14:textId="2699199A" w:rsidR="002A62B1" w:rsidRPr="00BF55FF" w:rsidRDefault="002A62B1" w:rsidP="00950032">
            <w:pPr>
              <w:pStyle w:val="Tabletext"/>
              <w:keepNext/>
              <w:keepLines/>
              <w:jc w:val="center"/>
            </w:pPr>
            <w:r w:rsidRPr="00BF55FF">
              <w:t>11 (52.4%)</w:t>
            </w:r>
          </w:p>
        </w:tc>
        <w:tc>
          <w:tcPr>
            <w:tcW w:w="1251" w:type="pct"/>
            <w:shd w:val="clear" w:color="auto" w:fill="FFFFFF" w:themeFill="background1"/>
            <w:vAlign w:val="center"/>
          </w:tcPr>
          <w:p w14:paraId="5B325C97" w14:textId="46666957" w:rsidR="002A62B1" w:rsidRPr="00BF55FF" w:rsidRDefault="002A62B1" w:rsidP="00950032">
            <w:pPr>
              <w:pStyle w:val="Tabletext"/>
              <w:keepNext/>
              <w:keepLines/>
              <w:jc w:val="center"/>
            </w:pPr>
            <w:r w:rsidRPr="00BF55FF">
              <w:t>18</w:t>
            </w:r>
          </w:p>
        </w:tc>
      </w:tr>
      <w:tr w:rsidR="005D0853" w:rsidRPr="00BF55FF" w14:paraId="45592ADD" w14:textId="77777777" w:rsidTr="000D2646">
        <w:trPr>
          <w:trHeight w:val="227"/>
        </w:trPr>
        <w:tc>
          <w:tcPr>
            <w:tcW w:w="1884" w:type="pct"/>
            <w:shd w:val="clear" w:color="auto" w:fill="FFFFFF" w:themeFill="background1"/>
            <w:vAlign w:val="center"/>
          </w:tcPr>
          <w:p w14:paraId="5F093A15" w14:textId="77777777" w:rsidR="005D0853" w:rsidRPr="00BF55FF" w:rsidRDefault="005D0853" w:rsidP="00950032">
            <w:pPr>
              <w:pStyle w:val="Tabletext"/>
              <w:keepNext/>
              <w:keepLines/>
            </w:pPr>
            <w:r w:rsidRPr="00BF55FF">
              <w:t>Any serious TEAE</w:t>
            </w:r>
          </w:p>
        </w:tc>
        <w:tc>
          <w:tcPr>
            <w:tcW w:w="1865" w:type="pct"/>
            <w:shd w:val="clear" w:color="auto" w:fill="FFFFFF" w:themeFill="background1"/>
            <w:vAlign w:val="center"/>
          </w:tcPr>
          <w:p w14:paraId="363E005C" w14:textId="77777777" w:rsidR="005D0853" w:rsidRPr="00BF55FF" w:rsidRDefault="005D0853" w:rsidP="00950032">
            <w:pPr>
              <w:pStyle w:val="Tabletext"/>
              <w:keepNext/>
              <w:keepLines/>
              <w:jc w:val="center"/>
            </w:pPr>
            <w:r w:rsidRPr="00BF55FF">
              <w:t>0</w:t>
            </w:r>
          </w:p>
        </w:tc>
        <w:tc>
          <w:tcPr>
            <w:tcW w:w="1251" w:type="pct"/>
            <w:shd w:val="clear" w:color="auto" w:fill="FFFFFF" w:themeFill="background1"/>
            <w:vAlign w:val="center"/>
          </w:tcPr>
          <w:p w14:paraId="03A0A7FC" w14:textId="77777777" w:rsidR="005D0853" w:rsidRPr="00BF55FF" w:rsidRDefault="005D0853" w:rsidP="00950032">
            <w:pPr>
              <w:pStyle w:val="Tabletext"/>
              <w:keepNext/>
              <w:keepLines/>
              <w:jc w:val="center"/>
            </w:pPr>
            <w:r w:rsidRPr="00BF55FF">
              <w:t>0</w:t>
            </w:r>
          </w:p>
        </w:tc>
      </w:tr>
      <w:tr w:rsidR="005D0853" w:rsidRPr="00BF55FF" w14:paraId="08B62658" w14:textId="77777777" w:rsidTr="000D2646">
        <w:trPr>
          <w:trHeight w:val="227"/>
        </w:trPr>
        <w:tc>
          <w:tcPr>
            <w:tcW w:w="1884" w:type="pct"/>
            <w:shd w:val="clear" w:color="auto" w:fill="FFFFFF" w:themeFill="background1"/>
            <w:vAlign w:val="center"/>
          </w:tcPr>
          <w:p w14:paraId="08CE4298" w14:textId="47C68DFE" w:rsidR="005D0853" w:rsidRPr="00BF55FF" w:rsidRDefault="005D0853" w:rsidP="00950032">
            <w:pPr>
              <w:pStyle w:val="Tabletext"/>
              <w:keepNext/>
              <w:keepLines/>
            </w:pPr>
            <w:r w:rsidRPr="00BF55FF">
              <w:t xml:space="preserve">Any </w:t>
            </w:r>
            <w:r w:rsidR="00F225C6" w:rsidRPr="00BF55FF">
              <w:t>treatment-</w:t>
            </w:r>
            <w:r w:rsidRPr="00BF55FF">
              <w:t>related serious TEAE</w:t>
            </w:r>
          </w:p>
        </w:tc>
        <w:tc>
          <w:tcPr>
            <w:tcW w:w="1865" w:type="pct"/>
            <w:shd w:val="clear" w:color="auto" w:fill="FFFFFF" w:themeFill="background1"/>
            <w:vAlign w:val="center"/>
          </w:tcPr>
          <w:p w14:paraId="0DDACD10" w14:textId="77777777" w:rsidR="005D0853" w:rsidRPr="00BF55FF" w:rsidRDefault="005D0853" w:rsidP="00950032">
            <w:pPr>
              <w:pStyle w:val="Tabletext"/>
              <w:keepNext/>
              <w:keepLines/>
              <w:jc w:val="center"/>
            </w:pPr>
            <w:r w:rsidRPr="00BF55FF">
              <w:t>0</w:t>
            </w:r>
          </w:p>
        </w:tc>
        <w:tc>
          <w:tcPr>
            <w:tcW w:w="1251" w:type="pct"/>
            <w:shd w:val="clear" w:color="auto" w:fill="FFFFFF" w:themeFill="background1"/>
            <w:vAlign w:val="center"/>
          </w:tcPr>
          <w:p w14:paraId="1DF986D4" w14:textId="77777777" w:rsidR="005D0853" w:rsidRPr="00BF55FF" w:rsidRDefault="005D0853" w:rsidP="00950032">
            <w:pPr>
              <w:pStyle w:val="Tabletext"/>
              <w:keepNext/>
              <w:keepLines/>
              <w:jc w:val="center"/>
            </w:pPr>
            <w:r w:rsidRPr="00BF55FF">
              <w:t>0</w:t>
            </w:r>
          </w:p>
        </w:tc>
      </w:tr>
      <w:tr w:rsidR="005D0853" w:rsidRPr="00BF55FF" w14:paraId="0F73CE5A" w14:textId="77777777" w:rsidTr="000D2646">
        <w:trPr>
          <w:trHeight w:val="227"/>
        </w:trPr>
        <w:tc>
          <w:tcPr>
            <w:tcW w:w="1884" w:type="pct"/>
            <w:shd w:val="clear" w:color="auto" w:fill="FFFFFF" w:themeFill="background1"/>
            <w:vAlign w:val="center"/>
          </w:tcPr>
          <w:p w14:paraId="4EE9C1B4" w14:textId="77777777" w:rsidR="005D0853" w:rsidRPr="00BF55FF" w:rsidRDefault="005D0853" w:rsidP="00950032">
            <w:pPr>
              <w:pStyle w:val="Tabletext"/>
              <w:keepNext/>
              <w:keepLines/>
            </w:pPr>
            <w:r w:rsidRPr="00BF55FF">
              <w:t>Any severe TEAE</w:t>
            </w:r>
          </w:p>
        </w:tc>
        <w:tc>
          <w:tcPr>
            <w:tcW w:w="1865" w:type="pct"/>
            <w:shd w:val="clear" w:color="auto" w:fill="FFFFFF" w:themeFill="background1"/>
            <w:vAlign w:val="center"/>
          </w:tcPr>
          <w:p w14:paraId="76328A1C" w14:textId="77777777" w:rsidR="005D0853" w:rsidRPr="00BF55FF" w:rsidRDefault="005D0853" w:rsidP="00950032">
            <w:pPr>
              <w:pStyle w:val="Tabletext"/>
              <w:keepNext/>
              <w:keepLines/>
              <w:jc w:val="center"/>
            </w:pPr>
            <w:r w:rsidRPr="00BF55FF">
              <w:t>1 (4.8)</w:t>
            </w:r>
          </w:p>
        </w:tc>
        <w:tc>
          <w:tcPr>
            <w:tcW w:w="1251" w:type="pct"/>
            <w:shd w:val="clear" w:color="auto" w:fill="FFFFFF" w:themeFill="background1"/>
            <w:vAlign w:val="center"/>
          </w:tcPr>
          <w:p w14:paraId="0BE947CA" w14:textId="77777777" w:rsidR="005D0853" w:rsidRPr="00BF55FF" w:rsidRDefault="005D0853" w:rsidP="00950032">
            <w:pPr>
              <w:pStyle w:val="Tabletext"/>
              <w:keepNext/>
              <w:keepLines/>
              <w:jc w:val="center"/>
            </w:pPr>
            <w:r w:rsidRPr="00BF55FF">
              <w:t>20</w:t>
            </w:r>
          </w:p>
        </w:tc>
      </w:tr>
      <w:tr w:rsidR="005D0853" w:rsidRPr="00BF55FF" w14:paraId="32F6EA79" w14:textId="77777777" w:rsidTr="000D2646">
        <w:trPr>
          <w:trHeight w:val="227"/>
        </w:trPr>
        <w:tc>
          <w:tcPr>
            <w:tcW w:w="1884" w:type="pct"/>
            <w:shd w:val="clear" w:color="auto" w:fill="FFFFFF" w:themeFill="background1"/>
            <w:vAlign w:val="center"/>
          </w:tcPr>
          <w:p w14:paraId="5D9769A7" w14:textId="5C294FBA" w:rsidR="005D0853" w:rsidRPr="00BF55FF" w:rsidRDefault="005D0853" w:rsidP="00950032">
            <w:pPr>
              <w:pStyle w:val="Tabletext"/>
              <w:keepNext/>
              <w:keepLines/>
            </w:pPr>
            <w:r w:rsidRPr="00BF55FF">
              <w:t>AESI</w:t>
            </w:r>
          </w:p>
        </w:tc>
        <w:tc>
          <w:tcPr>
            <w:tcW w:w="1865" w:type="pct"/>
            <w:shd w:val="clear" w:color="auto" w:fill="FFFFFF" w:themeFill="background1"/>
            <w:vAlign w:val="center"/>
          </w:tcPr>
          <w:p w14:paraId="371104E2" w14:textId="77777777" w:rsidR="005D0853" w:rsidRPr="00BF55FF" w:rsidRDefault="005D0853" w:rsidP="00950032">
            <w:pPr>
              <w:pStyle w:val="Tabletext"/>
              <w:keepNext/>
              <w:keepLines/>
              <w:jc w:val="center"/>
            </w:pPr>
            <w:r w:rsidRPr="00BF55FF">
              <w:t>0</w:t>
            </w:r>
          </w:p>
        </w:tc>
        <w:tc>
          <w:tcPr>
            <w:tcW w:w="1251" w:type="pct"/>
            <w:shd w:val="clear" w:color="auto" w:fill="FFFFFF" w:themeFill="background1"/>
            <w:vAlign w:val="center"/>
          </w:tcPr>
          <w:p w14:paraId="22F52E1E" w14:textId="77777777" w:rsidR="005D0853" w:rsidRPr="00BF55FF" w:rsidRDefault="005D0853" w:rsidP="00950032">
            <w:pPr>
              <w:pStyle w:val="Tabletext"/>
              <w:keepNext/>
              <w:keepLines/>
              <w:jc w:val="center"/>
            </w:pPr>
            <w:r w:rsidRPr="00BF55FF">
              <w:t>0</w:t>
            </w:r>
          </w:p>
        </w:tc>
      </w:tr>
      <w:tr w:rsidR="005D0853" w:rsidRPr="00BF55FF" w14:paraId="62ED0B23" w14:textId="77777777" w:rsidTr="000D2646">
        <w:trPr>
          <w:trHeight w:val="227"/>
        </w:trPr>
        <w:tc>
          <w:tcPr>
            <w:tcW w:w="1884" w:type="pct"/>
            <w:shd w:val="clear" w:color="auto" w:fill="FFFFFF" w:themeFill="background1"/>
            <w:vAlign w:val="center"/>
          </w:tcPr>
          <w:p w14:paraId="458DF8ED" w14:textId="77777777" w:rsidR="005D0853" w:rsidRPr="00BF55FF" w:rsidRDefault="005D0853" w:rsidP="00950032">
            <w:pPr>
              <w:pStyle w:val="Tabletext"/>
              <w:keepNext/>
              <w:keepLines/>
            </w:pPr>
            <w:r w:rsidRPr="00BF55FF">
              <w:t>Deaths due to TEAE</w:t>
            </w:r>
          </w:p>
        </w:tc>
        <w:tc>
          <w:tcPr>
            <w:tcW w:w="1865" w:type="pct"/>
            <w:shd w:val="clear" w:color="auto" w:fill="FFFFFF" w:themeFill="background1"/>
            <w:vAlign w:val="center"/>
          </w:tcPr>
          <w:p w14:paraId="72E2BDF1" w14:textId="77777777" w:rsidR="005D0853" w:rsidRPr="00BF55FF" w:rsidRDefault="005D0853" w:rsidP="00950032">
            <w:pPr>
              <w:pStyle w:val="Tabletext"/>
              <w:keepNext/>
              <w:keepLines/>
              <w:jc w:val="center"/>
            </w:pPr>
            <w:r w:rsidRPr="00BF55FF">
              <w:t>0</w:t>
            </w:r>
          </w:p>
        </w:tc>
        <w:tc>
          <w:tcPr>
            <w:tcW w:w="1251" w:type="pct"/>
            <w:shd w:val="clear" w:color="auto" w:fill="FFFFFF" w:themeFill="background1"/>
            <w:vAlign w:val="center"/>
          </w:tcPr>
          <w:p w14:paraId="7F9DC720" w14:textId="77777777" w:rsidR="005D0853" w:rsidRPr="00BF55FF" w:rsidRDefault="005D0853" w:rsidP="00950032">
            <w:pPr>
              <w:pStyle w:val="Tabletext"/>
              <w:keepNext/>
              <w:keepLines/>
              <w:jc w:val="center"/>
            </w:pPr>
            <w:r w:rsidRPr="00BF55FF">
              <w:t>0</w:t>
            </w:r>
          </w:p>
        </w:tc>
      </w:tr>
      <w:tr w:rsidR="005D0853" w:rsidRPr="00BF55FF" w14:paraId="3E90A437" w14:textId="77777777" w:rsidTr="000D2646">
        <w:trPr>
          <w:trHeight w:val="227"/>
        </w:trPr>
        <w:tc>
          <w:tcPr>
            <w:tcW w:w="1884" w:type="pct"/>
            <w:shd w:val="clear" w:color="auto" w:fill="FFFFFF" w:themeFill="background1"/>
            <w:vAlign w:val="center"/>
          </w:tcPr>
          <w:p w14:paraId="3AD128F0" w14:textId="77777777" w:rsidR="005D0853" w:rsidRPr="00BF55FF" w:rsidRDefault="005D0853" w:rsidP="00950032">
            <w:pPr>
              <w:pStyle w:val="Tabletext"/>
              <w:keepNext/>
              <w:keepLines/>
            </w:pPr>
            <w:r w:rsidRPr="00BF55FF">
              <w:t>Hospitalisation due to TEAE</w:t>
            </w:r>
          </w:p>
        </w:tc>
        <w:tc>
          <w:tcPr>
            <w:tcW w:w="1865" w:type="pct"/>
            <w:shd w:val="clear" w:color="auto" w:fill="FFFFFF" w:themeFill="background1"/>
            <w:vAlign w:val="center"/>
          </w:tcPr>
          <w:p w14:paraId="0B6BADC3" w14:textId="77777777" w:rsidR="005D0853" w:rsidRPr="00BF55FF" w:rsidRDefault="005D0853" w:rsidP="00950032">
            <w:pPr>
              <w:pStyle w:val="Tabletext"/>
              <w:keepNext/>
              <w:keepLines/>
              <w:jc w:val="center"/>
            </w:pPr>
            <w:r w:rsidRPr="00BF55FF">
              <w:t>0</w:t>
            </w:r>
          </w:p>
        </w:tc>
        <w:tc>
          <w:tcPr>
            <w:tcW w:w="1251" w:type="pct"/>
            <w:shd w:val="clear" w:color="auto" w:fill="FFFFFF" w:themeFill="background1"/>
            <w:vAlign w:val="center"/>
          </w:tcPr>
          <w:p w14:paraId="3CF5D8F3" w14:textId="77777777" w:rsidR="005D0853" w:rsidRPr="00BF55FF" w:rsidRDefault="005D0853" w:rsidP="00950032">
            <w:pPr>
              <w:pStyle w:val="Tabletext"/>
              <w:keepNext/>
              <w:keepLines/>
              <w:jc w:val="center"/>
            </w:pPr>
            <w:r w:rsidRPr="00BF55FF">
              <w:t>0</w:t>
            </w:r>
          </w:p>
        </w:tc>
      </w:tr>
      <w:tr w:rsidR="005D0853" w:rsidRPr="00BF55FF" w14:paraId="127609CA" w14:textId="77777777" w:rsidTr="000D2646">
        <w:trPr>
          <w:trHeight w:val="227"/>
        </w:trPr>
        <w:tc>
          <w:tcPr>
            <w:tcW w:w="1884" w:type="pct"/>
            <w:shd w:val="clear" w:color="auto" w:fill="FFFFFF" w:themeFill="background1"/>
            <w:vAlign w:val="center"/>
          </w:tcPr>
          <w:p w14:paraId="4DF8A5D3" w14:textId="77777777" w:rsidR="005D0853" w:rsidRPr="00BF55FF" w:rsidRDefault="005D0853" w:rsidP="00950032">
            <w:pPr>
              <w:pStyle w:val="Tabletext"/>
              <w:keepNext/>
              <w:keepLines/>
            </w:pPr>
            <w:r w:rsidRPr="00BF55FF">
              <w:t>Study discontinuation due to TEAE</w:t>
            </w:r>
          </w:p>
        </w:tc>
        <w:tc>
          <w:tcPr>
            <w:tcW w:w="1865" w:type="pct"/>
            <w:shd w:val="clear" w:color="auto" w:fill="FFFFFF" w:themeFill="background1"/>
            <w:vAlign w:val="center"/>
          </w:tcPr>
          <w:p w14:paraId="258855E8" w14:textId="77777777" w:rsidR="005D0853" w:rsidRPr="00BF55FF" w:rsidRDefault="005D0853" w:rsidP="00950032">
            <w:pPr>
              <w:pStyle w:val="Tabletext"/>
              <w:keepNext/>
              <w:keepLines/>
              <w:jc w:val="center"/>
            </w:pPr>
            <w:r w:rsidRPr="00BF55FF">
              <w:t>0</w:t>
            </w:r>
          </w:p>
        </w:tc>
        <w:tc>
          <w:tcPr>
            <w:tcW w:w="1251" w:type="pct"/>
            <w:shd w:val="clear" w:color="auto" w:fill="FFFFFF" w:themeFill="background1"/>
            <w:vAlign w:val="center"/>
          </w:tcPr>
          <w:p w14:paraId="7A546365" w14:textId="77777777" w:rsidR="005D0853" w:rsidRPr="00BF55FF" w:rsidRDefault="005D0853" w:rsidP="00950032">
            <w:pPr>
              <w:pStyle w:val="Tabletext"/>
              <w:keepNext/>
              <w:keepLines/>
              <w:jc w:val="center"/>
            </w:pPr>
            <w:r w:rsidRPr="00BF55FF">
              <w:t>0</w:t>
            </w:r>
          </w:p>
        </w:tc>
      </w:tr>
    </w:tbl>
    <w:p w14:paraId="38537B85" w14:textId="77777777" w:rsidR="00F87D1E" w:rsidRPr="00BF55FF" w:rsidRDefault="00F87D1E" w:rsidP="00F87D1E">
      <w:pPr>
        <w:pStyle w:val="TableFigureFooter"/>
      </w:pPr>
      <w:r w:rsidRPr="00BF55FF">
        <w:t xml:space="preserve">Source: Table 35, p46, Table 37, p48 of the submission. </w:t>
      </w:r>
    </w:p>
    <w:p w14:paraId="556233AB" w14:textId="4DD189AD" w:rsidR="005D0853" w:rsidRPr="00BF55FF" w:rsidRDefault="005D0853" w:rsidP="00F225C6">
      <w:pPr>
        <w:pStyle w:val="TableFigureFooter"/>
      </w:pPr>
      <w:r w:rsidRPr="00BF55FF">
        <w:t xml:space="preserve">AE, adverse event; AESI, adverse event of special interest (hypersensitivity reactions and events </w:t>
      </w:r>
      <w:r w:rsidR="00CE3F95" w:rsidRPr="00BF55FF">
        <w:t>suggesting</w:t>
      </w:r>
      <w:r w:rsidRPr="00BF55FF">
        <w:t xml:space="preserve"> disordered coagulation); TEAE, treatment-emergent adverse event.</w:t>
      </w:r>
    </w:p>
    <w:p w14:paraId="72273A7B" w14:textId="1805DBFA" w:rsidR="005E77F4" w:rsidRPr="00BF55FF" w:rsidRDefault="002A62B1" w:rsidP="00AE0A79">
      <w:pPr>
        <w:pStyle w:val="3-BodyText"/>
      </w:pPr>
      <w:r w:rsidRPr="00BF55FF">
        <w:t xml:space="preserve">Adverse events were common, mostly accounted for by injection site reactions. </w:t>
      </w:r>
      <w:r w:rsidR="005E77F4" w:rsidRPr="00BF55FF">
        <w:t xml:space="preserve">The 20 severe TEAE reported by one patient were injection site reactions. </w:t>
      </w:r>
    </w:p>
    <w:p w14:paraId="28876710" w14:textId="346BEC60" w:rsidR="002A62B1" w:rsidRPr="00BF55FF" w:rsidRDefault="002A62B1" w:rsidP="002A62B1">
      <w:pPr>
        <w:pStyle w:val="3-BodyText"/>
      </w:pPr>
      <w:r w:rsidRPr="00BF55FF">
        <w:t>Infections and infestations have been iden</w:t>
      </w:r>
      <w:r w:rsidR="00EF5ECE" w:rsidRPr="00BF55FF">
        <w:t>tified as a common serious adverse event in clinical trials</w:t>
      </w:r>
      <w:r w:rsidR="00AA7073" w:rsidRPr="00BF55FF">
        <w:t xml:space="preserve"> of lanadelumab</w:t>
      </w:r>
      <w:r w:rsidR="005E77F4" w:rsidRPr="00BF55FF">
        <w:t>. Eighteen infections were reported as adverse events</w:t>
      </w:r>
      <w:r w:rsidR="00EF5ECE" w:rsidRPr="00BF55FF">
        <w:t xml:space="preserve"> in the SPRING trial</w:t>
      </w:r>
      <w:r w:rsidR="005E77F4" w:rsidRPr="00BF55FF">
        <w:t>, but apart from nasopharyngitis (3 events), rhinitis (3 events) and upper respiratory tract infection (2 events)</w:t>
      </w:r>
      <w:r w:rsidR="00D7515E" w:rsidRPr="00BF55FF">
        <w:t>,</w:t>
      </w:r>
      <w:r w:rsidR="005E77F4" w:rsidRPr="00BF55FF">
        <w:t xml:space="preserve"> all reported infections were single events</w:t>
      </w:r>
      <w:r w:rsidR="005411DD" w:rsidRPr="00BF55FF">
        <w:t xml:space="preserve"> and none were classified as serious</w:t>
      </w:r>
      <w:r w:rsidR="005E77F4" w:rsidRPr="00BF55FF">
        <w:t xml:space="preserve">. </w:t>
      </w:r>
    </w:p>
    <w:p w14:paraId="04908C7F" w14:textId="415B9B7D" w:rsidR="007F1017" w:rsidRPr="00BF55FF" w:rsidRDefault="007F1017" w:rsidP="00D86231">
      <w:pPr>
        <w:pStyle w:val="4-SubsectionHeading"/>
        <w:rPr>
          <w:i w:val="0"/>
        </w:rPr>
      </w:pPr>
      <w:bookmarkStart w:id="43" w:name="_Toc177389669"/>
      <w:r w:rsidRPr="00BF55FF">
        <w:rPr>
          <w:i w:val="0"/>
        </w:rPr>
        <w:t>Benefits/harms</w:t>
      </w:r>
      <w:bookmarkEnd w:id="42"/>
      <w:bookmarkEnd w:id="43"/>
    </w:p>
    <w:p w14:paraId="7398D11E" w14:textId="042BF42F" w:rsidR="007F1017" w:rsidRPr="00BF55FF" w:rsidRDefault="00EF07E9" w:rsidP="00AE0A79">
      <w:pPr>
        <w:pStyle w:val="3-BodyText"/>
      </w:pPr>
      <w:r w:rsidRPr="00BF55FF">
        <w:t>Data from t</w:t>
      </w:r>
      <w:r w:rsidR="00E926A5" w:rsidRPr="00BF55FF">
        <w:t xml:space="preserve">he </w:t>
      </w:r>
      <w:r w:rsidRPr="00BF55FF">
        <w:t>single arm open label trial</w:t>
      </w:r>
      <w:r w:rsidR="00E926A5" w:rsidRPr="00BF55FF">
        <w:t xml:space="preserve"> presented in the submission did not allow for a comparison of the benefits and harms of </w:t>
      </w:r>
      <w:r w:rsidRPr="00BF55FF">
        <w:t>lanadelumab</w:t>
      </w:r>
      <w:r w:rsidR="00E926A5" w:rsidRPr="00BF55FF">
        <w:t xml:space="preserve"> and </w:t>
      </w:r>
      <w:r w:rsidRPr="00BF55FF">
        <w:t xml:space="preserve">ODT. </w:t>
      </w:r>
      <w:r w:rsidR="00E926A5" w:rsidRPr="00BF55FF">
        <w:t>Accordingly, a benefits/harms table has not been presented.</w:t>
      </w:r>
    </w:p>
    <w:p w14:paraId="7A1772B6" w14:textId="50412D0A" w:rsidR="00B60939" w:rsidRPr="00BF55FF" w:rsidRDefault="00B60939" w:rsidP="00404489">
      <w:pPr>
        <w:pStyle w:val="4-SubsectionHeading"/>
        <w:rPr>
          <w:i w:val="0"/>
        </w:rPr>
      </w:pPr>
      <w:bookmarkStart w:id="44" w:name="_Toc22897644"/>
      <w:bookmarkStart w:id="45" w:name="_Toc177389670"/>
      <w:r w:rsidRPr="00BF55FF">
        <w:rPr>
          <w:i w:val="0"/>
        </w:rPr>
        <w:t>Clinical claim</w:t>
      </w:r>
      <w:bookmarkEnd w:id="44"/>
      <w:bookmarkEnd w:id="45"/>
    </w:p>
    <w:p w14:paraId="54D3A82D" w14:textId="69AAC337" w:rsidR="005F7588" w:rsidRPr="00BF55FF" w:rsidRDefault="005F7588" w:rsidP="00AE0A79">
      <w:pPr>
        <w:pStyle w:val="3-BodyText"/>
      </w:pPr>
      <w:r w:rsidRPr="00BF55FF">
        <w:rPr>
          <w:rFonts w:eastAsia="Calibri"/>
        </w:rPr>
        <w:t xml:space="preserve">The submission described </w:t>
      </w:r>
      <w:r w:rsidR="00EF07E9" w:rsidRPr="00BF55FF">
        <w:rPr>
          <w:rFonts w:eastAsia="Calibri"/>
        </w:rPr>
        <w:t>lanadelumab</w:t>
      </w:r>
      <w:r w:rsidRPr="00BF55FF">
        <w:rPr>
          <w:rFonts w:eastAsia="Calibri"/>
        </w:rPr>
        <w:t xml:space="preserve"> as superior in terms of effectiveness</w:t>
      </w:r>
      <w:r w:rsidR="007F155D" w:rsidRPr="00BF55FF">
        <w:rPr>
          <w:rFonts w:eastAsia="Calibri"/>
        </w:rPr>
        <w:t xml:space="preserve"> compared with</w:t>
      </w:r>
      <w:r w:rsidR="00EF07E9" w:rsidRPr="00BF55FF">
        <w:rPr>
          <w:rFonts w:eastAsia="Calibri"/>
        </w:rPr>
        <w:t xml:space="preserve"> ODT with icatibant or C1-INH</w:t>
      </w:r>
      <w:r w:rsidRPr="00BF55FF">
        <w:rPr>
          <w:rFonts w:eastAsia="Calibri"/>
        </w:rPr>
        <w:t>.</w:t>
      </w:r>
      <w:r w:rsidR="00F43044" w:rsidRPr="00BF55FF">
        <w:rPr>
          <w:rFonts w:eastAsia="Calibri"/>
        </w:rPr>
        <w:t xml:space="preserve"> Taking the evidence as a whole,</w:t>
      </w:r>
      <w:r w:rsidR="008E6C9F" w:rsidRPr="00BF55FF">
        <w:rPr>
          <w:rFonts w:eastAsia="Calibri"/>
        </w:rPr>
        <w:t xml:space="preserve"> the evaluation considered that</w:t>
      </w:r>
      <w:r w:rsidR="00F43044" w:rsidRPr="00BF55FF">
        <w:rPr>
          <w:rFonts w:eastAsia="Calibri"/>
        </w:rPr>
        <w:t xml:space="preserve"> it </w:t>
      </w:r>
      <w:r w:rsidR="007F155D" w:rsidRPr="00BF55FF">
        <w:rPr>
          <w:rFonts w:eastAsia="Calibri"/>
        </w:rPr>
        <w:t>wa</w:t>
      </w:r>
      <w:r w:rsidR="00F43044" w:rsidRPr="00BF55FF">
        <w:rPr>
          <w:rFonts w:eastAsia="Calibri"/>
        </w:rPr>
        <w:t>s reasonable to conclude that lanadelumab reduces the frequency of attacks in children below the age of 12</w:t>
      </w:r>
      <w:r w:rsidR="00342A29" w:rsidRPr="00BF55FF">
        <w:rPr>
          <w:rFonts w:eastAsia="Calibri"/>
        </w:rPr>
        <w:t xml:space="preserve"> years</w:t>
      </w:r>
      <w:r w:rsidR="00F43044" w:rsidRPr="00BF55FF">
        <w:rPr>
          <w:rFonts w:eastAsia="Calibri"/>
        </w:rPr>
        <w:t>, although the effect size is highly uncertain. The</w:t>
      </w:r>
      <w:r w:rsidR="005411DD" w:rsidRPr="00BF55FF">
        <w:rPr>
          <w:rFonts w:eastAsia="Calibri"/>
        </w:rPr>
        <w:t xml:space="preserve"> evaluation considered that the</w:t>
      </w:r>
      <w:r w:rsidR="00F43044" w:rsidRPr="00BF55FF">
        <w:rPr>
          <w:rFonts w:eastAsia="Calibri"/>
        </w:rPr>
        <w:t xml:space="preserve"> evidence </w:t>
      </w:r>
      <w:r w:rsidR="00B107F4" w:rsidRPr="00BF55FF">
        <w:rPr>
          <w:rFonts w:eastAsia="Calibri"/>
        </w:rPr>
        <w:t xml:space="preserve">in children </w:t>
      </w:r>
      <w:r w:rsidR="007F155D" w:rsidRPr="00BF55FF">
        <w:rPr>
          <w:rFonts w:eastAsia="Calibri"/>
        </w:rPr>
        <w:t xml:space="preserve">aged </w:t>
      </w:r>
      <w:r w:rsidR="00B107F4" w:rsidRPr="00BF55FF">
        <w:rPr>
          <w:rFonts w:eastAsia="Calibri"/>
        </w:rPr>
        <w:t xml:space="preserve">&lt;12 years </w:t>
      </w:r>
      <w:r w:rsidR="00F43044" w:rsidRPr="00BF55FF">
        <w:rPr>
          <w:rFonts w:eastAsia="Calibri"/>
        </w:rPr>
        <w:t>does not support a claim that preventative treatment with lanadelumab</w:t>
      </w:r>
      <w:r w:rsidR="003848E0" w:rsidRPr="00BF55FF">
        <w:rPr>
          <w:rFonts w:eastAsia="Calibri"/>
        </w:rPr>
        <w:t xml:space="preserve"> </w:t>
      </w:r>
      <w:r w:rsidR="00F43044" w:rsidRPr="00BF55FF">
        <w:rPr>
          <w:rFonts w:eastAsia="Calibri"/>
        </w:rPr>
        <w:t>is superior to ODT</w:t>
      </w:r>
      <w:r w:rsidR="00220C86" w:rsidRPr="00BF55FF">
        <w:rPr>
          <w:rFonts w:eastAsia="Calibri"/>
        </w:rPr>
        <w:t xml:space="preserve"> in terms of morbidity or quality of life</w:t>
      </w:r>
      <w:r w:rsidR="003848E0" w:rsidRPr="00BF55FF">
        <w:rPr>
          <w:rFonts w:eastAsia="Calibri"/>
        </w:rPr>
        <w:t>,</w:t>
      </w:r>
      <w:r w:rsidR="00F43044" w:rsidRPr="00BF55FF">
        <w:rPr>
          <w:rFonts w:eastAsia="Calibri"/>
        </w:rPr>
        <w:t xml:space="preserve"> regardless of the frequency of attacks.</w:t>
      </w:r>
      <w:r w:rsidRPr="00BF55FF">
        <w:rPr>
          <w:rFonts w:eastAsia="Calibri"/>
        </w:rPr>
        <w:t xml:space="preserve"> </w:t>
      </w:r>
      <w:r w:rsidR="00ED4FCC" w:rsidRPr="00BF55FF">
        <w:rPr>
          <w:rFonts w:eastAsia="Calibri"/>
        </w:rPr>
        <w:t xml:space="preserve">However, the PSCR noted that </w:t>
      </w:r>
      <w:r w:rsidR="004773B9" w:rsidRPr="00BF55FF">
        <w:rPr>
          <w:rFonts w:eastAsia="Calibri"/>
        </w:rPr>
        <w:t>patients</w:t>
      </w:r>
      <w:r w:rsidR="00ED4FCC" w:rsidRPr="00BF55FF">
        <w:rPr>
          <w:rFonts w:eastAsia="Calibri"/>
        </w:rPr>
        <w:t xml:space="preserve"> </w:t>
      </w:r>
      <w:r w:rsidR="004773B9" w:rsidRPr="00BF55FF">
        <w:rPr>
          <w:rFonts w:eastAsia="Calibri"/>
        </w:rPr>
        <w:t>“</w:t>
      </w:r>
      <w:r w:rsidR="00ED4FCC" w:rsidRPr="00BF55FF">
        <w:rPr>
          <w:rFonts w:eastAsia="Calibri"/>
        </w:rPr>
        <w:t>treated with lanadelumab demonstrated improvement</w:t>
      </w:r>
      <w:r w:rsidR="007F155D" w:rsidRPr="00BF55FF">
        <w:rPr>
          <w:rFonts w:eastAsia="Calibri"/>
        </w:rPr>
        <w:t>s in</w:t>
      </w:r>
      <w:r w:rsidR="00ED4FCC" w:rsidRPr="00BF55FF">
        <w:rPr>
          <w:rFonts w:eastAsia="Calibri"/>
        </w:rPr>
        <w:t xml:space="preserve"> PedsQL Total Score, PedsQL-FIM Total Score and EQ-5D VAS score” (</w:t>
      </w:r>
      <w:r w:rsidR="00ED4FCC" w:rsidRPr="00BF55FF">
        <w:rPr>
          <w:rFonts w:eastAsia="Calibri"/>
        </w:rPr>
        <w:fldChar w:fldCharType="begin" w:fldLock="1"/>
      </w:r>
      <w:r w:rsidR="00ED4FCC" w:rsidRPr="00BF55FF">
        <w:rPr>
          <w:rFonts w:eastAsia="Calibri"/>
        </w:rPr>
        <w:instrText xml:space="preserve"> REF _Ref173929013 \h  \* MERGEFORMAT </w:instrText>
      </w:r>
      <w:r w:rsidR="00ED4FCC" w:rsidRPr="00BF55FF">
        <w:rPr>
          <w:rFonts w:eastAsia="Calibri"/>
        </w:rPr>
      </w:r>
      <w:r w:rsidR="00ED4FCC" w:rsidRPr="00BF55FF">
        <w:rPr>
          <w:rFonts w:eastAsia="Calibri"/>
        </w:rPr>
        <w:fldChar w:fldCharType="separate"/>
      </w:r>
      <w:r w:rsidR="009C2393" w:rsidRPr="00BF55FF">
        <w:t xml:space="preserve">Table </w:t>
      </w:r>
      <w:r w:rsidR="009C2393">
        <w:t>4</w:t>
      </w:r>
      <w:r w:rsidR="00ED4FCC" w:rsidRPr="00BF55FF">
        <w:rPr>
          <w:rFonts w:eastAsia="Calibri"/>
        </w:rPr>
        <w:fldChar w:fldCharType="end"/>
      </w:r>
      <w:r w:rsidR="00ED4FCC" w:rsidRPr="00BF55FF">
        <w:rPr>
          <w:rFonts w:eastAsia="Calibri"/>
        </w:rPr>
        <w:t xml:space="preserve">), and claimed that “[t]he SPRING </w:t>
      </w:r>
      <w:r w:rsidR="006275C6">
        <w:rPr>
          <w:rFonts w:eastAsia="Calibri"/>
        </w:rPr>
        <w:t>t</w:t>
      </w:r>
      <w:r w:rsidR="00ED4FCC" w:rsidRPr="00BF55FF">
        <w:rPr>
          <w:rFonts w:eastAsia="Calibri"/>
        </w:rPr>
        <w:t>rial, does therefore, provide the evidence to support the listing of lanadelumab in the paediatric population”.</w:t>
      </w:r>
    </w:p>
    <w:p w14:paraId="7DCD8218" w14:textId="08C5F5A6" w:rsidR="00ED4FCC" w:rsidRPr="00BF55FF" w:rsidRDefault="00ED4FCC" w:rsidP="00F9507D">
      <w:pPr>
        <w:pStyle w:val="3-BodyText"/>
      </w:pPr>
      <w:bookmarkStart w:id="46" w:name="_Ref183531930"/>
      <w:r w:rsidRPr="00BF55FF">
        <w:t xml:space="preserve">The </w:t>
      </w:r>
      <w:r w:rsidR="007B061A">
        <w:t xml:space="preserve">PBAC agreed with the </w:t>
      </w:r>
      <w:r w:rsidRPr="00BF55FF">
        <w:t xml:space="preserve">ESC that while the </w:t>
      </w:r>
      <w:r w:rsidR="007F155D" w:rsidRPr="00BF55FF">
        <w:t xml:space="preserve">magnitude </w:t>
      </w:r>
      <w:r w:rsidRPr="00BF55FF">
        <w:t xml:space="preserve">of benefit </w:t>
      </w:r>
      <w:r w:rsidR="007F155D" w:rsidRPr="00BF55FF">
        <w:t>wa</w:t>
      </w:r>
      <w:r w:rsidRPr="00BF55FF">
        <w:t>s unclear,</w:t>
      </w:r>
      <w:r w:rsidR="007F155D" w:rsidRPr="00BF55FF">
        <w:t xml:space="preserve"> the available</w:t>
      </w:r>
      <w:r w:rsidRPr="00BF55FF">
        <w:t xml:space="preserve"> data suggest that </w:t>
      </w:r>
      <w:r w:rsidR="007F155D" w:rsidRPr="00BF55FF">
        <w:t xml:space="preserve">lanadelumab has superior efficacy </w:t>
      </w:r>
      <w:r w:rsidRPr="00BF55FF">
        <w:t xml:space="preserve">in </w:t>
      </w:r>
      <w:r w:rsidR="007F155D" w:rsidRPr="00BF55FF">
        <w:t xml:space="preserve">terms of </w:t>
      </w:r>
      <w:r w:rsidRPr="00BF55FF">
        <w:t>preventing attacks,</w:t>
      </w:r>
      <w:r w:rsidR="007F155D" w:rsidRPr="00BF55FF">
        <w:t xml:space="preserve"> compared with ODT with icatibant or C1-INH. The ESC considered that it</w:t>
      </w:r>
      <w:r w:rsidRPr="00BF55FF">
        <w:t xml:space="preserve"> is </w:t>
      </w:r>
      <w:r w:rsidRPr="00BF55FF">
        <w:lastRenderedPageBreak/>
        <w:t xml:space="preserve">unlikely that new clinical data will become available in this very small population. Further, there is no mechanistic reason to assume that </w:t>
      </w:r>
      <w:r w:rsidR="000035A8" w:rsidRPr="00BF55FF">
        <w:t xml:space="preserve">lanadelumab </w:t>
      </w:r>
      <w:r w:rsidRPr="00BF55FF">
        <w:t xml:space="preserve">would be less (or more) efficacious in the different age groups, so previous data (from </w:t>
      </w:r>
      <w:r w:rsidR="007F155D" w:rsidRPr="00BF55FF">
        <w:t xml:space="preserve">patients aged </w:t>
      </w:r>
      <w:r w:rsidR="00517987" w:rsidRPr="00BF55FF">
        <w:rPr>
          <w:rFonts w:cstheme="minorHAnsi"/>
        </w:rPr>
        <w:t>≥</w:t>
      </w:r>
      <w:r w:rsidRPr="00BF55FF">
        <w:t>12 year</w:t>
      </w:r>
      <w:r w:rsidR="007F155D" w:rsidRPr="00BF55FF">
        <w:t>s</w:t>
      </w:r>
      <w:r w:rsidRPr="00BF55FF">
        <w:t xml:space="preserve">) </w:t>
      </w:r>
      <w:r w:rsidR="007F155D" w:rsidRPr="00BF55FF">
        <w:t>wa</w:t>
      </w:r>
      <w:r w:rsidRPr="00BF55FF">
        <w:t xml:space="preserve">s likely to support </w:t>
      </w:r>
      <w:r w:rsidR="007F155D" w:rsidRPr="00BF55FF">
        <w:t>extending the existing listing to patients aged 2</w:t>
      </w:r>
      <w:r w:rsidR="006275C6">
        <w:t>-11</w:t>
      </w:r>
      <w:r w:rsidR="007F155D" w:rsidRPr="00BF55FF">
        <w:t xml:space="preserve"> years</w:t>
      </w:r>
      <w:r w:rsidRPr="00BF55FF">
        <w:t>. However</w:t>
      </w:r>
      <w:r w:rsidR="007F155D" w:rsidRPr="00BF55FF">
        <w:t>,</w:t>
      </w:r>
      <w:r w:rsidRPr="00BF55FF">
        <w:t xml:space="preserve"> the </w:t>
      </w:r>
      <w:r w:rsidR="009D2623">
        <w:t xml:space="preserve">PBAC and </w:t>
      </w:r>
      <w:r w:rsidR="009D2623" w:rsidRPr="00684A72">
        <w:t xml:space="preserve">the ESC considered that the submission had not presented strong evidence that patients who experience 1 attack [or 2 attacks according to PSCR update] </w:t>
      </w:r>
      <w:r w:rsidR="009D2623">
        <w:t xml:space="preserve">within 6 months </w:t>
      </w:r>
      <w:r w:rsidR="009D2623" w:rsidRPr="00BF55FF">
        <w:t xml:space="preserve">at &lt;12 years of age are likely to experience </w:t>
      </w:r>
      <w:r w:rsidR="009D2623" w:rsidRPr="00BF55FF">
        <w:rPr>
          <w:rFonts w:cstheme="minorHAnsi"/>
        </w:rPr>
        <w:t>≥</w:t>
      </w:r>
      <w:r w:rsidR="009D2623" w:rsidRPr="00BF55FF">
        <w:t xml:space="preserve">12 attacks </w:t>
      </w:r>
      <w:r w:rsidR="009D2623">
        <w:t>with</w:t>
      </w:r>
      <w:r w:rsidR="009D2623" w:rsidRPr="00BF55FF">
        <w:t>in 6 months when they are ≥12 years of age.</w:t>
      </w:r>
      <w:bookmarkEnd w:id="46"/>
    </w:p>
    <w:p w14:paraId="0AE094F0" w14:textId="5A74D1AD" w:rsidR="00F0447B" w:rsidRPr="005F0348" w:rsidRDefault="005F7588" w:rsidP="005F0348">
      <w:pPr>
        <w:pStyle w:val="3-BodyText"/>
        <w:rPr>
          <w:iCs/>
          <w:snapToGrid w:val="0"/>
        </w:rPr>
      </w:pPr>
      <w:r w:rsidRPr="005F0348">
        <w:rPr>
          <w:rFonts w:eastAsia="Calibri"/>
        </w:rPr>
        <w:t xml:space="preserve">The submission described </w:t>
      </w:r>
      <w:r w:rsidR="00EF07E9" w:rsidRPr="005F0348">
        <w:rPr>
          <w:rFonts w:eastAsia="Calibri"/>
        </w:rPr>
        <w:t>lanadelumab</w:t>
      </w:r>
      <w:r w:rsidRPr="005F0348">
        <w:rPr>
          <w:rFonts w:eastAsia="Calibri"/>
        </w:rPr>
        <w:t xml:space="preserve"> as inferior in term</w:t>
      </w:r>
      <w:r w:rsidR="00156F8F" w:rsidRPr="005F0348">
        <w:rPr>
          <w:rFonts w:eastAsia="Calibri"/>
        </w:rPr>
        <w:t>s</w:t>
      </w:r>
      <w:r w:rsidRPr="005F0348">
        <w:rPr>
          <w:rFonts w:eastAsia="Calibri"/>
        </w:rPr>
        <w:t xml:space="preserve"> of safety compared to </w:t>
      </w:r>
      <w:r w:rsidR="0032196D" w:rsidRPr="005F0348">
        <w:rPr>
          <w:rFonts w:eastAsia="Calibri"/>
        </w:rPr>
        <w:t xml:space="preserve">ODT with icatibant or C1-INH. </w:t>
      </w:r>
      <w:r w:rsidR="008E6C9F" w:rsidRPr="005F0348">
        <w:rPr>
          <w:rFonts w:eastAsia="Calibri"/>
        </w:rPr>
        <w:t>The</w:t>
      </w:r>
      <w:r w:rsidR="00670942" w:rsidRPr="005F0348">
        <w:rPr>
          <w:rFonts w:eastAsia="Calibri"/>
        </w:rPr>
        <w:t xml:space="preserve"> PBAC agreed with the</w:t>
      </w:r>
      <w:r w:rsidR="008E6C9F" w:rsidRPr="005F0348">
        <w:rPr>
          <w:rFonts w:eastAsia="Calibri"/>
        </w:rPr>
        <w:t xml:space="preserve"> evaluation</w:t>
      </w:r>
      <w:r w:rsidR="00670942" w:rsidRPr="005F0348">
        <w:rPr>
          <w:rFonts w:eastAsia="Calibri"/>
        </w:rPr>
        <w:t xml:space="preserve"> and </w:t>
      </w:r>
      <w:r w:rsidR="005F0348" w:rsidRPr="005F0348">
        <w:rPr>
          <w:rFonts w:eastAsia="Calibri"/>
        </w:rPr>
        <w:t>the</w:t>
      </w:r>
      <w:r w:rsidR="00670942" w:rsidRPr="005F0348">
        <w:rPr>
          <w:rFonts w:eastAsia="Calibri"/>
        </w:rPr>
        <w:t xml:space="preserve"> ESC</w:t>
      </w:r>
      <w:r w:rsidR="008E6C9F" w:rsidRPr="005F0348">
        <w:rPr>
          <w:rFonts w:eastAsia="Calibri"/>
        </w:rPr>
        <w:t xml:space="preserve"> that t</w:t>
      </w:r>
      <w:r w:rsidRPr="005F0348">
        <w:rPr>
          <w:rFonts w:eastAsia="Calibri"/>
        </w:rPr>
        <w:t xml:space="preserve">his claim </w:t>
      </w:r>
      <w:r w:rsidR="000035A8" w:rsidRPr="005F0348">
        <w:rPr>
          <w:rFonts w:eastAsia="Calibri"/>
        </w:rPr>
        <w:t xml:space="preserve">was </w:t>
      </w:r>
      <w:r w:rsidR="0032196D" w:rsidRPr="005F0348">
        <w:rPr>
          <w:rFonts w:eastAsia="Calibri"/>
        </w:rPr>
        <w:t xml:space="preserve">reasonable, but very little relevant data </w:t>
      </w:r>
      <w:r w:rsidR="000035A8" w:rsidRPr="005F0348">
        <w:rPr>
          <w:rFonts w:eastAsia="Calibri"/>
        </w:rPr>
        <w:t xml:space="preserve">were </w:t>
      </w:r>
      <w:r w:rsidR="0032196D" w:rsidRPr="005F0348">
        <w:rPr>
          <w:rFonts w:eastAsia="Calibri"/>
        </w:rPr>
        <w:t xml:space="preserve">presented. </w:t>
      </w:r>
    </w:p>
    <w:p w14:paraId="74A1172E" w14:textId="128C170E" w:rsidR="00B60939" w:rsidRPr="00BF55FF" w:rsidRDefault="00B60939" w:rsidP="00E9094A">
      <w:pPr>
        <w:pStyle w:val="4-SubsectionHeading"/>
        <w:rPr>
          <w:i w:val="0"/>
        </w:rPr>
      </w:pPr>
      <w:bookmarkStart w:id="47" w:name="_Toc22897645"/>
      <w:bookmarkStart w:id="48" w:name="_Toc177389671"/>
      <w:r w:rsidRPr="00BF55FF">
        <w:rPr>
          <w:i w:val="0"/>
        </w:rPr>
        <w:t>Economic analysis</w:t>
      </w:r>
      <w:bookmarkEnd w:id="47"/>
      <w:bookmarkEnd w:id="48"/>
      <w:r w:rsidR="00491B3A" w:rsidRPr="00BF55FF">
        <w:rPr>
          <w:i w:val="0"/>
        </w:rPr>
        <w:t xml:space="preserve"> </w:t>
      </w:r>
    </w:p>
    <w:p w14:paraId="4D312800" w14:textId="1DE73F51" w:rsidR="00606F04" w:rsidRPr="00BF55FF" w:rsidRDefault="004F566D" w:rsidP="00F9507D">
      <w:pPr>
        <w:pStyle w:val="3-BodyText"/>
      </w:pPr>
      <w:r w:rsidRPr="00BF55FF">
        <w:t xml:space="preserve">The submission did not present an economic evaluation, stating that </w:t>
      </w:r>
      <w:r w:rsidR="00211E28" w:rsidRPr="00BF55FF">
        <w:t>“</w:t>
      </w:r>
      <w:r w:rsidR="003D1005" w:rsidRPr="00BF55FF">
        <w:t>t</w:t>
      </w:r>
      <w:r w:rsidRPr="00BF55FF">
        <w:t>here is insufficient data to populate an informative economic evaluation for lanadelumab in the proposed paediatric population</w:t>
      </w:r>
      <w:r w:rsidR="004E569B">
        <w:t>.</w:t>
      </w:r>
      <w:r w:rsidR="00306BFA" w:rsidRPr="00BF55FF">
        <w:t>”</w:t>
      </w:r>
      <w:r w:rsidR="004E569B">
        <w:t xml:space="preserve"> </w:t>
      </w:r>
      <w:r w:rsidR="004E569B" w:rsidRPr="004E569B">
        <w:t>The submission acknowledged the</w:t>
      </w:r>
      <w:r w:rsidR="002E4312" w:rsidRPr="004E569B">
        <w:t xml:space="preserve"> limited data on the baseline frequency of HAE attacks in th</w:t>
      </w:r>
      <w:r w:rsidR="003D1005" w:rsidRPr="004E569B">
        <w:t>e requested</w:t>
      </w:r>
      <w:r w:rsidR="002E4312" w:rsidRPr="004E569B">
        <w:t xml:space="preserve"> population</w:t>
      </w:r>
      <w:r w:rsidR="00306BFA" w:rsidRPr="004E569B">
        <w:t>.</w:t>
      </w:r>
      <w:r w:rsidR="00306BFA" w:rsidRPr="00BF55FF">
        <w:t xml:space="preserve"> </w:t>
      </w:r>
    </w:p>
    <w:p w14:paraId="496DEC36" w14:textId="4B74D433" w:rsidR="00DF22F6" w:rsidRPr="00BF55FF" w:rsidRDefault="00AA2CB0" w:rsidP="00A333B8">
      <w:pPr>
        <w:pStyle w:val="3-BodyText"/>
      </w:pPr>
      <w:r w:rsidRPr="00BF55FF">
        <w:t xml:space="preserve">The </w:t>
      </w:r>
      <w:r w:rsidR="001C304E" w:rsidRPr="00BF55FF">
        <w:t xml:space="preserve">submission </w:t>
      </w:r>
      <w:r w:rsidR="00526B68" w:rsidRPr="00BF55FF">
        <w:t xml:space="preserve">requested </w:t>
      </w:r>
      <w:r w:rsidR="001C304E" w:rsidRPr="00BF55FF">
        <w:t>listing of</w:t>
      </w:r>
      <w:r w:rsidR="00526B68" w:rsidRPr="00BF55FF">
        <w:t xml:space="preserve"> the </w:t>
      </w:r>
      <w:r w:rsidR="00A330FE" w:rsidRPr="00BF55FF">
        <w:t>1</w:t>
      </w:r>
      <w:r w:rsidRPr="00BF55FF">
        <w:t>50</w:t>
      </w:r>
      <w:r w:rsidR="00CC702E" w:rsidRPr="00BF55FF">
        <w:t xml:space="preserve"> </w:t>
      </w:r>
      <w:r w:rsidRPr="00BF55FF">
        <w:t xml:space="preserve">mg injection </w:t>
      </w:r>
      <w:r w:rsidR="00526B68" w:rsidRPr="00BF55FF">
        <w:t xml:space="preserve">at the </w:t>
      </w:r>
      <w:r w:rsidR="00A330FE" w:rsidRPr="00BF55FF">
        <w:t>same price per vial as the</w:t>
      </w:r>
      <w:r w:rsidR="00526B68" w:rsidRPr="00BF55FF">
        <w:t xml:space="preserve"> currently-listed</w:t>
      </w:r>
      <w:r w:rsidR="00A330FE" w:rsidRPr="00BF55FF">
        <w:t xml:space="preserve"> </w:t>
      </w:r>
      <w:r w:rsidRPr="00BF55FF">
        <w:t>300</w:t>
      </w:r>
      <w:r w:rsidR="00CC702E" w:rsidRPr="00BF55FF">
        <w:t xml:space="preserve"> </w:t>
      </w:r>
      <w:r w:rsidRPr="00BF55FF">
        <w:t>mg strength</w:t>
      </w:r>
      <w:r w:rsidR="00870C78" w:rsidRPr="00BF55FF">
        <w:t xml:space="preserve"> for the </w:t>
      </w:r>
      <w:r w:rsidR="00870C78" w:rsidRPr="00BF55FF">
        <w:rPr>
          <w:rFonts w:cstheme="minorHAnsi"/>
        </w:rPr>
        <w:t>≥</w:t>
      </w:r>
      <w:r w:rsidR="00870C78" w:rsidRPr="00BF55FF">
        <w:t>12 year population</w:t>
      </w:r>
      <w:r w:rsidRPr="00BF55FF">
        <w:t>.</w:t>
      </w:r>
      <w:r w:rsidR="00526B68" w:rsidRPr="00BF55FF">
        <w:t xml:space="preserve"> </w:t>
      </w:r>
      <w:bookmarkStart w:id="49" w:name="_Ref179398559"/>
      <w:bookmarkStart w:id="50" w:name="_Ref175229860"/>
      <w:r w:rsidR="00526B68" w:rsidRPr="00BF55FF">
        <w:t>However</w:t>
      </w:r>
      <w:r w:rsidR="00014AFD" w:rsidRPr="00BF55FF">
        <w:t>,</w:t>
      </w:r>
      <w:r w:rsidR="008E6C9F" w:rsidRPr="00BF55FF">
        <w:t xml:space="preserve"> the evaluation </w:t>
      </w:r>
      <w:r w:rsidR="003D1005" w:rsidRPr="00BF55FF">
        <w:t>considered</w:t>
      </w:r>
      <w:r w:rsidR="008E6C9F" w:rsidRPr="00BF55FF">
        <w:t xml:space="preserve"> that</w:t>
      </w:r>
      <w:r w:rsidR="00BB5012" w:rsidRPr="00BF55FF">
        <w:t xml:space="preserve"> i</w:t>
      </w:r>
      <w:r w:rsidR="003D1005" w:rsidRPr="00BF55FF">
        <w:t>t</w:t>
      </w:r>
      <w:r w:rsidR="00BB5012" w:rsidRPr="00BF55FF">
        <w:t xml:space="preserve"> </w:t>
      </w:r>
      <w:r w:rsidR="003D1005" w:rsidRPr="00BF55FF">
        <w:t>was</w:t>
      </w:r>
      <w:r w:rsidR="00BB5012" w:rsidRPr="00BF55FF">
        <w:t xml:space="preserve"> unclear whether</w:t>
      </w:r>
      <w:r w:rsidR="00DF22F6" w:rsidRPr="00BF55FF">
        <w:t>:</w:t>
      </w:r>
      <w:bookmarkEnd w:id="49"/>
    </w:p>
    <w:p w14:paraId="66123EF3" w14:textId="5BFD9732" w:rsidR="003B7BC0" w:rsidRPr="00BF55FF" w:rsidRDefault="003B7BC0" w:rsidP="00F0447B">
      <w:pPr>
        <w:pStyle w:val="3-BodyText"/>
        <w:numPr>
          <w:ilvl w:val="0"/>
          <w:numId w:val="10"/>
        </w:numPr>
        <w:rPr>
          <w:rFonts w:cstheme="minorHAnsi"/>
          <w:szCs w:val="24"/>
        </w:rPr>
      </w:pPr>
      <w:bookmarkStart w:id="51" w:name="_Ref175229861"/>
      <w:r w:rsidRPr="00BF55FF">
        <w:t>the cost-effectiveness in the proposed population would be the same as in the existing population, given the proposed restriction for children is based on a lower baseline attack frequency</w:t>
      </w:r>
      <w:r w:rsidR="004F5123" w:rsidRPr="00BF55FF">
        <w:t>. This parameter</w:t>
      </w:r>
      <w:r w:rsidRPr="00BF55FF">
        <w:t xml:space="preserve"> was a key driver of the economic model in adults (paragraph 6.7, </w:t>
      </w:r>
      <w:r w:rsidR="004E569B">
        <w:t>l</w:t>
      </w:r>
      <w:r w:rsidRPr="00BF55FF">
        <w:t>anadelumab PSD, July 2021).</w:t>
      </w:r>
      <w:r w:rsidR="00E80F55" w:rsidRPr="00BF55FF">
        <w:t xml:space="preserve"> </w:t>
      </w:r>
    </w:p>
    <w:p w14:paraId="2FF2EFD7" w14:textId="13B84C49" w:rsidR="003B7BC0" w:rsidRPr="00BF55FF" w:rsidRDefault="003B7BC0" w:rsidP="00F0447B">
      <w:pPr>
        <w:pStyle w:val="3-BodyText"/>
        <w:numPr>
          <w:ilvl w:val="0"/>
          <w:numId w:val="10"/>
        </w:numPr>
        <w:rPr>
          <w:color w:val="000000" w:themeColor="text1"/>
        </w:rPr>
      </w:pPr>
      <w:r w:rsidRPr="00BF55FF">
        <w:t>lanadelumab would have the same incremental clinical effect and impact on quality of life in children as in adults</w:t>
      </w:r>
      <w:bookmarkEnd w:id="51"/>
      <w:r w:rsidRPr="00BF55FF">
        <w:t xml:space="preserve">. However, the </w:t>
      </w:r>
      <w:r w:rsidR="001779E8">
        <w:t xml:space="preserve">PBAC agreed with the </w:t>
      </w:r>
      <w:r w:rsidRPr="00BF55FF">
        <w:rPr>
          <w:color w:val="000000" w:themeColor="text1"/>
        </w:rPr>
        <w:t xml:space="preserve">ESC that there was no mechanistic reason to assume that </w:t>
      </w:r>
      <w:r w:rsidR="004F5123" w:rsidRPr="00BF55FF">
        <w:rPr>
          <w:color w:val="000000" w:themeColor="text1"/>
        </w:rPr>
        <w:t>the</w:t>
      </w:r>
      <w:r w:rsidRPr="00BF55FF">
        <w:rPr>
          <w:color w:val="000000" w:themeColor="text1"/>
        </w:rPr>
        <w:t xml:space="preserve"> incremental effectiveness </w:t>
      </w:r>
      <w:r w:rsidR="004F5123" w:rsidRPr="00BF55FF">
        <w:rPr>
          <w:color w:val="000000" w:themeColor="text1"/>
        </w:rPr>
        <w:t>of lanadelumab would vary by patient</w:t>
      </w:r>
      <w:r w:rsidRPr="00BF55FF">
        <w:rPr>
          <w:color w:val="000000" w:themeColor="text1"/>
        </w:rPr>
        <w:t xml:space="preserve"> age</w:t>
      </w:r>
      <w:r w:rsidRPr="00BF55FF">
        <w:t xml:space="preserve">. </w:t>
      </w:r>
    </w:p>
    <w:p w14:paraId="572B6BFF" w14:textId="4D0E7989" w:rsidR="00526B68" w:rsidRPr="00E06696" w:rsidRDefault="00526B68" w:rsidP="00F0447B">
      <w:pPr>
        <w:pStyle w:val="3-BodyText"/>
        <w:numPr>
          <w:ilvl w:val="0"/>
          <w:numId w:val="10"/>
        </w:numPr>
      </w:pPr>
      <w:r w:rsidRPr="00BF55FF">
        <w:t>this would result in the same price per patient per month</w:t>
      </w:r>
      <w:r w:rsidR="00DF22F6" w:rsidRPr="00BF55FF">
        <w:t>,</w:t>
      </w:r>
      <w:r w:rsidRPr="00BF55FF">
        <w:t xml:space="preserve"> given </w:t>
      </w:r>
      <w:r w:rsidR="003D1005" w:rsidRPr="00BF55FF">
        <w:t xml:space="preserve">the </w:t>
      </w:r>
      <w:r w:rsidR="001C304E" w:rsidRPr="00BF55FF">
        <w:t xml:space="preserve">potential </w:t>
      </w:r>
      <w:r w:rsidR="003D1005" w:rsidRPr="00BF55FF">
        <w:t xml:space="preserve">for </w:t>
      </w:r>
      <w:r w:rsidRPr="00BF55FF">
        <w:t>differences in dosing frequency between children and adults</w:t>
      </w:r>
      <w:r w:rsidR="009774B4" w:rsidRPr="00BF55FF">
        <w:t xml:space="preserve">. </w:t>
      </w:r>
      <w:r w:rsidR="00AE1AF2" w:rsidRPr="00BF55FF">
        <w:t>In the</w:t>
      </w:r>
      <w:r w:rsidR="00870C78" w:rsidRPr="00BF55FF">
        <w:t xml:space="preserve"> lanadelumab</w:t>
      </w:r>
      <w:r w:rsidR="00AE1AF2" w:rsidRPr="00BF55FF">
        <w:t xml:space="preserve"> Product Information, t</w:t>
      </w:r>
      <w:r w:rsidR="00780501" w:rsidRPr="00BF55FF">
        <w:t>he recommended starting dose</w:t>
      </w:r>
      <w:r w:rsidR="00A9333B" w:rsidRPr="00BF55FF">
        <w:t xml:space="preserve"> </w:t>
      </w:r>
      <w:r w:rsidR="00780501" w:rsidRPr="00BF55FF">
        <w:t xml:space="preserve">in </w:t>
      </w:r>
      <w:r w:rsidR="009774B4" w:rsidRPr="00BF55FF">
        <w:t xml:space="preserve">adults </w:t>
      </w:r>
      <w:r w:rsidR="00780501" w:rsidRPr="00BF55FF">
        <w:t xml:space="preserve">is </w:t>
      </w:r>
      <w:r w:rsidR="00805EA5" w:rsidRPr="00BF55FF">
        <w:t>300</w:t>
      </w:r>
      <w:r w:rsidR="00CC702E" w:rsidRPr="00BF55FF">
        <w:t xml:space="preserve"> </w:t>
      </w:r>
      <w:r w:rsidR="00805EA5" w:rsidRPr="00BF55FF">
        <w:t xml:space="preserve">mg </w:t>
      </w:r>
      <w:r w:rsidR="009D1F62" w:rsidRPr="00BF55FF">
        <w:t>Q2W</w:t>
      </w:r>
      <w:r w:rsidR="00A75447" w:rsidRPr="00BF55FF">
        <w:t xml:space="preserve">, </w:t>
      </w:r>
      <w:r w:rsidR="00805EA5" w:rsidRPr="00BF55FF">
        <w:t xml:space="preserve">with </w:t>
      </w:r>
      <w:r w:rsidR="009D1F62" w:rsidRPr="00BF55FF">
        <w:t xml:space="preserve">Q4W </w:t>
      </w:r>
      <w:r w:rsidR="0069158C" w:rsidRPr="00BF55FF">
        <w:t xml:space="preserve">administration </w:t>
      </w:r>
      <w:r w:rsidR="00805EA5" w:rsidRPr="00BF55FF">
        <w:t>considered for</w:t>
      </w:r>
      <w:r w:rsidR="00A75447" w:rsidRPr="00BF55FF">
        <w:t xml:space="preserve"> patients who are well controlled</w:t>
      </w:r>
      <w:r w:rsidR="0069158C" w:rsidRPr="00BF55FF">
        <w:t xml:space="preserve"> </w:t>
      </w:r>
      <w:r w:rsidR="00805EA5" w:rsidRPr="00BF55FF">
        <w:t>(</w:t>
      </w:r>
      <w:r w:rsidR="003A6F77" w:rsidRPr="00BF55FF">
        <w:t>i</w:t>
      </w:r>
      <w:r w:rsidR="003D1005" w:rsidRPr="00BF55FF">
        <w:t>.</w:t>
      </w:r>
      <w:r w:rsidR="003A6F77" w:rsidRPr="00BF55FF">
        <w:t>e</w:t>
      </w:r>
      <w:r w:rsidR="003D1005" w:rsidRPr="00BF55FF">
        <w:t>.</w:t>
      </w:r>
      <w:r w:rsidR="00805EA5" w:rsidRPr="00BF55FF">
        <w:t xml:space="preserve"> attack free) on treatment</w:t>
      </w:r>
      <w:r w:rsidR="0069158C" w:rsidRPr="00BF55FF">
        <w:t xml:space="preserve">. This is </w:t>
      </w:r>
      <w:r w:rsidR="00A9333B" w:rsidRPr="00BF55FF">
        <w:t xml:space="preserve">similar to </w:t>
      </w:r>
      <w:r w:rsidR="008D0A34" w:rsidRPr="00BF55FF">
        <w:t xml:space="preserve">the dosing information for </w:t>
      </w:r>
      <w:r w:rsidR="00A9333B" w:rsidRPr="00BF55FF">
        <w:t>patients aged 6 to 11 years</w:t>
      </w:r>
      <w:r w:rsidR="0069158C" w:rsidRPr="00BF55FF">
        <w:t xml:space="preserve"> (albeit with 150 mg dosing</w:t>
      </w:r>
      <w:r w:rsidR="00AE1AF2" w:rsidRPr="00BF55FF">
        <w:t>)</w:t>
      </w:r>
      <w:r w:rsidR="0069158C" w:rsidRPr="00BF55FF">
        <w:t>,</w:t>
      </w:r>
      <w:r w:rsidR="00AE1AF2" w:rsidRPr="00BF55FF">
        <w:t xml:space="preserve"> though</w:t>
      </w:r>
      <w:r w:rsidR="0069158C" w:rsidRPr="00BF55FF">
        <w:t xml:space="preserve"> the Product Information </w:t>
      </w:r>
      <w:r w:rsidR="006B60CA" w:rsidRPr="00BF55FF">
        <w:t>specif</w:t>
      </w:r>
      <w:r w:rsidR="00AE1AF2" w:rsidRPr="00BF55FF">
        <w:t>ies</w:t>
      </w:r>
      <w:r w:rsidR="0069158C" w:rsidRPr="00BF55FF">
        <w:t xml:space="preserve"> a </w:t>
      </w:r>
      <w:r w:rsidR="006B60CA" w:rsidRPr="00BF55FF">
        <w:t>26-week period of being well-controlled prior to reducing the dosing frequency</w:t>
      </w:r>
      <w:r w:rsidR="00EF575F" w:rsidRPr="00BF55FF">
        <w:t xml:space="preserve"> in this age group. (The dose in patients aged 2 to 5 years is 150</w:t>
      </w:r>
      <w:r w:rsidR="00870C78" w:rsidRPr="00BF55FF">
        <w:t> </w:t>
      </w:r>
      <w:r w:rsidR="00EF575F" w:rsidRPr="00BF55FF">
        <w:t xml:space="preserve">mg </w:t>
      </w:r>
      <w:r w:rsidR="009D1F62" w:rsidRPr="00E06696">
        <w:t>Q4W</w:t>
      </w:r>
      <w:r w:rsidR="00B105FD" w:rsidRPr="00E06696">
        <w:t>.</w:t>
      </w:r>
      <w:r w:rsidR="00A9333B" w:rsidRPr="00E06696">
        <w:t>)</w:t>
      </w:r>
      <w:r w:rsidR="00EF575F" w:rsidRPr="00E06696">
        <w:t xml:space="preserve"> It is</w:t>
      </w:r>
      <w:r w:rsidR="00965D4A" w:rsidRPr="00E06696">
        <w:t xml:space="preserve"> unclear whether </w:t>
      </w:r>
      <w:r w:rsidR="006377DE" w:rsidRPr="00E06696">
        <w:t xml:space="preserve">reductions in dosing frequency would occur to the same extent in </w:t>
      </w:r>
      <w:r w:rsidR="00862A42" w:rsidRPr="00E06696">
        <w:t xml:space="preserve">children aged 6 to 11 years </w:t>
      </w:r>
      <w:r w:rsidR="006377DE" w:rsidRPr="00E06696">
        <w:t>as</w:t>
      </w:r>
      <w:r w:rsidR="00862A42" w:rsidRPr="00E06696">
        <w:t xml:space="preserve"> in adults</w:t>
      </w:r>
      <w:r w:rsidR="004E569B">
        <w:t>.</w:t>
      </w:r>
      <w:bookmarkEnd w:id="50"/>
    </w:p>
    <w:p w14:paraId="7854EEBE" w14:textId="2F021497" w:rsidR="00912750" w:rsidRPr="00E06696" w:rsidRDefault="006A70BC" w:rsidP="00A31687">
      <w:pPr>
        <w:pStyle w:val="3-BodyText"/>
      </w:pPr>
      <w:r w:rsidRPr="00E06696">
        <w:t>T</w:t>
      </w:r>
      <w:r w:rsidR="00E2468B" w:rsidRPr="00E06696">
        <w:t>he submission proposed that extension of listing to the 2-11 years population would be cost-neutral</w:t>
      </w:r>
      <w:r w:rsidR="00B827ED">
        <w:t xml:space="preserve"> to government</w:t>
      </w:r>
      <w:r w:rsidR="00E2468B" w:rsidRPr="00E06696">
        <w:t xml:space="preserve"> because of “</w:t>
      </w:r>
      <w:r w:rsidR="00E2468B" w:rsidRPr="00E06696">
        <w:rPr>
          <w:lang w:eastAsia="en-US"/>
        </w:rPr>
        <w:t xml:space="preserve">low expected utilisation, and […] the </w:t>
      </w:r>
      <w:r w:rsidR="000D48FB" w:rsidRPr="00F4374A">
        <w:rPr>
          <w:color w:val="000000"/>
          <w:w w:val="15"/>
          <w:shd w:val="solid" w:color="000000" w:fill="000000"/>
          <w:fitText w:val="-20" w:id="-761565952"/>
          <w:lang w:eastAsia="en-US"/>
          <w14:textFill>
            <w14:solidFill>
              <w14:srgbClr w14:val="000000">
                <w14:alpha w14:val="100000"/>
              </w14:srgbClr>
            </w14:solidFill>
          </w14:textFill>
        </w:rPr>
        <w:t xml:space="preserve">|  </w:t>
      </w:r>
      <w:r w:rsidR="000D48FB" w:rsidRPr="00F4374A">
        <w:rPr>
          <w:color w:val="000000"/>
          <w:spacing w:val="-69"/>
          <w:w w:val="15"/>
          <w:shd w:val="solid" w:color="000000" w:fill="000000"/>
          <w:fitText w:val="-20" w:id="-761565952"/>
          <w:lang w:eastAsia="en-US"/>
          <w14:textFill>
            <w14:solidFill>
              <w14:srgbClr w14:val="000000">
                <w14:alpha w14:val="100000"/>
              </w14:srgbClr>
            </w14:solidFill>
          </w14:textFill>
        </w:rPr>
        <w:t>|</w:t>
      </w:r>
      <w:r w:rsidR="00E2468B" w:rsidRPr="00E06696">
        <w:rPr>
          <w:lang w:eastAsia="en-US"/>
        </w:rPr>
        <w:t>% rebate in place once the cap is reached”, given the</w:t>
      </w:r>
      <w:r w:rsidR="004E569B">
        <w:rPr>
          <w:lang w:eastAsia="en-US"/>
        </w:rPr>
        <w:t xml:space="preserve"> expenditure</w:t>
      </w:r>
      <w:r w:rsidR="00E2468B" w:rsidRPr="00E06696">
        <w:rPr>
          <w:lang w:eastAsia="en-US"/>
        </w:rPr>
        <w:t xml:space="preserve"> caps</w:t>
      </w:r>
      <w:r w:rsidR="00EE3A52">
        <w:rPr>
          <w:lang w:eastAsia="en-US"/>
        </w:rPr>
        <w:t xml:space="preserve"> for the risk </w:t>
      </w:r>
      <w:r w:rsidR="00EE3A52">
        <w:rPr>
          <w:lang w:eastAsia="en-US"/>
        </w:rPr>
        <w:lastRenderedPageBreak/>
        <w:t xml:space="preserve">sharing arrangement (RSA) for the 300 mg strength in patients </w:t>
      </w:r>
      <w:r w:rsidR="00EE3A52">
        <w:rPr>
          <w:rFonts w:cstheme="minorHAnsi"/>
          <w:lang w:eastAsia="en-US"/>
        </w:rPr>
        <w:t>≥</w:t>
      </w:r>
      <w:r w:rsidR="00EE3A52">
        <w:rPr>
          <w:lang w:eastAsia="en-US"/>
        </w:rPr>
        <w:t>12 years</w:t>
      </w:r>
      <w:r w:rsidR="00E2468B" w:rsidRPr="00E06696">
        <w:rPr>
          <w:lang w:eastAsia="en-US"/>
        </w:rPr>
        <w:t xml:space="preserve"> are currently being exceeded.</w:t>
      </w:r>
    </w:p>
    <w:p w14:paraId="37DD9587" w14:textId="435038EB" w:rsidR="00FC0895" w:rsidRPr="00E06696" w:rsidRDefault="00E2468B" w:rsidP="0055138A">
      <w:pPr>
        <w:pStyle w:val="3-BodyText"/>
      </w:pPr>
      <w:r w:rsidRPr="00E06696">
        <w:t>The ESC considered that</w:t>
      </w:r>
      <w:r w:rsidR="009E6E66" w:rsidRPr="00E06696">
        <w:t>,</w:t>
      </w:r>
      <w:r w:rsidRPr="00E06696">
        <w:t xml:space="preserve"> regardless of the</w:t>
      </w:r>
      <w:r w:rsidR="00EE3A52">
        <w:t xml:space="preserve"> existing</w:t>
      </w:r>
      <w:r w:rsidRPr="00E06696">
        <w:t xml:space="preserve"> RSA, </w:t>
      </w:r>
      <w:r w:rsidR="00C84C10" w:rsidRPr="00E06696">
        <w:t>an</w:t>
      </w:r>
      <w:r w:rsidRPr="00E06696">
        <w:t xml:space="preserve"> </w:t>
      </w:r>
      <w:r w:rsidR="00A82B2C" w:rsidRPr="00E06696">
        <w:t xml:space="preserve">economic </w:t>
      </w:r>
      <w:r w:rsidRPr="00E06696">
        <w:t>evaluat</w:t>
      </w:r>
      <w:r w:rsidR="00C84C10" w:rsidRPr="00E06696">
        <w:t>ion</w:t>
      </w:r>
      <w:r w:rsidRPr="00E06696">
        <w:t xml:space="preserve"> </w:t>
      </w:r>
      <w:r w:rsidR="003B7BC0" w:rsidRPr="00E06696">
        <w:t xml:space="preserve">would be required to support a </w:t>
      </w:r>
      <w:r w:rsidR="000A6CDE" w:rsidRPr="00E06696">
        <w:t xml:space="preserve">lower </w:t>
      </w:r>
      <w:r w:rsidRPr="00E06696">
        <w:t xml:space="preserve">baseline attack rate </w:t>
      </w:r>
      <w:r w:rsidR="003B7BC0" w:rsidRPr="00E06696">
        <w:t xml:space="preserve">than the existing restriction </w:t>
      </w:r>
      <w:r w:rsidR="00A82B2C" w:rsidRPr="00E06696">
        <w:t xml:space="preserve">for </w:t>
      </w:r>
      <w:r w:rsidR="003B7BC0" w:rsidRPr="00E06696">
        <w:t>patients aged</w:t>
      </w:r>
      <w:r w:rsidR="00A82B2C" w:rsidRPr="00E06696">
        <w:t xml:space="preserve"> ≥12 year</w:t>
      </w:r>
      <w:r w:rsidR="003B7BC0" w:rsidRPr="00E06696">
        <w:t>s</w:t>
      </w:r>
      <w:r w:rsidR="000A6CDE" w:rsidRPr="00E06696">
        <w:t>, given the previous economic</w:t>
      </w:r>
      <w:r w:rsidR="000A6CDE" w:rsidRPr="00BF55FF">
        <w:t xml:space="preserve"> evaluation </w:t>
      </w:r>
      <w:r w:rsidRPr="00BF55FF">
        <w:t>was highly sensitive to</w:t>
      </w:r>
      <w:r w:rsidR="00A82B2C" w:rsidRPr="00BF55FF">
        <w:t xml:space="preserve"> </w:t>
      </w:r>
      <w:r w:rsidR="000A6CDE" w:rsidRPr="00BF55FF">
        <w:t>this parameter</w:t>
      </w:r>
      <w:r w:rsidRPr="00BF55FF">
        <w:t xml:space="preserve"> (paragraph 6.7, </w:t>
      </w:r>
      <w:r w:rsidR="00B03320">
        <w:t>l</w:t>
      </w:r>
      <w:r w:rsidRPr="00BF55FF">
        <w:t>anadelumab</w:t>
      </w:r>
      <w:r w:rsidR="007D0CA5" w:rsidRPr="00BF55FF">
        <w:t xml:space="preserve"> PSD</w:t>
      </w:r>
      <w:r w:rsidRPr="00BF55FF">
        <w:t>, July 2021).</w:t>
      </w:r>
    </w:p>
    <w:p w14:paraId="472842D7" w14:textId="404C1983" w:rsidR="00C25D9C" w:rsidRPr="00E06696" w:rsidRDefault="00C25D9C" w:rsidP="00BB732D">
      <w:pPr>
        <w:pStyle w:val="4-SubsectionHeading"/>
        <w:rPr>
          <w:i w:val="0"/>
        </w:rPr>
      </w:pPr>
      <w:bookmarkStart w:id="52" w:name="_Toc22897646"/>
      <w:bookmarkStart w:id="53" w:name="_Toc177389672"/>
      <w:r w:rsidRPr="00E06696">
        <w:rPr>
          <w:i w:val="0"/>
        </w:rPr>
        <w:t>Drug cost/patient/year</w:t>
      </w:r>
      <w:bookmarkEnd w:id="52"/>
      <w:bookmarkEnd w:id="53"/>
    </w:p>
    <w:p w14:paraId="3DBFE151" w14:textId="3DDEF381" w:rsidR="00494207" w:rsidRPr="00E06696" w:rsidRDefault="00400B8B" w:rsidP="00DA64B0">
      <w:pPr>
        <w:pStyle w:val="3-BodyText"/>
      </w:pPr>
      <w:bookmarkStart w:id="54" w:name="_Hlk107307804"/>
      <w:r w:rsidRPr="00E06696">
        <w:t>T</w:t>
      </w:r>
      <w:r w:rsidR="00EB5D9B" w:rsidRPr="00E06696">
        <w:t xml:space="preserve">he </w:t>
      </w:r>
      <w:r w:rsidR="003F198A" w:rsidRPr="00E06696">
        <w:t>cost per patient per year based on the effective price</w:t>
      </w:r>
      <w:r w:rsidRPr="00E06696">
        <w:t xml:space="preserve"> of lanadelumab</w:t>
      </w:r>
      <w:r w:rsidR="003F198A" w:rsidRPr="00E06696">
        <w:t xml:space="preserve"> is </w:t>
      </w:r>
      <w:r w:rsidRPr="00E06696">
        <w:t>shown in</w:t>
      </w:r>
      <w:r w:rsidR="00CE3C4A" w:rsidRPr="00E06696">
        <w:t xml:space="preserve"> </w:t>
      </w:r>
      <w:r w:rsidR="00600502" w:rsidRPr="00E06696">
        <w:fldChar w:fldCharType="begin" w:fldLock="1"/>
      </w:r>
      <w:r w:rsidR="00600502" w:rsidRPr="00E06696">
        <w:instrText xml:space="preserve"> REF _Ref175228799 \h </w:instrText>
      </w:r>
      <w:r w:rsidR="003223D7" w:rsidRPr="00E06696">
        <w:instrText xml:space="preserve"> \* MERGEFORMAT </w:instrText>
      </w:r>
      <w:r w:rsidR="00600502" w:rsidRPr="00E06696">
        <w:fldChar w:fldCharType="separate"/>
      </w:r>
      <w:r w:rsidR="009C2393" w:rsidRPr="00E06696">
        <w:t xml:space="preserve">Table </w:t>
      </w:r>
      <w:r w:rsidR="009C2393">
        <w:t>6</w:t>
      </w:r>
      <w:r w:rsidR="00600502" w:rsidRPr="00E06696">
        <w:fldChar w:fldCharType="end"/>
      </w:r>
      <w:r w:rsidR="003F198A" w:rsidRPr="00E06696">
        <w:t xml:space="preserve">. </w:t>
      </w:r>
      <w:r w:rsidR="00CE3C4A" w:rsidRPr="00E06696">
        <w:t>The submission essentially assumed a nil cost</w:t>
      </w:r>
      <w:r w:rsidRPr="00E06696">
        <w:t xml:space="preserve"> [to government]</w:t>
      </w:r>
      <w:r w:rsidR="00CE3C4A" w:rsidRPr="00E06696">
        <w:t xml:space="preserve"> per patient per year if lanadelumab </w:t>
      </w:r>
      <w:r w:rsidR="00B53C9F" w:rsidRPr="00E06696">
        <w:t xml:space="preserve">usage </w:t>
      </w:r>
      <w:r w:rsidR="00CE3C4A" w:rsidRPr="00E06696">
        <w:t>continues to exceed</w:t>
      </w:r>
      <w:r w:rsidR="00087823" w:rsidRPr="00E06696">
        <w:t xml:space="preserve"> the</w:t>
      </w:r>
      <w:r w:rsidRPr="00E06696">
        <w:t xml:space="preserve"> subsidisation</w:t>
      </w:r>
      <w:r w:rsidR="00CE3C4A" w:rsidRPr="00E06696">
        <w:t xml:space="preserve"> caps.</w:t>
      </w:r>
      <w:r w:rsidR="00E80F55" w:rsidRPr="00E06696">
        <w:t xml:space="preserve"> </w:t>
      </w:r>
    </w:p>
    <w:p w14:paraId="52D793B2" w14:textId="735F68D5" w:rsidR="002B5A2D" w:rsidRPr="00BF55FF" w:rsidRDefault="002B5A2D" w:rsidP="002B5A2D">
      <w:pPr>
        <w:pStyle w:val="Caption"/>
        <w:rPr>
          <w:rStyle w:val="CommentReference"/>
          <w:b/>
          <w:szCs w:val="24"/>
        </w:rPr>
      </w:pPr>
      <w:bookmarkStart w:id="55" w:name="_Ref175228799"/>
      <w:r w:rsidRPr="00E06696">
        <w:t xml:space="preserve">Table </w:t>
      </w:r>
      <w:r w:rsidR="00ED245D" w:rsidRPr="00E06696">
        <w:fldChar w:fldCharType="begin" w:fldLock="1"/>
      </w:r>
      <w:r w:rsidR="00ED245D" w:rsidRPr="00E06696">
        <w:instrText xml:space="preserve"> SEQ Table \* ARABIC </w:instrText>
      </w:r>
      <w:r w:rsidR="00ED245D" w:rsidRPr="00E06696">
        <w:fldChar w:fldCharType="separate"/>
      </w:r>
      <w:r w:rsidR="009C2393">
        <w:rPr>
          <w:noProof/>
        </w:rPr>
        <w:t>6</w:t>
      </w:r>
      <w:r w:rsidR="00ED245D" w:rsidRPr="00E06696">
        <w:fldChar w:fldCharType="end"/>
      </w:r>
      <w:bookmarkEnd w:id="55"/>
      <w:r w:rsidRPr="00E06696">
        <w:t>:</w:t>
      </w:r>
      <w:r w:rsidRPr="00E06696">
        <w:rPr>
          <w:rStyle w:val="CommentReference"/>
          <w:b/>
          <w:szCs w:val="24"/>
        </w:rPr>
        <w:t xml:space="preserve"> Drug cost per patient </w:t>
      </w:r>
      <w:r w:rsidR="00A65D74" w:rsidRPr="00E06696">
        <w:rPr>
          <w:rStyle w:val="CommentReference"/>
          <w:b/>
          <w:szCs w:val="24"/>
        </w:rPr>
        <w:t>per year</w:t>
      </w:r>
      <w:r w:rsidR="00A65D74" w:rsidRPr="00BF55FF">
        <w:rPr>
          <w:rStyle w:val="CommentReference"/>
          <w:b/>
          <w:szCs w:val="24"/>
        </w:rPr>
        <w:t xml:space="preserve"> </w:t>
      </w:r>
      <w:r w:rsidRPr="00BF55FF">
        <w:rPr>
          <w:rStyle w:val="CommentReference"/>
          <w:b/>
          <w:szCs w:val="24"/>
        </w:rPr>
        <w:t>for lanadelumab</w:t>
      </w:r>
      <w:r w:rsidR="00CE3C4A" w:rsidRPr="00BF55FF">
        <w:rPr>
          <w:rStyle w:val="CommentReference"/>
          <w:b/>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29"/>
        <w:gridCol w:w="2162"/>
        <w:gridCol w:w="2160"/>
        <w:gridCol w:w="2166"/>
      </w:tblGrid>
      <w:tr w:rsidR="0013380A" w:rsidRPr="00BF55FF" w14:paraId="25E7EA8C" w14:textId="77777777" w:rsidTr="00450AF7">
        <w:trPr>
          <w:cantSplit/>
          <w:tblHeader/>
          <w:jc w:val="center"/>
        </w:trPr>
        <w:tc>
          <w:tcPr>
            <w:tcW w:w="1402" w:type="pct"/>
            <w:shd w:val="clear" w:color="auto" w:fill="auto"/>
            <w:vAlign w:val="center"/>
          </w:tcPr>
          <w:p w14:paraId="3349E8C9" w14:textId="3516A852" w:rsidR="002B5A2D" w:rsidRPr="00BF55FF" w:rsidRDefault="002B5A2D">
            <w:pPr>
              <w:pStyle w:val="In-tableHeading"/>
              <w:jc w:val="center"/>
              <w:rPr>
                <w:lang w:val="en-AU"/>
              </w:rPr>
            </w:pPr>
          </w:p>
        </w:tc>
        <w:tc>
          <w:tcPr>
            <w:tcW w:w="1199" w:type="pct"/>
            <w:shd w:val="clear" w:color="auto" w:fill="auto"/>
            <w:vAlign w:val="center"/>
          </w:tcPr>
          <w:p w14:paraId="4423350C" w14:textId="22501569" w:rsidR="002B5A2D" w:rsidRPr="00BF55FF" w:rsidRDefault="00BB21C1">
            <w:pPr>
              <w:pStyle w:val="In-tableHeading"/>
              <w:jc w:val="center"/>
              <w:rPr>
                <w:lang w:val="en-AU"/>
              </w:rPr>
            </w:pPr>
            <w:r w:rsidRPr="00BF55FF">
              <w:rPr>
                <w:lang w:val="en-AU"/>
              </w:rPr>
              <w:t xml:space="preserve">Every </w:t>
            </w:r>
            <w:r w:rsidR="001F62C0" w:rsidRPr="00BF55FF">
              <w:rPr>
                <w:lang w:val="en-AU"/>
              </w:rPr>
              <w:t>4</w:t>
            </w:r>
            <w:r w:rsidRPr="00BF55FF">
              <w:rPr>
                <w:lang w:val="en-AU"/>
              </w:rPr>
              <w:t xml:space="preserve"> weeks</w:t>
            </w:r>
          </w:p>
        </w:tc>
        <w:tc>
          <w:tcPr>
            <w:tcW w:w="1198" w:type="pct"/>
            <w:shd w:val="clear" w:color="auto" w:fill="auto"/>
            <w:vAlign w:val="center"/>
          </w:tcPr>
          <w:p w14:paraId="25491BC5" w14:textId="0B06619F" w:rsidR="002B5A2D" w:rsidRPr="00BF55FF" w:rsidRDefault="00BB21C1">
            <w:pPr>
              <w:pStyle w:val="In-tableHeading"/>
              <w:jc w:val="center"/>
              <w:rPr>
                <w:lang w:val="en-AU"/>
              </w:rPr>
            </w:pPr>
            <w:r w:rsidRPr="00BF55FF">
              <w:rPr>
                <w:lang w:val="en-AU"/>
              </w:rPr>
              <w:t xml:space="preserve">Every </w:t>
            </w:r>
            <w:r w:rsidR="001F62C0" w:rsidRPr="00BF55FF">
              <w:rPr>
                <w:lang w:val="en-AU"/>
              </w:rPr>
              <w:t xml:space="preserve">2 </w:t>
            </w:r>
            <w:r w:rsidRPr="00BF55FF">
              <w:rPr>
                <w:lang w:val="en-AU"/>
              </w:rPr>
              <w:t>week</w:t>
            </w:r>
            <w:r w:rsidR="001F62C0" w:rsidRPr="00BF55FF">
              <w:rPr>
                <w:lang w:val="en-AU"/>
              </w:rPr>
              <w:t>s</w:t>
            </w:r>
          </w:p>
        </w:tc>
        <w:tc>
          <w:tcPr>
            <w:tcW w:w="1201" w:type="pct"/>
            <w:shd w:val="clear" w:color="auto" w:fill="auto"/>
            <w:vAlign w:val="center"/>
          </w:tcPr>
          <w:p w14:paraId="24EDC01D" w14:textId="338F1E0F" w:rsidR="00BB21C1" w:rsidRPr="00BF55FF" w:rsidRDefault="00BB21C1" w:rsidP="00CE3C4A">
            <w:pPr>
              <w:pStyle w:val="In-tableHeading"/>
              <w:jc w:val="center"/>
              <w:rPr>
                <w:lang w:val="en-AU"/>
              </w:rPr>
            </w:pPr>
            <w:r w:rsidRPr="00BF55FF">
              <w:rPr>
                <w:lang w:val="en-AU"/>
              </w:rPr>
              <w:t>Financial estimates</w:t>
            </w:r>
            <w:r w:rsidR="008E0168" w:rsidRPr="00BF55FF">
              <w:rPr>
                <w:lang w:val="en-AU"/>
              </w:rPr>
              <w:t xml:space="preserve"> (excluding RSA)</w:t>
            </w:r>
          </w:p>
        </w:tc>
      </w:tr>
      <w:tr w:rsidR="0013380A" w:rsidRPr="00BF55FF" w14:paraId="09586020" w14:textId="77777777" w:rsidTr="00450AF7">
        <w:trPr>
          <w:cantSplit/>
          <w:jc w:val="center"/>
        </w:trPr>
        <w:tc>
          <w:tcPr>
            <w:tcW w:w="1402" w:type="pct"/>
            <w:shd w:val="clear" w:color="auto" w:fill="auto"/>
            <w:vAlign w:val="center"/>
          </w:tcPr>
          <w:p w14:paraId="4030A42D" w14:textId="1235186F" w:rsidR="00450AF7" w:rsidRPr="00BF55FF" w:rsidRDefault="00450AF7">
            <w:pPr>
              <w:pStyle w:val="TableText0"/>
            </w:pPr>
            <w:r w:rsidRPr="00BF55FF">
              <w:t xml:space="preserve">Lanadelumab DPMQ </w:t>
            </w:r>
          </w:p>
        </w:tc>
        <w:tc>
          <w:tcPr>
            <w:tcW w:w="3598" w:type="pct"/>
            <w:gridSpan w:val="3"/>
            <w:shd w:val="clear" w:color="auto" w:fill="auto"/>
            <w:vAlign w:val="center"/>
          </w:tcPr>
          <w:p w14:paraId="148B84BE" w14:textId="33729B32" w:rsidR="00450AF7" w:rsidRPr="00BF55FF" w:rsidRDefault="00450AF7">
            <w:pPr>
              <w:pStyle w:val="TableText0"/>
              <w:jc w:val="center"/>
              <w:rPr>
                <w:bCs w:val="0"/>
              </w:rPr>
            </w:pPr>
            <w:r w:rsidRPr="00BF55FF">
              <w:rPr>
                <w:bCs w:val="0"/>
              </w:rPr>
              <w:t>$</w:t>
            </w:r>
            <w:r w:rsidR="000D48FB" w:rsidRPr="000D48FB">
              <w:rPr>
                <w:bCs w:val="0"/>
                <w:color w:val="000000"/>
                <w:shd w:val="solid" w:color="000000" w:fill="000000"/>
                <w14:textFill>
                  <w14:solidFill>
                    <w14:srgbClr w14:val="000000">
                      <w14:alpha w14:val="100000"/>
                    </w14:srgbClr>
                  </w14:solidFill>
                </w14:textFill>
              </w:rPr>
              <w:t>|</w:t>
            </w:r>
          </w:p>
        </w:tc>
      </w:tr>
      <w:tr w:rsidR="0013380A" w:rsidRPr="00BF55FF" w14:paraId="578BAD3B" w14:textId="77777777" w:rsidTr="00EB3A63">
        <w:trPr>
          <w:cantSplit/>
          <w:jc w:val="center"/>
        </w:trPr>
        <w:tc>
          <w:tcPr>
            <w:tcW w:w="1402" w:type="pct"/>
            <w:shd w:val="clear" w:color="auto" w:fill="auto"/>
            <w:vAlign w:val="center"/>
          </w:tcPr>
          <w:p w14:paraId="5B175CD1" w14:textId="7E70262A" w:rsidR="00EB3A63" w:rsidRPr="00BF55FF" w:rsidRDefault="00EB3A63" w:rsidP="00EB3A63">
            <w:pPr>
              <w:pStyle w:val="TableText0"/>
            </w:pPr>
            <w:r w:rsidRPr="00BF55FF">
              <w:t>Doses per year</w:t>
            </w:r>
          </w:p>
        </w:tc>
        <w:tc>
          <w:tcPr>
            <w:tcW w:w="1199" w:type="pct"/>
            <w:shd w:val="clear" w:color="auto" w:fill="auto"/>
          </w:tcPr>
          <w:p w14:paraId="2A5094B2" w14:textId="71981F92" w:rsidR="00EB3A63" w:rsidRPr="00BF55FF" w:rsidRDefault="00EB3A63" w:rsidP="00EB3A63">
            <w:pPr>
              <w:pStyle w:val="TableText0"/>
              <w:jc w:val="center"/>
              <w:rPr>
                <w:b/>
              </w:rPr>
            </w:pPr>
            <w:r w:rsidRPr="00BF55FF">
              <w:t>13</w:t>
            </w:r>
          </w:p>
        </w:tc>
        <w:tc>
          <w:tcPr>
            <w:tcW w:w="1198" w:type="pct"/>
            <w:shd w:val="clear" w:color="auto" w:fill="auto"/>
          </w:tcPr>
          <w:p w14:paraId="7065312D" w14:textId="74001D1F" w:rsidR="00EB3A63" w:rsidRPr="00BF55FF" w:rsidRDefault="00EB3A63" w:rsidP="00EB3A63">
            <w:pPr>
              <w:pStyle w:val="TableText0"/>
              <w:jc w:val="center"/>
              <w:rPr>
                <w:b/>
              </w:rPr>
            </w:pPr>
            <w:r w:rsidRPr="00BF55FF">
              <w:t>26</w:t>
            </w:r>
          </w:p>
        </w:tc>
        <w:tc>
          <w:tcPr>
            <w:tcW w:w="1201" w:type="pct"/>
            <w:shd w:val="clear" w:color="auto" w:fill="auto"/>
          </w:tcPr>
          <w:p w14:paraId="751C743F" w14:textId="436A1C7B" w:rsidR="00EB3A63" w:rsidRPr="00BF55FF" w:rsidRDefault="00EB3A63" w:rsidP="00EB3A63">
            <w:pPr>
              <w:pStyle w:val="TableText0"/>
              <w:jc w:val="center"/>
              <w:rPr>
                <w:b/>
              </w:rPr>
            </w:pPr>
            <w:r w:rsidRPr="00BF55FF">
              <w:t>20.15</w:t>
            </w:r>
          </w:p>
        </w:tc>
      </w:tr>
      <w:tr w:rsidR="0013380A" w:rsidRPr="00BF55FF" w14:paraId="7CF9DAB6" w14:textId="77777777" w:rsidTr="00EB3A63">
        <w:trPr>
          <w:cantSplit/>
          <w:jc w:val="center"/>
        </w:trPr>
        <w:tc>
          <w:tcPr>
            <w:tcW w:w="1402" w:type="pct"/>
            <w:shd w:val="clear" w:color="auto" w:fill="auto"/>
            <w:vAlign w:val="center"/>
          </w:tcPr>
          <w:p w14:paraId="752BBAD6" w14:textId="40E38188" w:rsidR="00EB3A63" w:rsidRPr="00BF55FF" w:rsidRDefault="00EB3A63" w:rsidP="00EB3A63">
            <w:pPr>
              <w:pStyle w:val="TableText0"/>
              <w:rPr>
                <w:vertAlign w:val="superscript"/>
              </w:rPr>
            </w:pPr>
            <w:r w:rsidRPr="00BF55FF">
              <w:t>Cost per patient per year</w:t>
            </w:r>
            <w:r w:rsidR="00C95020" w:rsidRPr="00BF55FF">
              <w:t xml:space="preserve"> </w:t>
            </w:r>
            <w:r w:rsidR="00C95020" w:rsidRPr="00BF55FF">
              <w:rPr>
                <w:vertAlign w:val="superscript"/>
              </w:rPr>
              <w:t>a</w:t>
            </w:r>
          </w:p>
        </w:tc>
        <w:tc>
          <w:tcPr>
            <w:tcW w:w="1199" w:type="pct"/>
            <w:shd w:val="clear" w:color="auto" w:fill="auto"/>
          </w:tcPr>
          <w:p w14:paraId="29ABA05A" w14:textId="1A0094BD" w:rsidR="00EB3A63" w:rsidRPr="00BF55FF" w:rsidRDefault="00EB3A63" w:rsidP="00EB3A63">
            <w:pPr>
              <w:pStyle w:val="TableText0"/>
              <w:jc w:val="center"/>
            </w:pPr>
            <w:r w:rsidRPr="00BF55FF">
              <w:t xml:space="preserve"> $</w:t>
            </w:r>
            <w:r w:rsidR="000D48FB" w:rsidRPr="000D48FB">
              <w:rPr>
                <w:color w:val="000000"/>
                <w:shd w:val="solid" w:color="000000" w:fill="000000"/>
                <w14:textFill>
                  <w14:solidFill>
                    <w14:srgbClr w14:val="000000">
                      <w14:alpha w14:val="100000"/>
                    </w14:srgbClr>
                  </w14:solidFill>
                </w14:textFill>
              </w:rPr>
              <w:t>|</w:t>
            </w:r>
            <w:r w:rsidRPr="00BF55FF">
              <w:t xml:space="preserve"> </w:t>
            </w:r>
          </w:p>
        </w:tc>
        <w:tc>
          <w:tcPr>
            <w:tcW w:w="1198" w:type="pct"/>
            <w:shd w:val="clear" w:color="auto" w:fill="auto"/>
          </w:tcPr>
          <w:p w14:paraId="383352DF" w14:textId="03201CDE" w:rsidR="00EB3A63" w:rsidRPr="00BF55FF" w:rsidRDefault="00EB3A63" w:rsidP="00EB3A63">
            <w:pPr>
              <w:pStyle w:val="TableText0"/>
              <w:jc w:val="center"/>
            </w:pPr>
            <w:r w:rsidRPr="00BF55FF">
              <w:t xml:space="preserve"> $</w:t>
            </w:r>
            <w:r w:rsidR="000D48FB" w:rsidRPr="000D48FB">
              <w:rPr>
                <w:color w:val="000000"/>
                <w:shd w:val="solid" w:color="000000" w:fill="000000"/>
                <w14:textFill>
                  <w14:solidFill>
                    <w14:srgbClr w14:val="000000">
                      <w14:alpha w14:val="100000"/>
                    </w14:srgbClr>
                  </w14:solidFill>
                </w14:textFill>
              </w:rPr>
              <w:t>|</w:t>
            </w:r>
            <w:r w:rsidRPr="00BF55FF">
              <w:t xml:space="preserve"> </w:t>
            </w:r>
          </w:p>
        </w:tc>
        <w:tc>
          <w:tcPr>
            <w:tcW w:w="1201" w:type="pct"/>
            <w:shd w:val="clear" w:color="auto" w:fill="auto"/>
          </w:tcPr>
          <w:p w14:paraId="23FEF501" w14:textId="38AD4DD5" w:rsidR="00EB3A63" w:rsidRPr="00BF55FF" w:rsidRDefault="00EB3A63" w:rsidP="00EB3A63">
            <w:pPr>
              <w:pStyle w:val="TableText0"/>
              <w:jc w:val="center"/>
            </w:pPr>
            <w:r w:rsidRPr="00BF55FF">
              <w:t xml:space="preserve"> $</w:t>
            </w:r>
            <w:r w:rsidR="000D48FB" w:rsidRPr="000D48FB">
              <w:rPr>
                <w:color w:val="000000"/>
                <w:shd w:val="solid" w:color="000000" w:fill="000000"/>
                <w14:textFill>
                  <w14:solidFill>
                    <w14:srgbClr w14:val="000000">
                      <w14:alpha w14:val="100000"/>
                    </w14:srgbClr>
                  </w14:solidFill>
                </w14:textFill>
              </w:rPr>
              <w:t>|</w:t>
            </w:r>
            <w:r w:rsidRPr="00BF55FF">
              <w:t xml:space="preserve"> </w:t>
            </w:r>
          </w:p>
        </w:tc>
      </w:tr>
    </w:tbl>
    <w:p w14:paraId="61FE0007" w14:textId="1FEEF941" w:rsidR="00DE64CD" w:rsidRPr="00BF55FF" w:rsidRDefault="002B5A2D" w:rsidP="00600502">
      <w:pPr>
        <w:pStyle w:val="FooterTableFigure"/>
      </w:pPr>
      <w:r w:rsidRPr="00BF55FF">
        <w:t>Source:</w:t>
      </w:r>
      <w:r w:rsidR="00600502" w:rsidRPr="00BF55FF">
        <w:t xml:space="preserve"> Calculated during evaluation </w:t>
      </w:r>
    </w:p>
    <w:p w14:paraId="2F00CCB7" w14:textId="27CC1A5E" w:rsidR="00067942" w:rsidRPr="00BF55FF" w:rsidRDefault="00067942" w:rsidP="00600502">
      <w:pPr>
        <w:pStyle w:val="FooterTableFigure"/>
      </w:pPr>
      <w:r w:rsidRPr="00BF55FF">
        <w:t>DPMQ = dispensed price per maximum quantity; RSA = risk sharing agreement</w:t>
      </w:r>
    </w:p>
    <w:p w14:paraId="0C214210" w14:textId="1A5BA6B9" w:rsidR="00C95020" w:rsidRDefault="00C95020" w:rsidP="00600502">
      <w:pPr>
        <w:pStyle w:val="FooterTableFigure"/>
      </w:pPr>
      <w:r w:rsidRPr="00BF55FF">
        <w:rPr>
          <w:vertAlign w:val="superscript"/>
        </w:rPr>
        <w:t>a</w:t>
      </w:r>
      <w:r w:rsidRPr="00BF55FF">
        <w:t xml:space="preserve"> Includes patient co-payments</w:t>
      </w:r>
    </w:p>
    <w:p w14:paraId="5709E08F" w14:textId="5D4F4213" w:rsidR="00B80F3B" w:rsidRPr="00BF55FF" w:rsidRDefault="00B80F3B" w:rsidP="00D518A7">
      <w:pPr>
        <w:pStyle w:val="3-BodyText"/>
      </w:pPr>
      <w:bookmarkStart w:id="56" w:name="_Ref183680040"/>
      <w:r>
        <w:t xml:space="preserve">The PBAC noted the cost per year </w:t>
      </w:r>
      <w:r w:rsidR="00E2300C">
        <w:t xml:space="preserve">is substantially higher with </w:t>
      </w:r>
      <w:r>
        <w:t xml:space="preserve">two-weekly </w:t>
      </w:r>
      <w:r w:rsidR="00E2300C">
        <w:t>dosing versus f</w:t>
      </w:r>
      <w:r>
        <w:t xml:space="preserve">our-weekly dosing. The PBAC recalled </w:t>
      </w:r>
      <w:r w:rsidR="00E2300C">
        <w:t xml:space="preserve">that the lanadelumab </w:t>
      </w:r>
      <w:r w:rsidR="00E2300C" w:rsidRPr="00E2300C">
        <w:t>RSA</w:t>
      </w:r>
      <w:r w:rsidR="00E2300C">
        <w:t xml:space="preserve"> was</w:t>
      </w:r>
      <w:r w:rsidR="00E2300C" w:rsidRPr="00E2300C">
        <w:t xml:space="preserve"> intended to: (a) account for patients receiving </w:t>
      </w:r>
      <w:r w:rsidR="00E2300C">
        <w:t>the two-weekly</w:t>
      </w:r>
      <w:r w:rsidR="00E2300C" w:rsidRPr="00E2300C">
        <w:t xml:space="preserve"> dosing</w:t>
      </w:r>
      <w:r w:rsidR="00E2300C">
        <w:t xml:space="preserve"> regimen</w:t>
      </w:r>
      <w:r w:rsidR="00E2300C" w:rsidRPr="00E2300C">
        <w:t>; (b) manage the risk of use in cost-ineffective populations; and (c) achieve cost-effectiveness for the listing</w:t>
      </w:r>
      <w:r w:rsidR="00E2300C">
        <w:t xml:space="preserve"> (paragraph 6.53, lanadelumab PSD, July 2021 PBAC meeting). Further, the PBAC recalled that</w:t>
      </w:r>
      <w:r w:rsidR="00B9093F">
        <w:t>, in the economic model,</w:t>
      </w:r>
      <w:r w:rsidR="00E2300C">
        <w:t xml:space="preserve"> the ICER </w:t>
      </w:r>
      <w:r w:rsidR="00CF5E40">
        <w:t>(</w:t>
      </w:r>
      <w:r w:rsidR="00E2300C">
        <w:t xml:space="preserve">for </w:t>
      </w:r>
      <w:r w:rsidR="00CF5E40">
        <w:t>patients who would otherwise be treated with</w:t>
      </w:r>
      <w:r w:rsidR="00E2300C">
        <w:t xml:space="preserve"> </w:t>
      </w:r>
      <w:r w:rsidR="00CF5E40">
        <w:t xml:space="preserve">standard of care) </w:t>
      </w:r>
      <w:r w:rsidR="00E2300C">
        <w:t xml:space="preserve">was based on the assumption that the cost of lanadelumab would be capped at 13 doses per patient per year (i.e. four-weekly dosing), and that the ESC had considered that all expenditure resulting from more frequent dosing would need to be rebated </w:t>
      </w:r>
      <w:r w:rsidR="00E2300C" w:rsidRPr="00A87680">
        <w:t xml:space="preserve">at </w:t>
      </w:r>
      <w:r w:rsidR="000D48FB" w:rsidRPr="00F4374A">
        <w:rPr>
          <w:color w:val="000000"/>
          <w:w w:val="15"/>
          <w:shd w:val="solid" w:color="000000" w:fill="000000"/>
          <w:fitText w:val="-20" w:id="-761565951"/>
          <w14:textFill>
            <w14:solidFill>
              <w14:srgbClr w14:val="000000">
                <w14:alpha w14:val="100000"/>
              </w14:srgbClr>
            </w14:solidFill>
          </w14:textFill>
        </w:rPr>
        <w:t xml:space="preserve">|  </w:t>
      </w:r>
      <w:r w:rsidR="000D48FB" w:rsidRPr="00F4374A">
        <w:rPr>
          <w:color w:val="000000"/>
          <w:spacing w:val="-69"/>
          <w:w w:val="15"/>
          <w:shd w:val="solid" w:color="000000" w:fill="000000"/>
          <w:fitText w:val="-20" w:id="-761565951"/>
          <w14:textFill>
            <w14:solidFill>
              <w14:srgbClr w14:val="000000">
                <w14:alpha w14:val="100000"/>
              </w14:srgbClr>
            </w14:solidFill>
          </w14:textFill>
        </w:rPr>
        <w:t>|</w:t>
      </w:r>
      <w:r w:rsidR="00E2300C" w:rsidRPr="00A87680">
        <w:t>%</w:t>
      </w:r>
      <w:r w:rsidR="00E2300C">
        <w:t xml:space="preserve"> to maintain this level of cost-effectiveness (paragraph 6.53, lanadelumab Minutes, July 2021 PBAC meeting).</w:t>
      </w:r>
      <w:bookmarkEnd w:id="56"/>
    </w:p>
    <w:p w14:paraId="268768EF" w14:textId="3C371983" w:rsidR="00B60939" w:rsidRPr="00BF55FF" w:rsidRDefault="00B60939" w:rsidP="002B05A1">
      <w:pPr>
        <w:pStyle w:val="4-SubsectionHeading"/>
        <w:rPr>
          <w:i w:val="0"/>
        </w:rPr>
      </w:pPr>
      <w:bookmarkStart w:id="57" w:name="_Toc22897647"/>
      <w:bookmarkStart w:id="58" w:name="_Toc177389673"/>
      <w:bookmarkEnd w:id="54"/>
      <w:r w:rsidRPr="00BF55FF">
        <w:rPr>
          <w:i w:val="0"/>
        </w:rPr>
        <w:t>Estimated PBS usage &amp; financial implications</w:t>
      </w:r>
      <w:bookmarkEnd w:id="57"/>
      <w:bookmarkEnd w:id="58"/>
    </w:p>
    <w:p w14:paraId="734B8B76" w14:textId="5DD32F24" w:rsidR="00312B16" w:rsidRPr="00BF55FF" w:rsidRDefault="00C25D9C" w:rsidP="006212DD">
      <w:pPr>
        <w:pStyle w:val="3-BodyText"/>
      </w:pPr>
      <w:r w:rsidRPr="00BF55FF">
        <w:t xml:space="preserve">This submission </w:t>
      </w:r>
      <w:r w:rsidR="00F33A87" w:rsidRPr="00BF55FF">
        <w:t>was</w:t>
      </w:r>
      <w:r w:rsidRPr="00BF55FF">
        <w:t xml:space="preserve"> not considered by DUSC</w:t>
      </w:r>
      <w:r w:rsidRPr="00BF55FF">
        <w:rPr>
          <w:color w:val="0070C0"/>
        </w:rPr>
        <w:t>.</w:t>
      </w:r>
    </w:p>
    <w:p w14:paraId="04B31D2D" w14:textId="11A930FC" w:rsidR="0072416F" w:rsidRPr="00BF55FF" w:rsidRDefault="006212DD" w:rsidP="00DA64B0">
      <w:pPr>
        <w:pStyle w:val="3-BodyText"/>
      </w:pPr>
      <w:bookmarkStart w:id="59" w:name="_Ref179477327"/>
      <w:r w:rsidRPr="00BF55FF">
        <w:t xml:space="preserve">The submission presented an epidemiological approach to estimate the PBS use and financial implications. </w:t>
      </w:r>
      <w:r w:rsidR="007E0894" w:rsidRPr="00BF55FF">
        <w:t>The estimates</w:t>
      </w:r>
      <w:r w:rsidR="00775A36" w:rsidRPr="00BF55FF">
        <w:t xml:space="preserve"> for the prevalent population</w:t>
      </w:r>
      <w:r w:rsidR="007E0894" w:rsidRPr="00BF55FF">
        <w:t xml:space="preserve"> were based on DUSC data for the number of patients aged 2-11 years using icatibant</w:t>
      </w:r>
      <w:r w:rsidR="00B44ED1" w:rsidRPr="00BF55FF">
        <w:t>.</w:t>
      </w:r>
      <w:r w:rsidR="007E0894" w:rsidRPr="00BF55FF">
        <w:t xml:space="preserve"> </w:t>
      </w:r>
      <w:r w:rsidRPr="00BF55FF">
        <w:t>The key inputs for the estimates are shown in</w:t>
      </w:r>
      <w:r w:rsidR="00037BF8" w:rsidRPr="00BF55FF">
        <w:t xml:space="preserve"> </w:t>
      </w:r>
      <w:r w:rsidR="00207D8B" w:rsidRPr="00BF55FF">
        <w:fldChar w:fldCharType="begin" w:fldLock="1"/>
      </w:r>
      <w:r w:rsidR="00207D8B" w:rsidRPr="00BF55FF">
        <w:instrText xml:space="preserve"> REF _Ref173666769 \h </w:instrText>
      </w:r>
      <w:r w:rsidR="00BF55FF" w:rsidRPr="00BF55FF">
        <w:instrText xml:space="preserve"> \* MERGEFORMAT </w:instrText>
      </w:r>
      <w:r w:rsidR="00207D8B" w:rsidRPr="00BF55FF">
        <w:fldChar w:fldCharType="separate"/>
      </w:r>
      <w:r w:rsidR="009C2393" w:rsidRPr="00BF55FF">
        <w:t xml:space="preserve">Table </w:t>
      </w:r>
      <w:r w:rsidR="009C2393">
        <w:t>7</w:t>
      </w:r>
      <w:r w:rsidR="00207D8B" w:rsidRPr="00BF55FF">
        <w:fldChar w:fldCharType="end"/>
      </w:r>
      <w:r w:rsidR="00207D8B" w:rsidRPr="00BF55FF">
        <w:t>.</w:t>
      </w:r>
      <w:bookmarkEnd w:id="59"/>
    </w:p>
    <w:p w14:paraId="3393BCE7" w14:textId="61ACD4D0" w:rsidR="00E42F73" w:rsidRPr="00BF55FF" w:rsidRDefault="00207D8B" w:rsidP="00207D8B">
      <w:pPr>
        <w:pStyle w:val="Caption"/>
        <w:rPr>
          <w:rStyle w:val="CommentReference"/>
          <w:b/>
          <w:szCs w:val="24"/>
        </w:rPr>
      </w:pPr>
      <w:bookmarkStart w:id="60" w:name="_Ref173666769"/>
      <w:r w:rsidRPr="00BF55FF">
        <w:lastRenderedPageBreak/>
        <w:t xml:space="preserve">Table </w:t>
      </w:r>
      <w:r w:rsidR="00ED245D" w:rsidRPr="00BF55FF">
        <w:fldChar w:fldCharType="begin" w:fldLock="1"/>
      </w:r>
      <w:r w:rsidR="00ED245D" w:rsidRPr="00BF55FF">
        <w:instrText xml:space="preserve"> SEQ Table \* ARABIC </w:instrText>
      </w:r>
      <w:r w:rsidR="00ED245D" w:rsidRPr="00BF55FF">
        <w:fldChar w:fldCharType="separate"/>
      </w:r>
      <w:r w:rsidR="009C2393">
        <w:rPr>
          <w:noProof/>
        </w:rPr>
        <w:t>7</w:t>
      </w:r>
      <w:r w:rsidR="00ED245D" w:rsidRPr="00BF55FF">
        <w:fldChar w:fldCharType="end"/>
      </w:r>
      <w:bookmarkEnd w:id="60"/>
      <w:r w:rsidR="00E16AD8" w:rsidRPr="00BF55FF">
        <w:t>:</w:t>
      </w:r>
      <w:r w:rsidR="00E42F73" w:rsidRPr="00BF55F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4"/>
        <w:gridCol w:w="3210"/>
      </w:tblGrid>
      <w:tr w:rsidR="00E42F73" w:rsidRPr="00BF55FF" w14:paraId="7AFD013A" w14:textId="77777777" w:rsidTr="009C3A3A">
        <w:trPr>
          <w:tblHeader/>
        </w:trPr>
        <w:tc>
          <w:tcPr>
            <w:tcW w:w="950" w:type="pct"/>
            <w:shd w:val="clear" w:color="auto" w:fill="auto"/>
            <w:vAlign w:val="center"/>
          </w:tcPr>
          <w:p w14:paraId="45C2C4CE" w14:textId="370E9AAB" w:rsidR="00E42F73" w:rsidRPr="00BF55FF" w:rsidRDefault="004658B5" w:rsidP="007925DF">
            <w:pPr>
              <w:pStyle w:val="In-tableHeading"/>
              <w:rPr>
                <w:lang w:val="en-AU"/>
              </w:rPr>
            </w:pPr>
            <w:r w:rsidRPr="00BF55FF">
              <w:rPr>
                <w:lang w:val="en-AU"/>
              </w:rPr>
              <w:t>Parameter</w:t>
            </w:r>
          </w:p>
        </w:tc>
        <w:tc>
          <w:tcPr>
            <w:tcW w:w="2270" w:type="pct"/>
            <w:shd w:val="clear" w:color="auto" w:fill="auto"/>
            <w:vAlign w:val="center"/>
          </w:tcPr>
          <w:p w14:paraId="5C04F956" w14:textId="559E8DB1" w:rsidR="00E42F73" w:rsidRPr="00BF55FF" w:rsidRDefault="004658B5" w:rsidP="007925DF">
            <w:pPr>
              <w:pStyle w:val="In-tableHeading"/>
              <w:rPr>
                <w:lang w:val="en-AU"/>
              </w:rPr>
            </w:pPr>
            <w:r w:rsidRPr="00BF55FF">
              <w:rPr>
                <w:lang w:val="en-AU"/>
              </w:rPr>
              <w:t>Value applied and source</w:t>
            </w:r>
          </w:p>
        </w:tc>
        <w:tc>
          <w:tcPr>
            <w:tcW w:w="1780" w:type="pct"/>
            <w:shd w:val="clear" w:color="auto" w:fill="auto"/>
            <w:vAlign w:val="center"/>
          </w:tcPr>
          <w:p w14:paraId="45DE44AA" w14:textId="03FAD82C" w:rsidR="00E42F73" w:rsidRPr="00BF55FF" w:rsidRDefault="00170565" w:rsidP="007925DF">
            <w:pPr>
              <w:pStyle w:val="In-tableHeading"/>
              <w:rPr>
                <w:lang w:val="en-AU"/>
              </w:rPr>
            </w:pPr>
            <w:r w:rsidRPr="00BF55FF">
              <w:rPr>
                <w:lang w:val="en-AU"/>
              </w:rPr>
              <w:t>Evaluation c</w:t>
            </w:r>
            <w:r w:rsidR="004658B5" w:rsidRPr="00BF55FF">
              <w:rPr>
                <w:lang w:val="en-AU"/>
              </w:rPr>
              <w:t>omment</w:t>
            </w:r>
          </w:p>
        </w:tc>
      </w:tr>
      <w:tr w:rsidR="00E42F73" w:rsidRPr="00BF55FF" w14:paraId="4BEF206D" w14:textId="77777777" w:rsidTr="009C3A3A">
        <w:tc>
          <w:tcPr>
            <w:tcW w:w="950" w:type="pct"/>
            <w:shd w:val="clear" w:color="auto" w:fill="auto"/>
            <w:vAlign w:val="center"/>
          </w:tcPr>
          <w:p w14:paraId="5724F53F" w14:textId="28E28DD1" w:rsidR="00E42F73" w:rsidRPr="00BF55FF" w:rsidRDefault="007E0894" w:rsidP="00F15E6D">
            <w:pPr>
              <w:pStyle w:val="PBACTabletext"/>
            </w:pPr>
            <w:r w:rsidRPr="00BF55FF">
              <w:t>Patients aged 2-11 years treated with icatibant</w:t>
            </w:r>
          </w:p>
        </w:tc>
        <w:tc>
          <w:tcPr>
            <w:tcW w:w="2270" w:type="pct"/>
            <w:shd w:val="clear" w:color="auto" w:fill="auto"/>
            <w:vAlign w:val="center"/>
          </w:tcPr>
          <w:p w14:paraId="07521BB4" w14:textId="203B9D61" w:rsidR="007E0894" w:rsidRPr="00BF55FF" w:rsidRDefault="007E0894" w:rsidP="00F15E6D">
            <w:pPr>
              <w:pStyle w:val="PBACTabletext"/>
            </w:pPr>
            <w:r w:rsidRPr="00BF55FF">
              <w:t xml:space="preserve">DUSC data </w:t>
            </w:r>
          </w:p>
          <w:tbl>
            <w:tblPr>
              <w:tblStyle w:val="TableGrid"/>
              <w:tblW w:w="0" w:type="auto"/>
              <w:tblLayout w:type="fixed"/>
              <w:tblLook w:val="04A0" w:firstRow="1" w:lastRow="0" w:firstColumn="1" w:lastColumn="0" w:noHBand="0" w:noVBand="1"/>
            </w:tblPr>
            <w:tblGrid>
              <w:gridCol w:w="2014"/>
              <w:gridCol w:w="2014"/>
            </w:tblGrid>
            <w:tr w:rsidR="007E0894" w:rsidRPr="00BF55FF" w14:paraId="671CC727" w14:textId="77777777" w:rsidTr="007E0894">
              <w:tc>
                <w:tcPr>
                  <w:tcW w:w="2014" w:type="dxa"/>
                </w:tcPr>
                <w:p w14:paraId="3D9119B0" w14:textId="178787FA" w:rsidR="007E0894" w:rsidRPr="00BF55FF" w:rsidRDefault="007E0894" w:rsidP="00F15E6D">
                  <w:pPr>
                    <w:pStyle w:val="PBACTabletext"/>
                  </w:pPr>
                  <w:r w:rsidRPr="00BF55FF">
                    <w:t>Year</w:t>
                  </w:r>
                </w:p>
              </w:tc>
              <w:tc>
                <w:tcPr>
                  <w:tcW w:w="2014" w:type="dxa"/>
                </w:tcPr>
                <w:p w14:paraId="02934723" w14:textId="54D6504E" w:rsidR="007E0894" w:rsidRPr="00BF55FF" w:rsidRDefault="007E0894" w:rsidP="00F15E6D">
                  <w:pPr>
                    <w:pStyle w:val="PBACTabletext"/>
                  </w:pPr>
                  <w:r w:rsidRPr="00BF55FF">
                    <w:t>Number of patients</w:t>
                  </w:r>
                </w:p>
              </w:tc>
            </w:tr>
            <w:tr w:rsidR="007E0894" w:rsidRPr="00BF55FF" w14:paraId="430658D2" w14:textId="77777777" w:rsidTr="007E0894">
              <w:tc>
                <w:tcPr>
                  <w:tcW w:w="2014" w:type="dxa"/>
                </w:tcPr>
                <w:p w14:paraId="56112146" w14:textId="09C5EE98" w:rsidR="007E0894" w:rsidRPr="00BF55FF" w:rsidRDefault="007E0894" w:rsidP="00F15E6D">
                  <w:pPr>
                    <w:pStyle w:val="PBACTabletext"/>
                  </w:pPr>
                  <w:r w:rsidRPr="00BF55FF">
                    <w:t>2021</w:t>
                  </w:r>
                </w:p>
              </w:tc>
              <w:tc>
                <w:tcPr>
                  <w:tcW w:w="2014" w:type="dxa"/>
                </w:tcPr>
                <w:p w14:paraId="6A365FCE" w14:textId="1A0B30ED" w:rsidR="007E0894" w:rsidRPr="00BF55FF" w:rsidRDefault="007E0894" w:rsidP="00F15E6D">
                  <w:pPr>
                    <w:pStyle w:val="PBACTabletext"/>
                  </w:pPr>
                  <w:r w:rsidRPr="00BF55FF">
                    <w:t>15</w:t>
                  </w:r>
                </w:p>
              </w:tc>
            </w:tr>
            <w:tr w:rsidR="007E0894" w:rsidRPr="00BF55FF" w14:paraId="52786CDB" w14:textId="77777777" w:rsidTr="007E0894">
              <w:tc>
                <w:tcPr>
                  <w:tcW w:w="2014" w:type="dxa"/>
                </w:tcPr>
                <w:p w14:paraId="658A5B36" w14:textId="660247AA" w:rsidR="007E0894" w:rsidRPr="00BF55FF" w:rsidRDefault="007E0894" w:rsidP="00F15E6D">
                  <w:pPr>
                    <w:pStyle w:val="PBACTabletext"/>
                  </w:pPr>
                  <w:r w:rsidRPr="00BF55FF">
                    <w:t>2022</w:t>
                  </w:r>
                </w:p>
              </w:tc>
              <w:tc>
                <w:tcPr>
                  <w:tcW w:w="2014" w:type="dxa"/>
                </w:tcPr>
                <w:p w14:paraId="07DA082D" w14:textId="68C7578B" w:rsidR="007E0894" w:rsidRPr="00BF55FF" w:rsidRDefault="007E0894" w:rsidP="00F15E6D">
                  <w:pPr>
                    <w:pStyle w:val="PBACTabletext"/>
                  </w:pPr>
                  <w:r w:rsidRPr="00BF55FF">
                    <w:t>15</w:t>
                  </w:r>
                </w:p>
              </w:tc>
            </w:tr>
            <w:tr w:rsidR="007E0894" w:rsidRPr="00BF55FF" w14:paraId="2B54684D" w14:textId="77777777" w:rsidTr="007E0894">
              <w:tc>
                <w:tcPr>
                  <w:tcW w:w="2014" w:type="dxa"/>
                </w:tcPr>
                <w:p w14:paraId="70F4E479" w14:textId="658FA200" w:rsidR="007E0894" w:rsidRPr="00BF55FF" w:rsidRDefault="007E0894" w:rsidP="00F15E6D">
                  <w:pPr>
                    <w:pStyle w:val="PBACTabletext"/>
                  </w:pPr>
                  <w:r w:rsidRPr="00BF55FF">
                    <w:t>2023</w:t>
                  </w:r>
                </w:p>
              </w:tc>
              <w:tc>
                <w:tcPr>
                  <w:tcW w:w="2014" w:type="dxa"/>
                </w:tcPr>
                <w:p w14:paraId="7DEDEAC4" w14:textId="02591823" w:rsidR="007E0894" w:rsidRPr="00BF55FF" w:rsidRDefault="007E0894" w:rsidP="00F15E6D">
                  <w:pPr>
                    <w:pStyle w:val="PBACTabletext"/>
                  </w:pPr>
                  <w:r w:rsidRPr="00BF55FF">
                    <w:t>13</w:t>
                  </w:r>
                </w:p>
              </w:tc>
            </w:tr>
          </w:tbl>
          <w:p w14:paraId="2974F923" w14:textId="3575D78F" w:rsidR="00B438E5" w:rsidRPr="00BF55FF" w:rsidRDefault="00B438E5" w:rsidP="00F15E6D">
            <w:pPr>
              <w:pStyle w:val="PBACTabletext"/>
            </w:pPr>
          </w:p>
        </w:tc>
        <w:tc>
          <w:tcPr>
            <w:tcW w:w="1780" w:type="pct"/>
            <w:shd w:val="clear" w:color="auto" w:fill="auto"/>
            <w:vAlign w:val="center"/>
          </w:tcPr>
          <w:p w14:paraId="078672CF" w14:textId="053E8EE9" w:rsidR="00E42F73" w:rsidRPr="00E86332" w:rsidRDefault="00FB00E5" w:rsidP="00F15E6D">
            <w:pPr>
              <w:pStyle w:val="PBACTabletext"/>
            </w:pPr>
            <w:r w:rsidRPr="00E86332">
              <w:t>The evaluation considered this m</w:t>
            </w:r>
            <w:r w:rsidR="007E0894" w:rsidRPr="00E86332">
              <w:t xml:space="preserve">ay be an underestimate for population </w:t>
            </w:r>
            <w:r w:rsidR="00B9093F" w:rsidRPr="00E86332">
              <w:t xml:space="preserve">requested, as </w:t>
            </w:r>
            <w:r w:rsidR="007E0894" w:rsidRPr="00E86332">
              <w:t>based on trial data – 6/21 in the</w:t>
            </w:r>
            <w:r w:rsidR="00BE1F77" w:rsidRPr="00E86332">
              <w:t xml:space="preserve"> SPRING</w:t>
            </w:r>
            <w:r w:rsidR="007E0894" w:rsidRPr="00E86332">
              <w:t xml:space="preserve"> trial were NOT receiving icatibant or C1-INH esterase inhibitor within 28 days of entry.</w:t>
            </w:r>
            <w:r w:rsidR="006B4F3B" w:rsidRPr="00E86332">
              <w:t xml:space="preserve"> </w:t>
            </w:r>
            <w:r w:rsidR="00914CB7" w:rsidRPr="00E86332">
              <w:t>The s</w:t>
            </w:r>
            <w:r w:rsidR="006B4F3B" w:rsidRPr="00E86332">
              <w:t xml:space="preserve">ubmission also claimed that </w:t>
            </w:r>
            <w:r w:rsidR="00914CB7" w:rsidRPr="00E86332">
              <w:t xml:space="preserve">the </w:t>
            </w:r>
            <w:r w:rsidR="006B4F3B" w:rsidRPr="00E86332">
              <w:t>icatibant usage data w</w:t>
            </w:r>
            <w:r w:rsidR="00914CB7" w:rsidRPr="00E86332">
              <w:t>ere</w:t>
            </w:r>
            <w:r w:rsidR="006B4F3B" w:rsidRPr="00E86332">
              <w:t xml:space="preserve"> not reliable.</w:t>
            </w:r>
            <w:r w:rsidR="00A1069A" w:rsidRPr="00E86332">
              <w:t xml:space="preserve"> However, the PBAC considered </w:t>
            </w:r>
            <w:r w:rsidR="008C3ADE">
              <w:t xml:space="preserve">that the submission had likely </w:t>
            </w:r>
            <w:r w:rsidR="00940E71">
              <w:t xml:space="preserve">overestimated </w:t>
            </w:r>
            <w:r w:rsidR="008C3ADE">
              <w:t>the eligible population as a more stringent restriction was recommended.</w:t>
            </w:r>
          </w:p>
        </w:tc>
      </w:tr>
      <w:tr w:rsidR="00E42F73" w:rsidRPr="00BF55FF" w14:paraId="72C9FBDD" w14:textId="77777777" w:rsidTr="009C3A3A">
        <w:tc>
          <w:tcPr>
            <w:tcW w:w="950" w:type="pct"/>
            <w:shd w:val="clear" w:color="auto" w:fill="auto"/>
            <w:vAlign w:val="center"/>
          </w:tcPr>
          <w:p w14:paraId="2FBBDC67" w14:textId="387F0E15" w:rsidR="00E42F73" w:rsidRPr="00BF55FF" w:rsidRDefault="004658B5" w:rsidP="00F15E6D">
            <w:pPr>
              <w:pStyle w:val="PBACTabletext"/>
            </w:pPr>
            <w:r w:rsidRPr="00BF55FF">
              <w:t>Uptake rate</w:t>
            </w:r>
          </w:p>
        </w:tc>
        <w:tc>
          <w:tcPr>
            <w:tcW w:w="2270" w:type="pct"/>
            <w:shd w:val="clear" w:color="auto" w:fill="auto"/>
            <w:vAlign w:val="center"/>
          </w:tcPr>
          <w:p w14:paraId="72FA196A" w14:textId="5608AC0C" w:rsidR="00B438E5" w:rsidRPr="00BF55FF" w:rsidRDefault="00B438E5" w:rsidP="00F15E6D">
            <w:pPr>
              <w:pStyle w:val="PBACTabletext"/>
            </w:pPr>
            <w:r w:rsidRPr="00BF55FF">
              <w:t xml:space="preserve"> Submiss</w:t>
            </w:r>
            <w:r w:rsidR="00BA70FE" w:rsidRPr="00BF55FF">
              <w:t>i</w:t>
            </w:r>
            <w:r w:rsidRPr="00BF55FF">
              <w:t>on estimate based on number of patients on icatibant n=15</w:t>
            </w:r>
          </w:p>
          <w:tbl>
            <w:tblPr>
              <w:tblStyle w:val="TableGrid"/>
              <w:tblW w:w="0" w:type="auto"/>
              <w:tblLayout w:type="fixed"/>
              <w:tblLook w:val="04A0" w:firstRow="1" w:lastRow="0" w:firstColumn="1" w:lastColumn="0" w:noHBand="0" w:noVBand="1"/>
            </w:tblPr>
            <w:tblGrid>
              <w:gridCol w:w="1342"/>
              <w:gridCol w:w="1343"/>
              <w:gridCol w:w="1343"/>
            </w:tblGrid>
            <w:tr w:rsidR="00B438E5" w:rsidRPr="00BF55FF" w14:paraId="7FDBF4C9" w14:textId="77777777" w:rsidTr="00B438E5">
              <w:tc>
                <w:tcPr>
                  <w:tcW w:w="1342" w:type="dxa"/>
                </w:tcPr>
                <w:p w14:paraId="5C15CCF4" w14:textId="703AD9B5" w:rsidR="00B438E5" w:rsidRPr="00BF55FF" w:rsidRDefault="00B438E5" w:rsidP="00F15E6D">
                  <w:pPr>
                    <w:pStyle w:val="PBACTabletext"/>
                  </w:pPr>
                  <w:r w:rsidRPr="00BF55FF">
                    <w:t>Year 1</w:t>
                  </w:r>
                </w:p>
              </w:tc>
              <w:tc>
                <w:tcPr>
                  <w:tcW w:w="1343" w:type="dxa"/>
                </w:tcPr>
                <w:p w14:paraId="4B648222" w14:textId="58105D47" w:rsidR="00B438E5" w:rsidRPr="00BF55FF" w:rsidRDefault="000D48FB" w:rsidP="00F15E6D">
                  <w:pPr>
                    <w:pStyle w:val="PBACTabletext"/>
                  </w:pPr>
                  <w:r w:rsidRPr="000D48FB">
                    <w:rPr>
                      <w:color w:val="000000"/>
                      <w:spacing w:val="53"/>
                      <w:shd w:val="solid" w:color="000000" w:fill="000000"/>
                      <w:fitText w:val="330" w:id="-761565950"/>
                      <w14:textFill>
                        <w14:solidFill>
                          <w14:srgbClr w14:val="000000">
                            <w14:alpha w14:val="100000"/>
                          </w14:srgbClr>
                        </w14:solidFill>
                      </w14:textFill>
                    </w:rPr>
                    <w:t>|||</w:t>
                  </w:r>
                  <w:r w:rsidRPr="000D48FB">
                    <w:rPr>
                      <w:color w:val="000000"/>
                      <w:spacing w:val="1"/>
                      <w:shd w:val="solid" w:color="000000" w:fill="000000"/>
                      <w:fitText w:val="330" w:id="-761565950"/>
                      <w14:textFill>
                        <w14:solidFill>
                          <w14:srgbClr w14:val="000000">
                            <w14:alpha w14:val="100000"/>
                          </w14:srgbClr>
                        </w14:solidFill>
                      </w14:textFill>
                    </w:rPr>
                    <w:t>|</w:t>
                  </w:r>
                  <w:r w:rsidR="00B438E5" w:rsidRPr="00BF55FF">
                    <w:t>%</w:t>
                  </w:r>
                </w:p>
              </w:tc>
              <w:tc>
                <w:tcPr>
                  <w:tcW w:w="1343" w:type="dxa"/>
                </w:tcPr>
                <w:p w14:paraId="69E135DB" w14:textId="3C437F49" w:rsidR="00B438E5" w:rsidRPr="002400E5" w:rsidRDefault="000D48FB" w:rsidP="00F15E6D">
                  <w:pPr>
                    <w:pStyle w:val="PBACTabletext"/>
                    <w:rPr>
                      <w:highlight w:val="darkGray"/>
                    </w:rPr>
                  </w:pPr>
                  <w:r w:rsidRPr="000D48FB">
                    <w:rPr>
                      <w:color w:val="000000"/>
                      <w:spacing w:val="53"/>
                      <w:shd w:val="solid" w:color="000000" w:fill="000000"/>
                      <w:fitText w:val="330" w:id="-761565949"/>
                      <w14:textFill>
                        <w14:solidFill>
                          <w14:srgbClr w14:val="000000">
                            <w14:alpha w14:val="100000"/>
                          </w14:srgbClr>
                        </w14:solidFill>
                      </w14:textFill>
                    </w:rPr>
                    <w:t>|||</w:t>
                  </w:r>
                  <w:r w:rsidRPr="000D48FB">
                    <w:rPr>
                      <w:color w:val="000000"/>
                      <w:spacing w:val="1"/>
                      <w:shd w:val="solid" w:color="000000" w:fill="000000"/>
                      <w:fitText w:val="330" w:id="-761565949"/>
                      <w14:textFill>
                        <w14:solidFill>
                          <w14:srgbClr w14:val="000000">
                            <w14:alpha w14:val="100000"/>
                          </w14:srgbClr>
                        </w14:solidFill>
                      </w14:textFill>
                    </w:rPr>
                    <w:t>|</w:t>
                  </w:r>
                  <w:r w:rsidR="002400E5" w:rsidRPr="002400E5">
                    <w:rPr>
                      <w:vertAlign w:val="superscript"/>
                    </w:rPr>
                    <w:t>1</w:t>
                  </w:r>
                </w:p>
              </w:tc>
            </w:tr>
            <w:tr w:rsidR="00B438E5" w:rsidRPr="00BF55FF" w14:paraId="351B914D" w14:textId="77777777" w:rsidTr="00B438E5">
              <w:tc>
                <w:tcPr>
                  <w:tcW w:w="1342" w:type="dxa"/>
                </w:tcPr>
                <w:p w14:paraId="344AC83E" w14:textId="7A97D67F" w:rsidR="00B438E5" w:rsidRPr="00BF55FF" w:rsidRDefault="00B438E5" w:rsidP="00F15E6D">
                  <w:pPr>
                    <w:pStyle w:val="PBACTabletext"/>
                  </w:pPr>
                  <w:r w:rsidRPr="00BF55FF">
                    <w:t>Year 2</w:t>
                  </w:r>
                </w:p>
              </w:tc>
              <w:tc>
                <w:tcPr>
                  <w:tcW w:w="1343" w:type="dxa"/>
                </w:tcPr>
                <w:p w14:paraId="33F0CAB7" w14:textId="0A1E982B" w:rsidR="00B438E5" w:rsidRPr="00BF55FF" w:rsidRDefault="000D48FB" w:rsidP="00F15E6D">
                  <w:pPr>
                    <w:pStyle w:val="PBACTabletext"/>
                  </w:pPr>
                  <w:r w:rsidRPr="000D48FB">
                    <w:rPr>
                      <w:color w:val="000000"/>
                      <w:spacing w:val="53"/>
                      <w:shd w:val="solid" w:color="000000" w:fill="000000"/>
                      <w:fitText w:val="330" w:id="-761565948"/>
                      <w14:textFill>
                        <w14:solidFill>
                          <w14:srgbClr w14:val="000000">
                            <w14:alpha w14:val="100000"/>
                          </w14:srgbClr>
                        </w14:solidFill>
                      </w14:textFill>
                    </w:rPr>
                    <w:t>|||</w:t>
                  </w:r>
                  <w:r w:rsidRPr="000D48FB">
                    <w:rPr>
                      <w:color w:val="000000"/>
                      <w:spacing w:val="1"/>
                      <w:shd w:val="solid" w:color="000000" w:fill="000000"/>
                      <w:fitText w:val="330" w:id="-761565948"/>
                      <w14:textFill>
                        <w14:solidFill>
                          <w14:srgbClr w14:val="000000">
                            <w14:alpha w14:val="100000"/>
                          </w14:srgbClr>
                        </w14:solidFill>
                      </w14:textFill>
                    </w:rPr>
                    <w:t>|</w:t>
                  </w:r>
                  <w:r w:rsidR="00B438E5" w:rsidRPr="00BF55FF">
                    <w:t>%</w:t>
                  </w:r>
                </w:p>
              </w:tc>
              <w:tc>
                <w:tcPr>
                  <w:tcW w:w="1343" w:type="dxa"/>
                </w:tcPr>
                <w:p w14:paraId="379DA04E" w14:textId="716F2CEB" w:rsidR="00B438E5" w:rsidRPr="002400E5" w:rsidRDefault="000D48FB" w:rsidP="00F15E6D">
                  <w:pPr>
                    <w:pStyle w:val="PBACTabletext"/>
                    <w:rPr>
                      <w:highlight w:val="darkGray"/>
                    </w:rPr>
                  </w:pPr>
                  <w:r w:rsidRPr="000D48FB">
                    <w:rPr>
                      <w:color w:val="000000"/>
                      <w:spacing w:val="53"/>
                      <w:shd w:val="solid" w:color="000000" w:fill="000000"/>
                      <w:fitText w:val="330" w:id="-761565947"/>
                      <w14:textFill>
                        <w14:solidFill>
                          <w14:srgbClr w14:val="000000">
                            <w14:alpha w14:val="100000"/>
                          </w14:srgbClr>
                        </w14:solidFill>
                      </w14:textFill>
                    </w:rPr>
                    <w:t>|||</w:t>
                  </w:r>
                  <w:r w:rsidRPr="000D48FB">
                    <w:rPr>
                      <w:color w:val="000000"/>
                      <w:spacing w:val="1"/>
                      <w:shd w:val="solid" w:color="000000" w:fill="000000"/>
                      <w:fitText w:val="330" w:id="-761565947"/>
                      <w14:textFill>
                        <w14:solidFill>
                          <w14:srgbClr w14:val="000000">
                            <w14:alpha w14:val="100000"/>
                          </w14:srgbClr>
                        </w14:solidFill>
                      </w14:textFill>
                    </w:rPr>
                    <w:t>|</w:t>
                  </w:r>
                  <w:r w:rsidR="002400E5" w:rsidRPr="002400E5">
                    <w:rPr>
                      <w:vertAlign w:val="superscript"/>
                    </w:rPr>
                    <w:t>1</w:t>
                  </w:r>
                </w:p>
              </w:tc>
            </w:tr>
            <w:tr w:rsidR="00B438E5" w:rsidRPr="00BF55FF" w14:paraId="18EDE9CE" w14:textId="77777777" w:rsidTr="00B438E5">
              <w:tc>
                <w:tcPr>
                  <w:tcW w:w="1342" w:type="dxa"/>
                </w:tcPr>
                <w:p w14:paraId="7DA1FCF4" w14:textId="67656032" w:rsidR="00B438E5" w:rsidRPr="00BF55FF" w:rsidRDefault="00B438E5" w:rsidP="00F15E6D">
                  <w:pPr>
                    <w:pStyle w:val="PBACTabletext"/>
                  </w:pPr>
                  <w:r w:rsidRPr="00BF55FF">
                    <w:t>Year 3</w:t>
                  </w:r>
                </w:p>
              </w:tc>
              <w:tc>
                <w:tcPr>
                  <w:tcW w:w="1343" w:type="dxa"/>
                </w:tcPr>
                <w:p w14:paraId="4A720F81" w14:textId="74DF4E85" w:rsidR="00B438E5" w:rsidRPr="00BF55FF" w:rsidRDefault="000D48FB" w:rsidP="00F15E6D">
                  <w:pPr>
                    <w:pStyle w:val="PBACTabletext"/>
                  </w:pPr>
                  <w:r w:rsidRPr="000D48FB">
                    <w:rPr>
                      <w:color w:val="000000"/>
                      <w:spacing w:val="53"/>
                      <w:shd w:val="solid" w:color="000000" w:fill="000000"/>
                      <w:fitText w:val="330" w:id="-761565946"/>
                      <w14:textFill>
                        <w14:solidFill>
                          <w14:srgbClr w14:val="000000">
                            <w14:alpha w14:val="100000"/>
                          </w14:srgbClr>
                        </w14:solidFill>
                      </w14:textFill>
                    </w:rPr>
                    <w:t>|||</w:t>
                  </w:r>
                  <w:r w:rsidRPr="000D48FB">
                    <w:rPr>
                      <w:color w:val="000000"/>
                      <w:spacing w:val="1"/>
                      <w:shd w:val="solid" w:color="000000" w:fill="000000"/>
                      <w:fitText w:val="330" w:id="-761565946"/>
                      <w14:textFill>
                        <w14:solidFill>
                          <w14:srgbClr w14:val="000000">
                            <w14:alpha w14:val="100000"/>
                          </w14:srgbClr>
                        </w14:solidFill>
                      </w14:textFill>
                    </w:rPr>
                    <w:t>|</w:t>
                  </w:r>
                  <w:r w:rsidR="00B438E5" w:rsidRPr="00BF55FF">
                    <w:t>%</w:t>
                  </w:r>
                </w:p>
              </w:tc>
              <w:tc>
                <w:tcPr>
                  <w:tcW w:w="1343" w:type="dxa"/>
                </w:tcPr>
                <w:p w14:paraId="14C9B33D" w14:textId="60004289" w:rsidR="00B438E5" w:rsidRPr="002400E5" w:rsidRDefault="000D48FB" w:rsidP="00F15E6D">
                  <w:pPr>
                    <w:pStyle w:val="PBACTabletext"/>
                    <w:rPr>
                      <w:highlight w:val="darkGray"/>
                    </w:rPr>
                  </w:pPr>
                  <w:r w:rsidRPr="000D48FB">
                    <w:rPr>
                      <w:color w:val="000000"/>
                      <w:spacing w:val="53"/>
                      <w:shd w:val="solid" w:color="000000" w:fill="000000"/>
                      <w:fitText w:val="330" w:id="-761565945"/>
                      <w14:textFill>
                        <w14:solidFill>
                          <w14:srgbClr w14:val="000000">
                            <w14:alpha w14:val="100000"/>
                          </w14:srgbClr>
                        </w14:solidFill>
                      </w14:textFill>
                    </w:rPr>
                    <w:t>|||</w:t>
                  </w:r>
                  <w:r w:rsidRPr="000D48FB">
                    <w:rPr>
                      <w:color w:val="000000"/>
                      <w:spacing w:val="1"/>
                      <w:shd w:val="solid" w:color="000000" w:fill="000000"/>
                      <w:fitText w:val="330" w:id="-761565945"/>
                      <w14:textFill>
                        <w14:solidFill>
                          <w14:srgbClr w14:val="000000">
                            <w14:alpha w14:val="100000"/>
                          </w14:srgbClr>
                        </w14:solidFill>
                      </w14:textFill>
                    </w:rPr>
                    <w:t>|</w:t>
                  </w:r>
                  <w:r w:rsidR="002400E5" w:rsidRPr="002400E5">
                    <w:rPr>
                      <w:vertAlign w:val="superscript"/>
                    </w:rPr>
                    <w:t>1</w:t>
                  </w:r>
                </w:p>
              </w:tc>
            </w:tr>
            <w:tr w:rsidR="00B438E5" w:rsidRPr="00BF55FF" w14:paraId="789800D3" w14:textId="77777777" w:rsidTr="00B438E5">
              <w:tc>
                <w:tcPr>
                  <w:tcW w:w="1342" w:type="dxa"/>
                </w:tcPr>
                <w:p w14:paraId="7A2F319D" w14:textId="46C266D2" w:rsidR="00B438E5" w:rsidRPr="00BF55FF" w:rsidRDefault="00B438E5" w:rsidP="00F15E6D">
                  <w:pPr>
                    <w:pStyle w:val="PBACTabletext"/>
                  </w:pPr>
                  <w:r w:rsidRPr="00BF55FF">
                    <w:t>Year 4</w:t>
                  </w:r>
                </w:p>
              </w:tc>
              <w:tc>
                <w:tcPr>
                  <w:tcW w:w="1343" w:type="dxa"/>
                </w:tcPr>
                <w:p w14:paraId="7F8F538F" w14:textId="1A927713" w:rsidR="00B438E5" w:rsidRPr="00BF55FF" w:rsidRDefault="000D48FB" w:rsidP="00F15E6D">
                  <w:pPr>
                    <w:pStyle w:val="PBACTabletext"/>
                  </w:pPr>
                  <w:r w:rsidRPr="000D48FB">
                    <w:rPr>
                      <w:color w:val="000000"/>
                      <w:spacing w:val="53"/>
                      <w:shd w:val="solid" w:color="000000" w:fill="000000"/>
                      <w:fitText w:val="330" w:id="-761565944"/>
                      <w14:textFill>
                        <w14:solidFill>
                          <w14:srgbClr w14:val="000000">
                            <w14:alpha w14:val="100000"/>
                          </w14:srgbClr>
                        </w14:solidFill>
                      </w14:textFill>
                    </w:rPr>
                    <w:t>|||</w:t>
                  </w:r>
                  <w:r w:rsidRPr="000D48FB">
                    <w:rPr>
                      <w:color w:val="000000"/>
                      <w:spacing w:val="1"/>
                      <w:shd w:val="solid" w:color="000000" w:fill="000000"/>
                      <w:fitText w:val="330" w:id="-761565944"/>
                      <w14:textFill>
                        <w14:solidFill>
                          <w14:srgbClr w14:val="000000">
                            <w14:alpha w14:val="100000"/>
                          </w14:srgbClr>
                        </w14:solidFill>
                      </w14:textFill>
                    </w:rPr>
                    <w:t>|</w:t>
                  </w:r>
                  <w:r w:rsidR="00B438E5" w:rsidRPr="00BF55FF">
                    <w:t>%</w:t>
                  </w:r>
                </w:p>
              </w:tc>
              <w:tc>
                <w:tcPr>
                  <w:tcW w:w="1343" w:type="dxa"/>
                </w:tcPr>
                <w:p w14:paraId="38859AFF" w14:textId="6A58A89F" w:rsidR="00B438E5" w:rsidRPr="002400E5" w:rsidRDefault="000D48FB" w:rsidP="00F15E6D">
                  <w:pPr>
                    <w:pStyle w:val="PBACTabletext"/>
                    <w:rPr>
                      <w:highlight w:val="darkGray"/>
                    </w:rPr>
                  </w:pPr>
                  <w:r w:rsidRPr="000D48FB">
                    <w:rPr>
                      <w:color w:val="000000"/>
                      <w:spacing w:val="53"/>
                      <w:shd w:val="solid" w:color="000000" w:fill="000000"/>
                      <w:fitText w:val="330" w:id="-761565943"/>
                      <w14:textFill>
                        <w14:solidFill>
                          <w14:srgbClr w14:val="000000">
                            <w14:alpha w14:val="100000"/>
                          </w14:srgbClr>
                        </w14:solidFill>
                      </w14:textFill>
                    </w:rPr>
                    <w:t>|||</w:t>
                  </w:r>
                  <w:r w:rsidRPr="000D48FB">
                    <w:rPr>
                      <w:color w:val="000000"/>
                      <w:spacing w:val="1"/>
                      <w:shd w:val="solid" w:color="000000" w:fill="000000"/>
                      <w:fitText w:val="330" w:id="-761565943"/>
                      <w14:textFill>
                        <w14:solidFill>
                          <w14:srgbClr w14:val="000000">
                            <w14:alpha w14:val="100000"/>
                          </w14:srgbClr>
                        </w14:solidFill>
                      </w14:textFill>
                    </w:rPr>
                    <w:t>|</w:t>
                  </w:r>
                  <w:r w:rsidR="002400E5" w:rsidRPr="002400E5">
                    <w:rPr>
                      <w:vertAlign w:val="superscript"/>
                    </w:rPr>
                    <w:t>1</w:t>
                  </w:r>
                </w:p>
              </w:tc>
            </w:tr>
            <w:tr w:rsidR="00B438E5" w:rsidRPr="00BF55FF" w14:paraId="27DDC821" w14:textId="77777777" w:rsidTr="00B438E5">
              <w:tc>
                <w:tcPr>
                  <w:tcW w:w="1342" w:type="dxa"/>
                </w:tcPr>
                <w:p w14:paraId="7A6496D6" w14:textId="596C129B" w:rsidR="00B438E5" w:rsidRPr="00BF55FF" w:rsidRDefault="00B438E5" w:rsidP="00F15E6D">
                  <w:pPr>
                    <w:pStyle w:val="PBACTabletext"/>
                  </w:pPr>
                  <w:r w:rsidRPr="00BF55FF">
                    <w:t>Year 5</w:t>
                  </w:r>
                </w:p>
              </w:tc>
              <w:tc>
                <w:tcPr>
                  <w:tcW w:w="1343" w:type="dxa"/>
                </w:tcPr>
                <w:p w14:paraId="7FFB7711" w14:textId="66331428" w:rsidR="00B438E5" w:rsidRPr="00BF55FF" w:rsidRDefault="000D48FB" w:rsidP="00F15E6D">
                  <w:pPr>
                    <w:pStyle w:val="PBACTabletext"/>
                  </w:pPr>
                  <w:r w:rsidRPr="000D48FB">
                    <w:rPr>
                      <w:color w:val="000000"/>
                      <w:spacing w:val="53"/>
                      <w:shd w:val="solid" w:color="000000" w:fill="000000"/>
                      <w:fitText w:val="330" w:id="-761565942"/>
                      <w14:textFill>
                        <w14:solidFill>
                          <w14:srgbClr w14:val="000000">
                            <w14:alpha w14:val="100000"/>
                          </w14:srgbClr>
                        </w14:solidFill>
                      </w14:textFill>
                    </w:rPr>
                    <w:t>|||</w:t>
                  </w:r>
                  <w:r w:rsidRPr="000D48FB">
                    <w:rPr>
                      <w:color w:val="000000"/>
                      <w:spacing w:val="1"/>
                      <w:shd w:val="solid" w:color="000000" w:fill="000000"/>
                      <w:fitText w:val="330" w:id="-761565942"/>
                      <w14:textFill>
                        <w14:solidFill>
                          <w14:srgbClr w14:val="000000">
                            <w14:alpha w14:val="100000"/>
                          </w14:srgbClr>
                        </w14:solidFill>
                      </w14:textFill>
                    </w:rPr>
                    <w:t>|</w:t>
                  </w:r>
                  <w:r w:rsidR="00B438E5" w:rsidRPr="00BF55FF">
                    <w:t>%</w:t>
                  </w:r>
                </w:p>
              </w:tc>
              <w:tc>
                <w:tcPr>
                  <w:tcW w:w="1343" w:type="dxa"/>
                </w:tcPr>
                <w:p w14:paraId="6D13B398" w14:textId="7C3C19AA" w:rsidR="00B438E5" w:rsidRPr="002400E5" w:rsidRDefault="000D48FB" w:rsidP="00F15E6D">
                  <w:pPr>
                    <w:pStyle w:val="PBACTabletext"/>
                    <w:rPr>
                      <w:highlight w:val="darkGray"/>
                    </w:rPr>
                  </w:pPr>
                  <w:r w:rsidRPr="000D48FB">
                    <w:rPr>
                      <w:color w:val="000000"/>
                      <w:spacing w:val="53"/>
                      <w:shd w:val="solid" w:color="000000" w:fill="000000"/>
                      <w:fitText w:val="330" w:id="-761565941"/>
                      <w14:textFill>
                        <w14:solidFill>
                          <w14:srgbClr w14:val="000000">
                            <w14:alpha w14:val="100000"/>
                          </w14:srgbClr>
                        </w14:solidFill>
                      </w14:textFill>
                    </w:rPr>
                    <w:t>|||</w:t>
                  </w:r>
                  <w:r w:rsidRPr="000D48FB">
                    <w:rPr>
                      <w:color w:val="000000"/>
                      <w:spacing w:val="1"/>
                      <w:shd w:val="solid" w:color="000000" w:fill="000000"/>
                      <w:fitText w:val="330" w:id="-761565941"/>
                      <w14:textFill>
                        <w14:solidFill>
                          <w14:srgbClr w14:val="000000">
                            <w14:alpha w14:val="100000"/>
                          </w14:srgbClr>
                        </w14:solidFill>
                      </w14:textFill>
                    </w:rPr>
                    <w:t>|</w:t>
                  </w:r>
                  <w:r w:rsidR="002400E5" w:rsidRPr="002400E5">
                    <w:rPr>
                      <w:vertAlign w:val="superscript"/>
                    </w:rPr>
                    <w:t>1</w:t>
                  </w:r>
                </w:p>
              </w:tc>
            </w:tr>
            <w:tr w:rsidR="00B438E5" w:rsidRPr="00BF55FF" w14:paraId="647D0514" w14:textId="77777777" w:rsidTr="00B438E5">
              <w:tc>
                <w:tcPr>
                  <w:tcW w:w="1342" w:type="dxa"/>
                </w:tcPr>
                <w:p w14:paraId="025361D9" w14:textId="686973FC" w:rsidR="00B438E5" w:rsidRPr="00BF55FF" w:rsidRDefault="00B438E5" w:rsidP="00F15E6D">
                  <w:pPr>
                    <w:pStyle w:val="PBACTabletext"/>
                  </w:pPr>
                  <w:r w:rsidRPr="00BF55FF">
                    <w:t>Year 6</w:t>
                  </w:r>
                </w:p>
              </w:tc>
              <w:tc>
                <w:tcPr>
                  <w:tcW w:w="1343" w:type="dxa"/>
                </w:tcPr>
                <w:p w14:paraId="53DD7CBA" w14:textId="0E867C81" w:rsidR="00B438E5" w:rsidRPr="00BF55FF" w:rsidRDefault="000D48FB" w:rsidP="00F15E6D">
                  <w:pPr>
                    <w:pStyle w:val="PBACTabletext"/>
                  </w:pPr>
                  <w:r w:rsidRPr="000D48FB">
                    <w:rPr>
                      <w:color w:val="000000"/>
                      <w:spacing w:val="53"/>
                      <w:shd w:val="solid" w:color="000000" w:fill="000000"/>
                      <w:fitText w:val="330" w:id="-761565940"/>
                      <w14:textFill>
                        <w14:solidFill>
                          <w14:srgbClr w14:val="000000">
                            <w14:alpha w14:val="100000"/>
                          </w14:srgbClr>
                        </w14:solidFill>
                      </w14:textFill>
                    </w:rPr>
                    <w:t>|||</w:t>
                  </w:r>
                  <w:r w:rsidRPr="000D48FB">
                    <w:rPr>
                      <w:color w:val="000000"/>
                      <w:spacing w:val="1"/>
                      <w:shd w:val="solid" w:color="000000" w:fill="000000"/>
                      <w:fitText w:val="330" w:id="-761565940"/>
                      <w14:textFill>
                        <w14:solidFill>
                          <w14:srgbClr w14:val="000000">
                            <w14:alpha w14:val="100000"/>
                          </w14:srgbClr>
                        </w14:solidFill>
                      </w14:textFill>
                    </w:rPr>
                    <w:t>|</w:t>
                  </w:r>
                  <w:r w:rsidR="00B438E5" w:rsidRPr="00BF55FF">
                    <w:t>%</w:t>
                  </w:r>
                </w:p>
              </w:tc>
              <w:tc>
                <w:tcPr>
                  <w:tcW w:w="1343" w:type="dxa"/>
                </w:tcPr>
                <w:p w14:paraId="7306BC91" w14:textId="4BFEC6F2" w:rsidR="00B438E5" w:rsidRPr="002400E5" w:rsidRDefault="000D48FB" w:rsidP="00F15E6D">
                  <w:pPr>
                    <w:pStyle w:val="PBACTabletext"/>
                    <w:rPr>
                      <w:highlight w:val="darkGray"/>
                    </w:rPr>
                  </w:pPr>
                  <w:r w:rsidRPr="0067773F">
                    <w:rPr>
                      <w:color w:val="000000"/>
                      <w:spacing w:val="53"/>
                      <w:shd w:val="solid" w:color="000000" w:fill="000000"/>
                      <w:fitText w:val="330" w:id="-761565939"/>
                      <w14:textFill>
                        <w14:solidFill>
                          <w14:srgbClr w14:val="000000">
                            <w14:alpha w14:val="100000"/>
                          </w14:srgbClr>
                        </w14:solidFill>
                      </w14:textFill>
                    </w:rPr>
                    <w:t>|||</w:t>
                  </w:r>
                  <w:r w:rsidRPr="0067773F">
                    <w:rPr>
                      <w:color w:val="000000"/>
                      <w:spacing w:val="1"/>
                      <w:shd w:val="solid" w:color="000000" w:fill="000000"/>
                      <w:fitText w:val="330" w:id="-761565939"/>
                      <w14:textFill>
                        <w14:solidFill>
                          <w14:srgbClr w14:val="000000">
                            <w14:alpha w14:val="100000"/>
                          </w14:srgbClr>
                        </w14:solidFill>
                      </w14:textFill>
                    </w:rPr>
                    <w:t>|</w:t>
                  </w:r>
                  <w:r w:rsidR="002400E5" w:rsidRPr="002400E5">
                    <w:rPr>
                      <w:vertAlign w:val="superscript"/>
                    </w:rPr>
                    <w:t>1</w:t>
                  </w:r>
                </w:p>
              </w:tc>
            </w:tr>
          </w:tbl>
          <w:p w14:paraId="550316FC" w14:textId="155BF833" w:rsidR="00E42F73" w:rsidRPr="00BF55FF" w:rsidRDefault="00E42F73" w:rsidP="00F15E6D">
            <w:pPr>
              <w:pStyle w:val="PBACTabletext"/>
            </w:pPr>
          </w:p>
        </w:tc>
        <w:tc>
          <w:tcPr>
            <w:tcW w:w="1780" w:type="pct"/>
            <w:shd w:val="clear" w:color="auto" w:fill="auto"/>
            <w:vAlign w:val="center"/>
          </w:tcPr>
          <w:p w14:paraId="0C40BEC0" w14:textId="3D23439C" w:rsidR="00A1069A" w:rsidRPr="00E86332" w:rsidRDefault="00FB00E5" w:rsidP="00F15E6D">
            <w:pPr>
              <w:pStyle w:val="PBACTabletext"/>
            </w:pPr>
            <w:r w:rsidRPr="00E86332">
              <w:t>The evaluation considered this m</w:t>
            </w:r>
            <w:r w:rsidR="00B438E5" w:rsidRPr="00E86332">
              <w:t>ay be an under or overestimate</w:t>
            </w:r>
            <w:r w:rsidR="00A1069A" w:rsidRPr="00E86332">
              <w:t xml:space="preserve"> (based on the submission’s proposed restriction). </w:t>
            </w:r>
          </w:p>
          <w:p w14:paraId="7295AAE5" w14:textId="235D4CA4" w:rsidR="00E42F73" w:rsidRPr="00E86332" w:rsidRDefault="00A1069A" w:rsidP="00F15E6D">
            <w:pPr>
              <w:pStyle w:val="PBACTabletext"/>
            </w:pPr>
            <w:r w:rsidRPr="00E86332">
              <w:t>However, the PBAC considered that uptake would likely be high in the context of the restriction recommended</w:t>
            </w:r>
            <w:r w:rsidR="00940E71">
              <w:t>, and thus the uptake may have been underestimated</w:t>
            </w:r>
            <w:r w:rsidRPr="00E86332">
              <w:t>.</w:t>
            </w:r>
          </w:p>
        </w:tc>
      </w:tr>
      <w:tr w:rsidR="00A05C32" w:rsidRPr="00BF55FF" w14:paraId="512A8938" w14:textId="77777777" w:rsidTr="009C3A3A">
        <w:tc>
          <w:tcPr>
            <w:tcW w:w="950" w:type="pct"/>
            <w:shd w:val="clear" w:color="auto" w:fill="auto"/>
            <w:vAlign w:val="center"/>
          </w:tcPr>
          <w:p w14:paraId="1F4C70A3" w14:textId="336B9D3C" w:rsidR="00A05C32" w:rsidRPr="00BF55FF" w:rsidRDefault="00A05C32" w:rsidP="00F15E6D">
            <w:pPr>
              <w:pStyle w:val="PBACTabletext"/>
            </w:pPr>
            <w:r w:rsidRPr="00BF55FF">
              <w:t>Compliance rate</w:t>
            </w:r>
            <w:r w:rsidR="00D50BBA">
              <w:t xml:space="preserve"> (doses used in practice in the trial)</w:t>
            </w:r>
          </w:p>
        </w:tc>
        <w:tc>
          <w:tcPr>
            <w:tcW w:w="2270" w:type="pct"/>
            <w:shd w:val="clear" w:color="auto" w:fill="auto"/>
            <w:vAlign w:val="center"/>
          </w:tcPr>
          <w:p w14:paraId="23FD5155" w14:textId="79950E1E" w:rsidR="00A05C32" w:rsidRPr="00BF55FF" w:rsidRDefault="00B438E5" w:rsidP="00F15E6D">
            <w:pPr>
              <w:pStyle w:val="PBACTabletext"/>
            </w:pPr>
            <w:r w:rsidRPr="00BF55FF">
              <w:t>Assumes full compliance with lanadelumab</w:t>
            </w:r>
          </w:p>
          <w:p w14:paraId="5289CDB1" w14:textId="0EF00EE1" w:rsidR="00B438E5" w:rsidRPr="00BF55FF" w:rsidRDefault="00B438E5" w:rsidP="00F15E6D">
            <w:pPr>
              <w:pStyle w:val="PBACTabletext"/>
            </w:pPr>
            <w:r w:rsidRPr="00BF55FF">
              <w:t xml:space="preserve">20.15 injections per year, </w:t>
            </w:r>
            <w:r w:rsidR="00B44ED1" w:rsidRPr="00BF55FF">
              <w:t>calculated from</w:t>
            </w:r>
            <w:r w:rsidRPr="00BF55FF">
              <w:t xml:space="preserve"> Maur</w:t>
            </w:r>
            <w:r w:rsidR="00414CED" w:rsidRPr="00BF55FF">
              <w:t>er</w:t>
            </w:r>
            <w:r w:rsidRPr="00BF55FF">
              <w:t xml:space="preserve"> (202</w:t>
            </w:r>
            <w:r w:rsidR="00414CED" w:rsidRPr="00BF55FF">
              <w:t>3</w:t>
            </w:r>
            <w:r w:rsidRPr="00BF55FF">
              <w:t>)</w:t>
            </w:r>
          </w:p>
        </w:tc>
        <w:tc>
          <w:tcPr>
            <w:tcW w:w="1780" w:type="pct"/>
            <w:shd w:val="clear" w:color="auto" w:fill="auto"/>
            <w:vAlign w:val="center"/>
          </w:tcPr>
          <w:p w14:paraId="0BA4ED26" w14:textId="1139299D" w:rsidR="00A05C32" w:rsidRPr="00BF55FF" w:rsidRDefault="00D50BBA" w:rsidP="00F15E6D">
            <w:pPr>
              <w:pStyle w:val="PBACTabletext"/>
            </w:pPr>
            <w:r>
              <w:t>The evaluation considered that the r</w:t>
            </w:r>
            <w:r w:rsidR="00B438E5" w:rsidRPr="00BF55FF">
              <w:t>eference may be incorrect</w:t>
            </w:r>
            <w:r>
              <w:t>, and calculated that the</w:t>
            </w:r>
            <w:r w:rsidR="00B438E5" w:rsidRPr="00BF55FF">
              <w:t xml:space="preserve"> SPRING CSR T</w:t>
            </w:r>
            <w:r w:rsidR="003B25D2" w:rsidRPr="00BF55FF">
              <w:t>abl</w:t>
            </w:r>
            <w:r w:rsidR="00B438E5" w:rsidRPr="00BF55FF">
              <w:t>e 11</w:t>
            </w:r>
            <w:r w:rsidR="003B25D2" w:rsidRPr="00BF55FF">
              <w:t xml:space="preserve"> </w:t>
            </w:r>
            <w:r w:rsidR="00B438E5" w:rsidRPr="00BF55FF">
              <w:t xml:space="preserve">p91 </w:t>
            </w:r>
            <w:r w:rsidR="00A42BC9" w:rsidRPr="00BF55FF">
              <w:t>results in the</w:t>
            </w:r>
            <w:r w:rsidR="00B438E5" w:rsidRPr="00BF55FF">
              <w:t xml:space="preserve"> mean dose over </w:t>
            </w:r>
            <w:r w:rsidR="00A42BC9" w:rsidRPr="00BF55FF">
              <w:t xml:space="preserve">the </w:t>
            </w:r>
            <w:r w:rsidR="00B438E5" w:rsidRPr="00BF55FF">
              <w:t>trial as 22.14 doses</w:t>
            </w:r>
            <w:r w:rsidR="00BA5C7B" w:rsidRPr="00BF55FF">
              <w:t xml:space="preserve">. See </w:t>
            </w:r>
            <w:r w:rsidR="006B4F3B" w:rsidRPr="00BF55FF">
              <w:fldChar w:fldCharType="begin" w:fldLock="1"/>
            </w:r>
            <w:r w:rsidR="006B4F3B" w:rsidRPr="00BF55FF">
              <w:instrText xml:space="preserve"> REF _Ref175483527 \h </w:instrText>
            </w:r>
            <w:r w:rsidR="004D23EB" w:rsidRPr="00BF55FF">
              <w:instrText xml:space="preserve"> \* MERGEFORMAT </w:instrText>
            </w:r>
            <w:r w:rsidR="006B4F3B" w:rsidRPr="00BF55FF">
              <w:fldChar w:fldCharType="separate"/>
            </w:r>
            <w:r w:rsidR="009C2393" w:rsidRPr="00BF55FF">
              <w:t xml:space="preserve">Table </w:t>
            </w:r>
            <w:r w:rsidR="009C2393">
              <w:t>8</w:t>
            </w:r>
            <w:r w:rsidR="006B4F3B" w:rsidRPr="00BF55FF">
              <w:fldChar w:fldCharType="end"/>
            </w:r>
            <w:r w:rsidR="006B4F3B" w:rsidRPr="00BF55FF">
              <w:t xml:space="preserve"> for details.</w:t>
            </w:r>
          </w:p>
        </w:tc>
      </w:tr>
      <w:tr w:rsidR="00D244B6" w:rsidRPr="00BF55FF" w14:paraId="18F4FF1F" w14:textId="77777777" w:rsidTr="009C3A3A">
        <w:tc>
          <w:tcPr>
            <w:tcW w:w="950" w:type="pct"/>
            <w:shd w:val="clear" w:color="auto" w:fill="auto"/>
            <w:vAlign w:val="center"/>
          </w:tcPr>
          <w:p w14:paraId="09A388E2" w14:textId="09AC01F4" w:rsidR="00D244B6" w:rsidRPr="00BF55FF" w:rsidRDefault="00D244B6" w:rsidP="00F15E6D">
            <w:pPr>
              <w:pStyle w:val="PBACTabletext"/>
            </w:pPr>
            <w:r w:rsidRPr="00BF55FF">
              <w:t>Grandfathered patients</w:t>
            </w:r>
          </w:p>
        </w:tc>
        <w:tc>
          <w:tcPr>
            <w:tcW w:w="2270" w:type="pct"/>
            <w:shd w:val="clear" w:color="auto" w:fill="auto"/>
            <w:vAlign w:val="center"/>
          </w:tcPr>
          <w:p w14:paraId="61C6F202" w14:textId="72F90BFB" w:rsidR="00D244B6" w:rsidRPr="00BF55FF" w:rsidRDefault="00B44ED1" w:rsidP="00F15E6D">
            <w:pPr>
              <w:pStyle w:val="PBACTabletext"/>
            </w:pPr>
            <w:r w:rsidRPr="00BF55FF">
              <w:t>S</w:t>
            </w:r>
            <w:r w:rsidR="00775A36" w:rsidRPr="00BF55FF">
              <w:t>ubmission s</w:t>
            </w:r>
            <w:r w:rsidRPr="00BF55FF">
              <w:t>tates 2</w:t>
            </w:r>
            <w:r w:rsidR="00775A36" w:rsidRPr="00BF55FF">
              <w:t xml:space="preserve"> patients are</w:t>
            </w:r>
            <w:r w:rsidRPr="00BF55FF">
              <w:t xml:space="preserve"> currently receiving </w:t>
            </w:r>
            <w:r w:rsidR="00667F55" w:rsidRPr="00BF55FF">
              <w:t>lanadelumab</w:t>
            </w:r>
          </w:p>
        </w:tc>
        <w:tc>
          <w:tcPr>
            <w:tcW w:w="1780" w:type="pct"/>
            <w:shd w:val="clear" w:color="auto" w:fill="auto"/>
            <w:vAlign w:val="center"/>
          </w:tcPr>
          <w:p w14:paraId="283F2180" w14:textId="56EA64C0" w:rsidR="00D244B6" w:rsidRPr="00BF55FF" w:rsidRDefault="00B44ED1" w:rsidP="00F15E6D">
            <w:pPr>
              <w:pStyle w:val="PBACTabletext"/>
            </w:pPr>
            <w:r w:rsidRPr="00BF55FF">
              <w:t xml:space="preserve">Does not appear to </w:t>
            </w:r>
            <w:r w:rsidR="00775A36" w:rsidRPr="00BF55FF">
              <w:t xml:space="preserve">add </w:t>
            </w:r>
            <w:r w:rsidRPr="00BF55FF">
              <w:t xml:space="preserve">these </w:t>
            </w:r>
            <w:r w:rsidR="00775A36" w:rsidRPr="00BF55FF">
              <w:t>to the</w:t>
            </w:r>
            <w:r w:rsidRPr="00BF55FF">
              <w:t xml:space="preserve"> total numbers</w:t>
            </w:r>
            <w:r w:rsidR="00A107F0" w:rsidRPr="00BF55FF">
              <w:t xml:space="preserve">, however this is likely appropriate as these patients would likely be included in the </w:t>
            </w:r>
            <w:r w:rsidR="00DD3F90" w:rsidRPr="00BF55FF">
              <w:t>epidemiological approach used.</w:t>
            </w:r>
          </w:p>
        </w:tc>
      </w:tr>
      <w:tr w:rsidR="00E42F73" w:rsidRPr="00BF55FF" w14:paraId="0C865763" w14:textId="77777777" w:rsidTr="009C3A3A">
        <w:tc>
          <w:tcPr>
            <w:tcW w:w="950" w:type="pct"/>
            <w:shd w:val="clear" w:color="auto" w:fill="auto"/>
            <w:vAlign w:val="center"/>
          </w:tcPr>
          <w:p w14:paraId="49D0440C" w14:textId="36F95554" w:rsidR="00E42F73" w:rsidRPr="00BF55FF" w:rsidRDefault="004658B5" w:rsidP="00F15E6D">
            <w:pPr>
              <w:pStyle w:val="PBACTabletext"/>
            </w:pPr>
            <w:r w:rsidRPr="00BF55FF">
              <w:t>Dose/duration</w:t>
            </w:r>
          </w:p>
        </w:tc>
        <w:tc>
          <w:tcPr>
            <w:tcW w:w="2270" w:type="pct"/>
            <w:shd w:val="clear" w:color="auto" w:fill="auto"/>
            <w:vAlign w:val="center"/>
          </w:tcPr>
          <w:p w14:paraId="55CF5673" w14:textId="0FCC5618" w:rsidR="00E42F73" w:rsidRPr="00BF55FF" w:rsidRDefault="00B44ED1" w:rsidP="00F15E6D">
            <w:pPr>
              <w:pStyle w:val="PBACTabletext"/>
            </w:pPr>
            <w:r w:rsidRPr="00BF55FF">
              <w:t>150</w:t>
            </w:r>
            <w:r w:rsidR="00775A36" w:rsidRPr="00BF55FF">
              <w:t xml:space="preserve"> </w:t>
            </w:r>
            <w:r w:rsidRPr="00BF55FF">
              <w:t xml:space="preserve">mg </w:t>
            </w:r>
            <w:r w:rsidR="00775A36" w:rsidRPr="00BF55FF">
              <w:t>Q</w:t>
            </w:r>
            <w:r w:rsidRPr="00BF55FF">
              <w:t xml:space="preserve">2 or </w:t>
            </w:r>
            <w:r w:rsidR="00775A36" w:rsidRPr="00BF55FF">
              <w:t>Q</w:t>
            </w:r>
            <w:r w:rsidRPr="00BF55FF">
              <w:t>4 weekly indefinitely</w:t>
            </w:r>
            <w:r w:rsidR="002A4177" w:rsidRPr="00BF55FF">
              <w:t xml:space="preserve"> (see compliance rate row above)</w:t>
            </w:r>
          </w:p>
        </w:tc>
        <w:tc>
          <w:tcPr>
            <w:tcW w:w="1780" w:type="pct"/>
            <w:shd w:val="clear" w:color="auto" w:fill="auto"/>
            <w:vAlign w:val="center"/>
          </w:tcPr>
          <w:p w14:paraId="0E346EAB" w14:textId="1BC0807D" w:rsidR="00E42F73" w:rsidRPr="00BF55FF" w:rsidRDefault="00B44ED1" w:rsidP="00F15E6D">
            <w:pPr>
              <w:pStyle w:val="PBACTabletext"/>
            </w:pPr>
            <w:r w:rsidRPr="00BF55FF">
              <w:t>Consistent with trial and TGA indication</w:t>
            </w:r>
          </w:p>
        </w:tc>
      </w:tr>
      <w:tr w:rsidR="004658B5" w:rsidRPr="00BF55FF" w14:paraId="7DA05E57" w14:textId="77777777" w:rsidTr="009C3A3A">
        <w:tc>
          <w:tcPr>
            <w:tcW w:w="950" w:type="pct"/>
            <w:shd w:val="clear" w:color="auto" w:fill="auto"/>
            <w:vAlign w:val="center"/>
          </w:tcPr>
          <w:p w14:paraId="38021BE8" w14:textId="5655D1E9" w:rsidR="004658B5" w:rsidRPr="00BF55FF" w:rsidRDefault="00414CED" w:rsidP="00F15E6D">
            <w:pPr>
              <w:pStyle w:val="PBACTabletext"/>
            </w:pPr>
            <w:r w:rsidRPr="00BF55FF">
              <w:t>O</w:t>
            </w:r>
            <w:r w:rsidR="004658B5" w:rsidRPr="00BF55FF">
              <w:t>ffsets for comparator</w:t>
            </w:r>
            <w:r w:rsidR="00C57B6C" w:rsidRPr="00BF55FF">
              <w:t>/</w:t>
            </w:r>
            <w:r w:rsidR="001D50B2" w:rsidRPr="00BF55FF">
              <w:t xml:space="preserve"> </w:t>
            </w:r>
            <w:r w:rsidR="00C57B6C" w:rsidRPr="00BF55FF">
              <w:t>subsequent therapies</w:t>
            </w:r>
          </w:p>
        </w:tc>
        <w:tc>
          <w:tcPr>
            <w:tcW w:w="2270" w:type="pct"/>
            <w:shd w:val="clear" w:color="auto" w:fill="auto"/>
            <w:vAlign w:val="center"/>
          </w:tcPr>
          <w:p w14:paraId="43F57750" w14:textId="7731CF36" w:rsidR="004658B5" w:rsidRPr="00BF55FF" w:rsidRDefault="00B44ED1" w:rsidP="00F15E6D">
            <w:pPr>
              <w:pStyle w:val="PBACTabletext"/>
            </w:pPr>
            <w:r w:rsidRPr="00BF55FF">
              <w:t xml:space="preserve">Not included </w:t>
            </w:r>
          </w:p>
        </w:tc>
        <w:tc>
          <w:tcPr>
            <w:tcW w:w="1780" w:type="pct"/>
            <w:shd w:val="clear" w:color="auto" w:fill="auto"/>
            <w:vAlign w:val="center"/>
          </w:tcPr>
          <w:p w14:paraId="3AEEFE59" w14:textId="3FCD5464" w:rsidR="005A374B" w:rsidRPr="00BF55FF" w:rsidRDefault="00B44ED1" w:rsidP="00C95020">
            <w:pPr>
              <w:pStyle w:val="PBACTabletext"/>
            </w:pPr>
            <w:r w:rsidRPr="00BF55FF">
              <w:t>Appropriate</w:t>
            </w:r>
            <w:r w:rsidR="005A374B" w:rsidRPr="00BF55FF">
              <w:t xml:space="preserve">. </w:t>
            </w:r>
            <w:r w:rsidR="004B5876" w:rsidRPr="00BF55FF">
              <w:t>While t</w:t>
            </w:r>
            <w:r w:rsidR="00F06AE9" w:rsidRPr="00BF55FF">
              <w:t xml:space="preserve">here </w:t>
            </w:r>
            <w:r w:rsidR="007025C9" w:rsidRPr="00BF55FF">
              <w:t xml:space="preserve">may be potential </w:t>
            </w:r>
            <w:r w:rsidR="00F06AE9" w:rsidRPr="00BF55FF">
              <w:t xml:space="preserve">offsets for reduced use of </w:t>
            </w:r>
            <w:r w:rsidR="00FE3BB6" w:rsidRPr="00BF55FF">
              <w:t xml:space="preserve">C1-INH, </w:t>
            </w:r>
            <w:r w:rsidR="004B5876" w:rsidRPr="00BF55FF">
              <w:t xml:space="preserve">this was </w:t>
            </w:r>
            <w:r w:rsidR="00C37CB5" w:rsidRPr="00BF55FF">
              <w:t>likely to be minimal</w:t>
            </w:r>
            <w:r w:rsidR="00C24C14" w:rsidRPr="00BF55FF">
              <w:t xml:space="preserve"> (particularly given the criteria for access to C1-INH requires </w:t>
            </w:r>
            <w:r w:rsidR="00382701" w:rsidRPr="00BF55FF">
              <w:t xml:space="preserve">a </w:t>
            </w:r>
            <w:r w:rsidR="00C24C14" w:rsidRPr="00BF55FF">
              <w:t xml:space="preserve">patient to have experienced </w:t>
            </w:r>
            <w:r w:rsidR="00382701" w:rsidRPr="00BF55FF">
              <w:t>at least 8 attacks per month)</w:t>
            </w:r>
            <w:r w:rsidR="00ED5BF0" w:rsidRPr="00BF55FF">
              <w:t xml:space="preserve">. Further, </w:t>
            </w:r>
            <w:r w:rsidR="00FE3BB6" w:rsidRPr="00BF55FF">
              <w:t xml:space="preserve">the </w:t>
            </w:r>
            <w:r w:rsidR="00DC3857" w:rsidRPr="00BF55FF">
              <w:t>submission stated tha</w:t>
            </w:r>
            <w:r w:rsidR="00895195" w:rsidRPr="00BF55FF">
              <w:t xml:space="preserve">t C1-INH utilisation data in paediatric patients were not available. </w:t>
            </w:r>
          </w:p>
        </w:tc>
      </w:tr>
      <w:tr w:rsidR="004658B5" w:rsidRPr="00BF55FF" w14:paraId="7B7FA999" w14:textId="77777777" w:rsidTr="009C3A3A">
        <w:tc>
          <w:tcPr>
            <w:tcW w:w="950" w:type="pct"/>
            <w:shd w:val="clear" w:color="auto" w:fill="auto"/>
            <w:vAlign w:val="center"/>
          </w:tcPr>
          <w:p w14:paraId="2C67FF14" w14:textId="0B2ADE54" w:rsidR="004658B5" w:rsidRPr="00BF55FF" w:rsidRDefault="004658B5" w:rsidP="00F15E6D">
            <w:pPr>
              <w:pStyle w:val="PBACTabletext"/>
            </w:pPr>
            <w:r w:rsidRPr="00BF55FF">
              <w:t>MBS item</w:t>
            </w:r>
          </w:p>
        </w:tc>
        <w:tc>
          <w:tcPr>
            <w:tcW w:w="2270" w:type="pct"/>
            <w:shd w:val="clear" w:color="auto" w:fill="auto"/>
            <w:vAlign w:val="center"/>
          </w:tcPr>
          <w:p w14:paraId="2CB17643" w14:textId="712CD25C" w:rsidR="004658B5" w:rsidRPr="00BF55FF" w:rsidRDefault="00B44ED1" w:rsidP="00F15E6D">
            <w:pPr>
              <w:pStyle w:val="PBACTabletext"/>
            </w:pPr>
            <w:r w:rsidRPr="00BF55FF">
              <w:t>Not included</w:t>
            </w:r>
          </w:p>
        </w:tc>
        <w:tc>
          <w:tcPr>
            <w:tcW w:w="1780" w:type="pct"/>
            <w:shd w:val="clear" w:color="auto" w:fill="auto"/>
            <w:vAlign w:val="center"/>
          </w:tcPr>
          <w:p w14:paraId="2F12B392" w14:textId="43572CE7" w:rsidR="004658B5" w:rsidRPr="00BF55FF" w:rsidRDefault="00B65611" w:rsidP="00F15E6D">
            <w:pPr>
              <w:pStyle w:val="PBACTabletext"/>
            </w:pPr>
            <w:r w:rsidRPr="00BF55FF">
              <w:t>Appropriate</w:t>
            </w:r>
          </w:p>
        </w:tc>
      </w:tr>
    </w:tbl>
    <w:p w14:paraId="75260C7A" w14:textId="77777777" w:rsidR="00877EA2" w:rsidRDefault="00E42F73" w:rsidP="00877EA2">
      <w:pPr>
        <w:pStyle w:val="FooterTableFigure"/>
      </w:pPr>
      <w:r w:rsidRPr="00BF55FF">
        <w:t>Source: Table</w:t>
      </w:r>
      <w:r w:rsidR="00B44ED1" w:rsidRPr="00BF55FF">
        <w:t>s 41 and 42 and associated text</w:t>
      </w:r>
      <w:r w:rsidRPr="00BF55FF">
        <w:t>, pp</w:t>
      </w:r>
      <w:r w:rsidR="00B44ED1" w:rsidRPr="00BF55FF">
        <w:t xml:space="preserve"> 59-60</w:t>
      </w:r>
      <w:r w:rsidRPr="00BF55FF">
        <w:t xml:space="preserve"> of the submission</w:t>
      </w:r>
    </w:p>
    <w:p w14:paraId="68F6CB06" w14:textId="2E93B85A" w:rsidR="00877EA2" w:rsidRPr="00877EA2" w:rsidRDefault="00877EA2" w:rsidP="00877EA2">
      <w:pPr>
        <w:pStyle w:val="FooterTableFigure"/>
      </w:pPr>
      <w:r w:rsidRPr="00877EA2">
        <w:t>The redacted values correspond to the following ranges:</w:t>
      </w:r>
    </w:p>
    <w:p w14:paraId="5ED79CC4" w14:textId="77777777" w:rsidR="00877EA2" w:rsidRPr="00877EA2" w:rsidRDefault="00877EA2" w:rsidP="00877EA2">
      <w:pPr>
        <w:pStyle w:val="FooterTableFigure"/>
      </w:pPr>
      <w:r w:rsidRPr="00877EA2">
        <w:t>1 &lt; 500</w:t>
      </w:r>
    </w:p>
    <w:p w14:paraId="18D32C76" w14:textId="10A5E126" w:rsidR="00E42F73" w:rsidRPr="00BF55FF" w:rsidRDefault="00E42F73" w:rsidP="007925DF">
      <w:pPr>
        <w:pStyle w:val="FooterTableFigure"/>
      </w:pPr>
    </w:p>
    <w:p w14:paraId="485BE909" w14:textId="7903D867" w:rsidR="003B2386" w:rsidRPr="00FC0895" w:rsidRDefault="00312B16" w:rsidP="000F53CD">
      <w:pPr>
        <w:pStyle w:val="3-BodyText"/>
      </w:pPr>
      <w:bookmarkStart w:id="61" w:name="_Ref183530935"/>
      <w:r w:rsidRPr="00BF55FF">
        <w:rPr>
          <w:color w:val="000000" w:themeColor="text1"/>
        </w:rPr>
        <w:t>The</w:t>
      </w:r>
      <w:r w:rsidR="005D4C0F" w:rsidRPr="00BF55FF">
        <w:rPr>
          <w:color w:val="000000" w:themeColor="text1"/>
        </w:rPr>
        <w:t xml:space="preserve"> evaluation noted that the</w:t>
      </w:r>
      <w:r w:rsidRPr="00BF55FF">
        <w:rPr>
          <w:color w:val="000000" w:themeColor="text1"/>
        </w:rPr>
        <w:t xml:space="preserve"> estimated number of patients aged 2-11 </w:t>
      </w:r>
      <w:r w:rsidR="00067942" w:rsidRPr="00BF55FF">
        <w:rPr>
          <w:color w:val="000000" w:themeColor="text1"/>
        </w:rPr>
        <w:t>may</w:t>
      </w:r>
      <w:r w:rsidRPr="00BF55FF">
        <w:rPr>
          <w:color w:val="000000" w:themeColor="text1"/>
        </w:rPr>
        <w:t xml:space="preserve"> not account for the full extent of usage under the</w:t>
      </w:r>
      <w:r w:rsidR="002C471D">
        <w:rPr>
          <w:color w:val="000000" w:themeColor="text1"/>
        </w:rPr>
        <w:t xml:space="preserve"> submission’s</w:t>
      </w:r>
      <w:r w:rsidR="000F53CD">
        <w:rPr>
          <w:color w:val="000000" w:themeColor="text1"/>
        </w:rPr>
        <w:t xml:space="preserve"> </w:t>
      </w:r>
      <w:r w:rsidRPr="00BF55FF">
        <w:rPr>
          <w:color w:val="000000" w:themeColor="text1"/>
        </w:rPr>
        <w:t xml:space="preserve">proposed listing, </w:t>
      </w:r>
      <w:r w:rsidR="002C471D">
        <w:rPr>
          <w:color w:val="000000" w:themeColor="text1"/>
        </w:rPr>
        <w:t>as</w:t>
      </w:r>
      <w:r w:rsidR="002C471D" w:rsidRPr="00BF55FF">
        <w:rPr>
          <w:color w:val="000000" w:themeColor="text1"/>
        </w:rPr>
        <w:t xml:space="preserve"> </w:t>
      </w:r>
      <w:r w:rsidRPr="00BF55FF">
        <w:rPr>
          <w:color w:val="000000" w:themeColor="text1"/>
        </w:rPr>
        <w:t xml:space="preserve">when patients reach 12 years of age they will </w:t>
      </w:r>
      <w:r w:rsidR="00A42BC9" w:rsidRPr="00BF55FF">
        <w:rPr>
          <w:color w:val="000000" w:themeColor="text1"/>
        </w:rPr>
        <w:t xml:space="preserve">be eligible to </w:t>
      </w:r>
      <w:r w:rsidRPr="00BF55FF">
        <w:rPr>
          <w:color w:val="000000" w:themeColor="text1"/>
        </w:rPr>
        <w:t>continue treatment</w:t>
      </w:r>
      <w:r w:rsidR="003B2386">
        <w:rPr>
          <w:color w:val="000000" w:themeColor="text1"/>
        </w:rPr>
        <w:t>,</w:t>
      </w:r>
      <w:r w:rsidRPr="00BF55FF">
        <w:rPr>
          <w:color w:val="000000" w:themeColor="text1"/>
        </w:rPr>
        <w:t xml:space="preserve"> </w:t>
      </w:r>
      <w:r w:rsidR="003B2386">
        <w:rPr>
          <w:color w:val="000000" w:themeColor="text1"/>
        </w:rPr>
        <w:t>despite</w:t>
      </w:r>
      <w:r w:rsidRPr="00BF55FF">
        <w:rPr>
          <w:color w:val="000000" w:themeColor="text1"/>
        </w:rPr>
        <w:t xml:space="preserve"> never hav</w:t>
      </w:r>
      <w:r w:rsidR="003B2386">
        <w:rPr>
          <w:color w:val="000000" w:themeColor="text1"/>
        </w:rPr>
        <w:t>ing</w:t>
      </w:r>
      <w:r w:rsidRPr="00BF55FF">
        <w:rPr>
          <w:color w:val="000000" w:themeColor="text1"/>
        </w:rPr>
        <w:t xml:space="preserve"> met the criteria for treatment initiation in patients aged </w:t>
      </w:r>
      <w:r w:rsidRPr="00BF55FF">
        <w:rPr>
          <w:color w:val="000000" w:themeColor="text1"/>
        </w:rPr>
        <w:sym w:font="Symbol" w:char="F0B3"/>
      </w:r>
      <w:r w:rsidRPr="00BF55FF">
        <w:rPr>
          <w:color w:val="000000" w:themeColor="text1"/>
        </w:rPr>
        <w:t>12</w:t>
      </w:r>
      <w:r w:rsidR="00067942" w:rsidRPr="00BF55FF">
        <w:rPr>
          <w:color w:val="000000" w:themeColor="text1"/>
        </w:rPr>
        <w:t xml:space="preserve"> years</w:t>
      </w:r>
      <w:r w:rsidRPr="00BF55FF">
        <w:rPr>
          <w:color w:val="000000" w:themeColor="text1"/>
        </w:rPr>
        <w:t>.</w:t>
      </w:r>
      <w:r w:rsidR="00067942" w:rsidRPr="00BF55FF">
        <w:rPr>
          <w:color w:val="000000" w:themeColor="text1"/>
        </w:rPr>
        <w:t xml:space="preserve"> </w:t>
      </w:r>
      <w:r w:rsidR="00A42BC9" w:rsidRPr="00BF55FF">
        <w:t>T</w:t>
      </w:r>
      <w:r w:rsidR="00067942" w:rsidRPr="00BF55FF">
        <w:t xml:space="preserve">he PSCR </w:t>
      </w:r>
      <w:r w:rsidR="00924D66" w:rsidRPr="00BF55FF">
        <w:t>claimed that</w:t>
      </w:r>
      <w:r w:rsidR="00067942" w:rsidRPr="00BF55FF">
        <w:t xml:space="preserve"> patients </w:t>
      </w:r>
      <w:r w:rsidR="00A42BC9" w:rsidRPr="00BF55FF">
        <w:t xml:space="preserve">who </w:t>
      </w:r>
      <w:r w:rsidR="00067942" w:rsidRPr="00BF55FF">
        <w:t>experienc</w:t>
      </w:r>
      <w:r w:rsidR="00A42BC9" w:rsidRPr="00BF55FF">
        <w:t>e</w:t>
      </w:r>
      <w:r w:rsidR="00067942" w:rsidRPr="00BF55FF">
        <w:t xml:space="preserve"> HAE attacks </w:t>
      </w:r>
      <w:r w:rsidR="00A42BC9" w:rsidRPr="00BF55FF">
        <w:t xml:space="preserve">prior to </w:t>
      </w:r>
      <w:r w:rsidR="00067942" w:rsidRPr="00BF55FF">
        <w:t xml:space="preserve">12 years </w:t>
      </w:r>
      <w:r w:rsidR="00A42BC9" w:rsidRPr="00BF55FF">
        <w:t xml:space="preserve">of age </w:t>
      </w:r>
      <w:r w:rsidR="00067942" w:rsidRPr="00BF55FF">
        <w:t>would be likely to experience severe disease in adolescence</w:t>
      </w:r>
      <w:r w:rsidR="003B2386">
        <w:t>,</w:t>
      </w:r>
      <w:r w:rsidR="00067942" w:rsidRPr="00BF55FF">
        <w:t xml:space="preserve"> and therefore qualify under the </w:t>
      </w:r>
      <w:r w:rsidR="00067942" w:rsidRPr="00684A72">
        <w:lastRenderedPageBreak/>
        <w:t xml:space="preserve">treatment initiation criteria for </w:t>
      </w:r>
      <w:r w:rsidR="00067942" w:rsidRPr="00684A72">
        <w:sym w:font="Symbol" w:char="F0B3"/>
      </w:r>
      <w:r w:rsidR="00067942" w:rsidRPr="00684A72">
        <w:t>12 years</w:t>
      </w:r>
      <w:r w:rsidR="00386FB2" w:rsidRPr="00684A72">
        <w:t xml:space="preserve"> (</w:t>
      </w:r>
      <w:r w:rsidR="00285AD6" w:rsidRPr="00684A72">
        <w:t>paragraph</w:t>
      </w:r>
      <w:r w:rsidR="00A42BC9" w:rsidRPr="00684A72">
        <w:t xml:space="preserve"> </w:t>
      </w:r>
      <w:r w:rsidR="00A42BC9" w:rsidRPr="00684A72">
        <w:fldChar w:fldCharType="begin" w:fldLock="1"/>
      </w:r>
      <w:r w:rsidR="00A42BC9" w:rsidRPr="00684A72">
        <w:instrText xml:space="preserve"> REF _Ref179889954 \r \h  \* MERGEFORMAT </w:instrText>
      </w:r>
      <w:r w:rsidR="00A42BC9" w:rsidRPr="00684A72">
        <w:fldChar w:fldCharType="separate"/>
      </w:r>
      <w:r w:rsidR="009C2393">
        <w:t>3.6</w:t>
      </w:r>
      <w:r w:rsidR="00A42BC9" w:rsidRPr="00684A72">
        <w:fldChar w:fldCharType="end"/>
      </w:r>
      <w:r w:rsidR="00386FB2" w:rsidRPr="00684A72">
        <w:t>)</w:t>
      </w:r>
      <w:r w:rsidR="00A42BC9" w:rsidRPr="00684A72">
        <w:t>. However</w:t>
      </w:r>
      <w:r w:rsidR="00067942" w:rsidRPr="00684A72">
        <w:t>, the ESC considered</w:t>
      </w:r>
      <w:r w:rsidR="00B827ED">
        <w:t xml:space="preserve"> </w:t>
      </w:r>
      <w:r w:rsidR="00B827ED" w:rsidRPr="00BF55FF">
        <w:t>the available data do not provide sufficient evidence to support the sponsor’s proposed reduction in baseline attack rate criteria</w:t>
      </w:r>
      <w:r w:rsidR="00B827ED">
        <w:t xml:space="preserve"> (paragraph </w:t>
      </w:r>
      <w:r w:rsidR="00B827ED">
        <w:fldChar w:fldCharType="begin" w:fldLock="1"/>
      </w:r>
      <w:r w:rsidR="00B827ED">
        <w:instrText xml:space="preserve"> REF _Ref183531930 \r \h </w:instrText>
      </w:r>
      <w:r w:rsidR="00B827ED">
        <w:fldChar w:fldCharType="separate"/>
      </w:r>
      <w:r w:rsidR="009C2393">
        <w:t>6.27</w:t>
      </w:r>
      <w:r w:rsidR="00B827ED">
        <w:fldChar w:fldCharType="end"/>
      </w:r>
      <w:r w:rsidR="00B827ED">
        <w:t>)</w:t>
      </w:r>
      <w:r w:rsidR="00B827ED" w:rsidRPr="00BF55FF">
        <w:t>.</w:t>
      </w:r>
      <w:r w:rsidR="00067942" w:rsidRPr="00684A72">
        <w:t xml:space="preserve"> </w:t>
      </w:r>
      <w:r w:rsidR="003B2386">
        <w:t xml:space="preserve"> </w:t>
      </w:r>
      <w:bookmarkEnd w:id="61"/>
    </w:p>
    <w:p w14:paraId="3444550F" w14:textId="26E20712" w:rsidR="0013380A" w:rsidRPr="00BF55FF" w:rsidRDefault="0013380A" w:rsidP="00A23619">
      <w:pPr>
        <w:pStyle w:val="3-BodyText"/>
      </w:pPr>
      <w:r w:rsidRPr="00BF55FF">
        <w:t>The submission estimated that up to 75% of patients</w:t>
      </w:r>
      <w:r w:rsidR="00A23619">
        <w:t xml:space="preserve"> currently</w:t>
      </w:r>
      <w:r w:rsidRPr="00BF55FF">
        <w:t xml:space="preserve"> treated with icatibant would use lanadelumab</w:t>
      </w:r>
      <w:r w:rsidR="00F0283C">
        <w:t>, based on the submission’s proposed minimum baseline attack rate</w:t>
      </w:r>
      <w:r w:rsidRPr="00BF55FF">
        <w:t xml:space="preserve">. </w:t>
      </w:r>
      <w:r w:rsidR="00A42BC9" w:rsidRPr="00BF55FF">
        <w:t xml:space="preserve">The submission </w:t>
      </w:r>
      <w:r w:rsidR="00A42BC9" w:rsidRPr="006B602D">
        <w:t xml:space="preserve">also </w:t>
      </w:r>
      <w:r w:rsidRPr="006B602D">
        <w:t xml:space="preserve">estimated that the expected number of </w:t>
      </w:r>
      <w:r w:rsidR="00A42BC9" w:rsidRPr="006B602D">
        <w:t xml:space="preserve">lanadelumab </w:t>
      </w:r>
      <w:r w:rsidRPr="006B602D">
        <w:t>injections per year would be 20.15, based on calculations derived from Figure 2 in Maur</w:t>
      </w:r>
      <w:r w:rsidR="002C46C0" w:rsidRPr="006B602D">
        <w:t>er</w:t>
      </w:r>
      <w:r w:rsidR="00EF210E" w:rsidRPr="006B602D">
        <w:t xml:space="preserve"> et al.</w:t>
      </w:r>
      <w:r w:rsidRPr="006B602D">
        <w:t xml:space="preserve"> 202</w:t>
      </w:r>
      <w:r w:rsidR="002C46C0" w:rsidRPr="006B602D">
        <w:t>4</w:t>
      </w:r>
      <w:r w:rsidRPr="006B602D">
        <w:t>.</w:t>
      </w:r>
      <w:r w:rsidR="00EF210E" w:rsidRPr="006B602D">
        <w:rPr>
          <w:rStyle w:val="FootnoteReference"/>
        </w:rPr>
        <w:footnoteReference w:id="13"/>
      </w:r>
      <w:r w:rsidRPr="006B602D">
        <w:t xml:space="preserve"> The calculation was based on the number of patients using the prescribed dose for each period in the </w:t>
      </w:r>
      <w:r w:rsidR="00A23619">
        <w:t xml:space="preserve">SPRING </w:t>
      </w:r>
      <w:r w:rsidRPr="006B602D">
        <w:t>study</w:t>
      </w:r>
      <w:r w:rsidR="00F0283C" w:rsidRPr="006B602D">
        <w:t xml:space="preserve"> (which required a minimum baseline attack rate of 2 attacks in 6 months)</w:t>
      </w:r>
      <w:r w:rsidRPr="006B602D">
        <w:t xml:space="preserve">, allowing for patients who discontinued and assuming full compliance. </w:t>
      </w:r>
      <w:r w:rsidR="004F5123" w:rsidRPr="006B602D">
        <w:t>However, the</w:t>
      </w:r>
      <w:r w:rsidR="00D50BBA">
        <w:t xml:space="preserve"> evaluation calculated that</w:t>
      </w:r>
      <w:r w:rsidR="004F5123" w:rsidRPr="006B602D">
        <w:t xml:space="preserve"> </w:t>
      </w:r>
      <w:r w:rsidR="00D50BBA">
        <w:t xml:space="preserve">the average </w:t>
      </w:r>
      <w:r w:rsidRPr="006B602D">
        <w:t>number of doses used in the SPRING study</w:t>
      </w:r>
      <w:r w:rsidR="00D50BBA">
        <w:t xml:space="preserve"> was 22.1, a</w:t>
      </w:r>
      <w:r w:rsidRPr="006B602D">
        <w:t xml:space="preserve">s summarised in </w:t>
      </w:r>
      <w:r w:rsidR="006B4F3B" w:rsidRPr="006B602D">
        <w:fldChar w:fldCharType="begin" w:fldLock="1"/>
      </w:r>
      <w:r w:rsidR="006B4F3B" w:rsidRPr="006B602D">
        <w:instrText xml:space="preserve"> REF _Ref175483527 \h </w:instrText>
      </w:r>
      <w:r w:rsidR="00BF55FF" w:rsidRPr="006B602D">
        <w:instrText xml:space="preserve"> \* MERGEFORMAT </w:instrText>
      </w:r>
      <w:r w:rsidR="006B4F3B" w:rsidRPr="006B602D">
        <w:fldChar w:fldCharType="separate"/>
      </w:r>
      <w:r w:rsidR="009C2393" w:rsidRPr="00BF55FF">
        <w:t xml:space="preserve">Table </w:t>
      </w:r>
      <w:r w:rsidR="009C2393">
        <w:t>8</w:t>
      </w:r>
      <w:r w:rsidR="006B4F3B" w:rsidRPr="006B602D">
        <w:fldChar w:fldCharType="end"/>
      </w:r>
      <w:r w:rsidR="00A12F83" w:rsidRPr="006B602D">
        <w:t>.</w:t>
      </w:r>
      <w:r w:rsidRPr="006B602D">
        <w:t xml:space="preserve"> </w:t>
      </w:r>
      <w:r w:rsidR="00185EDB">
        <w:t xml:space="preserve">The PBAC agreed with the evaluation that the average number of doses should be based on the trial data. </w:t>
      </w:r>
    </w:p>
    <w:p w14:paraId="4D9EE229" w14:textId="56664FE9" w:rsidR="0013380A" w:rsidRPr="00BF55FF" w:rsidRDefault="006B4F3B" w:rsidP="006B4F3B">
      <w:pPr>
        <w:pStyle w:val="Caption"/>
      </w:pPr>
      <w:bookmarkStart w:id="62" w:name="_Ref175483527"/>
      <w:r w:rsidRPr="00BF55FF">
        <w:t xml:space="preserve">Table </w:t>
      </w:r>
      <w:r w:rsidR="00ED245D" w:rsidRPr="00BF55FF">
        <w:fldChar w:fldCharType="begin" w:fldLock="1"/>
      </w:r>
      <w:r w:rsidR="00ED245D" w:rsidRPr="00BF55FF">
        <w:instrText xml:space="preserve"> SEQ Table \* ARABIC </w:instrText>
      </w:r>
      <w:r w:rsidR="00ED245D" w:rsidRPr="00BF55FF">
        <w:fldChar w:fldCharType="separate"/>
      </w:r>
      <w:r w:rsidR="009C2393">
        <w:rPr>
          <w:noProof/>
        </w:rPr>
        <w:t>8</w:t>
      </w:r>
      <w:r w:rsidR="00ED245D" w:rsidRPr="00BF55FF">
        <w:fldChar w:fldCharType="end"/>
      </w:r>
      <w:bookmarkEnd w:id="62"/>
      <w:r w:rsidRPr="00BF55FF">
        <w:t xml:space="preserve">: </w:t>
      </w:r>
      <w:r w:rsidR="0013380A" w:rsidRPr="00BF55FF">
        <w:t xml:space="preserve">Doses </w:t>
      </w:r>
      <w:r w:rsidRPr="00BF55FF">
        <w:t>received</w:t>
      </w:r>
      <w:r w:rsidR="0013380A" w:rsidRPr="00BF55FF">
        <w:t xml:space="preserve"> during SPRING study, overall treatment period</w:t>
      </w:r>
    </w:p>
    <w:tbl>
      <w:tblPr>
        <w:tblStyle w:val="TableGrid"/>
        <w:tblW w:w="5000" w:type="pct"/>
        <w:tblLook w:val="04A0" w:firstRow="1" w:lastRow="0" w:firstColumn="1" w:lastColumn="0" w:noHBand="0" w:noVBand="1"/>
      </w:tblPr>
      <w:tblGrid>
        <w:gridCol w:w="2880"/>
        <w:gridCol w:w="3068"/>
        <w:gridCol w:w="3069"/>
      </w:tblGrid>
      <w:tr w:rsidR="0013380A" w:rsidRPr="00BF55FF" w14:paraId="526BF023" w14:textId="77777777" w:rsidTr="003A516C">
        <w:tc>
          <w:tcPr>
            <w:tcW w:w="1597" w:type="pct"/>
          </w:tcPr>
          <w:p w14:paraId="5687DEE5" w14:textId="77777777" w:rsidR="0013380A" w:rsidRPr="00BF55FF" w:rsidRDefault="0013380A" w:rsidP="0013380A">
            <w:pPr>
              <w:pStyle w:val="PBACTabletext"/>
            </w:pPr>
          </w:p>
        </w:tc>
        <w:tc>
          <w:tcPr>
            <w:tcW w:w="1701" w:type="pct"/>
          </w:tcPr>
          <w:p w14:paraId="357EE68A" w14:textId="54F398BE" w:rsidR="0013380A" w:rsidRPr="00BF55FF" w:rsidRDefault="0013380A" w:rsidP="003A516C">
            <w:pPr>
              <w:pStyle w:val="PBACTabletext"/>
              <w:jc w:val="center"/>
              <w:rPr>
                <w:b/>
                <w:bCs/>
              </w:rPr>
            </w:pPr>
            <w:r w:rsidRPr="00BF55FF">
              <w:rPr>
                <w:b/>
                <w:bCs/>
              </w:rPr>
              <w:t>Patients aged 2-6 allocated to 150</w:t>
            </w:r>
            <w:r w:rsidR="00293360" w:rsidRPr="00BF55FF">
              <w:rPr>
                <w:b/>
                <w:bCs/>
              </w:rPr>
              <w:t> </w:t>
            </w:r>
            <w:r w:rsidRPr="00BF55FF">
              <w:rPr>
                <w:b/>
                <w:bCs/>
              </w:rPr>
              <w:t>mg Q4W</w:t>
            </w:r>
          </w:p>
        </w:tc>
        <w:tc>
          <w:tcPr>
            <w:tcW w:w="1702" w:type="pct"/>
          </w:tcPr>
          <w:p w14:paraId="605EFAD9" w14:textId="203799C7" w:rsidR="0013380A" w:rsidRPr="00BF55FF" w:rsidRDefault="0013380A" w:rsidP="003A516C">
            <w:pPr>
              <w:pStyle w:val="PBACTabletext"/>
              <w:jc w:val="center"/>
              <w:rPr>
                <w:b/>
                <w:bCs/>
              </w:rPr>
            </w:pPr>
            <w:r w:rsidRPr="00BF55FF">
              <w:rPr>
                <w:b/>
                <w:bCs/>
              </w:rPr>
              <w:t>Patients aged 6-11 allocated to 150</w:t>
            </w:r>
            <w:r w:rsidR="00293360" w:rsidRPr="00BF55FF">
              <w:rPr>
                <w:b/>
                <w:bCs/>
              </w:rPr>
              <w:t> </w:t>
            </w:r>
            <w:r w:rsidRPr="00BF55FF">
              <w:rPr>
                <w:b/>
                <w:bCs/>
              </w:rPr>
              <w:t>mg Q2W</w:t>
            </w:r>
          </w:p>
        </w:tc>
      </w:tr>
      <w:tr w:rsidR="0013380A" w:rsidRPr="00BF55FF" w14:paraId="085CF56C" w14:textId="77777777" w:rsidTr="003A516C">
        <w:tc>
          <w:tcPr>
            <w:tcW w:w="1597" w:type="pct"/>
          </w:tcPr>
          <w:p w14:paraId="1F84C810" w14:textId="41D25DFB" w:rsidR="0013380A" w:rsidRPr="00BF55FF" w:rsidRDefault="0013380A" w:rsidP="0013380A">
            <w:pPr>
              <w:pStyle w:val="PBACTabletext"/>
            </w:pPr>
            <w:r w:rsidRPr="00BF55FF">
              <w:t>Number of patients</w:t>
            </w:r>
            <w:r w:rsidR="00D50BBA">
              <w:t xml:space="preserve"> (n, %)</w:t>
            </w:r>
          </w:p>
        </w:tc>
        <w:tc>
          <w:tcPr>
            <w:tcW w:w="1701" w:type="pct"/>
          </w:tcPr>
          <w:p w14:paraId="43FBE268" w14:textId="573F6F26" w:rsidR="0013380A" w:rsidRPr="00BF55FF" w:rsidRDefault="0013380A" w:rsidP="00652B19">
            <w:pPr>
              <w:pStyle w:val="PBACTabletext"/>
              <w:jc w:val="center"/>
            </w:pPr>
            <w:r w:rsidRPr="00BF55FF">
              <w:t>4</w:t>
            </w:r>
            <w:r w:rsidR="00D50BBA">
              <w:t xml:space="preserve"> (19%)</w:t>
            </w:r>
          </w:p>
        </w:tc>
        <w:tc>
          <w:tcPr>
            <w:tcW w:w="1702" w:type="pct"/>
          </w:tcPr>
          <w:p w14:paraId="31298C65" w14:textId="59B773FF" w:rsidR="0013380A" w:rsidRPr="00BF55FF" w:rsidRDefault="006B4F3B" w:rsidP="00652B19">
            <w:pPr>
              <w:pStyle w:val="PBACTabletext"/>
              <w:jc w:val="center"/>
            </w:pPr>
            <w:r w:rsidRPr="00BF55FF">
              <w:t>17</w:t>
            </w:r>
            <w:r w:rsidR="00D50BBA">
              <w:t xml:space="preserve"> (81%)</w:t>
            </w:r>
          </w:p>
        </w:tc>
      </w:tr>
      <w:tr w:rsidR="0013380A" w:rsidRPr="00BF55FF" w14:paraId="69930697" w14:textId="77777777" w:rsidTr="003A516C">
        <w:tc>
          <w:tcPr>
            <w:tcW w:w="1597" w:type="pct"/>
          </w:tcPr>
          <w:p w14:paraId="1B95BB36" w14:textId="55C93BD6" w:rsidR="0013380A" w:rsidRPr="00BF55FF" w:rsidRDefault="0013380A" w:rsidP="0013380A">
            <w:pPr>
              <w:pStyle w:val="PBACTabletext"/>
            </w:pPr>
            <w:r w:rsidRPr="00BF55FF">
              <w:t>Mean number of doses (SD)</w:t>
            </w:r>
          </w:p>
        </w:tc>
        <w:tc>
          <w:tcPr>
            <w:tcW w:w="1701" w:type="pct"/>
          </w:tcPr>
          <w:p w14:paraId="5A3BC328" w14:textId="4A190C3F" w:rsidR="0013380A" w:rsidRPr="00BF55FF" w:rsidRDefault="0013380A" w:rsidP="00652B19">
            <w:pPr>
              <w:pStyle w:val="PBACTabletext"/>
              <w:jc w:val="center"/>
            </w:pPr>
            <w:r w:rsidRPr="00BF55FF">
              <w:t>12.5 (7.55)</w:t>
            </w:r>
          </w:p>
        </w:tc>
        <w:tc>
          <w:tcPr>
            <w:tcW w:w="1702" w:type="pct"/>
          </w:tcPr>
          <w:p w14:paraId="41BACCBE" w14:textId="0E780612" w:rsidR="0013380A" w:rsidRPr="00BF55FF" w:rsidRDefault="006B4F3B" w:rsidP="00652B19">
            <w:pPr>
              <w:pStyle w:val="PBACTabletext"/>
              <w:jc w:val="center"/>
            </w:pPr>
            <w:r w:rsidRPr="00BF55FF">
              <w:t>24.4 (3.12)</w:t>
            </w:r>
          </w:p>
        </w:tc>
      </w:tr>
      <w:tr w:rsidR="0013380A" w:rsidRPr="00BF55FF" w14:paraId="1A4097DE" w14:textId="77777777" w:rsidTr="003A516C">
        <w:tc>
          <w:tcPr>
            <w:tcW w:w="1597" w:type="pct"/>
          </w:tcPr>
          <w:p w14:paraId="03FCAFF2" w14:textId="492A305E" w:rsidR="0013380A" w:rsidRPr="00BF55FF" w:rsidRDefault="0013380A" w:rsidP="0013380A">
            <w:pPr>
              <w:pStyle w:val="PBACTabletext"/>
            </w:pPr>
            <w:r w:rsidRPr="00BF55FF">
              <w:t>Median (range)</w:t>
            </w:r>
          </w:p>
        </w:tc>
        <w:tc>
          <w:tcPr>
            <w:tcW w:w="1701" w:type="pct"/>
          </w:tcPr>
          <w:p w14:paraId="0FF67CE8" w14:textId="30D40079" w:rsidR="0013380A" w:rsidRPr="00BF55FF" w:rsidRDefault="0013380A" w:rsidP="00652B19">
            <w:pPr>
              <w:pStyle w:val="PBACTabletext"/>
              <w:jc w:val="center"/>
            </w:pPr>
            <w:r w:rsidRPr="00BF55FF">
              <w:t>14.0</w:t>
            </w:r>
            <w:r w:rsidR="00E80F55" w:rsidRPr="00BF55FF">
              <w:t xml:space="preserve"> </w:t>
            </w:r>
            <w:r w:rsidR="00924D66" w:rsidRPr="00BF55FF">
              <w:t>(2</w:t>
            </w:r>
            <w:r w:rsidRPr="00BF55FF">
              <w:t>, 20)</w:t>
            </w:r>
          </w:p>
        </w:tc>
        <w:tc>
          <w:tcPr>
            <w:tcW w:w="1702" w:type="pct"/>
          </w:tcPr>
          <w:p w14:paraId="7E228746" w14:textId="032ADB06" w:rsidR="0013380A" w:rsidRPr="00BF55FF" w:rsidRDefault="006B4F3B" w:rsidP="00652B19">
            <w:pPr>
              <w:pStyle w:val="PBACTabletext"/>
              <w:jc w:val="center"/>
            </w:pPr>
            <w:r w:rsidRPr="00BF55FF">
              <w:t>27.0 (19, 27)</w:t>
            </w:r>
          </w:p>
        </w:tc>
      </w:tr>
      <w:tr w:rsidR="00D50BBA" w:rsidRPr="00BF55FF" w14:paraId="25DAF775" w14:textId="77777777" w:rsidTr="00D50BBA">
        <w:tc>
          <w:tcPr>
            <w:tcW w:w="1597" w:type="pct"/>
          </w:tcPr>
          <w:p w14:paraId="1CFDB388" w14:textId="0D2135D5" w:rsidR="00D50BBA" w:rsidRPr="00BF55FF" w:rsidRDefault="00D50BBA" w:rsidP="0013380A">
            <w:pPr>
              <w:pStyle w:val="PBACTabletext"/>
            </w:pPr>
            <w:r>
              <w:t>Weighted average (using the mean)</w:t>
            </w:r>
          </w:p>
        </w:tc>
        <w:tc>
          <w:tcPr>
            <w:tcW w:w="3403" w:type="pct"/>
            <w:gridSpan w:val="2"/>
          </w:tcPr>
          <w:p w14:paraId="0032545C" w14:textId="0DA1060A" w:rsidR="00D50BBA" w:rsidRPr="00BF55FF" w:rsidRDefault="00D50BBA" w:rsidP="00652B19">
            <w:pPr>
              <w:pStyle w:val="PBACTabletext"/>
              <w:jc w:val="center"/>
            </w:pPr>
            <w:r>
              <w:t>22.1</w:t>
            </w:r>
          </w:p>
        </w:tc>
      </w:tr>
    </w:tbl>
    <w:p w14:paraId="07A4972A" w14:textId="77777777" w:rsidR="000303C7" w:rsidRPr="00BF55FF" w:rsidRDefault="006B4F3B" w:rsidP="006B4F3B">
      <w:pPr>
        <w:pStyle w:val="PBACTblFignote"/>
      </w:pPr>
      <w:r w:rsidRPr="00BF55FF">
        <w:t>Source: constructed from Table 14.3.7.3, p 5952 and p5954 of the CSR.</w:t>
      </w:r>
    </w:p>
    <w:p w14:paraId="37024D6E" w14:textId="0DC63324" w:rsidR="0013380A" w:rsidRPr="00BF55FF" w:rsidRDefault="006B4F3B" w:rsidP="00BA4C29">
      <w:pPr>
        <w:pStyle w:val="PBACTblFignote"/>
        <w:spacing w:after="120"/>
        <w:contextualSpacing w:val="0"/>
      </w:pPr>
      <w:r w:rsidRPr="00BF55FF">
        <w:t>Q2W = every 2 weeks; Q4W = every 4 weeks.</w:t>
      </w:r>
    </w:p>
    <w:p w14:paraId="26FB6670" w14:textId="175B9099" w:rsidR="00B505C8" w:rsidRPr="00BF55FF" w:rsidRDefault="00127495" w:rsidP="00DA64B0">
      <w:pPr>
        <w:pStyle w:val="3-BodyText"/>
      </w:pPr>
      <w:r>
        <w:t>For the submission’s requested baseline attack rate of at least 1 in 3 months, t</w:t>
      </w:r>
      <w:r w:rsidR="003A5182" w:rsidRPr="00BF55FF">
        <w:t>he total cost to the PBS/RPBS of listing lan</w:t>
      </w:r>
      <w:r w:rsidR="00E77471" w:rsidRPr="00BF55FF">
        <w:t>a</w:t>
      </w:r>
      <w:r w:rsidR="003A5182" w:rsidRPr="00BF55FF">
        <w:t xml:space="preserve">delumab was estimated to be </w:t>
      </w:r>
      <w:r w:rsidR="003F71D4" w:rsidRPr="003F71D4">
        <w:t>$0 to &lt; $10 million</w:t>
      </w:r>
      <w:r w:rsidR="0030787B">
        <w:t xml:space="preserve"> </w:t>
      </w:r>
      <w:r w:rsidR="003A5182" w:rsidRPr="00BF55FF">
        <w:t xml:space="preserve">in Year 6, and a total of </w:t>
      </w:r>
      <w:r w:rsidR="00366C72" w:rsidRPr="00366C72">
        <w:t>$10 million to &lt; $20 million</w:t>
      </w:r>
      <w:r w:rsidR="0030787B">
        <w:t xml:space="preserve"> </w:t>
      </w:r>
      <w:r w:rsidR="003A5182" w:rsidRPr="00BF55FF">
        <w:t>in the first 6 years of listing</w:t>
      </w:r>
      <w:r w:rsidR="00F15E6D" w:rsidRPr="00BF55FF">
        <w:t xml:space="preserve"> (</w:t>
      </w:r>
      <w:r w:rsidR="00F15E6D" w:rsidRPr="00BF55FF">
        <w:fldChar w:fldCharType="begin" w:fldLock="1"/>
      </w:r>
      <w:r w:rsidR="00F15E6D" w:rsidRPr="00BF55FF">
        <w:instrText xml:space="preserve"> REF _Ref104805295 \h </w:instrText>
      </w:r>
      <w:r w:rsidR="00BF55FF" w:rsidRPr="00BF55FF">
        <w:instrText xml:space="preserve"> \* MERGEFORMAT </w:instrText>
      </w:r>
      <w:r w:rsidR="00F15E6D" w:rsidRPr="00BF55FF">
        <w:fldChar w:fldCharType="separate"/>
      </w:r>
      <w:r w:rsidR="009C2393" w:rsidRPr="00BF55FF">
        <w:t xml:space="preserve">Table </w:t>
      </w:r>
      <w:r w:rsidR="009C2393">
        <w:t>9</w:t>
      </w:r>
      <w:r w:rsidR="00F15E6D" w:rsidRPr="00BF55FF">
        <w:fldChar w:fldCharType="end"/>
      </w:r>
      <w:r w:rsidR="00F15E6D" w:rsidRPr="00BF55FF">
        <w:t>)</w:t>
      </w:r>
      <w:r w:rsidR="003A5182" w:rsidRPr="00BF55FF">
        <w:t>.</w:t>
      </w:r>
    </w:p>
    <w:p w14:paraId="46F842E2" w14:textId="365EC197" w:rsidR="00E77471" w:rsidRPr="00BF55FF" w:rsidRDefault="00E16AD8" w:rsidP="00C60E83">
      <w:pPr>
        <w:pStyle w:val="Caption"/>
      </w:pPr>
      <w:bookmarkStart w:id="63" w:name="_Ref104805295"/>
      <w:r w:rsidRPr="00BF55FF">
        <w:t xml:space="preserve">Table </w:t>
      </w:r>
      <w:r w:rsidR="00ED245D" w:rsidRPr="00BF55FF">
        <w:fldChar w:fldCharType="begin" w:fldLock="1"/>
      </w:r>
      <w:r w:rsidR="00ED245D" w:rsidRPr="00BF55FF">
        <w:instrText xml:space="preserve"> SEQ Table \* ARABIC </w:instrText>
      </w:r>
      <w:r w:rsidR="00ED245D" w:rsidRPr="00BF55FF">
        <w:fldChar w:fldCharType="separate"/>
      </w:r>
      <w:r w:rsidR="009C2393">
        <w:rPr>
          <w:noProof/>
        </w:rPr>
        <w:t>9</w:t>
      </w:r>
      <w:r w:rsidR="00ED245D" w:rsidRPr="00BF55FF">
        <w:fldChar w:fldCharType="end"/>
      </w:r>
      <w:bookmarkEnd w:id="63"/>
      <w:r w:rsidRPr="00BF55FF">
        <w:t>:</w:t>
      </w:r>
      <w:r w:rsidR="002A2F50" w:rsidRPr="00BF55FF">
        <w:rPr>
          <w:rStyle w:val="CommentReference"/>
          <w:b/>
          <w:szCs w:val="24"/>
        </w:rPr>
        <w:t xml:space="preserve"> Estimated use and financial implications</w:t>
      </w:r>
      <w:r w:rsidR="00D71FC4" w:rsidRPr="00BF55FF">
        <w:rPr>
          <w:rStyle w:val="CommentReference"/>
          <w:b/>
          <w:szCs w:val="24"/>
        </w:rPr>
        <w:t xml:space="preserve"> (effective price)</w:t>
      </w:r>
    </w:p>
    <w:tbl>
      <w:tblPr>
        <w:tblStyle w:val="TableGrid"/>
        <w:tblW w:w="5000" w:type="pct"/>
        <w:tblLayout w:type="fixed"/>
        <w:tblLook w:val="04A0" w:firstRow="1" w:lastRow="0" w:firstColumn="1" w:lastColumn="0" w:noHBand="0" w:noVBand="1"/>
      </w:tblPr>
      <w:tblGrid>
        <w:gridCol w:w="2405"/>
        <w:gridCol w:w="1102"/>
        <w:gridCol w:w="1102"/>
        <w:gridCol w:w="1102"/>
        <w:gridCol w:w="1102"/>
        <w:gridCol w:w="1102"/>
        <w:gridCol w:w="1102"/>
      </w:tblGrid>
      <w:tr w:rsidR="00385A9D" w:rsidRPr="00BF55FF" w14:paraId="43A2A3A1" w14:textId="77777777" w:rsidTr="00D71FC4">
        <w:tc>
          <w:tcPr>
            <w:tcW w:w="1334" w:type="pct"/>
          </w:tcPr>
          <w:p w14:paraId="0A4E41E1" w14:textId="77777777" w:rsidR="00385A9D" w:rsidRPr="00BF55FF" w:rsidRDefault="00385A9D" w:rsidP="00606FBA">
            <w:pPr>
              <w:pStyle w:val="In-tableHeading"/>
              <w:jc w:val="center"/>
              <w:rPr>
                <w:lang w:val="en-AU"/>
              </w:rPr>
            </w:pPr>
          </w:p>
        </w:tc>
        <w:tc>
          <w:tcPr>
            <w:tcW w:w="611" w:type="pct"/>
          </w:tcPr>
          <w:p w14:paraId="77420B6F" w14:textId="77777777" w:rsidR="00385A9D" w:rsidRPr="00BF55FF" w:rsidRDefault="00385A9D" w:rsidP="00606FBA">
            <w:pPr>
              <w:pStyle w:val="In-tableHeading"/>
              <w:jc w:val="center"/>
              <w:rPr>
                <w:lang w:val="en-AU"/>
              </w:rPr>
            </w:pPr>
            <w:r w:rsidRPr="00BF55FF">
              <w:rPr>
                <w:lang w:val="en-AU"/>
              </w:rPr>
              <w:t>Year 1</w:t>
            </w:r>
          </w:p>
        </w:tc>
        <w:tc>
          <w:tcPr>
            <w:tcW w:w="611" w:type="pct"/>
          </w:tcPr>
          <w:p w14:paraId="3BBD9218" w14:textId="77777777" w:rsidR="00385A9D" w:rsidRPr="00BF55FF" w:rsidRDefault="00385A9D" w:rsidP="00606FBA">
            <w:pPr>
              <w:pStyle w:val="In-tableHeading"/>
              <w:jc w:val="center"/>
              <w:rPr>
                <w:lang w:val="en-AU"/>
              </w:rPr>
            </w:pPr>
            <w:r w:rsidRPr="00BF55FF">
              <w:rPr>
                <w:lang w:val="en-AU"/>
              </w:rPr>
              <w:t>Year 2</w:t>
            </w:r>
          </w:p>
        </w:tc>
        <w:tc>
          <w:tcPr>
            <w:tcW w:w="611" w:type="pct"/>
          </w:tcPr>
          <w:p w14:paraId="729A646E" w14:textId="77777777" w:rsidR="00385A9D" w:rsidRPr="00BF55FF" w:rsidRDefault="00385A9D" w:rsidP="00606FBA">
            <w:pPr>
              <w:pStyle w:val="In-tableHeading"/>
              <w:jc w:val="center"/>
              <w:rPr>
                <w:lang w:val="en-AU"/>
              </w:rPr>
            </w:pPr>
            <w:r w:rsidRPr="00BF55FF">
              <w:rPr>
                <w:lang w:val="en-AU"/>
              </w:rPr>
              <w:t>Year 3</w:t>
            </w:r>
          </w:p>
        </w:tc>
        <w:tc>
          <w:tcPr>
            <w:tcW w:w="611" w:type="pct"/>
          </w:tcPr>
          <w:p w14:paraId="280BB544" w14:textId="77777777" w:rsidR="00385A9D" w:rsidRPr="00BF55FF" w:rsidRDefault="00385A9D" w:rsidP="00606FBA">
            <w:pPr>
              <w:pStyle w:val="In-tableHeading"/>
              <w:jc w:val="center"/>
              <w:rPr>
                <w:lang w:val="en-AU"/>
              </w:rPr>
            </w:pPr>
            <w:r w:rsidRPr="00BF55FF">
              <w:rPr>
                <w:lang w:val="en-AU"/>
              </w:rPr>
              <w:t>Year 4</w:t>
            </w:r>
          </w:p>
        </w:tc>
        <w:tc>
          <w:tcPr>
            <w:tcW w:w="611" w:type="pct"/>
          </w:tcPr>
          <w:p w14:paraId="6435BB5B" w14:textId="77777777" w:rsidR="00385A9D" w:rsidRPr="00BF55FF" w:rsidRDefault="00385A9D" w:rsidP="00606FBA">
            <w:pPr>
              <w:pStyle w:val="In-tableHeading"/>
              <w:jc w:val="center"/>
              <w:rPr>
                <w:lang w:val="en-AU"/>
              </w:rPr>
            </w:pPr>
            <w:r w:rsidRPr="00BF55FF">
              <w:rPr>
                <w:lang w:val="en-AU"/>
              </w:rPr>
              <w:t>Year 5</w:t>
            </w:r>
          </w:p>
        </w:tc>
        <w:tc>
          <w:tcPr>
            <w:tcW w:w="611" w:type="pct"/>
          </w:tcPr>
          <w:p w14:paraId="7C618119" w14:textId="77777777" w:rsidR="00385A9D" w:rsidRPr="00BF55FF" w:rsidRDefault="00385A9D" w:rsidP="00606FBA">
            <w:pPr>
              <w:pStyle w:val="In-tableHeading"/>
              <w:jc w:val="center"/>
              <w:rPr>
                <w:lang w:val="en-AU"/>
              </w:rPr>
            </w:pPr>
            <w:r w:rsidRPr="00BF55FF">
              <w:rPr>
                <w:lang w:val="en-AU"/>
              </w:rPr>
              <w:t>Year 6</w:t>
            </w:r>
          </w:p>
        </w:tc>
      </w:tr>
      <w:tr w:rsidR="00385A9D" w:rsidRPr="00BF55FF" w14:paraId="3C519059" w14:textId="77777777" w:rsidTr="00D71FC4">
        <w:tc>
          <w:tcPr>
            <w:tcW w:w="5000" w:type="pct"/>
            <w:gridSpan w:val="7"/>
          </w:tcPr>
          <w:p w14:paraId="516C2197" w14:textId="77777777" w:rsidR="00385A9D" w:rsidRPr="00BF55FF" w:rsidRDefault="00385A9D" w:rsidP="00606FBA">
            <w:pPr>
              <w:pStyle w:val="In-tableHeading"/>
              <w:rPr>
                <w:bCs/>
                <w:color w:val="000000"/>
                <w:lang w:val="en-AU"/>
              </w:rPr>
            </w:pPr>
            <w:r w:rsidRPr="00BF55FF">
              <w:rPr>
                <w:bCs/>
                <w:color w:val="000000"/>
                <w:lang w:val="en-AU"/>
              </w:rPr>
              <w:t>Estimated extent of use</w:t>
            </w:r>
          </w:p>
        </w:tc>
      </w:tr>
      <w:tr w:rsidR="00385A9D" w:rsidRPr="00BF55FF" w14:paraId="148A8EEF" w14:textId="77777777" w:rsidTr="00D71FC4">
        <w:tc>
          <w:tcPr>
            <w:tcW w:w="1334" w:type="pct"/>
          </w:tcPr>
          <w:p w14:paraId="201B6ECA" w14:textId="77777777" w:rsidR="00385A9D" w:rsidRPr="00BF55FF" w:rsidRDefault="00385A9D" w:rsidP="006B1B1D">
            <w:pPr>
              <w:pStyle w:val="TableText0"/>
              <w:rPr>
                <w:rFonts w:ascii="Times" w:hAnsi="Times"/>
              </w:rPr>
            </w:pPr>
            <w:r w:rsidRPr="00BF55FF">
              <w:t>Number of patients treated</w:t>
            </w:r>
          </w:p>
        </w:tc>
        <w:tc>
          <w:tcPr>
            <w:tcW w:w="611" w:type="pct"/>
          </w:tcPr>
          <w:p w14:paraId="577607A9" w14:textId="605F0517" w:rsidR="00385A9D" w:rsidRPr="00366C72" w:rsidRDefault="000D48FB" w:rsidP="00C60E83">
            <w:pPr>
              <w:pStyle w:val="TableText0"/>
              <w:jc w:val="center"/>
              <w:rPr>
                <w:highlight w:val="darkGray"/>
              </w:rPr>
            </w:pPr>
            <w:r w:rsidRPr="000D48FB">
              <w:rPr>
                <w:rFonts w:hint="eastAsia"/>
                <w:color w:val="000000"/>
                <w:w w:val="31"/>
                <w:shd w:val="solid" w:color="000000" w:fill="000000"/>
                <w:fitText w:val="140" w:id="-761565938"/>
                <w14:textFill>
                  <w14:solidFill>
                    <w14:srgbClr w14:val="000000">
                      <w14:alpha w14:val="100000"/>
                    </w14:srgbClr>
                  </w14:solidFill>
                </w14:textFill>
              </w:rPr>
              <w:t xml:space="preserve">　</w:t>
            </w:r>
            <w:r w:rsidRPr="000D48FB">
              <w:rPr>
                <w:color w:val="000000"/>
                <w:w w:val="31"/>
                <w:shd w:val="solid" w:color="000000" w:fill="000000"/>
                <w:fitText w:val="140" w:id="-761565938"/>
                <w14:textFill>
                  <w14:solidFill>
                    <w14:srgbClr w14:val="000000">
                      <w14:alpha w14:val="100000"/>
                    </w14:srgbClr>
                  </w14:solidFill>
                </w14:textFill>
              </w:rPr>
              <w:t>|</w:t>
            </w:r>
            <w:r w:rsidRPr="000D48FB">
              <w:rPr>
                <w:rFonts w:hint="eastAsia"/>
                <w:color w:val="000000"/>
                <w:spacing w:val="4"/>
                <w:w w:val="31"/>
                <w:shd w:val="solid" w:color="000000" w:fill="000000"/>
                <w:fitText w:val="140" w:id="-761565938"/>
                <w14:textFill>
                  <w14:solidFill>
                    <w14:srgbClr w14:val="000000">
                      <w14:alpha w14:val="100000"/>
                    </w14:srgbClr>
                  </w14:solidFill>
                </w14:textFill>
              </w:rPr>
              <w:t xml:space="preserve">　</w:t>
            </w:r>
            <w:r w:rsidR="00717DA3" w:rsidRPr="00717DA3">
              <w:rPr>
                <w:vertAlign w:val="superscript"/>
              </w:rPr>
              <w:t>1</w:t>
            </w:r>
          </w:p>
        </w:tc>
        <w:tc>
          <w:tcPr>
            <w:tcW w:w="611" w:type="pct"/>
          </w:tcPr>
          <w:p w14:paraId="6610B4C9" w14:textId="2689875E" w:rsidR="00385A9D" w:rsidRPr="00366C72" w:rsidRDefault="000D48FB" w:rsidP="00C60E83">
            <w:pPr>
              <w:pStyle w:val="TableText0"/>
              <w:jc w:val="center"/>
              <w:rPr>
                <w:highlight w:val="darkGray"/>
              </w:rPr>
            </w:pPr>
            <w:r w:rsidRPr="000D48FB">
              <w:rPr>
                <w:rFonts w:hint="eastAsia"/>
                <w:color w:val="000000"/>
                <w:w w:val="31"/>
                <w:shd w:val="solid" w:color="000000" w:fill="000000"/>
                <w:fitText w:val="140" w:id="-761565937"/>
                <w14:textFill>
                  <w14:solidFill>
                    <w14:srgbClr w14:val="000000">
                      <w14:alpha w14:val="100000"/>
                    </w14:srgbClr>
                  </w14:solidFill>
                </w14:textFill>
              </w:rPr>
              <w:t xml:space="preserve">　</w:t>
            </w:r>
            <w:r w:rsidRPr="000D48FB">
              <w:rPr>
                <w:color w:val="000000"/>
                <w:w w:val="31"/>
                <w:shd w:val="solid" w:color="000000" w:fill="000000"/>
                <w:fitText w:val="140" w:id="-761565937"/>
                <w14:textFill>
                  <w14:solidFill>
                    <w14:srgbClr w14:val="000000">
                      <w14:alpha w14:val="100000"/>
                    </w14:srgbClr>
                  </w14:solidFill>
                </w14:textFill>
              </w:rPr>
              <w:t>|</w:t>
            </w:r>
            <w:r w:rsidRPr="000D48FB">
              <w:rPr>
                <w:rFonts w:hint="eastAsia"/>
                <w:color w:val="000000"/>
                <w:spacing w:val="4"/>
                <w:w w:val="31"/>
                <w:shd w:val="solid" w:color="000000" w:fill="000000"/>
                <w:fitText w:val="140" w:id="-761565937"/>
                <w14:textFill>
                  <w14:solidFill>
                    <w14:srgbClr w14:val="000000">
                      <w14:alpha w14:val="100000"/>
                    </w14:srgbClr>
                  </w14:solidFill>
                </w14:textFill>
              </w:rPr>
              <w:t xml:space="preserve">　</w:t>
            </w:r>
            <w:r w:rsidR="00717DA3" w:rsidRPr="00717DA3">
              <w:rPr>
                <w:vertAlign w:val="superscript"/>
              </w:rPr>
              <w:t>1</w:t>
            </w:r>
          </w:p>
        </w:tc>
        <w:tc>
          <w:tcPr>
            <w:tcW w:w="611" w:type="pct"/>
          </w:tcPr>
          <w:p w14:paraId="29F46D6B" w14:textId="610A6061" w:rsidR="00385A9D" w:rsidRPr="00366C72" w:rsidRDefault="000D48FB" w:rsidP="00C60E83">
            <w:pPr>
              <w:pStyle w:val="TableText0"/>
              <w:jc w:val="center"/>
              <w:rPr>
                <w:highlight w:val="darkGray"/>
              </w:rPr>
            </w:pPr>
            <w:r w:rsidRPr="000D48FB">
              <w:rPr>
                <w:rFonts w:hint="eastAsia"/>
                <w:color w:val="000000"/>
                <w:w w:val="31"/>
                <w:shd w:val="solid" w:color="000000" w:fill="000000"/>
                <w:fitText w:val="140" w:id="-761565936"/>
                <w14:textFill>
                  <w14:solidFill>
                    <w14:srgbClr w14:val="000000">
                      <w14:alpha w14:val="100000"/>
                    </w14:srgbClr>
                  </w14:solidFill>
                </w14:textFill>
              </w:rPr>
              <w:t xml:space="preserve">　</w:t>
            </w:r>
            <w:r w:rsidRPr="000D48FB">
              <w:rPr>
                <w:color w:val="000000"/>
                <w:w w:val="31"/>
                <w:shd w:val="solid" w:color="000000" w:fill="000000"/>
                <w:fitText w:val="140" w:id="-761565936"/>
                <w14:textFill>
                  <w14:solidFill>
                    <w14:srgbClr w14:val="000000">
                      <w14:alpha w14:val="100000"/>
                    </w14:srgbClr>
                  </w14:solidFill>
                </w14:textFill>
              </w:rPr>
              <w:t>|</w:t>
            </w:r>
            <w:r w:rsidRPr="000D48FB">
              <w:rPr>
                <w:rFonts w:hint="eastAsia"/>
                <w:color w:val="000000"/>
                <w:spacing w:val="4"/>
                <w:w w:val="31"/>
                <w:shd w:val="solid" w:color="000000" w:fill="000000"/>
                <w:fitText w:val="140" w:id="-761565936"/>
                <w14:textFill>
                  <w14:solidFill>
                    <w14:srgbClr w14:val="000000">
                      <w14:alpha w14:val="100000"/>
                    </w14:srgbClr>
                  </w14:solidFill>
                </w14:textFill>
              </w:rPr>
              <w:t xml:space="preserve">　</w:t>
            </w:r>
            <w:r w:rsidR="00717DA3" w:rsidRPr="00717DA3">
              <w:rPr>
                <w:vertAlign w:val="superscript"/>
              </w:rPr>
              <w:t>1</w:t>
            </w:r>
          </w:p>
        </w:tc>
        <w:tc>
          <w:tcPr>
            <w:tcW w:w="611" w:type="pct"/>
          </w:tcPr>
          <w:p w14:paraId="21167904" w14:textId="04A12FD9" w:rsidR="00385A9D" w:rsidRPr="00366C72" w:rsidRDefault="000D48FB" w:rsidP="00C60E83">
            <w:pPr>
              <w:pStyle w:val="TableText0"/>
              <w:jc w:val="center"/>
              <w:rPr>
                <w:highlight w:val="darkGray"/>
              </w:rPr>
            </w:pPr>
            <w:r w:rsidRPr="000D48FB">
              <w:rPr>
                <w:rFonts w:hint="eastAsia"/>
                <w:color w:val="000000"/>
                <w:w w:val="31"/>
                <w:shd w:val="solid" w:color="000000" w:fill="000000"/>
                <w:fitText w:val="140" w:id="-761565952"/>
                <w14:textFill>
                  <w14:solidFill>
                    <w14:srgbClr w14:val="000000">
                      <w14:alpha w14:val="100000"/>
                    </w14:srgbClr>
                  </w14:solidFill>
                </w14:textFill>
              </w:rPr>
              <w:t xml:space="preserve">　</w:t>
            </w:r>
            <w:r w:rsidRPr="000D48FB">
              <w:rPr>
                <w:color w:val="000000"/>
                <w:w w:val="31"/>
                <w:shd w:val="solid" w:color="000000" w:fill="000000"/>
                <w:fitText w:val="140" w:id="-761565952"/>
                <w14:textFill>
                  <w14:solidFill>
                    <w14:srgbClr w14:val="000000">
                      <w14:alpha w14:val="100000"/>
                    </w14:srgbClr>
                  </w14:solidFill>
                </w14:textFill>
              </w:rPr>
              <w:t>|</w:t>
            </w:r>
            <w:r w:rsidRPr="000D48FB">
              <w:rPr>
                <w:rFonts w:hint="eastAsia"/>
                <w:color w:val="000000"/>
                <w:spacing w:val="4"/>
                <w:w w:val="31"/>
                <w:shd w:val="solid" w:color="000000" w:fill="000000"/>
                <w:fitText w:val="140" w:id="-761565952"/>
                <w14:textFill>
                  <w14:solidFill>
                    <w14:srgbClr w14:val="000000">
                      <w14:alpha w14:val="100000"/>
                    </w14:srgbClr>
                  </w14:solidFill>
                </w14:textFill>
              </w:rPr>
              <w:t xml:space="preserve">　</w:t>
            </w:r>
            <w:r w:rsidR="00717DA3" w:rsidRPr="00717DA3">
              <w:rPr>
                <w:vertAlign w:val="superscript"/>
              </w:rPr>
              <w:t>1</w:t>
            </w:r>
          </w:p>
        </w:tc>
        <w:tc>
          <w:tcPr>
            <w:tcW w:w="611" w:type="pct"/>
          </w:tcPr>
          <w:p w14:paraId="762D4B71" w14:textId="22A6B20A" w:rsidR="00385A9D" w:rsidRPr="00366C72" w:rsidRDefault="000D48FB" w:rsidP="00C60E83">
            <w:pPr>
              <w:pStyle w:val="TableText0"/>
              <w:jc w:val="center"/>
              <w:rPr>
                <w:highlight w:val="darkGray"/>
              </w:rPr>
            </w:pPr>
            <w:r w:rsidRPr="000D48FB">
              <w:rPr>
                <w:rFonts w:hint="eastAsia"/>
                <w:color w:val="000000"/>
                <w:w w:val="31"/>
                <w:shd w:val="solid" w:color="000000" w:fill="000000"/>
                <w:fitText w:val="140" w:id="-761565951"/>
                <w14:textFill>
                  <w14:solidFill>
                    <w14:srgbClr w14:val="000000">
                      <w14:alpha w14:val="100000"/>
                    </w14:srgbClr>
                  </w14:solidFill>
                </w14:textFill>
              </w:rPr>
              <w:t xml:space="preserve">　</w:t>
            </w:r>
            <w:r w:rsidRPr="000D48FB">
              <w:rPr>
                <w:color w:val="000000"/>
                <w:w w:val="31"/>
                <w:shd w:val="solid" w:color="000000" w:fill="000000"/>
                <w:fitText w:val="140" w:id="-761565951"/>
                <w14:textFill>
                  <w14:solidFill>
                    <w14:srgbClr w14:val="000000">
                      <w14:alpha w14:val="100000"/>
                    </w14:srgbClr>
                  </w14:solidFill>
                </w14:textFill>
              </w:rPr>
              <w:t>|</w:t>
            </w:r>
            <w:r w:rsidRPr="000D48FB">
              <w:rPr>
                <w:rFonts w:hint="eastAsia"/>
                <w:color w:val="000000"/>
                <w:spacing w:val="4"/>
                <w:w w:val="31"/>
                <w:shd w:val="solid" w:color="000000" w:fill="000000"/>
                <w:fitText w:val="140" w:id="-761565951"/>
                <w14:textFill>
                  <w14:solidFill>
                    <w14:srgbClr w14:val="000000">
                      <w14:alpha w14:val="100000"/>
                    </w14:srgbClr>
                  </w14:solidFill>
                </w14:textFill>
              </w:rPr>
              <w:t xml:space="preserve">　</w:t>
            </w:r>
            <w:r w:rsidR="00717DA3" w:rsidRPr="00717DA3">
              <w:rPr>
                <w:vertAlign w:val="superscript"/>
              </w:rPr>
              <w:t>1</w:t>
            </w:r>
          </w:p>
        </w:tc>
        <w:tc>
          <w:tcPr>
            <w:tcW w:w="611" w:type="pct"/>
          </w:tcPr>
          <w:p w14:paraId="42B428B5" w14:textId="20B8759B" w:rsidR="00385A9D" w:rsidRPr="00366C72" w:rsidRDefault="000D48FB" w:rsidP="00C60E83">
            <w:pPr>
              <w:pStyle w:val="TableText0"/>
              <w:jc w:val="center"/>
              <w:rPr>
                <w:highlight w:val="darkGray"/>
              </w:rPr>
            </w:pPr>
            <w:r w:rsidRPr="000D48FB">
              <w:rPr>
                <w:rFonts w:hint="eastAsia"/>
                <w:color w:val="000000"/>
                <w:w w:val="31"/>
                <w:shd w:val="solid" w:color="000000" w:fill="000000"/>
                <w:fitText w:val="140" w:id="-761565950"/>
                <w14:textFill>
                  <w14:solidFill>
                    <w14:srgbClr w14:val="000000">
                      <w14:alpha w14:val="100000"/>
                    </w14:srgbClr>
                  </w14:solidFill>
                </w14:textFill>
              </w:rPr>
              <w:t xml:space="preserve">　</w:t>
            </w:r>
            <w:r w:rsidRPr="000D48FB">
              <w:rPr>
                <w:color w:val="000000"/>
                <w:w w:val="31"/>
                <w:shd w:val="solid" w:color="000000" w:fill="000000"/>
                <w:fitText w:val="140" w:id="-761565950"/>
                <w14:textFill>
                  <w14:solidFill>
                    <w14:srgbClr w14:val="000000">
                      <w14:alpha w14:val="100000"/>
                    </w14:srgbClr>
                  </w14:solidFill>
                </w14:textFill>
              </w:rPr>
              <w:t>|</w:t>
            </w:r>
            <w:r w:rsidRPr="000D48FB">
              <w:rPr>
                <w:rFonts w:hint="eastAsia"/>
                <w:color w:val="000000"/>
                <w:spacing w:val="4"/>
                <w:w w:val="31"/>
                <w:shd w:val="solid" w:color="000000" w:fill="000000"/>
                <w:fitText w:val="140" w:id="-761565950"/>
                <w14:textFill>
                  <w14:solidFill>
                    <w14:srgbClr w14:val="000000">
                      <w14:alpha w14:val="100000"/>
                    </w14:srgbClr>
                  </w14:solidFill>
                </w14:textFill>
              </w:rPr>
              <w:t xml:space="preserve">　</w:t>
            </w:r>
            <w:r w:rsidR="00717DA3" w:rsidRPr="00717DA3">
              <w:rPr>
                <w:vertAlign w:val="superscript"/>
              </w:rPr>
              <w:t>1</w:t>
            </w:r>
          </w:p>
        </w:tc>
      </w:tr>
      <w:tr w:rsidR="00385A9D" w:rsidRPr="00BF55FF" w14:paraId="1CEE4D09" w14:textId="77777777" w:rsidTr="00D71FC4">
        <w:tc>
          <w:tcPr>
            <w:tcW w:w="1334" w:type="pct"/>
          </w:tcPr>
          <w:p w14:paraId="229A1EDF" w14:textId="77777777" w:rsidR="00385A9D" w:rsidRPr="00BF55FF" w:rsidRDefault="00385A9D" w:rsidP="006B1B1D">
            <w:pPr>
              <w:pStyle w:val="TableText0"/>
              <w:rPr>
                <w:rFonts w:ascii="Times" w:hAnsi="Times"/>
              </w:rPr>
            </w:pPr>
            <w:r w:rsidRPr="00BF55FF">
              <w:t>Number of scripts dispensed</w:t>
            </w:r>
            <w:r w:rsidRPr="00BF55FF">
              <w:rPr>
                <w:vertAlign w:val="superscript"/>
              </w:rPr>
              <w:t>a</w:t>
            </w:r>
          </w:p>
        </w:tc>
        <w:tc>
          <w:tcPr>
            <w:tcW w:w="611" w:type="pct"/>
          </w:tcPr>
          <w:p w14:paraId="0D9F25C2" w14:textId="171C035F" w:rsidR="00385A9D" w:rsidRPr="00366C72" w:rsidRDefault="000D48FB" w:rsidP="00C60E83">
            <w:pPr>
              <w:pStyle w:val="TableText0"/>
              <w:jc w:val="center"/>
              <w:rPr>
                <w:highlight w:val="darkGray"/>
              </w:rPr>
            </w:pPr>
            <w:r w:rsidRPr="000D48FB">
              <w:rPr>
                <w:rFonts w:hint="eastAsia"/>
                <w:color w:val="000000"/>
                <w:w w:val="31"/>
                <w:shd w:val="solid" w:color="000000" w:fill="000000"/>
                <w:fitText w:val="140" w:id="-761565949"/>
                <w14:textFill>
                  <w14:solidFill>
                    <w14:srgbClr w14:val="000000">
                      <w14:alpha w14:val="100000"/>
                    </w14:srgbClr>
                  </w14:solidFill>
                </w14:textFill>
              </w:rPr>
              <w:t xml:space="preserve">　</w:t>
            </w:r>
            <w:r w:rsidRPr="000D48FB">
              <w:rPr>
                <w:color w:val="000000"/>
                <w:w w:val="31"/>
                <w:shd w:val="solid" w:color="000000" w:fill="000000"/>
                <w:fitText w:val="140" w:id="-761565949"/>
                <w14:textFill>
                  <w14:solidFill>
                    <w14:srgbClr w14:val="000000">
                      <w14:alpha w14:val="100000"/>
                    </w14:srgbClr>
                  </w14:solidFill>
                </w14:textFill>
              </w:rPr>
              <w:t>|</w:t>
            </w:r>
            <w:r w:rsidRPr="000D48FB">
              <w:rPr>
                <w:rFonts w:hint="eastAsia"/>
                <w:color w:val="000000"/>
                <w:spacing w:val="4"/>
                <w:w w:val="31"/>
                <w:shd w:val="solid" w:color="000000" w:fill="000000"/>
                <w:fitText w:val="140" w:id="-761565949"/>
                <w14:textFill>
                  <w14:solidFill>
                    <w14:srgbClr w14:val="000000">
                      <w14:alpha w14:val="100000"/>
                    </w14:srgbClr>
                  </w14:solidFill>
                </w14:textFill>
              </w:rPr>
              <w:t xml:space="preserve">　</w:t>
            </w:r>
            <w:r w:rsidR="00717DA3" w:rsidRPr="00717DA3">
              <w:rPr>
                <w:vertAlign w:val="superscript"/>
              </w:rPr>
              <w:t>1</w:t>
            </w:r>
          </w:p>
        </w:tc>
        <w:tc>
          <w:tcPr>
            <w:tcW w:w="611" w:type="pct"/>
          </w:tcPr>
          <w:p w14:paraId="2D7847AA" w14:textId="2FCB3F78" w:rsidR="00385A9D" w:rsidRPr="00366C72" w:rsidRDefault="000D48FB" w:rsidP="00C60E83">
            <w:pPr>
              <w:pStyle w:val="TableText0"/>
              <w:jc w:val="center"/>
              <w:rPr>
                <w:highlight w:val="darkGray"/>
              </w:rPr>
            </w:pPr>
            <w:r w:rsidRPr="000D48FB">
              <w:rPr>
                <w:rFonts w:hint="eastAsia"/>
                <w:color w:val="000000"/>
                <w:w w:val="31"/>
                <w:shd w:val="solid" w:color="000000" w:fill="000000"/>
                <w:fitText w:val="140" w:id="-761565948"/>
                <w14:textFill>
                  <w14:solidFill>
                    <w14:srgbClr w14:val="000000">
                      <w14:alpha w14:val="100000"/>
                    </w14:srgbClr>
                  </w14:solidFill>
                </w14:textFill>
              </w:rPr>
              <w:t xml:space="preserve">　</w:t>
            </w:r>
            <w:r w:rsidRPr="000D48FB">
              <w:rPr>
                <w:color w:val="000000"/>
                <w:w w:val="31"/>
                <w:shd w:val="solid" w:color="000000" w:fill="000000"/>
                <w:fitText w:val="140" w:id="-761565948"/>
                <w14:textFill>
                  <w14:solidFill>
                    <w14:srgbClr w14:val="000000">
                      <w14:alpha w14:val="100000"/>
                    </w14:srgbClr>
                  </w14:solidFill>
                </w14:textFill>
              </w:rPr>
              <w:t>|</w:t>
            </w:r>
            <w:r w:rsidRPr="000D48FB">
              <w:rPr>
                <w:rFonts w:hint="eastAsia"/>
                <w:color w:val="000000"/>
                <w:spacing w:val="4"/>
                <w:w w:val="31"/>
                <w:shd w:val="solid" w:color="000000" w:fill="000000"/>
                <w:fitText w:val="140" w:id="-761565948"/>
                <w14:textFill>
                  <w14:solidFill>
                    <w14:srgbClr w14:val="000000">
                      <w14:alpha w14:val="100000"/>
                    </w14:srgbClr>
                  </w14:solidFill>
                </w14:textFill>
              </w:rPr>
              <w:t xml:space="preserve">　</w:t>
            </w:r>
            <w:r w:rsidR="00717DA3" w:rsidRPr="00717DA3">
              <w:rPr>
                <w:vertAlign w:val="superscript"/>
              </w:rPr>
              <w:t>1</w:t>
            </w:r>
          </w:p>
        </w:tc>
        <w:tc>
          <w:tcPr>
            <w:tcW w:w="611" w:type="pct"/>
          </w:tcPr>
          <w:p w14:paraId="7A620378" w14:textId="4F8AA658" w:rsidR="00385A9D" w:rsidRPr="00366C72" w:rsidRDefault="000D48FB" w:rsidP="00C60E83">
            <w:pPr>
              <w:pStyle w:val="TableText0"/>
              <w:jc w:val="center"/>
              <w:rPr>
                <w:highlight w:val="darkGray"/>
              </w:rPr>
            </w:pPr>
            <w:r w:rsidRPr="000D48FB">
              <w:rPr>
                <w:rFonts w:hint="eastAsia"/>
                <w:color w:val="000000"/>
                <w:w w:val="31"/>
                <w:shd w:val="solid" w:color="000000" w:fill="000000"/>
                <w:fitText w:val="140" w:id="-761565947"/>
                <w14:textFill>
                  <w14:solidFill>
                    <w14:srgbClr w14:val="000000">
                      <w14:alpha w14:val="100000"/>
                    </w14:srgbClr>
                  </w14:solidFill>
                </w14:textFill>
              </w:rPr>
              <w:t xml:space="preserve">　</w:t>
            </w:r>
            <w:r w:rsidRPr="000D48FB">
              <w:rPr>
                <w:color w:val="000000"/>
                <w:w w:val="31"/>
                <w:shd w:val="solid" w:color="000000" w:fill="000000"/>
                <w:fitText w:val="140" w:id="-761565947"/>
                <w14:textFill>
                  <w14:solidFill>
                    <w14:srgbClr w14:val="000000">
                      <w14:alpha w14:val="100000"/>
                    </w14:srgbClr>
                  </w14:solidFill>
                </w14:textFill>
              </w:rPr>
              <w:t>|</w:t>
            </w:r>
            <w:r w:rsidRPr="000D48FB">
              <w:rPr>
                <w:rFonts w:hint="eastAsia"/>
                <w:color w:val="000000"/>
                <w:spacing w:val="4"/>
                <w:w w:val="31"/>
                <w:shd w:val="solid" w:color="000000" w:fill="000000"/>
                <w:fitText w:val="140" w:id="-761565947"/>
                <w14:textFill>
                  <w14:solidFill>
                    <w14:srgbClr w14:val="000000">
                      <w14:alpha w14:val="100000"/>
                    </w14:srgbClr>
                  </w14:solidFill>
                </w14:textFill>
              </w:rPr>
              <w:t xml:space="preserve">　</w:t>
            </w:r>
            <w:r w:rsidR="00717DA3" w:rsidRPr="00717DA3">
              <w:rPr>
                <w:vertAlign w:val="superscript"/>
              </w:rPr>
              <w:t>1</w:t>
            </w:r>
          </w:p>
        </w:tc>
        <w:tc>
          <w:tcPr>
            <w:tcW w:w="611" w:type="pct"/>
          </w:tcPr>
          <w:p w14:paraId="1D2C1413" w14:textId="1C62178F" w:rsidR="00385A9D" w:rsidRPr="00366C72" w:rsidRDefault="000D48FB" w:rsidP="00C60E83">
            <w:pPr>
              <w:pStyle w:val="TableText0"/>
              <w:jc w:val="center"/>
              <w:rPr>
                <w:highlight w:val="darkGray"/>
              </w:rPr>
            </w:pPr>
            <w:r w:rsidRPr="000D48FB">
              <w:rPr>
                <w:rFonts w:hint="eastAsia"/>
                <w:color w:val="000000"/>
                <w:w w:val="31"/>
                <w:shd w:val="solid" w:color="000000" w:fill="000000"/>
                <w:fitText w:val="140" w:id="-761565946"/>
                <w14:textFill>
                  <w14:solidFill>
                    <w14:srgbClr w14:val="000000">
                      <w14:alpha w14:val="100000"/>
                    </w14:srgbClr>
                  </w14:solidFill>
                </w14:textFill>
              </w:rPr>
              <w:t xml:space="preserve">　</w:t>
            </w:r>
            <w:r w:rsidRPr="000D48FB">
              <w:rPr>
                <w:color w:val="000000"/>
                <w:w w:val="31"/>
                <w:shd w:val="solid" w:color="000000" w:fill="000000"/>
                <w:fitText w:val="140" w:id="-761565946"/>
                <w14:textFill>
                  <w14:solidFill>
                    <w14:srgbClr w14:val="000000">
                      <w14:alpha w14:val="100000"/>
                    </w14:srgbClr>
                  </w14:solidFill>
                </w14:textFill>
              </w:rPr>
              <w:t>|</w:t>
            </w:r>
            <w:r w:rsidRPr="000D48FB">
              <w:rPr>
                <w:rFonts w:hint="eastAsia"/>
                <w:color w:val="000000"/>
                <w:spacing w:val="4"/>
                <w:w w:val="31"/>
                <w:shd w:val="solid" w:color="000000" w:fill="000000"/>
                <w:fitText w:val="140" w:id="-761565946"/>
                <w14:textFill>
                  <w14:solidFill>
                    <w14:srgbClr w14:val="000000">
                      <w14:alpha w14:val="100000"/>
                    </w14:srgbClr>
                  </w14:solidFill>
                </w14:textFill>
              </w:rPr>
              <w:t xml:space="preserve">　</w:t>
            </w:r>
            <w:r w:rsidR="00717DA3" w:rsidRPr="00717DA3">
              <w:rPr>
                <w:vertAlign w:val="superscript"/>
              </w:rPr>
              <w:t>1</w:t>
            </w:r>
          </w:p>
        </w:tc>
        <w:tc>
          <w:tcPr>
            <w:tcW w:w="611" w:type="pct"/>
          </w:tcPr>
          <w:p w14:paraId="3F0ACB95" w14:textId="1B5B0DCD" w:rsidR="00385A9D" w:rsidRPr="00366C72" w:rsidRDefault="000D48FB" w:rsidP="00C60E83">
            <w:pPr>
              <w:pStyle w:val="TableText0"/>
              <w:jc w:val="center"/>
              <w:rPr>
                <w:highlight w:val="darkGray"/>
              </w:rPr>
            </w:pPr>
            <w:r w:rsidRPr="000D48FB">
              <w:rPr>
                <w:rFonts w:hint="eastAsia"/>
                <w:color w:val="000000"/>
                <w:w w:val="31"/>
                <w:shd w:val="solid" w:color="000000" w:fill="000000"/>
                <w:fitText w:val="140" w:id="-761565945"/>
                <w14:textFill>
                  <w14:solidFill>
                    <w14:srgbClr w14:val="000000">
                      <w14:alpha w14:val="100000"/>
                    </w14:srgbClr>
                  </w14:solidFill>
                </w14:textFill>
              </w:rPr>
              <w:t xml:space="preserve">　</w:t>
            </w:r>
            <w:r w:rsidRPr="000D48FB">
              <w:rPr>
                <w:color w:val="000000"/>
                <w:w w:val="31"/>
                <w:shd w:val="solid" w:color="000000" w:fill="000000"/>
                <w:fitText w:val="140" w:id="-761565945"/>
                <w14:textFill>
                  <w14:solidFill>
                    <w14:srgbClr w14:val="000000">
                      <w14:alpha w14:val="100000"/>
                    </w14:srgbClr>
                  </w14:solidFill>
                </w14:textFill>
              </w:rPr>
              <w:t>|</w:t>
            </w:r>
            <w:r w:rsidRPr="000D48FB">
              <w:rPr>
                <w:rFonts w:hint="eastAsia"/>
                <w:color w:val="000000"/>
                <w:spacing w:val="4"/>
                <w:w w:val="31"/>
                <w:shd w:val="solid" w:color="000000" w:fill="000000"/>
                <w:fitText w:val="140" w:id="-761565945"/>
                <w14:textFill>
                  <w14:solidFill>
                    <w14:srgbClr w14:val="000000">
                      <w14:alpha w14:val="100000"/>
                    </w14:srgbClr>
                  </w14:solidFill>
                </w14:textFill>
              </w:rPr>
              <w:t xml:space="preserve">　</w:t>
            </w:r>
            <w:r w:rsidR="00717DA3" w:rsidRPr="00717DA3">
              <w:rPr>
                <w:vertAlign w:val="superscript"/>
              </w:rPr>
              <w:t>1</w:t>
            </w:r>
          </w:p>
        </w:tc>
        <w:tc>
          <w:tcPr>
            <w:tcW w:w="611" w:type="pct"/>
          </w:tcPr>
          <w:p w14:paraId="1C30F331" w14:textId="1E132EA7" w:rsidR="00385A9D" w:rsidRPr="00366C72" w:rsidRDefault="000D48FB" w:rsidP="00C60E83">
            <w:pPr>
              <w:pStyle w:val="TableText0"/>
              <w:jc w:val="center"/>
              <w:rPr>
                <w:highlight w:val="darkGray"/>
              </w:rPr>
            </w:pPr>
            <w:r w:rsidRPr="000D48FB">
              <w:rPr>
                <w:rFonts w:hint="eastAsia"/>
                <w:color w:val="000000"/>
                <w:w w:val="31"/>
                <w:shd w:val="solid" w:color="000000" w:fill="000000"/>
                <w:fitText w:val="140" w:id="-761565944"/>
                <w14:textFill>
                  <w14:solidFill>
                    <w14:srgbClr w14:val="000000">
                      <w14:alpha w14:val="100000"/>
                    </w14:srgbClr>
                  </w14:solidFill>
                </w14:textFill>
              </w:rPr>
              <w:t xml:space="preserve">　</w:t>
            </w:r>
            <w:r w:rsidRPr="000D48FB">
              <w:rPr>
                <w:color w:val="000000"/>
                <w:w w:val="31"/>
                <w:shd w:val="solid" w:color="000000" w:fill="000000"/>
                <w:fitText w:val="140" w:id="-761565944"/>
                <w14:textFill>
                  <w14:solidFill>
                    <w14:srgbClr w14:val="000000">
                      <w14:alpha w14:val="100000"/>
                    </w14:srgbClr>
                  </w14:solidFill>
                </w14:textFill>
              </w:rPr>
              <w:t>|</w:t>
            </w:r>
            <w:r w:rsidRPr="000D48FB">
              <w:rPr>
                <w:rFonts w:hint="eastAsia"/>
                <w:color w:val="000000"/>
                <w:spacing w:val="4"/>
                <w:w w:val="31"/>
                <w:shd w:val="solid" w:color="000000" w:fill="000000"/>
                <w:fitText w:val="140" w:id="-761565944"/>
                <w14:textFill>
                  <w14:solidFill>
                    <w14:srgbClr w14:val="000000">
                      <w14:alpha w14:val="100000"/>
                    </w14:srgbClr>
                  </w14:solidFill>
                </w14:textFill>
              </w:rPr>
              <w:t xml:space="preserve">　</w:t>
            </w:r>
            <w:r w:rsidR="00717DA3" w:rsidRPr="00717DA3">
              <w:rPr>
                <w:vertAlign w:val="superscript"/>
              </w:rPr>
              <w:t>1</w:t>
            </w:r>
          </w:p>
        </w:tc>
      </w:tr>
      <w:tr w:rsidR="00385A9D" w:rsidRPr="00BF55FF" w14:paraId="1E699D47" w14:textId="77777777" w:rsidTr="00D71FC4">
        <w:tc>
          <w:tcPr>
            <w:tcW w:w="5000" w:type="pct"/>
            <w:gridSpan w:val="7"/>
          </w:tcPr>
          <w:p w14:paraId="7D0E0884" w14:textId="20EBBEB3" w:rsidR="00385A9D" w:rsidRPr="00BF55FF" w:rsidRDefault="00385A9D" w:rsidP="00606FBA">
            <w:pPr>
              <w:pStyle w:val="In-tableHeading"/>
              <w:rPr>
                <w:lang w:val="en-AU"/>
              </w:rPr>
            </w:pPr>
            <w:r w:rsidRPr="00BF55FF">
              <w:rPr>
                <w:lang w:val="en-AU"/>
              </w:rPr>
              <w:t xml:space="preserve">Estimated financial implications of </w:t>
            </w:r>
            <w:r w:rsidR="00D71FC4" w:rsidRPr="00BF55FF">
              <w:rPr>
                <w:lang w:val="en-AU"/>
              </w:rPr>
              <w:t>lanadelumab</w:t>
            </w:r>
          </w:p>
        </w:tc>
      </w:tr>
      <w:tr w:rsidR="00D71FC4" w:rsidRPr="00BF55FF" w14:paraId="4B4ACF1A" w14:textId="77777777" w:rsidTr="00D71FC4">
        <w:tc>
          <w:tcPr>
            <w:tcW w:w="1334" w:type="pct"/>
          </w:tcPr>
          <w:p w14:paraId="467993BD" w14:textId="3378F2A3" w:rsidR="00D71FC4" w:rsidRPr="00266DD8" w:rsidRDefault="00D71FC4" w:rsidP="006B1B1D">
            <w:pPr>
              <w:pStyle w:val="TableText0"/>
            </w:pPr>
            <w:r w:rsidRPr="00BF55FF">
              <w:t>Cost to PBS/RPBS less copayments</w:t>
            </w:r>
            <w:r w:rsidR="00160815" w:rsidRPr="00BF55FF">
              <w:rPr>
                <w:vertAlign w:val="superscript"/>
              </w:rPr>
              <w:t>b</w:t>
            </w:r>
            <w:r w:rsidR="00266DD8">
              <w:t xml:space="preserve"> ($)</w:t>
            </w:r>
          </w:p>
        </w:tc>
        <w:tc>
          <w:tcPr>
            <w:tcW w:w="611" w:type="pct"/>
          </w:tcPr>
          <w:p w14:paraId="4125A2B6" w14:textId="3A236196" w:rsidR="00D71FC4" w:rsidRPr="00366C72" w:rsidRDefault="000D48FB" w:rsidP="00D71FC4">
            <w:pPr>
              <w:pStyle w:val="PBACTabletext"/>
              <w:rPr>
                <w:highlight w:val="darkGray"/>
              </w:rPr>
            </w:pPr>
            <w:r w:rsidRPr="000D48FB">
              <w:rPr>
                <w:color w:val="000000"/>
                <w:spacing w:val="53"/>
                <w:shd w:val="solid" w:color="000000" w:fill="000000"/>
                <w:fitText w:val="330" w:id="-761565943"/>
                <w14:textFill>
                  <w14:solidFill>
                    <w14:srgbClr w14:val="000000">
                      <w14:alpha w14:val="100000"/>
                    </w14:srgbClr>
                  </w14:solidFill>
                </w14:textFill>
              </w:rPr>
              <w:t>|||</w:t>
            </w:r>
            <w:r w:rsidRPr="000D48FB">
              <w:rPr>
                <w:color w:val="000000"/>
                <w:spacing w:val="1"/>
                <w:shd w:val="solid" w:color="000000" w:fill="000000"/>
                <w:fitText w:val="330" w:id="-761565943"/>
                <w14:textFill>
                  <w14:solidFill>
                    <w14:srgbClr w14:val="000000">
                      <w14:alpha w14:val="100000"/>
                    </w14:srgbClr>
                  </w14:solidFill>
                </w14:textFill>
              </w:rPr>
              <w:t>|</w:t>
            </w:r>
            <w:r w:rsidR="00717DA3" w:rsidRPr="00717DA3">
              <w:rPr>
                <w:vertAlign w:val="superscript"/>
              </w:rPr>
              <w:t>2</w:t>
            </w:r>
          </w:p>
        </w:tc>
        <w:tc>
          <w:tcPr>
            <w:tcW w:w="611" w:type="pct"/>
          </w:tcPr>
          <w:p w14:paraId="5BDFECEB" w14:textId="53FBA41E" w:rsidR="00D71FC4" w:rsidRPr="00366C72" w:rsidRDefault="000D48FB" w:rsidP="00D71FC4">
            <w:pPr>
              <w:pStyle w:val="PBACTabletext"/>
              <w:rPr>
                <w:highlight w:val="darkGray"/>
              </w:rPr>
            </w:pPr>
            <w:r w:rsidRPr="000D48FB">
              <w:rPr>
                <w:color w:val="000000"/>
                <w:spacing w:val="53"/>
                <w:shd w:val="solid" w:color="000000" w:fill="000000"/>
                <w:fitText w:val="330" w:id="-761565942"/>
                <w14:textFill>
                  <w14:solidFill>
                    <w14:srgbClr w14:val="000000">
                      <w14:alpha w14:val="100000"/>
                    </w14:srgbClr>
                  </w14:solidFill>
                </w14:textFill>
              </w:rPr>
              <w:t>|||</w:t>
            </w:r>
            <w:r w:rsidRPr="000D48FB">
              <w:rPr>
                <w:color w:val="000000"/>
                <w:spacing w:val="1"/>
                <w:shd w:val="solid" w:color="000000" w:fill="000000"/>
                <w:fitText w:val="330" w:id="-761565942"/>
                <w14:textFill>
                  <w14:solidFill>
                    <w14:srgbClr w14:val="000000">
                      <w14:alpha w14:val="100000"/>
                    </w14:srgbClr>
                  </w14:solidFill>
                </w14:textFill>
              </w:rPr>
              <w:t>|</w:t>
            </w:r>
            <w:r w:rsidR="00717DA3" w:rsidRPr="00717DA3">
              <w:rPr>
                <w:vertAlign w:val="superscript"/>
              </w:rPr>
              <w:t>2</w:t>
            </w:r>
          </w:p>
        </w:tc>
        <w:tc>
          <w:tcPr>
            <w:tcW w:w="611" w:type="pct"/>
          </w:tcPr>
          <w:p w14:paraId="3890D42E" w14:textId="67138B73" w:rsidR="00D71FC4" w:rsidRPr="00366C72" w:rsidRDefault="000D48FB" w:rsidP="00D71FC4">
            <w:pPr>
              <w:pStyle w:val="PBACTabletext"/>
              <w:rPr>
                <w:highlight w:val="darkGray"/>
              </w:rPr>
            </w:pPr>
            <w:r w:rsidRPr="000D48FB">
              <w:rPr>
                <w:color w:val="000000"/>
                <w:spacing w:val="53"/>
                <w:shd w:val="solid" w:color="000000" w:fill="000000"/>
                <w:fitText w:val="330" w:id="-761565941"/>
                <w14:textFill>
                  <w14:solidFill>
                    <w14:srgbClr w14:val="000000">
                      <w14:alpha w14:val="100000"/>
                    </w14:srgbClr>
                  </w14:solidFill>
                </w14:textFill>
              </w:rPr>
              <w:t>|||</w:t>
            </w:r>
            <w:r w:rsidRPr="000D48FB">
              <w:rPr>
                <w:color w:val="000000"/>
                <w:spacing w:val="1"/>
                <w:shd w:val="solid" w:color="000000" w:fill="000000"/>
                <w:fitText w:val="330" w:id="-761565941"/>
                <w14:textFill>
                  <w14:solidFill>
                    <w14:srgbClr w14:val="000000">
                      <w14:alpha w14:val="100000"/>
                    </w14:srgbClr>
                  </w14:solidFill>
                </w14:textFill>
              </w:rPr>
              <w:t>|</w:t>
            </w:r>
            <w:r w:rsidR="00717DA3" w:rsidRPr="00717DA3">
              <w:rPr>
                <w:vertAlign w:val="superscript"/>
              </w:rPr>
              <w:t>2</w:t>
            </w:r>
          </w:p>
        </w:tc>
        <w:tc>
          <w:tcPr>
            <w:tcW w:w="611" w:type="pct"/>
          </w:tcPr>
          <w:p w14:paraId="2728B643" w14:textId="238AB498" w:rsidR="00D71FC4" w:rsidRPr="00366C72" w:rsidRDefault="000D48FB" w:rsidP="00D71FC4">
            <w:pPr>
              <w:pStyle w:val="PBACTabletext"/>
              <w:rPr>
                <w:highlight w:val="darkGray"/>
              </w:rPr>
            </w:pPr>
            <w:r w:rsidRPr="000D48FB">
              <w:rPr>
                <w:color w:val="000000"/>
                <w:spacing w:val="53"/>
                <w:shd w:val="solid" w:color="000000" w:fill="000000"/>
                <w:fitText w:val="330" w:id="-761565940"/>
                <w14:textFill>
                  <w14:solidFill>
                    <w14:srgbClr w14:val="000000">
                      <w14:alpha w14:val="100000"/>
                    </w14:srgbClr>
                  </w14:solidFill>
                </w14:textFill>
              </w:rPr>
              <w:t>|||</w:t>
            </w:r>
            <w:r w:rsidRPr="000D48FB">
              <w:rPr>
                <w:color w:val="000000"/>
                <w:spacing w:val="1"/>
                <w:shd w:val="solid" w:color="000000" w:fill="000000"/>
                <w:fitText w:val="330" w:id="-761565940"/>
                <w14:textFill>
                  <w14:solidFill>
                    <w14:srgbClr w14:val="000000">
                      <w14:alpha w14:val="100000"/>
                    </w14:srgbClr>
                  </w14:solidFill>
                </w14:textFill>
              </w:rPr>
              <w:t>|</w:t>
            </w:r>
            <w:r w:rsidR="00717DA3" w:rsidRPr="00717DA3">
              <w:rPr>
                <w:vertAlign w:val="superscript"/>
              </w:rPr>
              <w:t>2</w:t>
            </w:r>
          </w:p>
        </w:tc>
        <w:tc>
          <w:tcPr>
            <w:tcW w:w="611" w:type="pct"/>
          </w:tcPr>
          <w:p w14:paraId="5FE5021A" w14:textId="47B22565" w:rsidR="00D71FC4" w:rsidRPr="00366C72" w:rsidRDefault="000D48FB" w:rsidP="00D71FC4">
            <w:pPr>
              <w:pStyle w:val="PBACTabletext"/>
              <w:rPr>
                <w:highlight w:val="darkGray"/>
              </w:rPr>
            </w:pPr>
            <w:r w:rsidRPr="000D48FB">
              <w:rPr>
                <w:color w:val="000000"/>
                <w:spacing w:val="53"/>
                <w:shd w:val="solid" w:color="000000" w:fill="000000"/>
                <w:fitText w:val="330" w:id="-761565939"/>
                <w14:textFill>
                  <w14:solidFill>
                    <w14:srgbClr w14:val="000000">
                      <w14:alpha w14:val="100000"/>
                    </w14:srgbClr>
                  </w14:solidFill>
                </w14:textFill>
              </w:rPr>
              <w:t>|||</w:t>
            </w:r>
            <w:r w:rsidRPr="000D48FB">
              <w:rPr>
                <w:color w:val="000000"/>
                <w:spacing w:val="1"/>
                <w:shd w:val="solid" w:color="000000" w:fill="000000"/>
                <w:fitText w:val="330" w:id="-761565939"/>
                <w14:textFill>
                  <w14:solidFill>
                    <w14:srgbClr w14:val="000000">
                      <w14:alpha w14:val="100000"/>
                    </w14:srgbClr>
                  </w14:solidFill>
                </w14:textFill>
              </w:rPr>
              <w:t>|</w:t>
            </w:r>
            <w:r w:rsidR="00717DA3" w:rsidRPr="00717DA3">
              <w:rPr>
                <w:vertAlign w:val="superscript"/>
              </w:rPr>
              <w:t>2</w:t>
            </w:r>
          </w:p>
        </w:tc>
        <w:tc>
          <w:tcPr>
            <w:tcW w:w="611" w:type="pct"/>
          </w:tcPr>
          <w:p w14:paraId="6F8E9082" w14:textId="70ECBF57" w:rsidR="00D71FC4" w:rsidRPr="00366C72" w:rsidRDefault="000D48FB" w:rsidP="00D71FC4">
            <w:pPr>
              <w:pStyle w:val="PBACTabletext"/>
              <w:rPr>
                <w:highlight w:val="darkGray"/>
              </w:rPr>
            </w:pPr>
            <w:r w:rsidRPr="0067773F">
              <w:rPr>
                <w:color w:val="000000"/>
                <w:spacing w:val="53"/>
                <w:shd w:val="solid" w:color="000000" w:fill="000000"/>
                <w:fitText w:val="330" w:id="-761565938"/>
                <w14:textFill>
                  <w14:solidFill>
                    <w14:srgbClr w14:val="000000">
                      <w14:alpha w14:val="100000"/>
                    </w14:srgbClr>
                  </w14:solidFill>
                </w14:textFill>
              </w:rPr>
              <w:t>|||</w:t>
            </w:r>
            <w:r w:rsidRPr="0067773F">
              <w:rPr>
                <w:color w:val="000000"/>
                <w:spacing w:val="1"/>
                <w:shd w:val="solid" w:color="000000" w:fill="000000"/>
                <w:fitText w:val="330" w:id="-761565938"/>
                <w14:textFill>
                  <w14:solidFill>
                    <w14:srgbClr w14:val="000000">
                      <w14:alpha w14:val="100000"/>
                    </w14:srgbClr>
                  </w14:solidFill>
                </w14:textFill>
              </w:rPr>
              <w:t>|</w:t>
            </w:r>
            <w:r w:rsidR="00717DA3" w:rsidRPr="00717DA3">
              <w:rPr>
                <w:vertAlign w:val="superscript"/>
              </w:rPr>
              <w:t>2</w:t>
            </w:r>
          </w:p>
        </w:tc>
      </w:tr>
    </w:tbl>
    <w:p w14:paraId="484CF5B6" w14:textId="04F318F1" w:rsidR="00620C25" w:rsidRPr="00BF55FF" w:rsidRDefault="00620C25" w:rsidP="00620C25">
      <w:pPr>
        <w:pStyle w:val="FooterTableFigure"/>
        <w:rPr>
          <w:rStyle w:val="CommentReference"/>
        </w:rPr>
      </w:pPr>
      <w:r w:rsidRPr="00BF55FF">
        <w:t>Source: Table</w:t>
      </w:r>
      <w:r w:rsidR="003A5182" w:rsidRPr="00BF55FF">
        <w:t xml:space="preserve"> 44</w:t>
      </w:r>
      <w:r w:rsidRPr="00BF55FF">
        <w:t>, p</w:t>
      </w:r>
      <w:r w:rsidR="003A5182" w:rsidRPr="00BF55FF">
        <w:t>62</w:t>
      </w:r>
      <w:r w:rsidRPr="00BF55FF">
        <w:t xml:space="preserve"> of the submission.</w:t>
      </w:r>
    </w:p>
    <w:p w14:paraId="65E99FBE" w14:textId="78E1CE3B" w:rsidR="00E466F3" w:rsidRPr="00BF55FF" w:rsidRDefault="00E466F3" w:rsidP="00606FBA">
      <w:pPr>
        <w:pStyle w:val="FooterTableFigure"/>
      </w:pPr>
      <w:r w:rsidRPr="00BF55FF">
        <w:rPr>
          <w:vertAlign w:val="superscript"/>
        </w:rPr>
        <w:t>a</w:t>
      </w:r>
      <w:r w:rsidR="00606FBA" w:rsidRPr="00BF55FF">
        <w:t xml:space="preserve"> </w:t>
      </w:r>
      <w:r w:rsidRPr="00BF55FF">
        <w:t xml:space="preserve">Assuming </w:t>
      </w:r>
      <w:r w:rsidR="00D71FC4" w:rsidRPr="00BF55FF">
        <w:t>20.15</w:t>
      </w:r>
      <w:r w:rsidRPr="00BF55FF">
        <w:t xml:space="preserve"> </w:t>
      </w:r>
      <w:r w:rsidR="00D71FC4" w:rsidRPr="00BF55FF">
        <w:t xml:space="preserve">injections </w:t>
      </w:r>
      <w:r w:rsidRPr="00BF55FF">
        <w:t>per year as estimated by the submission.</w:t>
      </w:r>
    </w:p>
    <w:p w14:paraId="693B95A4" w14:textId="77777777" w:rsidR="00D973A2" w:rsidRDefault="00160815" w:rsidP="00D973A2">
      <w:pPr>
        <w:pStyle w:val="FooterTableFigure"/>
      </w:pPr>
      <w:r w:rsidRPr="00BF55FF">
        <w:rPr>
          <w:vertAlign w:val="superscript"/>
        </w:rPr>
        <w:t>b</w:t>
      </w:r>
      <w:r w:rsidRPr="00BF55FF">
        <w:t xml:space="preserve"> Recalculated by the evaluation using the lanadelumab effective price</w:t>
      </w:r>
      <w:bookmarkStart w:id="64" w:name="_Toc22897648"/>
    </w:p>
    <w:p w14:paraId="2F89E1F0" w14:textId="20C4B540" w:rsidR="00D973A2" w:rsidRPr="003653A4" w:rsidRDefault="00D973A2" w:rsidP="00D973A2">
      <w:pPr>
        <w:pStyle w:val="FooterTableFigure"/>
      </w:pPr>
      <w:r w:rsidRPr="003653A4">
        <w:t>The redacted values correspond to the following ranges:</w:t>
      </w:r>
    </w:p>
    <w:p w14:paraId="57AD7AB2" w14:textId="77777777" w:rsidR="00D973A2" w:rsidRPr="003653A4" w:rsidRDefault="00D973A2" w:rsidP="00D973A2">
      <w:pPr>
        <w:pStyle w:val="FooterTableFigure"/>
      </w:pPr>
      <w:r w:rsidRPr="003653A4">
        <w:t>1 &lt; 500</w:t>
      </w:r>
    </w:p>
    <w:p w14:paraId="46368394" w14:textId="29718826" w:rsidR="00D973A2" w:rsidRPr="003653A4" w:rsidRDefault="008E48C9" w:rsidP="00D973A2">
      <w:pPr>
        <w:pStyle w:val="FooterTableFigure"/>
      </w:pPr>
      <w:r w:rsidRPr="003653A4">
        <w:rPr>
          <w:bCs/>
        </w:rPr>
        <w:t>2</w:t>
      </w:r>
      <w:r w:rsidR="00D973A2" w:rsidRPr="003653A4">
        <w:rPr>
          <w:bCs/>
        </w:rPr>
        <w:t xml:space="preserve"> $0 to &lt; $10 million</w:t>
      </w:r>
    </w:p>
    <w:p w14:paraId="4DEC88D5" w14:textId="3462A56D" w:rsidR="00CF625D" w:rsidRDefault="00CF625D" w:rsidP="00CF625D">
      <w:pPr>
        <w:pStyle w:val="FooterTableFigure"/>
      </w:pPr>
    </w:p>
    <w:p w14:paraId="39E27002" w14:textId="77777777" w:rsidR="00CF625D" w:rsidRPr="00BF55FF" w:rsidRDefault="00CF625D" w:rsidP="00CF625D">
      <w:pPr>
        <w:pStyle w:val="4-SubsectionHeading"/>
        <w:rPr>
          <w:i w:val="0"/>
        </w:rPr>
      </w:pPr>
      <w:r w:rsidRPr="00BF55FF">
        <w:rPr>
          <w:i w:val="0"/>
        </w:rPr>
        <w:lastRenderedPageBreak/>
        <w:t>Financial Management – Risk Sharing Arrangements</w:t>
      </w:r>
    </w:p>
    <w:p w14:paraId="3EEFD79D" w14:textId="58CA9BD3" w:rsidR="00CF625D" w:rsidRPr="00BF55FF" w:rsidRDefault="00CF625D" w:rsidP="00CF625D">
      <w:pPr>
        <w:pStyle w:val="3-BodyText"/>
      </w:pPr>
      <w:bookmarkStart w:id="65" w:name="_Ref175229737"/>
      <w:r w:rsidRPr="00BF55FF">
        <w:t xml:space="preserve">The submission proposed that the use of lanadelumab in the new paediatric population will be incorporated into the existing </w:t>
      </w:r>
      <w:r w:rsidR="00DA64B0" w:rsidRPr="00BF55FF">
        <w:t>RSA</w:t>
      </w:r>
      <w:r w:rsidRPr="00BF55FF">
        <w:t xml:space="preserve"> and</w:t>
      </w:r>
      <w:r w:rsidR="00DA64B0" w:rsidRPr="00BF55FF">
        <w:t xml:space="preserve"> subsidisation</w:t>
      </w:r>
      <w:r w:rsidRPr="00BF55FF">
        <w:t xml:space="preserve"> </w:t>
      </w:r>
      <w:r w:rsidR="00BE7042" w:rsidRPr="00BF55FF">
        <w:t>cap and</w:t>
      </w:r>
      <w:r w:rsidRPr="00BF55FF">
        <w:t xml:space="preserve"> should therefore result in no additional cost to the Commonwealth.</w:t>
      </w:r>
      <w:bookmarkEnd w:id="65"/>
    </w:p>
    <w:bookmarkEnd w:id="64"/>
    <w:p w14:paraId="4A849F7B" w14:textId="55C04D99" w:rsidR="00BF55FF" w:rsidRPr="00BF55FF" w:rsidRDefault="00BF55FF" w:rsidP="00BF55FF">
      <w:pPr>
        <w:pStyle w:val="3-BodyText"/>
        <w:numPr>
          <w:ilvl w:val="0"/>
          <w:numId w:val="0"/>
        </w:numPr>
        <w:ind w:firstLine="720"/>
        <w:rPr>
          <w:i/>
          <w:iCs/>
        </w:rPr>
      </w:pPr>
      <w:r w:rsidRPr="00BF55FF">
        <w:rPr>
          <w:i/>
          <w:iCs/>
        </w:rPr>
        <w:t>For more detail on PBAC’s view, see section 7 PBAC outcome.</w:t>
      </w:r>
    </w:p>
    <w:p w14:paraId="35455AD0" w14:textId="1A8F8BC9" w:rsidR="0019727B" w:rsidRPr="00D22BC6" w:rsidRDefault="00F0447B" w:rsidP="00D22BC6">
      <w:pPr>
        <w:pStyle w:val="2-SectionHeading"/>
        <w:ind w:left="720" w:hanging="720"/>
      </w:pPr>
      <w:bookmarkStart w:id="66" w:name="_Hlk76381249"/>
      <w:bookmarkStart w:id="67" w:name="_Hlk76377955"/>
      <w:bookmarkStart w:id="68" w:name="_Toc177389679"/>
      <w:r w:rsidRPr="00D22BC6">
        <w:t>PBAC Outcome</w:t>
      </w:r>
    </w:p>
    <w:p w14:paraId="342D7BBB" w14:textId="0329855D" w:rsidR="00D1172F" w:rsidRPr="000F53CD" w:rsidRDefault="00F0447B" w:rsidP="00EB5DB3">
      <w:pPr>
        <w:pStyle w:val="3-BodyText"/>
        <w:rPr>
          <w:lang w:val="en-GB"/>
        </w:rPr>
      </w:pPr>
      <w:r w:rsidRPr="00B66382">
        <w:rPr>
          <w:rFonts w:cs="Arial"/>
          <w:snapToGrid w:val="0"/>
          <w:lang w:val="en-GB"/>
        </w:rPr>
        <w:t xml:space="preserve">The PBAC recommended the listing of </w:t>
      </w:r>
      <w:r w:rsidR="00E4113D" w:rsidRPr="00B66382">
        <w:rPr>
          <w:rFonts w:cs="Arial"/>
          <w:snapToGrid w:val="0"/>
          <w:lang w:val="en-GB"/>
        </w:rPr>
        <w:t>lanadelumab</w:t>
      </w:r>
      <w:r w:rsidR="00D32CA1" w:rsidRPr="00B66382">
        <w:rPr>
          <w:rFonts w:cs="Arial"/>
          <w:snapToGrid w:val="0"/>
          <w:lang w:val="en-GB"/>
        </w:rPr>
        <w:t xml:space="preserve"> for the</w:t>
      </w:r>
      <w:r w:rsidR="00B66382" w:rsidRPr="00B66382">
        <w:rPr>
          <w:rFonts w:cs="Arial"/>
          <w:snapToGrid w:val="0"/>
          <w:lang w:val="en-GB"/>
        </w:rPr>
        <w:t xml:space="preserve"> preventative treatment</w:t>
      </w:r>
      <w:r w:rsidR="00227075" w:rsidRPr="00B66382">
        <w:rPr>
          <w:rFonts w:cs="Arial"/>
          <w:snapToGrid w:val="0"/>
        </w:rPr>
        <w:t xml:space="preserve"> of hereditary angioedema (HAE)</w:t>
      </w:r>
      <w:r w:rsidR="00B66382" w:rsidRPr="00B66382">
        <w:rPr>
          <w:rFonts w:cs="Arial"/>
          <w:snapToGrid w:val="0"/>
        </w:rPr>
        <w:t xml:space="preserve"> </w:t>
      </w:r>
      <w:r w:rsidR="00B66382" w:rsidRPr="00B66382">
        <w:t xml:space="preserve">Types 1 or 2 in patients aged </w:t>
      </w:r>
      <w:r w:rsidR="00424500">
        <w:t>less than 12</w:t>
      </w:r>
      <w:r w:rsidR="00B66382" w:rsidRPr="00B66382">
        <w:t xml:space="preserve"> </w:t>
      </w:r>
      <w:r w:rsidR="00B66382" w:rsidRPr="001521C0">
        <w:t>years</w:t>
      </w:r>
      <w:r w:rsidR="00227075" w:rsidRPr="001521C0">
        <w:rPr>
          <w:rFonts w:cs="Arial"/>
          <w:snapToGrid w:val="0"/>
        </w:rPr>
        <w:t>.</w:t>
      </w:r>
      <w:r w:rsidR="00D32CA1" w:rsidRPr="000F53CD">
        <w:rPr>
          <w:rFonts w:cs="Arial"/>
          <w:snapToGrid w:val="0"/>
        </w:rPr>
        <w:t xml:space="preserve"> </w:t>
      </w:r>
      <w:r w:rsidRPr="000F53CD">
        <w:rPr>
          <w:rFonts w:cs="Arial"/>
          <w:snapToGrid w:val="0"/>
          <w:lang w:val="en-GB"/>
        </w:rPr>
        <w:t xml:space="preserve">The PBAC </w:t>
      </w:r>
      <w:r w:rsidR="00F019F9">
        <w:rPr>
          <w:rFonts w:cs="Arial"/>
          <w:snapToGrid w:val="0"/>
          <w:lang w:val="en-GB"/>
        </w:rPr>
        <w:t>wa</w:t>
      </w:r>
      <w:r w:rsidRPr="000F53CD">
        <w:rPr>
          <w:rFonts w:cs="Arial"/>
          <w:snapToGrid w:val="0"/>
          <w:lang w:val="en-GB"/>
        </w:rPr>
        <w:t xml:space="preserve">s satisfied that </w:t>
      </w:r>
      <w:r w:rsidR="00F314A2" w:rsidRPr="000F53CD">
        <w:rPr>
          <w:rFonts w:cs="Arial"/>
          <w:snapToGrid w:val="0"/>
        </w:rPr>
        <w:t xml:space="preserve">lanadelumab </w:t>
      </w:r>
      <w:r w:rsidRPr="000F53CD">
        <w:rPr>
          <w:rFonts w:cs="Arial"/>
          <w:snapToGrid w:val="0"/>
          <w:lang w:val="en-GB"/>
        </w:rPr>
        <w:t xml:space="preserve">provides, for some patients, a </w:t>
      </w:r>
      <w:r w:rsidR="00227075" w:rsidRPr="000F53CD">
        <w:rPr>
          <w:rFonts w:cs="Arial"/>
          <w:snapToGrid w:val="0"/>
        </w:rPr>
        <w:t>substantial clinical benefit in terms of a reduction in HAE attack frequency</w:t>
      </w:r>
      <w:r w:rsidR="00227075" w:rsidRPr="000F53CD" w:rsidDel="00E4113D">
        <w:rPr>
          <w:rFonts w:cs="Arial"/>
          <w:snapToGrid w:val="0"/>
          <w:lang w:val="en-GB"/>
        </w:rPr>
        <w:t xml:space="preserve"> </w:t>
      </w:r>
      <w:r w:rsidR="00227075" w:rsidRPr="000F53CD">
        <w:rPr>
          <w:rFonts w:cs="Arial"/>
          <w:snapToGrid w:val="0"/>
        </w:rPr>
        <w:t>versus</w:t>
      </w:r>
      <w:r w:rsidR="00F51C69">
        <w:rPr>
          <w:rFonts w:cs="Arial"/>
          <w:snapToGrid w:val="0"/>
        </w:rPr>
        <w:t xml:space="preserve"> the comparator, ODT.</w:t>
      </w:r>
      <w:r w:rsidR="00227075" w:rsidRPr="000F53CD">
        <w:rPr>
          <w:rFonts w:cs="Arial"/>
          <w:snapToGrid w:val="0"/>
        </w:rPr>
        <w:t xml:space="preserve"> The PBAC noted that an economic model for the &lt;12 yr</w:t>
      </w:r>
      <w:r w:rsidR="004F1ECD" w:rsidRPr="000F53CD">
        <w:rPr>
          <w:rFonts w:cs="Arial"/>
          <w:snapToGrid w:val="0"/>
        </w:rPr>
        <w:t>s</w:t>
      </w:r>
      <w:r w:rsidR="00227075" w:rsidRPr="000F53CD">
        <w:rPr>
          <w:rFonts w:cs="Arial"/>
          <w:snapToGrid w:val="0"/>
        </w:rPr>
        <w:t xml:space="preserve"> population was not provided</w:t>
      </w:r>
      <w:r w:rsidR="00C12388">
        <w:rPr>
          <w:rFonts w:cs="Arial"/>
          <w:snapToGrid w:val="0"/>
        </w:rPr>
        <w:t>,</w:t>
      </w:r>
      <w:r w:rsidR="00F314A2" w:rsidRPr="000F53CD">
        <w:rPr>
          <w:rFonts w:cs="Arial"/>
          <w:snapToGrid w:val="0"/>
        </w:rPr>
        <w:t xml:space="preserve"> </w:t>
      </w:r>
      <w:r w:rsidR="004F1ECD" w:rsidRPr="000F53CD">
        <w:rPr>
          <w:rFonts w:cs="Arial"/>
          <w:snapToGrid w:val="0"/>
        </w:rPr>
        <w:t>but</w:t>
      </w:r>
      <w:r w:rsidR="00F314A2" w:rsidRPr="000F53CD">
        <w:rPr>
          <w:rFonts w:cs="Arial"/>
          <w:snapToGrid w:val="0"/>
        </w:rPr>
        <w:t xml:space="preserve"> </w:t>
      </w:r>
      <w:r w:rsidR="004F1ECD" w:rsidRPr="000F53CD">
        <w:rPr>
          <w:rFonts w:cs="Arial"/>
          <w:snapToGrid w:val="0"/>
        </w:rPr>
        <w:t>considered that</w:t>
      </w:r>
      <w:r w:rsidR="00227075" w:rsidRPr="000F53CD">
        <w:rPr>
          <w:rFonts w:cs="Arial"/>
          <w:snapToGrid w:val="0"/>
        </w:rPr>
        <w:t xml:space="preserve"> the model </w:t>
      </w:r>
      <w:r w:rsidR="004F1ECD" w:rsidRPr="000F53CD">
        <w:rPr>
          <w:rFonts w:cs="Arial"/>
          <w:snapToGrid w:val="0"/>
        </w:rPr>
        <w:t>used to support listing</w:t>
      </w:r>
      <w:r w:rsidR="00227075" w:rsidRPr="000F53CD">
        <w:rPr>
          <w:rFonts w:cs="Arial"/>
          <w:snapToGrid w:val="0"/>
        </w:rPr>
        <w:t xml:space="preserve"> in the </w:t>
      </w:r>
      <w:r w:rsidR="001521C0" w:rsidRPr="00D1172F">
        <w:rPr>
          <w:rFonts w:cstheme="minorHAnsi"/>
          <w:lang w:val="en-GB"/>
        </w:rPr>
        <w:t>≥</w:t>
      </w:r>
      <w:r w:rsidR="00227075" w:rsidRPr="000F53CD">
        <w:rPr>
          <w:rFonts w:cs="Arial"/>
          <w:snapToGrid w:val="0"/>
        </w:rPr>
        <w:t>12</w:t>
      </w:r>
      <w:r w:rsidR="004F1ECD" w:rsidRPr="000F53CD">
        <w:rPr>
          <w:rFonts w:cs="Arial"/>
          <w:snapToGrid w:val="0"/>
        </w:rPr>
        <w:t xml:space="preserve"> yrs</w:t>
      </w:r>
      <w:r w:rsidR="00227075" w:rsidRPr="000F53CD">
        <w:rPr>
          <w:rFonts w:cs="Arial"/>
          <w:snapToGrid w:val="0"/>
        </w:rPr>
        <w:t xml:space="preserve"> population could </w:t>
      </w:r>
      <w:r w:rsidR="004F1ECD" w:rsidRPr="000F53CD">
        <w:rPr>
          <w:rFonts w:cs="Arial"/>
          <w:snapToGrid w:val="0"/>
        </w:rPr>
        <w:t>be used to support listing in the expanded population</w:t>
      </w:r>
      <w:r w:rsidR="00B73DDA">
        <w:rPr>
          <w:rFonts w:cs="Arial"/>
          <w:snapToGrid w:val="0"/>
        </w:rPr>
        <w:t>.</w:t>
      </w:r>
    </w:p>
    <w:p w14:paraId="09DC33A5" w14:textId="5B01CBE4" w:rsidR="00EB5DB3" w:rsidRDefault="00EB5DB3" w:rsidP="00D1172F">
      <w:pPr>
        <w:pStyle w:val="3-BodyText"/>
        <w:rPr>
          <w:lang w:val="en-GB"/>
        </w:rPr>
      </w:pPr>
      <w:bookmarkStart w:id="69" w:name="_Ref183512992"/>
      <w:r w:rsidRPr="00D1172F">
        <w:rPr>
          <w:snapToGrid w:val="0"/>
          <w:lang w:val="en-GB"/>
        </w:rPr>
        <w:t>The PBAC accepted the</w:t>
      </w:r>
      <w:r w:rsidR="00C12388">
        <w:rPr>
          <w:snapToGrid w:val="0"/>
          <w:lang w:val="en-GB"/>
        </w:rPr>
        <w:t xml:space="preserve"> clinical</w:t>
      </w:r>
      <w:r w:rsidRPr="00D1172F">
        <w:rPr>
          <w:snapToGrid w:val="0"/>
          <w:lang w:val="en-GB"/>
        </w:rPr>
        <w:t xml:space="preserve"> need for </w:t>
      </w:r>
      <w:r w:rsidRPr="00D1172F">
        <w:rPr>
          <w:lang w:val="en-GB"/>
        </w:rPr>
        <w:t>long term</w:t>
      </w:r>
      <w:r w:rsidR="008A496B" w:rsidRPr="00D1172F">
        <w:rPr>
          <w:lang w:val="en-GB"/>
        </w:rPr>
        <w:t xml:space="preserve"> </w:t>
      </w:r>
      <w:r w:rsidRPr="00D1172F">
        <w:rPr>
          <w:lang w:val="en-GB"/>
        </w:rPr>
        <w:t>prophylaxis</w:t>
      </w:r>
      <w:r w:rsidR="008A496B" w:rsidRPr="00D1172F">
        <w:rPr>
          <w:lang w:val="en-GB"/>
        </w:rPr>
        <w:t xml:space="preserve"> options</w:t>
      </w:r>
      <w:r w:rsidRPr="00D1172F">
        <w:rPr>
          <w:lang w:val="en-GB"/>
        </w:rPr>
        <w:t xml:space="preserve"> in patients under the age of 12</w:t>
      </w:r>
      <w:r w:rsidR="000F53CD" w:rsidRPr="00D1172F">
        <w:rPr>
          <w:lang w:val="en-GB"/>
        </w:rPr>
        <w:t xml:space="preserve"> years</w:t>
      </w:r>
      <w:r w:rsidRPr="00D1172F">
        <w:rPr>
          <w:lang w:val="en-GB"/>
        </w:rPr>
        <w:t xml:space="preserve"> who suffer from </w:t>
      </w:r>
      <w:r w:rsidR="006B68A2">
        <w:rPr>
          <w:lang w:val="en-GB"/>
        </w:rPr>
        <w:t>frequent</w:t>
      </w:r>
      <w:r w:rsidRPr="00D1172F">
        <w:rPr>
          <w:lang w:val="en-GB"/>
        </w:rPr>
        <w:t xml:space="preserve"> HAE attacks.</w:t>
      </w:r>
      <w:bookmarkEnd w:id="69"/>
      <w:r w:rsidRPr="00D1172F">
        <w:rPr>
          <w:lang w:val="en-GB"/>
        </w:rPr>
        <w:t xml:space="preserve"> </w:t>
      </w:r>
    </w:p>
    <w:p w14:paraId="580620F7" w14:textId="3DEAEC12" w:rsidR="00A241C3" w:rsidRPr="004376DE" w:rsidRDefault="001521C0" w:rsidP="004376DE">
      <w:pPr>
        <w:pStyle w:val="3-BodyText"/>
        <w:rPr>
          <w:lang w:val="en-GB"/>
        </w:rPr>
      </w:pPr>
      <w:r>
        <w:rPr>
          <w:lang w:val="en-GB"/>
        </w:rPr>
        <w:t xml:space="preserve">The PBAC supported the submission’s requested restriction </w:t>
      </w:r>
      <w:r w:rsidR="00322FB5">
        <w:rPr>
          <w:lang w:val="en-GB"/>
        </w:rPr>
        <w:t>with the exception of</w:t>
      </w:r>
      <w:r>
        <w:rPr>
          <w:lang w:val="en-GB"/>
        </w:rPr>
        <w:t xml:space="preserve"> the requested </w:t>
      </w:r>
      <w:r w:rsidRPr="00F175B3">
        <w:rPr>
          <w:lang w:val="en-GB"/>
        </w:rPr>
        <w:t>threshold of one attack in the preceding 3 months for the 2-11 years population (amended to 2 attacks in the preceding 6 months in the PSCR)</w:t>
      </w:r>
      <w:r>
        <w:rPr>
          <w:lang w:val="en-GB"/>
        </w:rPr>
        <w:t xml:space="preserve">. </w:t>
      </w:r>
      <w:r w:rsidR="000A61DB" w:rsidRPr="00F175B3">
        <w:rPr>
          <w:lang w:val="en-GB"/>
        </w:rPr>
        <w:t xml:space="preserve">The </w:t>
      </w:r>
      <w:r w:rsidR="004076AE" w:rsidRPr="00F175B3">
        <w:rPr>
          <w:lang w:val="en-GB"/>
        </w:rPr>
        <w:t>PBAC</w:t>
      </w:r>
      <w:r w:rsidR="000A61DB" w:rsidRPr="00F175B3">
        <w:rPr>
          <w:lang w:val="en-GB"/>
        </w:rPr>
        <w:t xml:space="preserve"> considered</w:t>
      </w:r>
      <w:r w:rsidR="00CE737A">
        <w:rPr>
          <w:lang w:val="en-GB"/>
        </w:rPr>
        <w:t xml:space="preserve"> that</w:t>
      </w:r>
      <w:r w:rsidR="000A61DB" w:rsidRPr="00F175B3">
        <w:rPr>
          <w:lang w:val="en-GB"/>
        </w:rPr>
        <w:t xml:space="preserve"> the HAE</w:t>
      </w:r>
      <w:r w:rsidR="004076AE" w:rsidRPr="00F175B3">
        <w:rPr>
          <w:lang w:val="en-GB"/>
        </w:rPr>
        <w:t xml:space="preserve"> attack rate</w:t>
      </w:r>
      <w:r>
        <w:rPr>
          <w:lang w:val="en-GB"/>
        </w:rPr>
        <w:t xml:space="preserve"> </w:t>
      </w:r>
      <w:r w:rsidR="006B68A2">
        <w:rPr>
          <w:lang w:val="en-GB"/>
        </w:rPr>
        <w:t>that</w:t>
      </w:r>
      <w:r w:rsidR="000A61DB" w:rsidRPr="00F175B3">
        <w:rPr>
          <w:lang w:val="en-GB"/>
        </w:rPr>
        <w:t xml:space="preserve"> currently applie</w:t>
      </w:r>
      <w:r w:rsidR="00CE737A">
        <w:rPr>
          <w:lang w:val="en-GB"/>
        </w:rPr>
        <w:t>s</w:t>
      </w:r>
      <w:r w:rsidR="000A61DB" w:rsidRPr="00F175B3">
        <w:rPr>
          <w:lang w:val="en-GB"/>
        </w:rPr>
        <w:t xml:space="preserve"> to patients </w:t>
      </w:r>
      <w:r w:rsidR="000A61DB" w:rsidRPr="00F175B3">
        <w:rPr>
          <w:rFonts w:cstheme="minorHAnsi"/>
          <w:lang w:val="en-GB"/>
        </w:rPr>
        <w:t>≥</w:t>
      </w:r>
      <w:r w:rsidR="000A61DB" w:rsidRPr="00F175B3">
        <w:rPr>
          <w:lang w:val="en-GB"/>
        </w:rPr>
        <w:t>12 years (</w:t>
      </w:r>
      <w:r w:rsidR="000A61DB" w:rsidRPr="00F175B3">
        <w:rPr>
          <w:rFonts w:cstheme="minorHAnsi"/>
        </w:rPr>
        <w:t>≥</w:t>
      </w:r>
      <w:r w:rsidR="000A61DB" w:rsidRPr="00F175B3">
        <w:t>12 attacks in the preceding six months) should also apply to</w:t>
      </w:r>
      <w:r>
        <w:t xml:space="preserve"> </w:t>
      </w:r>
      <w:r w:rsidRPr="00F175B3">
        <w:t>patients &lt;12 years</w:t>
      </w:r>
      <w:r w:rsidR="004076AE" w:rsidRPr="00F175B3">
        <w:rPr>
          <w:lang w:val="en-GB"/>
        </w:rPr>
        <w:t xml:space="preserve">. </w:t>
      </w:r>
      <w:r>
        <w:rPr>
          <w:lang w:val="en-GB"/>
        </w:rPr>
        <w:t xml:space="preserve">The PBAC </w:t>
      </w:r>
      <w:r w:rsidR="000A61DB" w:rsidRPr="00F175B3">
        <w:rPr>
          <w:lang w:val="en-GB"/>
        </w:rPr>
        <w:t>considered that</w:t>
      </w:r>
      <w:r>
        <w:rPr>
          <w:lang w:val="en-GB"/>
        </w:rPr>
        <w:t xml:space="preserve"> the requested lower attack rate</w:t>
      </w:r>
      <w:r w:rsidR="000A61DB" w:rsidRPr="00F175B3">
        <w:rPr>
          <w:lang w:val="en-GB"/>
        </w:rPr>
        <w:t xml:space="preserve"> </w:t>
      </w:r>
      <w:r w:rsidR="00A241C3" w:rsidRPr="00F175B3">
        <w:rPr>
          <w:lang w:val="en-GB"/>
        </w:rPr>
        <w:t>c</w:t>
      </w:r>
      <w:r w:rsidR="000A61DB" w:rsidRPr="00F175B3">
        <w:rPr>
          <w:lang w:val="en-GB"/>
        </w:rPr>
        <w:t xml:space="preserve">ould not be </w:t>
      </w:r>
      <w:r w:rsidR="00A241C3" w:rsidRPr="00F175B3">
        <w:rPr>
          <w:lang w:val="en-GB"/>
        </w:rPr>
        <w:t>supported</w:t>
      </w:r>
      <w:r>
        <w:rPr>
          <w:lang w:val="en-GB"/>
        </w:rPr>
        <w:t xml:space="preserve"> in terms of extending the</w:t>
      </w:r>
      <w:r w:rsidR="009716F6" w:rsidRPr="000F53CD">
        <w:rPr>
          <w:rFonts w:cs="Arial"/>
          <w:snapToGrid w:val="0"/>
          <w:lang w:val="en-GB"/>
        </w:rPr>
        <w:t xml:space="preserve"> economic evaluation previously </w:t>
      </w:r>
      <w:r>
        <w:rPr>
          <w:rFonts w:cs="Arial"/>
          <w:snapToGrid w:val="0"/>
          <w:lang w:val="en-GB"/>
        </w:rPr>
        <w:t>applied to</w:t>
      </w:r>
      <w:r w:rsidR="009716F6" w:rsidRPr="000F53CD">
        <w:rPr>
          <w:rFonts w:cs="Arial"/>
          <w:snapToGrid w:val="0"/>
          <w:lang w:val="en-GB"/>
        </w:rPr>
        <w:t xml:space="preserve"> the ≥12 years population</w:t>
      </w:r>
      <w:r>
        <w:rPr>
          <w:rFonts w:cs="Arial"/>
          <w:snapToGrid w:val="0"/>
          <w:lang w:val="en-GB"/>
        </w:rPr>
        <w:t xml:space="preserve"> to </w:t>
      </w:r>
      <w:r w:rsidRPr="00F175B3">
        <w:t>patients &lt;12 years</w:t>
      </w:r>
      <w:r w:rsidR="009716F6" w:rsidRPr="00F175B3">
        <w:t xml:space="preserve"> </w:t>
      </w:r>
      <w:r w:rsidR="009716F6">
        <w:t xml:space="preserve">(see paragraph </w:t>
      </w:r>
      <w:r w:rsidR="009716F6">
        <w:fldChar w:fldCharType="begin" w:fldLock="1"/>
      </w:r>
      <w:r w:rsidR="009716F6">
        <w:instrText xml:space="preserve"> REF _Ref183359849 \r \h </w:instrText>
      </w:r>
      <w:r w:rsidR="009716F6">
        <w:fldChar w:fldCharType="separate"/>
      </w:r>
      <w:r w:rsidR="009C2393">
        <w:t>7.7</w:t>
      </w:r>
      <w:r w:rsidR="009716F6">
        <w:fldChar w:fldCharType="end"/>
      </w:r>
      <w:r w:rsidR="009716F6">
        <w:t xml:space="preserve"> below)</w:t>
      </w:r>
      <w:r w:rsidR="00A241C3" w:rsidRPr="00F175B3">
        <w:t>.</w:t>
      </w:r>
      <w:r w:rsidR="00F175B3" w:rsidRPr="00F175B3">
        <w:t xml:space="preserve"> </w:t>
      </w:r>
      <w:r w:rsidR="004076AE" w:rsidRPr="00F175B3">
        <w:t xml:space="preserve">The PBAC </w:t>
      </w:r>
      <w:r w:rsidR="00C12388">
        <w:t>considered that</w:t>
      </w:r>
      <w:r w:rsidR="004076AE" w:rsidRPr="00F175B3">
        <w:t xml:space="preserve"> </w:t>
      </w:r>
      <w:r w:rsidR="00C12388">
        <w:t>the 150 mg presentation</w:t>
      </w:r>
      <w:r w:rsidR="001C0283">
        <w:t xml:space="preserve"> should </w:t>
      </w:r>
      <w:r w:rsidR="001C0283" w:rsidRPr="00F175B3">
        <w:t>be listed age agnostically</w:t>
      </w:r>
      <w:r w:rsidR="001C0283">
        <w:t>, with a flow on</w:t>
      </w:r>
      <w:r w:rsidR="00C12388">
        <w:t xml:space="preserve"> </w:t>
      </w:r>
      <w:r w:rsidR="001C0283" w:rsidRPr="001C0283">
        <w:t>change to the existing restriction for</w:t>
      </w:r>
      <w:r w:rsidR="002848DB">
        <w:t xml:space="preserve"> the</w:t>
      </w:r>
      <w:r w:rsidR="001C0283" w:rsidRPr="001C0283">
        <w:t xml:space="preserve"> 300</w:t>
      </w:r>
      <w:r w:rsidR="002848DB">
        <w:t> </w:t>
      </w:r>
      <w:r w:rsidR="001C0283" w:rsidRPr="001C0283">
        <w:t>mg/2 mL</w:t>
      </w:r>
      <w:r w:rsidR="002848DB">
        <w:t xml:space="preserve"> strength </w:t>
      </w:r>
      <w:r w:rsidR="002848DB" w:rsidRPr="002848DB">
        <w:t>to</w:t>
      </w:r>
      <w:r>
        <w:t xml:space="preserve"> also</w:t>
      </w:r>
      <w:r w:rsidR="002848DB" w:rsidRPr="002848DB">
        <w:t xml:space="preserve"> make th</w:t>
      </w:r>
      <w:r>
        <w:t>at</w:t>
      </w:r>
      <w:r w:rsidR="002848DB" w:rsidRPr="002848DB">
        <w:t xml:space="preserve"> listing age agnostic</w:t>
      </w:r>
      <w:r w:rsidR="004076AE" w:rsidRPr="00F175B3">
        <w:t xml:space="preserve">. </w:t>
      </w:r>
    </w:p>
    <w:p w14:paraId="2E42C751" w14:textId="772A7D2E" w:rsidR="006A3177" w:rsidRPr="00603959" w:rsidRDefault="006A3177" w:rsidP="007C32A2">
      <w:pPr>
        <w:pStyle w:val="3-BodyText"/>
        <w:rPr>
          <w:rFonts w:cs="Arial"/>
          <w:snapToGrid w:val="0"/>
          <w:lang w:val="en-GB"/>
        </w:rPr>
      </w:pPr>
      <w:r w:rsidRPr="000F53CD">
        <w:rPr>
          <w:rFonts w:cs="Arial"/>
          <w:snapToGrid w:val="0"/>
          <w:lang w:val="en-GB"/>
        </w:rPr>
        <w:t>The PB</w:t>
      </w:r>
      <w:r w:rsidR="008A496B" w:rsidRPr="000F53CD">
        <w:rPr>
          <w:rFonts w:cs="Arial"/>
          <w:snapToGrid w:val="0"/>
          <w:lang w:val="en-GB"/>
        </w:rPr>
        <w:t>A</w:t>
      </w:r>
      <w:r w:rsidRPr="000F53CD">
        <w:rPr>
          <w:rFonts w:cs="Arial"/>
          <w:snapToGrid w:val="0"/>
          <w:lang w:val="en-GB"/>
        </w:rPr>
        <w:t>C accepted the submission’s nominated comparator, ODT with either</w:t>
      </w:r>
      <w:r w:rsidRPr="008A496B">
        <w:rPr>
          <w:rFonts w:cs="Arial"/>
          <w:snapToGrid w:val="0"/>
          <w:lang w:val="en-GB"/>
        </w:rPr>
        <w:t xml:space="preserve"> icatibant or intravenous C1-INH, noting it </w:t>
      </w:r>
      <w:r w:rsidR="00132DD8">
        <w:rPr>
          <w:rFonts w:cs="Arial"/>
          <w:snapToGrid w:val="0"/>
          <w:lang w:val="en-GB"/>
        </w:rPr>
        <w:t>had been</w:t>
      </w:r>
      <w:r w:rsidRPr="008A496B">
        <w:rPr>
          <w:rFonts w:cs="Arial"/>
          <w:snapToGrid w:val="0"/>
          <w:lang w:val="en-GB"/>
        </w:rPr>
        <w:t xml:space="preserve"> accepted in</w:t>
      </w:r>
      <w:r w:rsidR="00FC4D09" w:rsidRPr="008A496B">
        <w:rPr>
          <w:rFonts w:cs="Arial"/>
          <w:snapToGrid w:val="0"/>
          <w:lang w:val="en-GB"/>
        </w:rPr>
        <w:t xml:space="preserve"> the PBAC’s</w:t>
      </w:r>
      <w:r w:rsidRPr="008A496B">
        <w:rPr>
          <w:rFonts w:cs="Arial"/>
          <w:snapToGrid w:val="0"/>
          <w:lang w:val="en-GB"/>
        </w:rPr>
        <w:t xml:space="preserve"> previous considerations of </w:t>
      </w:r>
      <w:r w:rsidRPr="00603959">
        <w:rPr>
          <w:rFonts w:cs="Arial"/>
          <w:snapToGrid w:val="0"/>
          <w:lang w:val="en-GB"/>
        </w:rPr>
        <w:t xml:space="preserve">the </w:t>
      </w:r>
      <w:r w:rsidRPr="00603959">
        <w:rPr>
          <w:rFonts w:cstheme="minorHAnsi"/>
          <w:lang w:val="en-GB"/>
        </w:rPr>
        <w:t>≥</w:t>
      </w:r>
      <w:r w:rsidRPr="00603959">
        <w:rPr>
          <w:lang w:val="en-GB"/>
        </w:rPr>
        <w:t>12 yr population</w:t>
      </w:r>
      <w:r w:rsidRPr="00603959">
        <w:rPr>
          <w:rFonts w:cs="Arial"/>
          <w:snapToGrid w:val="0"/>
          <w:lang w:val="en-GB"/>
        </w:rPr>
        <w:t>.</w:t>
      </w:r>
      <w:r w:rsidR="00FC4D09" w:rsidRPr="00603959">
        <w:rPr>
          <w:rFonts w:cs="Arial"/>
          <w:snapToGrid w:val="0"/>
          <w:lang w:val="en-GB"/>
        </w:rPr>
        <w:t xml:space="preserve"> </w:t>
      </w:r>
    </w:p>
    <w:p w14:paraId="7C1B5A5E" w14:textId="06B59873" w:rsidR="004C38D0" w:rsidRPr="000F53CD" w:rsidRDefault="008A496B" w:rsidP="00762192">
      <w:pPr>
        <w:pStyle w:val="3-BodyText"/>
      </w:pPr>
      <w:r w:rsidRPr="00603959">
        <w:rPr>
          <w:rFonts w:cs="Arial"/>
          <w:snapToGrid w:val="0"/>
          <w:lang w:val="en-GB"/>
        </w:rPr>
        <w:t xml:space="preserve">The PBAC noted the </w:t>
      </w:r>
      <w:r w:rsidR="00603959" w:rsidRPr="00603959">
        <w:rPr>
          <w:rFonts w:cs="Arial"/>
          <w:snapToGrid w:val="0"/>
          <w:lang w:val="en-GB"/>
        </w:rPr>
        <w:t>limited</w:t>
      </w:r>
      <w:r w:rsidR="004C38D0" w:rsidRPr="00603959">
        <w:rPr>
          <w:rFonts w:cs="Arial"/>
          <w:snapToGrid w:val="0"/>
          <w:lang w:val="en-GB"/>
        </w:rPr>
        <w:t xml:space="preserve"> data available in the &lt;12 y</w:t>
      </w:r>
      <w:r w:rsidR="00762192">
        <w:rPr>
          <w:rFonts w:cs="Arial"/>
          <w:snapToGrid w:val="0"/>
          <w:lang w:val="en-GB"/>
        </w:rPr>
        <w:t>ea</w:t>
      </w:r>
      <w:r w:rsidR="004C38D0" w:rsidRPr="00603959">
        <w:rPr>
          <w:rFonts w:cs="Arial"/>
          <w:snapToGrid w:val="0"/>
          <w:lang w:val="en-GB"/>
        </w:rPr>
        <w:t>r old HAE population</w:t>
      </w:r>
      <w:r w:rsidR="00603959" w:rsidRPr="00603959">
        <w:rPr>
          <w:rFonts w:cs="Arial"/>
          <w:snapToGrid w:val="0"/>
          <w:lang w:val="en-GB"/>
        </w:rPr>
        <w:t xml:space="preserve"> from one small, single-arm trial</w:t>
      </w:r>
      <w:r w:rsidR="00322FB5">
        <w:rPr>
          <w:rFonts w:cs="Arial"/>
          <w:snapToGrid w:val="0"/>
          <w:lang w:val="en-GB"/>
        </w:rPr>
        <w:t xml:space="preserve"> (the SPRING trial)</w:t>
      </w:r>
      <w:r w:rsidR="00762192">
        <w:rPr>
          <w:rFonts w:cs="Arial"/>
          <w:snapToGrid w:val="0"/>
          <w:lang w:val="en-GB"/>
        </w:rPr>
        <w:t>.</w:t>
      </w:r>
      <w:r w:rsidR="004C38D0" w:rsidRPr="000F53CD">
        <w:t xml:space="preserve"> </w:t>
      </w:r>
      <w:r w:rsidR="00603959" w:rsidRPr="00762192">
        <w:rPr>
          <w:iCs/>
          <w:snapToGrid w:val="0"/>
        </w:rPr>
        <w:t xml:space="preserve">The PBAC considered that the claim of </w:t>
      </w:r>
      <w:r w:rsidR="00670942" w:rsidRPr="00762192">
        <w:rPr>
          <w:iCs/>
          <w:snapToGrid w:val="0"/>
        </w:rPr>
        <w:t>superior</w:t>
      </w:r>
      <w:r w:rsidR="00603959" w:rsidRPr="00762192">
        <w:rPr>
          <w:iCs/>
          <w:snapToGrid w:val="0"/>
        </w:rPr>
        <w:t xml:space="preserve"> comparative effectiveness</w:t>
      </w:r>
      <w:r w:rsidR="00670942" w:rsidRPr="00762192">
        <w:rPr>
          <w:iCs/>
          <w:snapToGrid w:val="0"/>
        </w:rPr>
        <w:t xml:space="preserve"> of lanadelumab compared to ODT</w:t>
      </w:r>
      <w:r w:rsidR="00603959" w:rsidRPr="00762192">
        <w:rPr>
          <w:iCs/>
          <w:snapToGrid w:val="0"/>
        </w:rPr>
        <w:t xml:space="preserve"> was reasonable</w:t>
      </w:r>
      <w:r w:rsidR="00670942" w:rsidRPr="00762192">
        <w:rPr>
          <w:iCs/>
          <w:snapToGrid w:val="0"/>
        </w:rPr>
        <w:t>,</w:t>
      </w:r>
      <w:r w:rsidR="00603959" w:rsidRPr="00762192">
        <w:rPr>
          <w:iCs/>
          <w:snapToGrid w:val="0"/>
        </w:rPr>
        <w:t xml:space="preserve"> </w:t>
      </w:r>
      <w:r w:rsidR="000F53CD" w:rsidRPr="000F53CD">
        <w:t>noting</w:t>
      </w:r>
      <w:r w:rsidR="004C38D0" w:rsidRPr="000F53CD">
        <w:t xml:space="preserve"> that that while the magnitude of benefit was unclear, the available data in patients &lt;12 yrs suggested that lanadelumab has superior efficacy in terms of preventing HAE attacks compared with</w:t>
      </w:r>
      <w:r w:rsidR="007B1EC2">
        <w:t xml:space="preserve"> </w:t>
      </w:r>
      <w:r w:rsidR="007B1EC2" w:rsidRPr="00BF55FF">
        <w:t xml:space="preserve">the number of attacks in the baseline observation period </w:t>
      </w:r>
      <w:r w:rsidR="007B1EC2">
        <w:t xml:space="preserve">(used as a proxy for </w:t>
      </w:r>
      <w:r w:rsidR="004C38D0" w:rsidRPr="000F53CD">
        <w:t>ODT with icatibant or C1-INH</w:t>
      </w:r>
      <w:r w:rsidR="007B1EC2">
        <w:t>)</w:t>
      </w:r>
      <w:r w:rsidR="004C38D0" w:rsidRPr="000F53CD">
        <w:t xml:space="preserve">. Further, the PBAC considered that as </w:t>
      </w:r>
      <w:r w:rsidRPr="000F53CD">
        <w:t xml:space="preserve">there is no mechanistic reason to assume that lanadelumab would </w:t>
      </w:r>
      <w:r w:rsidR="000F53CD" w:rsidRPr="000F53CD">
        <w:t>differ in efficacy between</w:t>
      </w:r>
      <w:r w:rsidRPr="000F53CD">
        <w:t xml:space="preserve"> age groups, </w:t>
      </w:r>
      <w:r w:rsidR="003660C9">
        <w:t xml:space="preserve">the </w:t>
      </w:r>
      <w:r w:rsidRPr="000F53CD">
        <w:t xml:space="preserve">previous data (from patients aged </w:t>
      </w:r>
      <w:r w:rsidRPr="00762192">
        <w:rPr>
          <w:rFonts w:cstheme="minorHAnsi"/>
        </w:rPr>
        <w:t>≥</w:t>
      </w:r>
      <w:r w:rsidRPr="000F53CD">
        <w:t xml:space="preserve">12 years) </w:t>
      </w:r>
      <w:r w:rsidR="004C38D0" w:rsidRPr="000F53CD">
        <w:t xml:space="preserve">would </w:t>
      </w:r>
      <w:r w:rsidRPr="000F53CD">
        <w:t xml:space="preserve">support extending the existing listing to patients aged </w:t>
      </w:r>
      <w:r w:rsidR="000F53CD" w:rsidRPr="000F53CD">
        <w:t>&lt;12</w:t>
      </w:r>
      <w:r w:rsidRPr="000F53CD">
        <w:t xml:space="preserve"> years. </w:t>
      </w:r>
      <w:r w:rsidR="00603959" w:rsidRPr="000F53CD">
        <w:t>H</w:t>
      </w:r>
      <w:r w:rsidR="00603959" w:rsidRPr="00762192">
        <w:rPr>
          <w:iCs/>
          <w:snapToGrid w:val="0"/>
        </w:rPr>
        <w:t>owever, the PBAC considered that the</w:t>
      </w:r>
      <w:r w:rsidR="00762192">
        <w:rPr>
          <w:iCs/>
          <w:snapToGrid w:val="0"/>
        </w:rPr>
        <w:t xml:space="preserve"> submission’s</w:t>
      </w:r>
      <w:r w:rsidR="00603959" w:rsidRPr="00762192">
        <w:rPr>
          <w:iCs/>
          <w:snapToGrid w:val="0"/>
        </w:rPr>
        <w:t xml:space="preserve"> proposed </w:t>
      </w:r>
      <w:r w:rsidR="005062D5">
        <w:rPr>
          <w:iCs/>
          <w:snapToGrid w:val="0"/>
        </w:rPr>
        <w:t xml:space="preserve">restriction (with a </w:t>
      </w:r>
      <w:r w:rsidR="005062D5">
        <w:rPr>
          <w:iCs/>
          <w:snapToGrid w:val="0"/>
        </w:rPr>
        <w:lastRenderedPageBreak/>
        <w:t>lower</w:t>
      </w:r>
      <w:r w:rsidR="00603959" w:rsidRPr="00762192">
        <w:rPr>
          <w:iCs/>
          <w:snapToGrid w:val="0"/>
        </w:rPr>
        <w:t xml:space="preserve"> baseline attack rate </w:t>
      </w:r>
      <w:r w:rsidR="005062D5">
        <w:rPr>
          <w:iCs/>
          <w:snapToGrid w:val="0"/>
        </w:rPr>
        <w:t>than the existing population)</w:t>
      </w:r>
      <w:r w:rsidR="00603959" w:rsidRPr="00762192">
        <w:rPr>
          <w:iCs/>
          <w:snapToGrid w:val="0"/>
        </w:rPr>
        <w:t xml:space="preserve"> was not adequately supported by the</w:t>
      </w:r>
      <w:r w:rsidR="00762192" w:rsidRPr="00762192">
        <w:rPr>
          <w:iCs/>
          <w:snapToGrid w:val="0"/>
        </w:rPr>
        <w:t xml:space="preserve"> single-arm trial</w:t>
      </w:r>
      <w:r w:rsidR="00603959" w:rsidRPr="00762192">
        <w:rPr>
          <w:iCs/>
          <w:snapToGrid w:val="0"/>
        </w:rPr>
        <w:t xml:space="preserve"> data</w:t>
      </w:r>
      <w:r w:rsidR="0050112A">
        <w:rPr>
          <w:iCs/>
          <w:snapToGrid w:val="0"/>
        </w:rPr>
        <w:t>.</w:t>
      </w:r>
      <w:r w:rsidR="00762192" w:rsidRPr="00762192">
        <w:rPr>
          <w:iCs/>
          <w:snapToGrid w:val="0"/>
        </w:rPr>
        <w:t xml:space="preserve"> </w:t>
      </w:r>
      <w:r w:rsidR="0050112A">
        <w:rPr>
          <w:rFonts w:cs="Arial"/>
          <w:snapToGrid w:val="0"/>
          <w:lang w:val="en-GB"/>
        </w:rPr>
        <w:t>The PBAC</w:t>
      </w:r>
      <w:r w:rsidR="00762192" w:rsidRPr="00762192">
        <w:rPr>
          <w:rFonts w:cs="Arial"/>
          <w:snapToGrid w:val="0"/>
          <w:lang w:val="en-GB"/>
        </w:rPr>
        <w:t xml:space="preserve"> acknowledged that it is unlikely </w:t>
      </w:r>
      <w:r w:rsidR="00762192" w:rsidRPr="00603959">
        <w:t xml:space="preserve">that new clinical data will become </w:t>
      </w:r>
      <w:r w:rsidR="00762192" w:rsidRPr="000F53CD">
        <w:t>available, given the rarity of the disease particularly in this age group</w:t>
      </w:r>
      <w:r w:rsidR="00603959" w:rsidRPr="00762192">
        <w:rPr>
          <w:iCs/>
          <w:snapToGrid w:val="0"/>
        </w:rPr>
        <w:t>.</w:t>
      </w:r>
    </w:p>
    <w:p w14:paraId="5A7A8A6D" w14:textId="7C6CFA22" w:rsidR="008A496B" w:rsidRPr="007E1AFA" w:rsidRDefault="008A496B" w:rsidP="008A496B">
      <w:pPr>
        <w:pStyle w:val="3-BodyText"/>
        <w:rPr>
          <w:iCs/>
          <w:snapToGrid w:val="0"/>
        </w:rPr>
      </w:pPr>
      <w:r w:rsidRPr="000F53CD">
        <w:rPr>
          <w:iCs/>
          <w:snapToGrid w:val="0"/>
        </w:rPr>
        <w:t>The PBAC considered that the claim of inferior comparative safety</w:t>
      </w:r>
      <w:r w:rsidR="007E1AFA">
        <w:rPr>
          <w:iCs/>
          <w:snapToGrid w:val="0"/>
        </w:rPr>
        <w:t xml:space="preserve"> of lanadelumab</w:t>
      </w:r>
      <w:r w:rsidR="00E62BD8">
        <w:rPr>
          <w:iCs/>
          <w:snapToGrid w:val="0"/>
        </w:rPr>
        <w:t xml:space="preserve"> compared to ODT</w:t>
      </w:r>
      <w:r w:rsidRPr="000F53CD">
        <w:rPr>
          <w:iCs/>
          <w:snapToGrid w:val="0"/>
        </w:rPr>
        <w:t xml:space="preserve"> was reasonable</w:t>
      </w:r>
      <w:r w:rsidR="00603959" w:rsidRPr="000F53CD">
        <w:rPr>
          <w:iCs/>
          <w:snapToGrid w:val="0"/>
        </w:rPr>
        <w:t xml:space="preserve">, </w:t>
      </w:r>
      <w:r w:rsidR="00603959" w:rsidRPr="000F53CD">
        <w:rPr>
          <w:rFonts w:eastAsia="Calibri"/>
        </w:rPr>
        <w:t>noting data limitations associated with the small population.</w:t>
      </w:r>
      <w:r w:rsidR="00E62BD8">
        <w:rPr>
          <w:rFonts w:eastAsia="Calibri"/>
        </w:rPr>
        <w:t xml:space="preserve"> The PBAC noted that </w:t>
      </w:r>
      <w:r w:rsidR="00E62BD8" w:rsidRPr="007E1AFA">
        <w:rPr>
          <w:rFonts w:eastAsia="Calibri"/>
        </w:rPr>
        <w:t xml:space="preserve">it accepted a conclusion of inferior comparative safety for lanadelumab for the &gt;12 years population (paragraph </w:t>
      </w:r>
      <w:r w:rsidR="007E1AFA" w:rsidRPr="007E1AFA">
        <w:rPr>
          <w:rFonts w:eastAsia="Calibri"/>
        </w:rPr>
        <w:t>7.10</w:t>
      </w:r>
      <w:r w:rsidR="00E62BD8" w:rsidRPr="007E1AFA">
        <w:rPr>
          <w:rFonts w:eastAsia="Calibri"/>
        </w:rPr>
        <w:t xml:space="preserve">, lanadelumab PSD, July </w:t>
      </w:r>
      <w:r w:rsidR="007E1AFA" w:rsidRPr="007E1AFA">
        <w:rPr>
          <w:rFonts w:eastAsia="Calibri"/>
        </w:rPr>
        <w:t>2020</w:t>
      </w:r>
      <w:r w:rsidR="00E62BD8" w:rsidRPr="007E1AFA">
        <w:rPr>
          <w:rFonts w:eastAsia="Calibri"/>
        </w:rPr>
        <w:t>).</w:t>
      </w:r>
    </w:p>
    <w:p w14:paraId="766F2FB6" w14:textId="354E5A4D" w:rsidR="00FC0895" w:rsidRPr="00067632" w:rsidRDefault="00FC0895" w:rsidP="00603959">
      <w:pPr>
        <w:pStyle w:val="3-BodyText"/>
        <w:rPr>
          <w:rFonts w:cs="Arial"/>
          <w:snapToGrid w:val="0"/>
          <w:lang w:val="en-GB"/>
        </w:rPr>
      </w:pPr>
      <w:bookmarkStart w:id="70" w:name="_Ref183359849"/>
      <w:r w:rsidRPr="000F53CD">
        <w:rPr>
          <w:rFonts w:cs="Arial"/>
          <w:snapToGrid w:val="0"/>
          <w:lang w:val="en-GB"/>
        </w:rPr>
        <w:t xml:space="preserve">The </w:t>
      </w:r>
      <w:r w:rsidR="00603959" w:rsidRPr="000F53CD">
        <w:rPr>
          <w:rFonts w:cs="Arial"/>
          <w:snapToGrid w:val="0"/>
          <w:lang w:val="en-GB"/>
        </w:rPr>
        <w:t xml:space="preserve">PBAC </w:t>
      </w:r>
      <w:r w:rsidR="000F53CD">
        <w:rPr>
          <w:rFonts w:cs="Arial"/>
          <w:snapToGrid w:val="0"/>
          <w:lang w:val="en-GB"/>
        </w:rPr>
        <w:t xml:space="preserve">considered </w:t>
      </w:r>
      <w:r w:rsidRPr="000F53CD">
        <w:rPr>
          <w:rFonts w:cs="Arial"/>
          <w:snapToGrid w:val="0"/>
          <w:lang w:val="en-GB"/>
        </w:rPr>
        <w:t>that it would be appropriate to expand the existing lanadelumab listing to include children</w:t>
      </w:r>
      <w:r w:rsidR="003B2386" w:rsidRPr="000F53CD">
        <w:rPr>
          <w:rFonts w:cs="Arial"/>
          <w:snapToGrid w:val="0"/>
          <w:lang w:val="en-GB"/>
        </w:rPr>
        <w:t xml:space="preserve"> &lt;12 years</w:t>
      </w:r>
      <w:r w:rsidR="00603959" w:rsidRPr="000F53CD">
        <w:rPr>
          <w:rFonts w:cs="Arial"/>
          <w:snapToGrid w:val="0"/>
          <w:lang w:val="en-GB"/>
        </w:rPr>
        <w:t xml:space="preserve"> based on the </w:t>
      </w:r>
      <w:r w:rsidRPr="000F53CD">
        <w:rPr>
          <w:rFonts w:cs="Arial"/>
          <w:snapToGrid w:val="0"/>
          <w:lang w:val="en-GB"/>
        </w:rPr>
        <w:t>economic evaluation</w:t>
      </w:r>
      <w:r w:rsidR="00603959" w:rsidRPr="000F53CD">
        <w:rPr>
          <w:rFonts w:cs="Arial"/>
          <w:snapToGrid w:val="0"/>
          <w:lang w:val="en-GB"/>
        </w:rPr>
        <w:t xml:space="preserve"> previously considered for the ≥12 years </w:t>
      </w:r>
      <w:r w:rsidR="003B2386" w:rsidRPr="000F53CD">
        <w:rPr>
          <w:rFonts w:cs="Arial"/>
          <w:snapToGrid w:val="0"/>
          <w:lang w:val="en-GB"/>
        </w:rPr>
        <w:t>population</w:t>
      </w:r>
      <w:r w:rsidR="00603959" w:rsidRPr="000F53CD">
        <w:rPr>
          <w:rFonts w:cs="Arial"/>
          <w:snapToGrid w:val="0"/>
          <w:lang w:val="en-GB"/>
        </w:rPr>
        <w:t xml:space="preserve">. </w:t>
      </w:r>
      <w:r w:rsidRPr="000F53CD">
        <w:rPr>
          <w:rFonts w:cs="Arial"/>
          <w:snapToGrid w:val="0"/>
          <w:lang w:val="en-GB"/>
        </w:rPr>
        <w:t xml:space="preserve">However, the </w:t>
      </w:r>
      <w:r w:rsidR="00603959" w:rsidRPr="000F53CD">
        <w:rPr>
          <w:rFonts w:cs="Arial"/>
          <w:snapToGrid w:val="0"/>
          <w:lang w:val="en-GB"/>
        </w:rPr>
        <w:t xml:space="preserve">PBAC considered </w:t>
      </w:r>
      <w:r w:rsidR="000F53CD">
        <w:rPr>
          <w:rFonts w:cs="Arial"/>
          <w:snapToGrid w:val="0"/>
          <w:lang w:val="en-GB"/>
        </w:rPr>
        <w:t xml:space="preserve">that </w:t>
      </w:r>
      <w:r w:rsidR="00603959" w:rsidRPr="000F53CD">
        <w:rPr>
          <w:rFonts w:cs="Arial"/>
          <w:snapToGrid w:val="0"/>
          <w:lang w:val="en-GB"/>
        </w:rPr>
        <w:t>this model</w:t>
      </w:r>
      <w:r w:rsidRPr="000F53CD" w:rsidDel="00594EC7">
        <w:rPr>
          <w:rFonts w:cs="Arial"/>
          <w:snapToGrid w:val="0"/>
          <w:lang w:val="en-GB"/>
        </w:rPr>
        <w:t xml:space="preserve"> </w:t>
      </w:r>
      <w:r w:rsidRPr="000F53CD">
        <w:rPr>
          <w:rFonts w:cs="Arial"/>
          <w:snapToGrid w:val="0"/>
          <w:lang w:val="en-GB"/>
        </w:rPr>
        <w:t xml:space="preserve">would not be reliable for </w:t>
      </w:r>
      <w:r w:rsidRPr="009716F6">
        <w:rPr>
          <w:rFonts w:cs="Arial"/>
          <w:snapToGrid w:val="0"/>
          <w:lang w:val="en-GB"/>
        </w:rPr>
        <w:t>decision-making if the restriction were to be based on a lower baseline attack rate for the 2</w:t>
      </w:r>
      <w:r w:rsidRPr="009716F6">
        <w:rPr>
          <w:rFonts w:cs="Arial"/>
          <w:snapToGrid w:val="0"/>
          <w:lang w:val="en-GB"/>
        </w:rPr>
        <w:noBreakHyphen/>
        <w:t>11 year</w:t>
      </w:r>
      <w:r w:rsidR="00462293">
        <w:rPr>
          <w:rFonts w:cs="Arial"/>
          <w:snapToGrid w:val="0"/>
          <w:lang w:val="en-GB"/>
        </w:rPr>
        <w:t>s</w:t>
      </w:r>
      <w:r w:rsidRPr="009716F6">
        <w:rPr>
          <w:rFonts w:cs="Arial"/>
          <w:snapToGrid w:val="0"/>
          <w:lang w:val="en-GB"/>
        </w:rPr>
        <w:t xml:space="preserve"> population</w:t>
      </w:r>
      <w:r w:rsidR="00462293">
        <w:rPr>
          <w:rFonts w:cs="Arial"/>
          <w:snapToGrid w:val="0"/>
          <w:lang w:val="en-GB"/>
        </w:rPr>
        <w:t>,</w:t>
      </w:r>
      <w:r w:rsidR="00F175B3" w:rsidRPr="009716F6">
        <w:rPr>
          <w:rFonts w:cs="Arial"/>
          <w:snapToGrid w:val="0"/>
          <w:lang w:val="en-GB"/>
        </w:rPr>
        <w:t xml:space="preserve"> given the </w:t>
      </w:r>
      <w:r w:rsidR="00F175B3" w:rsidRPr="009716F6">
        <w:rPr>
          <w:color w:val="000000" w:themeColor="text1"/>
        </w:rPr>
        <w:t>the sensitivity of the ICER to baseline attack frequency (pa</w:t>
      </w:r>
      <w:r w:rsidR="009716F6" w:rsidRPr="009716F6">
        <w:rPr>
          <w:color w:val="000000" w:themeColor="text1"/>
        </w:rPr>
        <w:t>ragraph 6.7, lanadelumab PSD, July 2021</w:t>
      </w:r>
      <w:r w:rsidR="00F175B3" w:rsidRPr="009716F6">
        <w:rPr>
          <w:color w:val="000000" w:themeColor="text1"/>
        </w:rPr>
        <w:t>)</w:t>
      </w:r>
      <w:r w:rsidRPr="009716F6">
        <w:rPr>
          <w:rFonts w:cs="Arial"/>
          <w:snapToGrid w:val="0"/>
          <w:lang w:val="en-GB"/>
        </w:rPr>
        <w:t>.</w:t>
      </w:r>
      <w:r w:rsidRPr="00F175B3">
        <w:rPr>
          <w:rFonts w:cs="Arial"/>
          <w:snapToGrid w:val="0"/>
          <w:lang w:val="en-GB"/>
        </w:rPr>
        <w:t xml:space="preserve"> </w:t>
      </w:r>
      <w:r w:rsidR="00DE1CF2" w:rsidRPr="00F175B3">
        <w:rPr>
          <w:rFonts w:cs="Arial"/>
          <w:snapToGrid w:val="0"/>
          <w:lang w:val="en-GB"/>
        </w:rPr>
        <w:t>The PBAC advised that a</w:t>
      </w:r>
      <w:r w:rsidR="00DE1CF2">
        <w:rPr>
          <w:rFonts w:cs="Arial"/>
          <w:snapToGrid w:val="0"/>
          <w:lang w:val="en-GB"/>
        </w:rPr>
        <w:t xml:space="preserve"> new submission including an economic model for the 2-11 year</w:t>
      </w:r>
      <w:r w:rsidR="00462293">
        <w:rPr>
          <w:rFonts w:cs="Arial"/>
          <w:snapToGrid w:val="0"/>
          <w:lang w:val="en-GB"/>
        </w:rPr>
        <w:t>s</w:t>
      </w:r>
      <w:r w:rsidR="00DE1CF2">
        <w:rPr>
          <w:rFonts w:cs="Arial"/>
          <w:snapToGrid w:val="0"/>
          <w:lang w:val="en-GB"/>
        </w:rPr>
        <w:t xml:space="preserve"> population would be required to amend the restriction to require a lower baseline attack rate.</w:t>
      </w:r>
      <w:bookmarkEnd w:id="70"/>
      <w:r w:rsidR="00DE1CF2">
        <w:rPr>
          <w:rFonts w:cs="Arial"/>
          <w:snapToGrid w:val="0"/>
          <w:lang w:val="en-GB"/>
        </w:rPr>
        <w:t xml:space="preserve"> </w:t>
      </w:r>
    </w:p>
    <w:p w14:paraId="11062F03" w14:textId="13FA7A43" w:rsidR="00D54A3F" w:rsidRPr="00067632" w:rsidRDefault="00D54A3F" w:rsidP="00EC47CC">
      <w:pPr>
        <w:pStyle w:val="3-BodyText"/>
      </w:pPr>
      <w:r w:rsidRPr="00067632">
        <w:rPr>
          <w:rFonts w:cs="Arial"/>
          <w:snapToGrid w:val="0"/>
          <w:lang w:val="en-GB"/>
        </w:rPr>
        <w:t>The PBAC</w:t>
      </w:r>
      <w:r w:rsidR="00EC47CC">
        <w:rPr>
          <w:rFonts w:cs="Arial"/>
          <w:snapToGrid w:val="0"/>
          <w:lang w:val="en-GB"/>
        </w:rPr>
        <w:t xml:space="preserve"> considered</w:t>
      </w:r>
      <w:r w:rsidR="00BE1F77">
        <w:rPr>
          <w:rFonts w:cs="Arial"/>
          <w:snapToGrid w:val="0"/>
          <w:lang w:val="en-GB"/>
        </w:rPr>
        <w:t xml:space="preserve"> that the financial estimates were uncertain</w:t>
      </w:r>
      <w:r w:rsidR="001D34F5">
        <w:rPr>
          <w:rFonts w:cs="Arial"/>
          <w:snapToGrid w:val="0"/>
          <w:lang w:val="en-GB"/>
        </w:rPr>
        <w:t xml:space="preserve"> because</w:t>
      </w:r>
      <w:r w:rsidR="00BE1F77">
        <w:rPr>
          <w:rFonts w:cs="Arial"/>
          <w:snapToGrid w:val="0"/>
          <w:lang w:val="en-GB"/>
        </w:rPr>
        <w:t xml:space="preserve"> the </w:t>
      </w:r>
      <w:r w:rsidR="008D4A8A">
        <w:rPr>
          <w:rFonts w:cs="Arial"/>
          <w:snapToGrid w:val="0"/>
          <w:lang w:val="en-GB"/>
        </w:rPr>
        <w:t xml:space="preserve">financial estimates were based on </w:t>
      </w:r>
      <w:r w:rsidR="00A1069A">
        <w:rPr>
          <w:rFonts w:cs="Arial"/>
          <w:snapToGrid w:val="0"/>
          <w:lang w:val="en-GB"/>
        </w:rPr>
        <w:t>the submission’s proposed restriction, which was broader than the restriction recommended in terms of baseline HAE attack frequency.</w:t>
      </w:r>
      <w:r w:rsidR="004916F1">
        <w:t xml:space="preserve"> </w:t>
      </w:r>
      <w:r w:rsidR="00582037">
        <w:rPr>
          <w:rFonts w:cs="Arial"/>
          <w:snapToGrid w:val="0"/>
          <w:lang w:val="en-GB"/>
        </w:rPr>
        <w:t xml:space="preserve">In the context of the PBAC-recommended </w:t>
      </w:r>
      <w:r w:rsidR="000C07DE">
        <w:rPr>
          <w:rFonts w:cs="Arial"/>
          <w:snapToGrid w:val="0"/>
          <w:lang w:val="en-GB"/>
        </w:rPr>
        <w:t>restriction</w:t>
      </w:r>
      <w:r w:rsidR="00582037">
        <w:rPr>
          <w:rFonts w:cs="Arial"/>
          <w:snapToGrid w:val="0"/>
          <w:lang w:val="en-GB"/>
        </w:rPr>
        <w:t xml:space="preserve"> (</w:t>
      </w:r>
      <w:r w:rsidR="00582037" w:rsidRPr="000F53CD">
        <w:rPr>
          <w:rFonts w:cs="Arial"/>
          <w:snapToGrid w:val="0"/>
          <w:lang w:val="en-GB"/>
        </w:rPr>
        <w:t>≥</w:t>
      </w:r>
      <w:r w:rsidR="00582037">
        <w:rPr>
          <w:rFonts w:cs="Arial"/>
          <w:snapToGrid w:val="0"/>
          <w:lang w:val="en-GB"/>
        </w:rPr>
        <w:t xml:space="preserve">12 </w:t>
      </w:r>
      <w:r w:rsidR="00940E71">
        <w:rPr>
          <w:rFonts w:cs="Arial"/>
          <w:snapToGrid w:val="0"/>
          <w:lang w:val="en-GB"/>
        </w:rPr>
        <w:t xml:space="preserve">HAE </w:t>
      </w:r>
      <w:r w:rsidR="00582037">
        <w:rPr>
          <w:rFonts w:cs="Arial"/>
          <w:snapToGrid w:val="0"/>
          <w:lang w:val="en-GB"/>
        </w:rPr>
        <w:t>attacks within 6 months with age agnostic listings),</w:t>
      </w:r>
      <w:r w:rsidR="00EC47CC">
        <w:rPr>
          <w:rFonts w:cs="Arial"/>
          <w:snapToGrid w:val="0"/>
          <w:lang w:val="en-GB"/>
        </w:rPr>
        <w:t xml:space="preserve"> the </w:t>
      </w:r>
      <w:r w:rsidR="008645A3">
        <w:rPr>
          <w:rFonts w:cs="Arial"/>
          <w:snapToGrid w:val="0"/>
          <w:lang w:val="en-GB"/>
        </w:rPr>
        <w:t>PBAC considered that</w:t>
      </w:r>
      <w:r w:rsidR="00185EDB">
        <w:rPr>
          <w:rFonts w:cs="Arial"/>
          <w:snapToGrid w:val="0"/>
          <w:lang w:val="en-GB"/>
        </w:rPr>
        <w:t xml:space="preserve"> the submission may have</w:t>
      </w:r>
      <w:r w:rsidR="00B9093F">
        <w:rPr>
          <w:rFonts w:cs="Arial"/>
          <w:snapToGrid w:val="0"/>
          <w:lang w:val="en-GB"/>
        </w:rPr>
        <w:t>:</w:t>
      </w:r>
      <w:r w:rsidR="008645A3">
        <w:rPr>
          <w:rFonts w:cs="Arial"/>
          <w:snapToGrid w:val="0"/>
          <w:lang w:val="en-GB"/>
        </w:rPr>
        <w:t xml:space="preserve"> </w:t>
      </w:r>
      <w:r w:rsidR="00185EDB">
        <w:rPr>
          <w:rFonts w:cs="Arial"/>
          <w:snapToGrid w:val="0"/>
          <w:lang w:val="en-GB"/>
        </w:rPr>
        <w:t xml:space="preserve">overestimated </w:t>
      </w:r>
      <w:r w:rsidR="008645A3">
        <w:rPr>
          <w:rFonts w:cs="Arial"/>
          <w:snapToGrid w:val="0"/>
          <w:lang w:val="en-GB"/>
        </w:rPr>
        <w:t xml:space="preserve">the </w:t>
      </w:r>
      <w:r w:rsidR="000C07DE">
        <w:rPr>
          <w:rFonts w:cs="Arial"/>
          <w:snapToGrid w:val="0"/>
          <w:lang w:val="en-GB"/>
        </w:rPr>
        <w:t xml:space="preserve">eligible population </w:t>
      </w:r>
      <w:r w:rsidR="00940E71">
        <w:rPr>
          <w:rFonts w:cs="Arial"/>
          <w:snapToGrid w:val="0"/>
          <w:lang w:val="en-GB"/>
        </w:rPr>
        <w:t>(as a more stringent restriction was recommended)</w:t>
      </w:r>
      <w:r w:rsidR="00B9093F">
        <w:rPr>
          <w:rFonts w:cs="Arial"/>
          <w:snapToGrid w:val="0"/>
          <w:lang w:val="en-GB"/>
        </w:rPr>
        <w:t xml:space="preserve">; but </w:t>
      </w:r>
      <w:r w:rsidR="00185EDB">
        <w:rPr>
          <w:rFonts w:cs="Arial"/>
          <w:snapToGrid w:val="0"/>
          <w:lang w:val="en-GB"/>
        </w:rPr>
        <w:t xml:space="preserve">underestimated the </w:t>
      </w:r>
      <w:r w:rsidR="00B9093F">
        <w:rPr>
          <w:rFonts w:cs="Arial"/>
          <w:snapToGrid w:val="0"/>
          <w:lang w:val="en-GB"/>
        </w:rPr>
        <w:t>uptake rate (as the restriction would reflect a population with a higher clinical need)</w:t>
      </w:r>
      <w:r w:rsidR="00EC47CC">
        <w:rPr>
          <w:rFonts w:cs="Arial"/>
          <w:snapToGrid w:val="0"/>
          <w:lang w:val="en-GB"/>
        </w:rPr>
        <w:t>.</w:t>
      </w:r>
      <w:r w:rsidR="00B9093F">
        <w:rPr>
          <w:rFonts w:cs="Arial"/>
          <w:snapToGrid w:val="0"/>
          <w:lang w:val="en-GB"/>
        </w:rPr>
        <w:t xml:space="preserve">  </w:t>
      </w:r>
    </w:p>
    <w:p w14:paraId="1C22FDCF" w14:textId="7722117E" w:rsidR="00067632" w:rsidRPr="00067632" w:rsidRDefault="00067632" w:rsidP="00067632">
      <w:pPr>
        <w:pStyle w:val="3-BodyText"/>
      </w:pPr>
      <w:r>
        <w:t>The PBAC noted that the submission proposed a grandfather restriction</w:t>
      </w:r>
      <w:r w:rsidR="008E1632">
        <w:t>. T</w:t>
      </w:r>
      <w:r w:rsidR="008E1632" w:rsidRPr="00AA07FF">
        <w:t>he</w:t>
      </w:r>
      <w:r w:rsidR="008E1632">
        <w:t xml:space="preserve"> PBAC considered that the</w:t>
      </w:r>
      <w:r w:rsidR="008E1632" w:rsidRPr="00AA07FF">
        <w:t xml:space="preserve"> grandfather provision</w:t>
      </w:r>
      <w:r w:rsidR="008E1632">
        <w:t xml:space="preserve"> should</w:t>
      </w:r>
      <w:r w:rsidR="008E1632" w:rsidRPr="00AA07FF">
        <w:t xml:space="preserve"> allow for patients on the </w:t>
      </w:r>
      <w:r w:rsidR="008E1632">
        <w:t xml:space="preserve">current access program to </w:t>
      </w:r>
      <w:r w:rsidR="008E1632" w:rsidRPr="00AA07FF">
        <w:t xml:space="preserve">move onto PBS supply. </w:t>
      </w:r>
      <w:r w:rsidR="006C1704">
        <w:t xml:space="preserve">The PBAC </w:t>
      </w:r>
      <w:r>
        <w:t xml:space="preserve">advised that this should only be in effect for 12 months. </w:t>
      </w:r>
    </w:p>
    <w:p w14:paraId="75D5E2C9" w14:textId="7B3BDED0" w:rsidR="00031E2B" w:rsidRPr="00CF5E40" w:rsidRDefault="00031E2B" w:rsidP="00ED1D70">
      <w:pPr>
        <w:pStyle w:val="3-BodyText"/>
        <w:rPr>
          <w:rFonts w:cstheme="minorHAnsi"/>
          <w:b/>
          <w:lang w:val="en-GB"/>
        </w:rPr>
      </w:pPr>
      <w:r w:rsidRPr="00920FB0">
        <w:rPr>
          <w:rFonts w:ascii="Calibri" w:hAnsi="Calibri" w:cs="Calibri"/>
        </w:rPr>
        <w:t xml:space="preserve">The PBAC recommended that </w:t>
      </w:r>
      <w:r w:rsidR="00B73DDA">
        <w:rPr>
          <w:rFonts w:ascii="Calibri" w:hAnsi="Calibri" w:cs="Calibri"/>
        </w:rPr>
        <w:t>lan</w:t>
      </w:r>
      <w:r w:rsidR="005062D5">
        <w:rPr>
          <w:rFonts w:ascii="Calibri" w:hAnsi="Calibri" w:cs="Calibri"/>
        </w:rPr>
        <w:t>a</w:t>
      </w:r>
      <w:r w:rsidR="00B73DDA">
        <w:rPr>
          <w:rFonts w:ascii="Calibri" w:hAnsi="Calibri" w:cs="Calibri"/>
        </w:rPr>
        <w:t>delumab in patients &lt;12 years</w:t>
      </w:r>
      <w:r w:rsidRPr="00920FB0">
        <w:rPr>
          <w:rFonts w:ascii="Calibri" w:hAnsi="Calibri" w:cs="Calibri"/>
        </w:rPr>
        <w:t xml:space="preserve"> should be included under the existing RSA for </w:t>
      </w:r>
      <w:r w:rsidR="00CB47AF">
        <w:rPr>
          <w:rFonts w:ascii="Calibri" w:hAnsi="Calibri" w:cs="Calibri"/>
        </w:rPr>
        <w:t>lanadelum</w:t>
      </w:r>
      <w:r w:rsidR="005062D5">
        <w:rPr>
          <w:rFonts w:ascii="Calibri" w:hAnsi="Calibri" w:cs="Calibri"/>
        </w:rPr>
        <w:t>a</w:t>
      </w:r>
      <w:r w:rsidR="00CB47AF">
        <w:rPr>
          <w:rFonts w:ascii="Calibri" w:hAnsi="Calibri" w:cs="Calibri"/>
        </w:rPr>
        <w:t xml:space="preserve">b in patients </w:t>
      </w:r>
      <w:r w:rsidR="00CB47AF" w:rsidRPr="000F53CD">
        <w:rPr>
          <w:rFonts w:cs="Arial"/>
          <w:snapToGrid w:val="0"/>
          <w:lang w:val="en-GB"/>
        </w:rPr>
        <w:t>≥12 years</w:t>
      </w:r>
      <w:r>
        <w:rPr>
          <w:rFonts w:ascii="Calibri" w:hAnsi="Calibri" w:cs="Calibri"/>
        </w:rPr>
        <w:t xml:space="preserve"> with no increase in expenditure caps</w:t>
      </w:r>
      <w:r w:rsidR="00303DCF">
        <w:rPr>
          <w:rFonts w:ascii="Calibri" w:hAnsi="Calibri" w:cs="Calibri"/>
        </w:rPr>
        <w:t>, as proposed by the submission</w:t>
      </w:r>
      <w:r w:rsidRPr="00920FB0">
        <w:rPr>
          <w:rFonts w:ascii="Calibri" w:hAnsi="Calibri" w:cs="Calibri"/>
        </w:rPr>
        <w:t>.</w:t>
      </w:r>
    </w:p>
    <w:p w14:paraId="2C2720E4" w14:textId="5CB1EB84" w:rsidR="00CF5E40" w:rsidRPr="00031E2B" w:rsidRDefault="00B9093F" w:rsidP="00ED1D70">
      <w:pPr>
        <w:pStyle w:val="3-BodyText"/>
        <w:rPr>
          <w:rFonts w:cstheme="minorHAnsi"/>
          <w:b/>
          <w:lang w:val="en-GB"/>
        </w:rPr>
      </w:pPr>
      <w:r>
        <w:rPr>
          <w:rFonts w:ascii="Calibri" w:hAnsi="Calibri" w:cs="Calibri"/>
        </w:rPr>
        <w:t xml:space="preserve">The PBAC noted that the submission </w:t>
      </w:r>
      <w:r w:rsidRPr="00B9093F">
        <w:rPr>
          <w:rFonts w:ascii="Calibri" w:hAnsi="Calibri" w:cs="Calibri"/>
        </w:rPr>
        <w:t xml:space="preserve">estimated </w:t>
      </w:r>
      <w:r>
        <w:rPr>
          <w:rFonts w:ascii="Calibri" w:hAnsi="Calibri" w:cs="Calibri"/>
        </w:rPr>
        <w:t>an average</w:t>
      </w:r>
      <w:r w:rsidRPr="00B9093F">
        <w:rPr>
          <w:rFonts w:ascii="Calibri" w:hAnsi="Calibri" w:cs="Calibri"/>
        </w:rPr>
        <w:t xml:space="preserve"> </w:t>
      </w:r>
      <w:r>
        <w:rPr>
          <w:rFonts w:ascii="Calibri" w:hAnsi="Calibri" w:cs="Calibri"/>
        </w:rPr>
        <w:t>of</w:t>
      </w:r>
      <w:r w:rsidRPr="00B9093F">
        <w:rPr>
          <w:rFonts w:ascii="Calibri" w:hAnsi="Calibri" w:cs="Calibri"/>
        </w:rPr>
        <w:t xml:space="preserve"> 20 lanadelumab injections per year</w:t>
      </w:r>
      <w:r>
        <w:rPr>
          <w:rFonts w:ascii="Calibri" w:hAnsi="Calibri" w:cs="Calibri"/>
        </w:rPr>
        <w:t xml:space="preserve"> in the new population. </w:t>
      </w:r>
      <w:r w:rsidR="00CF5E40">
        <w:rPr>
          <w:rFonts w:ascii="Calibri" w:hAnsi="Calibri" w:cs="Calibri"/>
        </w:rPr>
        <w:t xml:space="preserve">The PBAC recalled that one of the reasons for the lanadelumab RSA was to </w:t>
      </w:r>
      <w:r w:rsidR="00CF5E40" w:rsidRPr="00CF5E40">
        <w:rPr>
          <w:rFonts w:ascii="Calibri" w:hAnsi="Calibri" w:cs="Calibri"/>
        </w:rPr>
        <w:t>account for patients receiving the two-weekly dosing regimen</w:t>
      </w:r>
      <w:r w:rsidR="00B94E51">
        <w:rPr>
          <w:rFonts w:ascii="Calibri" w:hAnsi="Calibri" w:cs="Calibri"/>
        </w:rPr>
        <w:t xml:space="preserve"> given the economic model was based on </w:t>
      </w:r>
      <w:r w:rsidR="00B94E51" w:rsidRPr="00B94E51">
        <w:rPr>
          <w:rFonts w:ascii="Calibri" w:hAnsi="Calibri" w:cs="Calibri"/>
        </w:rPr>
        <w:t>the assumption that the cost of lanadelumab would be capped at 13 doses per patient per year i.e. four-weekly dosi</w:t>
      </w:r>
      <w:r w:rsidR="00B94E51">
        <w:rPr>
          <w:rFonts w:ascii="Calibri" w:hAnsi="Calibri" w:cs="Calibri"/>
        </w:rPr>
        <w:t>ng</w:t>
      </w:r>
      <w:r w:rsidR="00CF5E40">
        <w:rPr>
          <w:rFonts w:ascii="Calibri" w:hAnsi="Calibri" w:cs="Calibri"/>
        </w:rPr>
        <w:t xml:space="preserve"> (refer to paragraph </w:t>
      </w:r>
      <w:r w:rsidR="00CF5E40">
        <w:rPr>
          <w:rFonts w:ascii="Calibri" w:hAnsi="Calibri" w:cs="Calibri"/>
        </w:rPr>
        <w:fldChar w:fldCharType="begin" w:fldLock="1"/>
      </w:r>
      <w:r w:rsidR="00CF5E40">
        <w:rPr>
          <w:rFonts w:ascii="Calibri" w:hAnsi="Calibri" w:cs="Calibri"/>
        </w:rPr>
        <w:instrText xml:space="preserve"> REF _Ref183680040 \r \h </w:instrText>
      </w:r>
      <w:r w:rsidR="00CF5E40">
        <w:rPr>
          <w:rFonts w:ascii="Calibri" w:hAnsi="Calibri" w:cs="Calibri"/>
        </w:rPr>
      </w:r>
      <w:r w:rsidR="00CF5E40">
        <w:rPr>
          <w:rFonts w:ascii="Calibri" w:hAnsi="Calibri" w:cs="Calibri"/>
        </w:rPr>
        <w:fldChar w:fldCharType="separate"/>
      </w:r>
      <w:r w:rsidR="009C2393">
        <w:rPr>
          <w:rFonts w:ascii="Calibri" w:hAnsi="Calibri" w:cs="Calibri"/>
        </w:rPr>
        <w:t>6.34</w:t>
      </w:r>
      <w:r w:rsidR="00CF5E40">
        <w:rPr>
          <w:rFonts w:ascii="Calibri" w:hAnsi="Calibri" w:cs="Calibri"/>
        </w:rPr>
        <w:fldChar w:fldCharType="end"/>
      </w:r>
      <w:r w:rsidR="00CF5E40">
        <w:rPr>
          <w:rFonts w:ascii="Calibri" w:hAnsi="Calibri" w:cs="Calibri"/>
        </w:rPr>
        <w:t>)</w:t>
      </w:r>
      <w:r w:rsidR="00B94E51">
        <w:rPr>
          <w:rFonts w:ascii="Calibri" w:hAnsi="Calibri" w:cs="Calibri"/>
        </w:rPr>
        <w:t xml:space="preserve">. The PBAC advised that </w:t>
      </w:r>
      <w:r w:rsidR="004E33E6">
        <w:rPr>
          <w:rFonts w:ascii="Calibri" w:hAnsi="Calibri" w:cs="Calibri"/>
        </w:rPr>
        <w:t>given</w:t>
      </w:r>
      <w:r w:rsidR="00B94E51">
        <w:rPr>
          <w:rFonts w:ascii="Calibri" w:hAnsi="Calibri" w:cs="Calibri"/>
        </w:rPr>
        <w:t xml:space="preserve"> there is substantial utilisation of two-weekly dosing</w:t>
      </w:r>
      <w:r w:rsidR="000C07DE">
        <w:rPr>
          <w:rFonts w:ascii="Calibri" w:hAnsi="Calibri" w:cs="Calibri"/>
        </w:rPr>
        <w:t xml:space="preserve"> (or any dosing that is more frequent than four-weekly)</w:t>
      </w:r>
      <w:r w:rsidR="00E636B0">
        <w:rPr>
          <w:rFonts w:ascii="Calibri" w:hAnsi="Calibri" w:cs="Calibri"/>
        </w:rPr>
        <w:t xml:space="preserve"> </w:t>
      </w:r>
      <w:r w:rsidR="004E33E6">
        <w:rPr>
          <w:rFonts w:ascii="Calibri" w:hAnsi="Calibri" w:cs="Calibri"/>
        </w:rPr>
        <w:t>in clinical practice,</w:t>
      </w:r>
      <w:r w:rsidR="00B94E51">
        <w:rPr>
          <w:rFonts w:ascii="Calibri" w:hAnsi="Calibri" w:cs="Calibri"/>
        </w:rPr>
        <w:t xml:space="preserve"> it </w:t>
      </w:r>
      <w:r w:rsidR="004E33E6">
        <w:rPr>
          <w:rFonts w:ascii="Calibri" w:hAnsi="Calibri" w:cs="Calibri"/>
        </w:rPr>
        <w:t>would</w:t>
      </w:r>
      <w:r w:rsidR="00B94E51">
        <w:rPr>
          <w:rFonts w:ascii="Calibri" w:hAnsi="Calibri" w:cs="Calibri"/>
        </w:rPr>
        <w:t xml:space="preserve"> be preferable to achieve cost</w:t>
      </w:r>
      <w:r w:rsidR="000C07DE">
        <w:rPr>
          <w:rFonts w:ascii="Calibri" w:hAnsi="Calibri" w:cs="Calibri"/>
        </w:rPr>
        <w:t xml:space="preserve">-effectiveness </w:t>
      </w:r>
      <w:r w:rsidR="00B94E51">
        <w:rPr>
          <w:rFonts w:ascii="Calibri" w:hAnsi="Calibri" w:cs="Calibri"/>
        </w:rPr>
        <w:t xml:space="preserve">via the unit price </w:t>
      </w:r>
      <w:r w:rsidR="004E33E6">
        <w:rPr>
          <w:rFonts w:ascii="Calibri" w:hAnsi="Calibri" w:cs="Calibri"/>
        </w:rPr>
        <w:t xml:space="preserve">across the total population using lanadelumab, </w:t>
      </w:r>
      <w:r w:rsidR="00B94E51">
        <w:rPr>
          <w:rFonts w:ascii="Calibri" w:hAnsi="Calibri" w:cs="Calibri"/>
        </w:rPr>
        <w:t xml:space="preserve">rather than </w:t>
      </w:r>
      <w:r w:rsidR="004E33E6">
        <w:rPr>
          <w:rFonts w:ascii="Calibri" w:hAnsi="Calibri" w:cs="Calibri"/>
        </w:rPr>
        <w:t>relying on the</w:t>
      </w:r>
      <w:r w:rsidR="00B94E51">
        <w:rPr>
          <w:rFonts w:ascii="Calibri" w:hAnsi="Calibri" w:cs="Calibri"/>
        </w:rPr>
        <w:t xml:space="preserve"> RSA.  </w:t>
      </w:r>
    </w:p>
    <w:p w14:paraId="6F458035" w14:textId="2242C03F" w:rsidR="00F0447B" w:rsidRPr="00ED1D70" w:rsidRDefault="00F0447B" w:rsidP="00ED1D70">
      <w:pPr>
        <w:pStyle w:val="3-BodyText"/>
        <w:rPr>
          <w:rFonts w:cstheme="minorHAnsi"/>
          <w:b/>
          <w:lang w:val="en-GB"/>
        </w:rPr>
      </w:pPr>
      <w:r w:rsidRPr="00ED1D70">
        <w:rPr>
          <w:rFonts w:cstheme="minorHAnsi"/>
          <w:lang w:val="en-GB"/>
        </w:rPr>
        <w:lastRenderedPageBreak/>
        <w:t xml:space="preserve">The PBAC found that the criteria prescribed by the </w:t>
      </w:r>
      <w:r w:rsidRPr="005062D5">
        <w:rPr>
          <w:rFonts w:cstheme="minorHAnsi"/>
          <w:i/>
          <w:iCs/>
          <w:lang w:val="en-GB"/>
        </w:rPr>
        <w:t>National Health (Pharmaceuticals and Vaccines – Cost Recovery) Regulations 2022</w:t>
      </w:r>
      <w:r w:rsidRPr="00ED1D70">
        <w:rPr>
          <w:rFonts w:cstheme="minorHAnsi"/>
          <w:lang w:val="en-GB"/>
        </w:rPr>
        <w:t xml:space="preserve"> for Pricing Pathway A were not met. Specifically</w:t>
      </w:r>
      <w:r w:rsidR="00227294" w:rsidRPr="00ED1D70">
        <w:rPr>
          <w:rFonts w:cstheme="minorHAnsi"/>
          <w:lang w:val="en-GB"/>
        </w:rPr>
        <w:t>,</w:t>
      </w:r>
      <w:r w:rsidRPr="00ED1D70">
        <w:rPr>
          <w:rFonts w:cstheme="minorHAnsi"/>
          <w:lang w:val="en-GB"/>
        </w:rPr>
        <w:t xml:space="preserve"> the PBAC found that in the circumstances of its recommendation for</w:t>
      </w:r>
      <w:r w:rsidR="00B36F98" w:rsidRPr="00ED1D70">
        <w:rPr>
          <w:rFonts w:cstheme="minorHAnsi"/>
          <w:lang w:val="en-GB"/>
        </w:rPr>
        <w:t xml:space="preserve"> lanadelumab</w:t>
      </w:r>
      <w:r w:rsidRPr="00ED1D70">
        <w:rPr>
          <w:rFonts w:cstheme="minorHAnsi"/>
          <w:lang w:val="en-GB"/>
        </w:rPr>
        <w:t>:</w:t>
      </w:r>
    </w:p>
    <w:p w14:paraId="58546F95" w14:textId="26DC0C84" w:rsidR="00F0447B" w:rsidRPr="00ED1D70" w:rsidRDefault="00F0447B" w:rsidP="00F0447B">
      <w:pPr>
        <w:widowControl w:val="0"/>
        <w:numPr>
          <w:ilvl w:val="1"/>
          <w:numId w:val="25"/>
        </w:numPr>
        <w:spacing w:after="120"/>
        <w:rPr>
          <w:rFonts w:asciiTheme="minorHAnsi" w:hAnsiTheme="minorHAnsi" w:cstheme="minorHAnsi"/>
          <w:lang w:val="en-GB"/>
        </w:rPr>
      </w:pPr>
      <w:r w:rsidRPr="00ED1D70">
        <w:rPr>
          <w:rFonts w:asciiTheme="minorHAnsi" w:hAnsiTheme="minorHAnsi" w:cstheme="minorHAnsi"/>
          <w:lang w:val="en-GB"/>
        </w:rPr>
        <w:t xml:space="preserve">The treatment is expected to provide a clinically relevant improvement in efficacy over </w:t>
      </w:r>
      <w:r w:rsidR="00227294" w:rsidRPr="00ED1D70">
        <w:rPr>
          <w:rFonts w:asciiTheme="minorHAnsi" w:hAnsiTheme="minorHAnsi" w:cstheme="minorHAnsi"/>
          <w:lang w:val="en-GB"/>
        </w:rPr>
        <w:t>standard of care</w:t>
      </w:r>
      <w:r w:rsidR="00216C7B">
        <w:rPr>
          <w:rFonts w:asciiTheme="minorHAnsi" w:hAnsiTheme="minorHAnsi" w:cstheme="minorHAnsi"/>
          <w:lang w:val="en-GB"/>
        </w:rPr>
        <w:t xml:space="preserve">, </w:t>
      </w:r>
      <w:r w:rsidR="00216C7B" w:rsidRPr="00DE2779">
        <w:rPr>
          <w:rFonts w:cstheme="minorHAnsi"/>
        </w:rPr>
        <w:t xml:space="preserve">but the magnitude of benefit </w:t>
      </w:r>
      <w:r w:rsidR="00CA6429">
        <w:rPr>
          <w:rFonts w:cstheme="minorHAnsi"/>
        </w:rPr>
        <w:t>is</w:t>
      </w:r>
      <w:r w:rsidR="00216C7B" w:rsidRPr="00DE2779">
        <w:rPr>
          <w:rFonts w:cstheme="minorHAnsi"/>
        </w:rPr>
        <w:t xml:space="preserve"> uncertain</w:t>
      </w:r>
      <w:r w:rsidR="00227294" w:rsidRPr="00ED1D70">
        <w:rPr>
          <w:rFonts w:asciiTheme="minorHAnsi" w:hAnsiTheme="minorHAnsi" w:cstheme="minorHAnsi"/>
          <w:lang w:val="en-GB"/>
        </w:rPr>
        <w:t xml:space="preserve">. </w:t>
      </w:r>
      <w:r w:rsidRPr="00ED1D70">
        <w:rPr>
          <w:rFonts w:asciiTheme="minorHAnsi" w:hAnsiTheme="minorHAnsi" w:cstheme="minorHAnsi"/>
          <w:lang w:val="en-GB"/>
        </w:rPr>
        <w:t xml:space="preserve"> </w:t>
      </w:r>
    </w:p>
    <w:p w14:paraId="3A498A8F" w14:textId="51310351" w:rsidR="00F0447B" w:rsidRPr="00ED1D70" w:rsidRDefault="00F0447B" w:rsidP="00F0447B">
      <w:pPr>
        <w:widowControl w:val="0"/>
        <w:numPr>
          <w:ilvl w:val="1"/>
          <w:numId w:val="25"/>
        </w:numPr>
        <w:spacing w:after="120"/>
        <w:rPr>
          <w:rFonts w:asciiTheme="minorHAnsi" w:hAnsiTheme="minorHAnsi" w:cstheme="minorHAnsi"/>
          <w:lang w:val="en-GB"/>
        </w:rPr>
      </w:pPr>
      <w:r w:rsidRPr="00ED1D70">
        <w:rPr>
          <w:rFonts w:asciiTheme="minorHAnsi" w:hAnsiTheme="minorHAnsi" w:cstheme="minorHAnsi"/>
          <w:lang w:val="en-GB"/>
        </w:rPr>
        <w:t>The treatment is</w:t>
      </w:r>
      <w:r w:rsidR="00A76CA7">
        <w:rPr>
          <w:rFonts w:asciiTheme="minorHAnsi" w:hAnsiTheme="minorHAnsi" w:cstheme="minorHAnsi"/>
          <w:lang w:val="en-GB"/>
        </w:rPr>
        <w:t xml:space="preserve"> not</w:t>
      </w:r>
      <w:r w:rsidRPr="00ED1D70">
        <w:rPr>
          <w:rFonts w:asciiTheme="minorHAnsi" w:hAnsiTheme="minorHAnsi" w:cstheme="minorHAnsi"/>
          <w:lang w:val="en-GB"/>
        </w:rPr>
        <w:t xml:space="preserve"> expected to address a high and urgent unmet clinical need</w:t>
      </w:r>
      <w:r w:rsidR="00216C7B">
        <w:rPr>
          <w:rFonts w:asciiTheme="minorHAnsi" w:hAnsiTheme="minorHAnsi" w:cstheme="minorHAnsi"/>
          <w:lang w:val="en-GB"/>
        </w:rPr>
        <w:t xml:space="preserve"> because there are alternative treatment options for HAE</w:t>
      </w:r>
      <w:r w:rsidR="004A7DF4">
        <w:rPr>
          <w:rFonts w:asciiTheme="minorHAnsi" w:hAnsiTheme="minorHAnsi" w:cstheme="minorHAnsi"/>
          <w:lang w:val="en-GB"/>
        </w:rPr>
        <w:t xml:space="preserve"> in patients &lt;12 years (ODT)</w:t>
      </w:r>
      <w:r w:rsidR="00216C7B">
        <w:rPr>
          <w:rFonts w:asciiTheme="minorHAnsi" w:hAnsiTheme="minorHAnsi" w:cstheme="minorHAnsi"/>
          <w:lang w:val="en-GB"/>
        </w:rPr>
        <w:t>.</w:t>
      </w:r>
    </w:p>
    <w:p w14:paraId="74A61065" w14:textId="25FDD184" w:rsidR="00F0447B" w:rsidRPr="00DE1CF2" w:rsidRDefault="00216C7B" w:rsidP="00227294">
      <w:pPr>
        <w:widowControl w:val="0"/>
        <w:numPr>
          <w:ilvl w:val="1"/>
          <w:numId w:val="25"/>
        </w:numPr>
        <w:spacing w:after="120"/>
        <w:rPr>
          <w:rFonts w:asciiTheme="minorHAnsi" w:hAnsiTheme="minorHAnsi" w:cstheme="minorHAnsi"/>
          <w:lang w:val="en-GB"/>
        </w:rPr>
      </w:pPr>
      <w:r w:rsidRPr="00DE2779">
        <w:rPr>
          <w:rFonts w:cstheme="minorHAnsi"/>
        </w:rPr>
        <w:t>It was not necessary to make a finding in relation to whether it would be in the public interest for the subsequent pricing application to be progressed under Pricing Pathway A because one or more of the preceding tests had failed.</w:t>
      </w:r>
      <w:r w:rsidR="00645233">
        <w:rPr>
          <w:rFonts w:asciiTheme="minorHAnsi" w:hAnsiTheme="minorHAnsi" w:cstheme="minorHAnsi"/>
          <w:lang w:val="en-GB"/>
        </w:rPr>
        <w:t xml:space="preserve"> </w:t>
      </w:r>
    </w:p>
    <w:p w14:paraId="598267CC" w14:textId="23DB360B" w:rsidR="00F0447B" w:rsidRPr="00DE1CF2" w:rsidRDefault="00F0447B" w:rsidP="00227294">
      <w:pPr>
        <w:pStyle w:val="3-BodyText"/>
        <w:rPr>
          <w:rFonts w:cs="Arial"/>
          <w:snapToGrid w:val="0"/>
          <w:u w:val="single"/>
          <w:lang w:val="en-GB"/>
        </w:rPr>
      </w:pPr>
      <w:r w:rsidRPr="00DE1CF2">
        <w:rPr>
          <w:rFonts w:cs="Arial"/>
          <w:bCs/>
          <w:snapToGrid w:val="0"/>
          <w:lang w:val="en-GB"/>
        </w:rPr>
        <w:t>The PBAC noted that this submission is not eligible for an Independent Review</w:t>
      </w:r>
      <w:r w:rsidR="00227294" w:rsidRPr="00DE1CF2">
        <w:rPr>
          <w:rFonts w:cs="Arial"/>
          <w:bCs/>
          <w:snapToGrid w:val="0"/>
          <w:lang w:val="en-GB"/>
        </w:rPr>
        <w:t xml:space="preserve"> as it received a positive recommendation</w:t>
      </w:r>
      <w:r w:rsidRPr="00DE1CF2">
        <w:rPr>
          <w:rFonts w:cs="Arial"/>
          <w:bCs/>
          <w:snapToGrid w:val="0"/>
          <w:lang w:val="en-GB"/>
        </w:rPr>
        <w:t xml:space="preserve">. </w:t>
      </w:r>
    </w:p>
    <w:p w14:paraId="2E97230C" w14:textId="77777777" w:rsidR="00F0447B" w:rsidRPr="00DE1CF2" w:rsidRDefault="00F0447B" w:rsidP="00F0447B">
      <w:pPr>
        <w:spacing w:before="240"/>
        <w:rPr>
          <w:rFonts w:asciiTheme="minorHAnsi" w:hAnsiTheme="minorHAnsi"/>
          <w:b/>
          <w:bCs/>
          <w:snapToGrid w:val="0"/>
          <w:lang w:val="en-GB"/>
        </w:rPr>
      </w:pPr>
      <w:r w:rsidRPr="00DE1CF2">
        <w:rPr>
          <w:rFonts w:asciiTheme="minorHAnsi" w:hAnsiTheme="minorHAnsi"/>
          <w:b/>
          <w:bCs/>
          <w:snapToGrid w:val="0"/>
          <w:lang w:val="en-GB"/>
        </w:rPr>
        <w:t>Outcome:</w:t>
      </w:r>
    </w:p>
    <w:p w14:paraId="77283C9A" w14:textId="333FB342" w:rsidR="00F0447B" w:rsidRPr="00DE1CF2" w:rsidRDefault="00F0447B" w:rsidP="00F0447B">
      <w:pPr>
        <w:rPr>
          <w:rFonts w:asciiTheme="minorHAnsi" w:hAnsiTheme="minorHAnsi"/>
          <w:bCs/>
          <w:snapToGrid w:val="0"/>
          <w:lang w:val="en-GB"/>
        </w:rPr>
      </w:pPr>
      <w:r w:rsidRPr="00DE1CF2">
        <w:rPr>
          <w:rFonts w:asciiTheme="minorHAnsi" w:hAnsiTheme="minorHAnsi"/>
          <w:bCs/>
          <w:snapToGrid w:val="0"/>
          <w:lang w:val="en-GB"/>
        </w:rPr>
        <w:t xml:space="preserve">Recommended </w:t>
      </w:r>
    </w:p>
    <w:p w14:paraId="5DA9D774" w14:textId="77777777" w:rsidR="00F0447B" w:rsidRPr="00DE1CF2" w:rsidRDefault="00F0447B" w:rsidP="00F0447B">
      <w:pPr>
        <w:widowControl w:val="0"/>
        <w:rPr>
          <w:rFonts w:asciiTheme="minorHAnsi" w:hAnsiTheme="minorHAnsi"/>
          <w:b/>
          <w:bCs/>
          <w:snapToGrid w:val="0"/>
        </w:rPr>
      </w:pPr>
    </w:p>
    <w:bookmarkEnd w:id="66"/>
    <w:p w14:paraId="6C70D3E1" w14:textId="77777777" w:rsidR="00F0447B" w:rsidRPr="003F1956" w:rsidRDefault="00F0447B" w:rsidP="00F0447B">
      <w:pPr>
        <w:pStyle w:val="2-SectionHeading"/>
        <w:ind w:left="720" w:hanging="720"/>
      </w:pPr>
      <w:r w:rsidRPr="003F1956">
        <w:t>Recommended listing</w:t>
      </w:r>
    </w:p>
    <w:p w14:paraId="4825EFEC" w14:textId="415EB49B" w:rsidR="00F0447B" w:rsidRPr="003F1956" w:rsidRDefault="00F0447B" w:rsidP="002D6F33">
      <w:pPr>
        <w:pStyle w:val="3-BodyText"/>
        <w:rPr>
          <w:bCs/>
          <w:snapToGrid w:val="0"/>
        </w:rPr>
      </w:pPr>
      <w:r w:rsidRPr="003F1956">
        <w:rPr>
          <w:bCs/>
          <w:snapToGrid w:val="0"/>
        </w:rPr>
        <w:t>Add new item:</w:t>
      </w:r>
    </w:p>
    <w:p w14:paraId="51637EA8" w14:textId="4386672D" w:rsidR="00F36BCA" w:rsidRPr="008019F9" w:rsidRDefault="00F36BCA" w:rsidP="00D63E5B">
      <w:pPr>
        <w:rPr>
          <w:rFonts w:ascii="Arial Narrow" w:eastAsia="Calibri" w:hAnsi="Arial Narrow"/>
          <w:b/>
          <w:bCs/>
          <w:sz w:val="20"/>
          <w:szCs w:val="20"/>
        </w:rPr>
      </w:pPr>
    </w:p>
    <w:p w14:paraId="70FEE465" w14:textId="77777777" w:rsidR="00F36BCA" w:rsidRPr="008019F9" w:rsidRDefault="00F36BCA" w:rsidP="00D63E5B">
      <w:pPr>
        <w:widowControl w:val="0"/>
        <w:rPr>
          <w:rFonts w:ascii="Arial Narrow" w:hAnsi="Arial Narrow"/>
          <w:b/>
          <w:bCs/>
          <w:sz w:val="20"/>
          <w:szCs w:val="18"/>
        </w:rPr>
      </w:pPr>
      <w:r w:rsidRPr="008019F9">
        <w:rPr>
          <w:rFonts w:ascii="Arial Narrow" w:hAnsi="Arial Narrow"/>
          <w:b/>
          <w:bCs/>
          <w:sz w:val="20"/>
          <w:szCs w:val="18"/>
        </w:rPr>
        <w:t>Initial treatment – New patient</w:t>
      </w:r>
    </w:p>
    <w:p w14:paraId="7D8CF012" w14:textId="77777777" w:rsidR="00F36BCA" w:rsidRPr="008019F9" w:rsidRDefault="00F36BCA" w:rsidP="00D63E5B">
      <w:pPr>
        <w:rPr>
          <w:rFonts w:ascii="Arial Narrow" w:eastAsia="Calibri" w:hAnsi="Arial Narrow"/>
          <w:b/>
          <w:bCs/>
          <w:sz w:val="20"/>
          <w:szCs w:val="20"/>
          <w:lang w:eastAsia="en-GB"/>
        </w:rPr>
      </w:pPr>
      <w:r w:rsidRPr="008019F9">
        <w:rPr>
          <w:rFonts w:ascii="Arial Narrow" w:eastAsia="Calibri" w:hAnsi="Arial Narrow"/>
          <w:b/>
          <w:bCs/>
          <w:sz w:val="20"/>
          <w:szCs w:val="20"/>
          <w:lang w:eastAsia="en-GB"/>
        </w:rPr>
        <w:t>Restriction Summary New/ ToC: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2810"/>
        <w:gridCol w:w="811"/>
        <w:gridCol w:w="812"/>
        <w:gridCol w:w="811"/>
        <w:gridCol w:w="812"/>
        <w:gridCol w:w="1831"/>
      </w:tblGrid>
      <w:tr w:rsidR="00F36BCA" w:rsidRPr="008019F9" w14:paraId="167D3556" w14:textId="77777777" w:rsidTr="00E120D6">
        <w:trPr>
          <w:cantSplit/>
          <w:trHeight w:val="20"/>
        </w:trPr>
        <w:tc>
          <w:tcPr>
            <w:tcW w:w="3940" w:type="dxa"/>
            <w:gridSpan w:val="2"/>
            <w:vAlign w:val="center"/>
          </w:tcPr>
          <w:p w14:paraId="22E2ECA2" w14:textId="77777777" w:rsidR="00F36BCA" w:rsidRPr="008019F9" w:rsidRDefault="00F36BCA" w:rsidP="00D63E5B">
            <w:pPr>
              <w:rPr>
                <w:rFonts w:ascii="Arial Narrow" w:eastAsia="Calibri" w:hAnsi="Arial Narrow"/>
                <w:b/>
                <w:bCs/>
                <w:sz w:val="20"/>
                <w:szCs w:val="20"/>
              </w:rPr>
            </w:pPr>
            <w:r w:rsidRPr="008019F9">
              <w:rPr>
                <w:rFonts w:ascii="Arial Narrow" w:eastAsia="Calibri" w:hAnsi="Arial Narrow"/>
                <w:b/>
                <w:bCs/>
                <w:sz w:val="20"/>
                <w:szCs w:val="20"/>
              </w:rPr>
              <w:t>MEDICINAL PRODUCT</w:t>
            </w:r>
          </w:p>
          <w:p w14:paraId="769CD3B2" w14:textId="77777777" w:rsidR="00F36BCA" w:rsidRPr="008019F9" w:rsidRDefault="00F36BCA" w:rsidP="00D63E5B">
            <w:pPr>
              <w:rPr>
                <w:rFonts w:ascii="Arial Narrow" w:eastAsia="Calibri" w:hAnsi="Arial Narrow"/>
                <w:b/>
                <w:sz w:val="20"/>
                <w:szCs w:val="20"/>
              </w:rPr>
            </w:pPr>
            <w:r w:rsidRPr="008019F9">
              <w:rPr>
                <w:rFonts w:ascii="Arial Narrow" w:eastAsia="Calibri" w:hAnsi="Arial Narrow"/>
                <w:b/>
                <w:bCs/>
                <w:sz w:val="20"/>
                <w:szCs w:val="20"/>
              </w:rPr>
              <w:t>medicinal product pack</w:t>
            </w:r>
          </w:p>
        </w:tc>
        <w:tc>
          <w:tcPr>
            <w:tcW w:w="811" w:type="dxa"/>
            <w:vAlign w:val="center"/>
          </w:tcPr>
          <w:p w14:paraId="7972537D" w14:textId="77777777" w:rsidR="00F36BCA" w:rsidRPr="008019F9" w:rsidRDefault="00F36BCA" w:rsidP="00D63E5B">
            <w:pPr>
              <w:jc w:val="center"/>
              <w:rPr>
                <w:rFonts w:ascii="Arial Narrow" w:eastAsia="Calibri" w:hAnsi="Arial Narrow"/>
                <w:b/>
                <w:sz w:val="20"/>
                <w:szCs w:val="20"/>
              </w:rPr>
            </w:pPr>
            <w:r w:rsidRPr="008019F9">
              <w:rPr>
                <w:rFonts w:ascii="Arial Narrow" w:eastAsia="Calibri" w:hAnsi="Arial Narrow"/>
                <w:b/>
                <w:sz w:val="20"/>
                <w:szCs w:val="20"/>
              </w:rPr>
              <w:t>PBS item code</w:t>
            </w:r>
          </w:p>
        </w:tc>
        <w:tc>
          <w:tcPr>
            <w:tcW w:w="812" w:type="dxa"/>
            <w:vAlign w:val="center"/>
          </w:tcPr>
          <w:p w14:paraId="31F9DE1E" w14:textId="77777777" w:rsidR="00F36BCA" w:rsidRPr="008019F9" w:rsidRDefault="00F36BCA" w:rsidP="00D63E5B">
            <w:pPr>
              <w:jc w:val="center"/>
              <w:rPr>
                <w:rFonts w:ascii="Arial Narrow" w:eastAsia="Calibri" w:hAnsi="Arial Narrow"/>
                <w:b/>
                <w:sz w:val="20"/>
                <w:szCs w:val="20"/>
              </w:rPr>
            </w:pPr>
            <w:r w:rsidRPr="008019F9">
              <w:rPr>
                <w:rFonts w:ascii="Arial Narrow" w:eastAsia="Calibri" w:hAnsi="Arial Narrow"/>
                <w:b/>
                <w:sz w:val="20"/>
                <w:szCs w:val="20"/>
              </w:rPr>
              <w:t>Max. qty packs</w:t>
            </w:r>
          </w:p>
        </w:tc>
        <w:tc>
          <w:tcPr>
            <w:tcW w:w="811" w:type="dxa"/>
            <w:vAlign w:val="center"/>
          </w:tcPr>
          <w:p w14:paraId="59CAFA8A" w14:textId="77777777" w:rsidR="00F36BCA" w:rsidRPr="008019F9" w:rsidRDefault="00F36BCA" w:rsidP="00D63E5B">
            <w:pPr>
              <w:jc w:val="center"/>
              <w:rPr>
                <w:rFonts w:ascii="Arial Narrow" w:eastAsia="Calibri" w:hAnsi="Arial Narrow"/>
                <w:b/>
                <w:sz w:val="20"/>
                <w:szCs w:val="20"/>
              </w:rPr>
            </w:pPr>
            <w:r w:rsidRPr="008019F9">
              <w:rPr>
                <w:rFonts w:ascii="Arial Narrow" w:eastAsia="Calibri" w:hAnsi="Arial Narrow"/>
                <w:b/>
                <w:sz w:val="20"/>
                <w:szCs w:val="20"/>
              </w:rPr>
              <w:t>Max. qty units</w:t>
            </w:r>
          </w:p>
        </w:tc>
        <w:tc>
          <w:tcPr>
            <w:tcW w:w="812" w:type="dxa"/>
            <w:vAlign w:val="center"/>
          </w:tcPr>
          <w:p w14:paraId="5AFA7193" w14:textId="77777777" w:rsidR="00F36BCA" w:rsidRPr="008019F9" w:rsidRDefault="00F36BCA" w:rsidP="00D63E5B">
            <w:pPr>
              <w:jc w:val="center"/>
              <w:rPr>
                <w:rFonts w:ascii="Arial Narrow" w:eastAsia="Calibri" w:hAnsi="Arial Narrow"/>
                <w:b/>
                <w:sz w:val="20"/>
                <w:szCs w:val="20"/>
              </w:rPr>
            </w:pPr>
            <w:r w:rsidRPr="008019F9">
              <w:rPr>
                <w:rFonts w:ascii="Arial Narrow" w:eastAsia="Calibri" w:hAnsi="Arial Narrow"/>
                <w:b/>
                <w:sz w:val="20"/>
                <w:szCs w:val="20"/>
              </w:rPr>
              <w:t>№.of</w:t>
            </w:r>
          </w:p>
          <w:p w14:paraId="54E3EE64" w14:textId="77777777" w:rsidR="00F36BCA" w:rsidRPr="008019F9" w:rsidRDefault="00F36BCA" w:rsidP="00D63E5B">
            <w:pPr>
              <w:jc w:val="center"/>
              <w:rPr>
                <w:rFonts w:ascii="Arial Narrow" w:eastAsia="Calibri" w:hAnsi="Arial Narrow"/>
                <w:b/>
                <w:sz w:val="20"/>
                <w:szCs w:val="20"/>
              </w:rPr>
            </w:pPr>
            <w:r w:rsidRPr="008019F9">
              <w:rPr>
                <w:rFonts w:ascii="Arial Narrow" w:eastAsia="Calibri" w:hAnsi="Arial Narrow"/>
                <w:b/>
                <w:sz w:val="20"/>
                <w:szCs w:val="20"/>
              </w:rPr>
              <w:t>Rpts</w:t>
            </w:r>
          </w:p>
        </w:tc>
        <w:tc>
          <w:tcPr>
            <w:tcW w:w="1831" w:type="dxa"/>
            <w:vAlign w:val="center"/>
          </w:tcPr>
          <w:p w14:paraId="473D51F0" w14:textId="77777777" w:rsidR="00F36BCA" w:rsidRPr="008019F9" w:rsidRDefault="00F36BCA" w:rsidP="00D63E5B">
            <w:pPr>
              <w:rPr>
                <w:rFonts w:ascii="Arial Narrow" w:eastAsia="Calibri" w:hAnsi="Arial Narrow"/>
                <w:b/>
                <w:sz w:val="20"/>
                <w:szCs w:val="20"/>
                <w:lang w:val="fr-FR"/>
              </w:rPr>
            </w:pPr>
            <w:r w:rsidRPr="008019F9">
              <w:rPr>
                <w:rFonts w:ascii="Arial Narrow" w:eastAsia="Calibri" w:hAnsi="Arial Narrow"/>
                <w:b/>
                <w:sz w:val="20"/>
                <w:szCs w:val="20"/>
              </w:rPr>
              <w:t>Available brands</w:t>
            </w:r>
          </w:p>
        </w:tc>
      </w:tr>
      <w:tr w:rsidR="00F36BCA" w:rsidRPr="008019F9" w14:paraId="6746700D" w14:textId="77777777" w:rsidTr="00E120D6">
        <w:trPr>
          <w:cantSplit/>
          <w:trHeight w:val="20"/>
        </w:trPr>
        <w:tc>
          <w:tcPr>
            <w:tcW w:w="9017" w:type="dxa"/>
            <w:gridSpan w:val="7"/>
            <w:vAlign w:val="center"/>
          </w:tcPr>
          <w:p w14:paraId="5C73F337" w14:textId="77777777" w:rsidR="00F36BCA" w:rsidRPr="008019F9" w:rsidRDefault="00F36BCA" w:rsidP="00D63E5B">
            <w:pPr>
              <w:rPr>
                <w:rFonts w:ascii="Arial Narrow" w:eastAsia="Calibri" w:hAnsi="Arial Narrow"/>
                <w:sz w:val="20"/>
                <w:szCs w:val="20"/>
              </w:rPr>
            </w:pPr>
            <w:r w:rsidRPr="008019F9">
              <w:rPr>
                <w:rFonts w:ascii="Arial Narrow" w:eastAsia="Calibri" w:hAnsi="Arial Narrow"/>
                <w:sz w:val="20"/>
                <w:szCs w:val="20"/>
              </w:rPr>
              <w:t>LANADELUMAB</w:t>
            </w:r>
          </w:p>
        </w:tc>
      </w:tr>
      <w:tr w:rsidR="00F36BCA" w:rsidRPr="008019F9" w14:paraId="7C0D7072" w14:textId="77777777" w:rsidTr="00E120D6">
        <w:trPr>
          <w:cantSplit/>
          <w:trHeight w:val="20"/>
        </w:trPr>
        <w:tc>
          <w:tcPr>
            <w:tcW w:w="3940" w:type="dxa"/>
            <w:gridSpan w:val="2"/>
            <w:vAlign w:val="center"/>
          </w:tcPr>
          <w:p w14:paraId="14459238" w14:textId="77777777" w:rsidR="00F36BCA" w:rsidRPr="008019F9" w:rsidRDefault="00F36BCA" w:rsidP="00D63E5B">
            <w:pPr>
              <w:rPr>
                <w:rFonts w:ascii="Arial Narrow" w:eastAsia="Calibri" w:hAnsi="Arial Narrow"/>
                <w:sz w:val="20"/>
                <w:szCs w:val="20"/>
              </w:rPr>
            </w:pPr>
            <w:r w:rsidRPr="008019F9">
              <w:rPr>
                <w:rFonts w:ascii="Arial Narrow" w:eastAsia="Calibri" w:hAnsi="Arial Narrow"/>
                <w:sz w:val="20"/>
                <w:szCs w:val="20"/>
              </w:rPr>
              <w:t>lanadelumab 150 mg</w:t>
            </w:r>
            <w:r w:rsidRPr="008019F9">
              <w:rPr>
                <w:rFonts w:ascii="Arial Narrow" w:eastAsia="Calibri" w:hAnsi="Arial Narrow"/>
                <w:i/>
                <w:iCs/>
                <w:sz w:val="20"/>
                <w:szCs w:val="20"/>
              </w:rPr>
              <w:t>/</w:t>
            </w:r>
            <w:r w:rsidRPr="008019F9">
              <w:rPr>
                <w:rFonts w:ascii="Arial Narrow" w:eastAsia="Calibri" w:hAnsi="Arial Narrow"/>
                <w:sz w:val="20"/>
                <w:szCs w:val="20"/>
              </w:rPr>
              <w:t>1 mL injection</w:t>
            </w:r>
            <w:r w:rsidRPr="007176E5">
              <w:rPr>
                <w:rFonts w:ascii="Arial Narrow" w:eastAsia="Calibri" w:hAnsi="Arial Narrow"/>
                <w:sz w:val="20"/>
                <w:szCs w:val="20"/>
              </w:rPr>
              <w:t>, 1 mL syringe</w:t>
            </w:r>
          </w:p>
        </w:tc>
        <w:tc>
          <w:tcPr>
            <w:tcW w:w="811" w:type="dxa"/>
            <w:vAlign w:val="center"/>
          </w:tcPr>
          <w:p w14:paraId="4C072C9C" w14:textId="77777777" w:rsidR="00F36BCA" w:rsidRPr="008019F9" w:rsidRDefault="00F36BCA" w:rsidP="00D63E5B">
            <w:pPr>
              <w:jc w:val="center"/>
              <w:rPr>
                <w:rFonts w:ascii="Arial Narrow" w:eastAsia="Calibri" w:hAnsi="Arial Narrow"/>
                <w:sz w:val="20"/>
                <w:szCs w:val="20"/>
              </w:rPr>
            </w:pPr>
            <w:r w:rsidRPr="008019F9">
              <w:rPr>
                <w:rFonts w:ascii="Arial Narrow" w:eastAsia="Calibri" w:hAnsi="Arial Narrow"/>
                <w:sz w:val="20"/>
                <w:szCs w:val="20"/>
              </w:rPr>
              <w:t>NEW</w:t>
            </w:r>
          </w:p>
          <w:p w14:paraId="4A473456" w14:textId="77777777" w:rsidR="00F36BCA" w:rsidRPr="008019F9" w:rsidRDefault="00F36BCA" w:rsidP="00D63E5B">
            <w:pPr>
              <w:jc w:val="center"/>
              <w:rPr>
                <w:rFonts w:ascii="Arial Narrow" w:eastAsia="Calibri" w:hAnsi="Arial Narrow"/>
                <w:sz w:val="16"/>
                <w:szCs w:val="16"/>
              </w:rPr>
            </w:pPr>
            <w:r w:rsidRPr="008019F9">
              <w:rPr>
                <w:rFonts w:ascii="Arial Narrow" w:eastAsia="Calibri" w:hAnsi="Arial Narrow"/>
                <w:sz w:val="16"/>
                <w:szCs w:val="16"/>
              </w:rPr>
              <w:t>MP</w:t>
            </w:r>
          </w:p>
        </w:tc>
        <w:tc>
          <w:tcPr>
            <w:tcW w:w="812" w:type="dxa"/>
            <w:vAlign w:val="center"/>
          </w:tcPr>
          <w:p w14:paraId="28AFB504" w14:textId="77777777" w:rsidR="00F36BCA" w:rsidRPr="008019F9" w:rsidRDefault="00F36BCA" w:rsidP="00D63E5B">
            <w:pPr>
              <w:jc w:val="center"/>
              <w:rPr>
                <w:rFonts w:ascii="Arial Narrow" w:eastAsia="Calibri" w:hAnsi="Arial Narrow"/>
                <w:sz w:val="20"/>
                <w:szCs w:val="20"/>
              </w:rPr>
            </w:pPr>
            <w:r w:rsidRPr="008019F9">
              <w:rPr>
                <w:rFonts w:ascii="Arial Narrow" w:eastAsia="Calibri" w:hAnsi="Arial Narrow"/>
                <w:sz w:val="20"/>
                <w:szCs w:val="20"/>
              </w:rPr>
              <w:t>1</w:t>
            </w:r>
          </w:p>
        </w:tc>
        <w:tc>
          <w:tcPr>
            <w:tcW w:w="811" w:type="dxa"/>
            <w:vAlign w:val="center"/>
          </w:tcPr>
          <w:p w14:paraId="77C011E6" w14:textId="77777777" w:rsidR="00F36BCA" w:rsidRPr="008019F9" w:rsidRDefault="00F36BCA" w:rsidP="00D63E5B">
            <w:pPr>
              <w:jc w:val="center"/>
              <w:rPr>
                <w:rFonts w:ascii="Arial Narrow" w:eastAsia="Calibri" w:hAnsi="Arial Narrow"/>
                <w:sz w:val="20"/>
                <w:szCs w:val="20"/>
              </w:rPr>
            </w:pPr>
            <w:r w:rsidRPr="008019F9">
              <w:rPr>
                <w:rFonts w:ascii="Arial Narrow" w:eastAsia="Calibri" w:hAnsi="Arial Narrow"/>
                <w:sz w:val="20"/>
                <w:szCs w:val="20"/>
              </w:rPr>
              <w:t>1</w:t>
            </w:r>
          </w:p>
        </w:tc>
        <w:tc>
          <w:tcPr>
            <w:tcW w:w="812" w:type="dxa"/>
            <w:vAlign w:val="center"/>
          </w:tcPr>
          <w:p w14:paraId="1E7B8E48" w14:textId="77777777" w:rsidR="00F36BCA" w:rsidRPr="008019F9" w:rsidRDefault="00F36BCA" w:rsidP="00D63E5B">
            <w:pPr>
              <w:jc w:val="center"/>
              <w:rPr>
                <w:rFonts w:ascii="Arial Narrow" w:eastAsia="Calibri" w:hAnsi="Arial Narrow"/>
                <w:sz w:val="20"/>
                <w:szCs w:val="20"/>
              </w:rPr>
            </w:pPr>
            <w:r w:rsidRPr="008019F9">
              <w:rPr>
                <w:rFonts w:ascii="Arial Narrow" w:eastAsia="Calibri" w:hAnsi="Arial Narrow"/>
                <w:sz w:val="20"/>
                <w:szCs w:val="20"/>
              </w:rPr>
              <w:t>5</w:t>
            </w:r>
          </w:p>
        </w:tc>
        <w:tc>
          <w:tcPr>
            <w:tcW w:w="1831" w:type="dxa"/>
            <w:vAlign w:val="center"/>
          </w:tcPr>
          <w:p w14:paraId="050E1F06" w14:textId="77777777" w:rsidR="00F36BCA" w:rsidRPr="008019F9" w:rsidRDefault="00F36BCA" w:rsidP="00D63E5B">
            <w:pPr>
              <w:rPr>
                <w:rFonts w:ascii="Arial Narrow" w:hAnsi="Arial Narrow"/>
                <w:snapToGrid w:val="0"/>
                <w:sz w:val="20"/>
                <w:szCs w:val="20"/>
              </w:rPr>
            </w:pPr>
            <w:r w:rsidRPr="008019F9">
              <w:rPr>
                <w:rFonts w:ascii="Arial Narrow" w:hAnsi="Arial Narrow"/>
                <w:snapToGrid w:val="0"/>
                <w:sz w:val="20"/>
                <w:szCs w:val="20"/>
              </w:rPr>
              <w:t>TAKHZYRO®</w:t>
            </w:r>
          </w:p>
          <w:p w14:paraId="09C8EBDF" w14:textId="77777777" w:rsidR="00F36BCA" w:rsidRPr="008019F9" w:rsidRDefault="00F36BCA" w:rsidP="00D63E5B">
            <w:pPr>
              <w:rPr>
                <w:rFonts w:ascii="Arial Narrow" w:eastAsia="Calibri" w:hAnsi="Arial Narrow"/>
                <w:sz w:val="20"/>
                <w:szCs w:val="20"/>
              </w:rPr>
            </w:pPr>
            <w:r w:rsidRPr="008019F9">
              <w:rPr>
                <w:rFonts w:ascii="Arial Narrow" w:hAnsi="Arial Narrow"/>
                <w:sz w:val="20"/>
                <w:szCs w:val="20"/>
              </w:rPr>
              <w:t>TAKEDA Australia Pty Ltd</w:t>
            </w:r>
          </w:p>
        </w:tc>
      </w:tr>
      <w:tr w:rsidR="00F36BCA" w:rsidRPr="008019F9" w14:paraId="70757401" w14:textId="77777777" w:rsidTr="00E120D6">
        <w:tblPrEx>
          <w:tblCellMar>
            <w:top w:w="15" w:type="dxa"/>
            <w:bottom w:w="15" w:type="dxa"/>
          </w:tblCellMar>
        </w:tblPrEx>
        <w:trPr>
          <w:trHeight w:val="20"/>
        </w:trPr>
        <w:tc>
          <w:tcPr>
            <w:tcW w:w="1130" w:type="dxa"/>
            <w:vMerge w:val="restart"/>
            <w:tcBorders>
              <w:top w:val="single" w:sz="4" w:space="0" w:color="auto"/>
              <w:left w:val="single" w:sz="4" w:space="0" w:color="auto"/>
              <w:right w:val="single" w:sz="4" w:space="0" w:color="auto"/>
            </w:tcBorders>
          </w:tcPr>
          <w:p w14:paraId="2A9FCC96" w14:textId="77777777" w:rsidR="00F36BCA" w:rsidRPr="008019F9" w:rsidRDefault="00F36BCA" w:rsidP="00D63E5B">
            <w:pPr>
              <w:jc w:val="center"/>
              <w:rPr>
                <w:rFonts w:ascii="Arial Narrow" w:eastAsia="Calibri" w:hAnsi="Arial Narrow"/>
                <w:sz w:val="20"/>
                <w:szCs w:val="20"/>
              </w:rPr>
            </w:pPr>
            <w:r w:rsidRPr="008019F9">
              <w:rPr>
                <w:rFonts w:ascii="Arial Narrow" w:eastAsia="Calibri" w:hAnsi="Arial Narrow"/>
                <w:b/>
                <w:sz w:val="20"/>
                <w:szCs w:val="20"/>
              </w:rPr>
              <w:t>Concept ID</w:t>
            </w:r>
          </w:p>
          <w:p w14:paraId="4F78640B" w14:textId="77777777" w:rsidR="00F36BCA" w:rsidRPr="008019F9" w:rsidRDefault="00F36BCA" w:rsidP="00D63E5B">
            <w:pPr>
              <w:jc w:val="center"/>
              <w:rPr>
                <w:rFonts w:ascii="Arial Narrow" w:eastAsia="Calibri" w:hAnsi="Arial Narrow"/>
                <w:b/>
                <w:sz w:val="20"/>
                <w:szCs w:val="20"/>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14:paraId="79A2AA8A" w14:textId="1CF2E745" w:rsidR="00F36BCA" w:rsidRPr="008019F9" w:rsidRDefault="00F36BCA" w:rsidP="00E120D6">
            <w:pPr>
              <w:rPr>
                <w:rFonts w:ascii="Arial Narrow" w:eastAsia="Calibri" w:hAnsi="Arial Narrow"/>
                <w:sz w:val="20"/>
                <w:szCs w:val="20"/>
              </w:rPr>
            </w:pPr>
            <w:r w:rsidRPr="008019F9">
              <w:rPr>
                <w:rFonts w:ascii="Arial Narrow" w:eastAsia="Calibri" w:hAnsi="Arial Narrow"/>
                <w:b/>
                <w:sz w:val="20"/>
                <w:szCs w:val="20"/>
              </w:rPr>
              <w:t>Category / Program:</w:t>
            </w:r>
            <w:r w:rsidRPr="008019F9">
              <w:rPr>
                <w:rFonts w:ascii="Arial Narrow" w:eastAsia="Calibri" w:hAnsi="Arial Narrow"/>
                <w:sz w:val="20"/>
                <w:szCs w:val="20"/>
              </w:rPr>
              <w:t xml:space="preserve"> </w:t>
            </w:r>
            <w:r w:rsidRPr="008019F9">
              <w:rPr>
                <w:rFonts w:ascii="Arial Narrow" w:eastAsia="Calibri" w:hAnsi="Arial Narrow"/>
                <w:sz w:val="20"/>
                <w:szCs w:val="20"/>
              </w:rPr>
              <w:fldChar w:fldCharType="begin" w:fldLock="1">
                <w:ffData>
                  <w:name w:val="Check1"/>
                  <w:enabled/>
                  <w:calcOnExit w:val="0"/>
                  <w:checkBox>
                    <w:sizeAuto/>
                    <w:default w:val="1"/>
                  </w:checkBox>
                </w:ffData>
              </w:fldChar>
            </w:r>
            <w:bookmarkStart w:id="71" w:name="Check1"/>
            <w:r w:rsidRPr="008019F9">
              <w:rPr>
                <w:rFonts w:ascii="Arial Narrow" w:eastAsia="Calibri" w:hAnsi="Arial Narrow"/>
                <w:sz w:val="20"/>
                <w:szCs w:val="20"/>
              </w:rPr>
              <w:instrText xml:space="preserve"> FORMCHECKBOX </w:instrText>
            </w:r>
            <w:r w:rsidRPr="008019F9">
              <w:rPr>
                <w:rFonts w:ascii="Arial Narrow" w:eastAsia="Calibri" w:hAnsi="Arial Narrow"/>
                <w:sz w:val="20"/>
                <w:szCs w:val="20"/>
              </w:rPr>
            </w:r>
            <w:r w:rsidRPr="008019F9">
              <w:rPr>
                <w:rFonts w:ascii="Arial Narrow" w:eastAsia="Calibri" w:hAnsi="Arial Narrow"/>
                <w:sz w:val="20"/>
                <w:szCs w:val="20"/>
              </w:rPr>
              <w:fldChar w:fldCharType="separate"/>
            </w:r>
            <w:r w:rsidRPr="008019F9">
              <w:rPr>
                <w:rFonts w:ascii="Arial Narrow" w:eastAsia="Calibri" w:hAnsi="Arial Narrow"/>
                <w:sz w:val="20"/>
                <w:szCs w:val="20"/>
              </w:rPr>
              <w:fldChar w:fldCharType="end"/>
            </w:r>
            <w:bookmarkEnd w:id="71"/>
            <w:r w:rsidRPr="008019F9">
              <w:rPr>
                <w:rFonts w:ascii="Arial Narrow" w:eastAsia="Calibri" w:hAnsi="Arial Narrow"/>
                <w:sz w:val="20"/>
                <w:szCs w:val="20"/>
              </w:rPr>
              <w:t xml:space="preserve"> GENERAL - General Schedule (Code GE) </w:t>
            </w:r>
          </w:p>
        </w:tc>
      </w:tr>
      <w:tr w:rsidR="00F36BCA" w:rsidRPr="008019F9" w14:paraId="29374208" w14:textId="77777777" w:rsidTr="00E120D6">
        <w:tblPrEx>
          <w:tblCellMar>
            <w:top w:w="15" w:type="dxa"/>
            <w:bottom w:w="15" w:type="dxa"/>
          </w:tblCellMar>
        </w:tblPrEx>
        <w:trPr>
          <w:trHeight w:val="20"/>
        </w:trPr>
        <w:tc>
          <w:tcPr>
            <w:tcW w:w="1130" w:type="dxa"/>
            <w:vMerge/>
            <w:tcBorders>
              <w:left w:val="single" w:sz="4" w:space="0" w:color="auto"/>
              <w:right w:val="single" w:sz="4" w:space="0" w:color="auto"/>
            </w:tcBorders>
          </w:tcPr>
          <w:p w14:paraId="64F03E93" w14:textId="77777777" w:rsidR="00F36BCA" w:rsidRPr="008019F9" w:rsidRDefault="00F36BCA" w:rsidP="00D63E5B">
            <w:pPr>
              <w:jc w:val="center"/>
              <w:rPr>
                <w:rFonts w:ascii="Arial Narrow" w:eastAsia="Calibri"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14:paraId="08BBD717" w14:textId="4D8FB3D6" w:rsidR="00F36BCA" w:rsidRPr="008019F9" w:rsidRDefault="00F36BCA" w:rsidP="00E120D6">
            <w:pPr>
              <w:rPr>
                <w:rFonts w:ascii="Arial Narrow" w:eastAsia="Calibri" w:hAnsi="Arial Narrow"/>
                <w:b/>
                <w:sz w:val="20"/>
                <w:szCs w:val="20"/>
              </w:rPr>
            </w:pPr>
            <w:r w:rsidRPr="008019F9">
              <w:rPr>
                <w:rFonts w:ascii="Arial Narrow" w:eastAsia="Calibri" w:hAnsi="Arial Narrow"/>
                <w:b/>
                <w:sz w:val="20"/>
                <w:szCs w:val="20"/>
              </w:rPr>
              <w:t xml:space="preserve">Prescriber type: </w:t>
            </w:r>
            <w:r w:rsidRPr="008019F9">
              <w:rPr>
                <w:rFonts w:ascii="Arial Narrow" w:eastAsia="Calibri" w:hAnsi="Arial Narrow"/>
                <w:sz w:val="20"/>
                <w:szCs w:val="20"/>
              </w:rPr>
              <w:fldChar w:fldCharType="begin" w:fldLock="1">
                <w:ffData>
                  <w:name w:val=""/>
                  <w:enabled/>
                  <w:calcOnExit w:val="0"/>
                  <w:checkBox>
                    <w:sizeAuto/>
                    <w:default w:val="1"/>
                  </w:checkBox>
                </w:ffData>
              </w:fldChar>
            </w:r>
            <w:r w:rsidRPr="008019F9">
              <w:rPr>
                <w:rFonts w:ascii="Arial Narrow" w:eastAsia="Calibri" w:hAnsi="Arial Narrow"/>
                <w:sz w:val="20"/>
                <w:szCs w:val="20"/>
              </w:rPr>
              <w:instrText xml:space="preserve"> FORMCHECKBOX </w:instrText>
            </w:r>
            <w:r w:rsidRPr="008019F9">
              <w:rPr>
                <w:rFonts w:ascii="Arial Narrow" w:eastAsia="Calibri" w:hAnsi="Arial Narrow"/>
                <w:sz w:val="20"/>
                <w:szCs w:val="20"/>
              </w:rPr>
            </w:r>
            <w:r w:rsidRPr="008019F9">
              <w:rPr>
                <w:rFonts w:ascii="Arial Narrow" w:eastAsia="Calibri" w:hAnsi="Arial Narrow"/>
                <w:sz w:val="20"/>
                <w:szCs w:val="20"/>
              </w:rPr>
              <w:fldChar w:fldCharType="separate"/>
            </w:r>
            <w:r w:rsidRPr="008019F9">
              <w:rPr>
                <w:rFonts w:ascii="Arial Narrow" w:eastAsia="Calibri" w:hAnsi="Arial Narrow"/>
                <w:sz w:val="20"/>
                <w:szCs w:val="20"/>
              </w:rPr>
              <w:fldChar w:fldCharType="end"/>
            </w:r>
            <w:r w:rsidRPr="008019F9">
              <w:rPr>
                <w:rFonts w:ascii="Arial Narrow" w:eastAsia="Calibri" w:hAnsi="Arial Narrow"/>
                <w:sz w:val="20"/>
                <w:szCs w:val="20"/>
              </w:rPr>
              <w:t>Medical Practitioners</w:t>
            </w:r>
          </w:p>
        </w:tc>
      </w:tr>
      <w:tr w:rsidR="00F36BCA" w:rsidRPr="008019F9" w14:paraId="6F3BEB01" w14:textId="77777777" w:rsidTr="00E120D6">
        <w:tblPrEx>
          <w:tblCellMar>
            <w:top w:w="15" w:type="dxa"/>
            <w:bottom w:w="15" w:type="dxa"/>
          </w:tblCellMar>
        </w:tblPrEx>
        <w:trPr>
          <w:trHeight w:val="20"/>
        </w:trPr>
        <w:tc>
          <w:tcPr>
            <w:tcW w:w="1130" w:type="dxa"/>
            <w:vMerge/>
            <w:tcBorders>
              <w:left w:val="single" w:sz="4" w:space="0" w:color="auto"/>
              <w:right w:val="single" w:sz="4" w:space="0" w:color="auto"/>
            </w:tcBorders>
          </w:tcPr>
          <w:p w14:paraId="47ECFAFB" w14:textId="77777777" w:rsidR="00F36BCA" w:rsidRPr="008019F9" w:rsidRDefault="00F36BCA" w:rsidP="00D63E5B">
            <w:pPr>
              <w:jc w:val="center"/>
              <w:rPr>
                <w:rFonts w:ascii="Arial Narrow" w:eastAsia="Calibri"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14:paraId="6965535C" w14:textId="16CD5113" w:rsidR="00F36BCA" w:rsidRPr="008019F9" w:rsidRDefault="00E120D6" w:rsidP="00E120D6">
            <w:pPr>
              <w:jc w:val="left"/>
              <w:rPr>
                <w:rFonts w:ascii="Arial Narrow" w:eastAsia="Calibri" w:hAnsi="Arial Narrow"/>
                <w:sz w:val="20"/>
                <w:szCs w:val="20"/>
              </w:rPr>
            </w:pPr>
            <w:r w:rsidRPr="00E120D6">
              <w:rPr>
                <w:rFonts w:ascii="Arial Narrow" w:hAnsi="Arial Narrow"/>
                <w:b/>
                <w:snapToGrid w:val="0"/>
                <w:sz w:val="20"/>
                <w:szCs w:val="20"/>
              </w:rPr>
              <w:t>Restriction type:</w:t>
            </w:r>
            <w:r>
              <w:rPr>
                <w:rFonts w:ascii="Arial Narrow" w:eastAsia="Calibri" w:hAnsi="Arial Narrow"/>
                <w:b/>
                <w:sz w:val="20"/>
                <w:szCs w:val="20"/>
              </w:rPr>
              <w:t xml:space="preserve"> </w:t>
            </w:r>
            <w:r w:rsidR="00F36BCA" w:rsidRPr="008019F9">
              <w:rPr>
                <w:rFonts w:ascii="Arial Narrow" w:eastAsia="Calibri" w:hAnsi="Arial Narrow"/>
                <w:sz w:val="20"/>
                <w:szCs w:val="20"/>
              </w:rPr>
              <w:fldChar w:fldCharType="begin" w:fldLock="1">
                <w:ffData>
                  <w:name w:val=""/>
                  <w:enabled/>
                  <w:calcOnExit w:val="0"/>
                  <w:checkBox>
                    <w:sizeAuto/>
                    <w:default w:val="1"/>
                  </w:checkBox>
                </w:ffData>
              </w:fldChar>
            </w:r>
            <w:r w:rsidR="00F36BCA" w:rsidRPr="008019F9">
              <w:rPr>
                <w:rFonts w:ascii="Arial Narrow" w:eastAsia="Calibri" w:hAnsi="Arial Narrow"/>
                <w:sz w:val="20"/>
                <w:szCs w:val="20"/>
              </w:rPr>
              <w:instrText xml:space="preserve"> FORMCHECKBOX </w:instrText>
            </w:r>
            <w:r w:rsidR="00F36BCA" w:rsidRPr="008019F9">
              <w:rPr>
                <w:rFonts w:ascii="Arial Narrow" w:eastAsia="Calibri" w:hAnsi="Arial Narrow"/>
                <w:sz w:val="20"/>
                <w:szCs w:val="20"/>
              </w:rPr>
            </w:r>
            <w:r w:rsidR="00F36BCA" w:rsidRPr="008019F9">
              <w:rPr>
                <w:rFonts w:ascii="Arial Narrow" w:eastAsia="Calibri" w:hAnsi="Arial Narrow"/>
                <w:sz w:val="20"/>
                <w:szCs w:val="20"/>
              </w:rPr>
              <w:fldChar w:fldCharType="separate"/>
            </w:r>
            <w:r w:rsidR="00F36BCA" w:rsidRPr="008019F9">
              <w:rPr>
                <w:rFonts w:ascii="Arial Narrow" w:eastAsia="Calibri" w:hAnsi="Arial Narrow"/>
                <w:sz w:val="20"/>
                <w:szCs w:val="20"/>
              </w:rPr>
              <w:fldChar w:fldCharType="end"/>
            </w:r>
            <w:r w:rsidR="00F36BCA" w:rsidRPr="008019F9">
              <w:rPr>
                <w:rFonts w:ascii="Arial Narrow" w:eastAsia="Calibri" w:hAnsi="Arial Narrow"/>
                <w:sz w:val="20"/>
                <w:szCs w:val="20"/>
              </w:rPr>
              <w:t xml:space="preserve">Authority Required (FULL assessment) in writing only via post/HPOS upload  </w:t>
            </w:r>
          </w:p>
        </w:tc>
      </w:tr>
      <w:tr w:rsidR="00E120D6" w:rsidRPr="008019F9" w14:paraId="0243A80C" w14:textId="77777777" w:rsidTr="00E120D6">
        <w:tblPrEx>
          <w:tblCellMar>
            <w:top w:w="15" w:type="dxa"/>
            <w:bottom w:w="15" w:type="dxa"/>
          </w:tblCellMar>
        </w:tblPrEx>
        <w:trPr>
          <w:trHeight w:val="20"/>
        </w:trPr>
        <w:tc>
          <w:tcPr>
            <w:tcW w:w="1130" w:type="dxa"/>
            <w:tcBorders>
              <w:left w:val="single" w:sz="4" w:space="0" w:color="auto"/>
              <w:right w:val="single" w:sz="4" w:space="0" w:color="auto"/>
            </w:tcBorders>
          </w:tcPr>
          <w:p w14:paraId="7F51F6FB" w14:textId="77777777" w:rsidR="00E120D6" w:rsidRPr="008019F9" w:rsidRDefault="00E120D6" w:rsidP="00D63E5B">
            <w:pPr>
              <w:jc w:val="center"/>
              <w:rPr>
                <w:rFonts w:ascii="Arial Narrow" w:eastAsia="Calibri"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vAlign w:val="center"/>
          </w:tcPr>
          <w:p w14:paraId="067CF159" w14:textId="77777777" w:rsidR="00E120D6" w:rsidRPr="00E120D6" w:rsidRDefault="00E120D6" w:rsidP="00E120D6">
            <w:pPr>
              <w:jc w:val="left"/>
              <w:rPr>
                <w:rFonts w:ascii="Arial Narrow" w:hAnsi="Arial Narrow"/>
                <w:b/>
                <w:snapToGrid w:val="0"/>
                <w:sz w:val="20"/>
                <w:szCs w:val="20"/>
              </w:rPr>
            </w:pPr>
          </w:p>
        </w:tc>
      </w:tr>
      <w:tr w:rsidR="00F36BCA" w:rsidRPr="008019F9" w14:paraId="32DD4F64" w14:textId="77777777" w:rsidTr="00E120D6">
        <w:tblPrEx>
          <w:tblCellMar>
            <w:top w:w="15" w:type="dxa"/>
            <w:bottom w:w="15" w:type="dxa"/>
          </w:tblCellMar>
        </w:tblPrEx>
        <w:trPr>
          <w:trHeight w:val="20"/>
        </w:trPr>
        <w:tc>
          <w:tcPr>
            <w:tcW w:w="1130" w:type="dxa"/>
            <w:tcBorders>
              <w:left w:val="single" w:sz="4" w:space="0" w:color="auto"/>
              <w:bottom w:val="single" w:sz="4" w:space="0" w:color="auto"/>
              <w:right w:val="single" w:sz="4" w:space="0" w:color="auto"/>
            </w:tcBorders>
            <w:vAlign w:val="center"/>
          </w:tcPr>
          <w:p w14:paraId="68B3657E" w14:textId="49463203" w:rsidR="00F36BCA" w:rsidRPr="008019F9" w:rsidRDefault="00F36BCA" w:rsidP="00D63E5B">
            <w:pPr>
              <w:jc w:val="center"/>
              <w:rPr>
                <w:rFonts w:ascii="Arial Narrow" w:eastAsia="Calibri"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454994C6" w14:textId="77777777" w:rsidR="00F36BCA" w:rsidRPr="008019F9" w:rsidRDefault="00F36BCA" w:rsidP="00D63E5B">
            <w:pPr>
              <w:rPr>
                <w:rFonts w:ascii="Arial Narrow" w:hAnsi="Arial Narrow"/>
                <w:color w:val="333333"/>
                <w:sz w:val="20"/>
                <w:szCs w:val="20"/>
              </w:rPr>
            </w:pPr>
            <w:r w:rsidRPr="008019F9">
              <w:rPr>
                <w:rFonts w:ascii="Arial Narrow" w:eastAsia="Calibri" w:hAnsi="Arial Narrow"/>
                <w:b/>
                <w:bCs/>
                <w:sz w:val="20"/>
                <w:szCs w:val="20"/>
              </w:rPr>
              <w:t xml:space="preserve">Administrative advice: </w:t>
            </w:r>
            <w:r w:rsidRPr="008019F9">
              <w:rPr>
                <w:rFonts w:ascii="Arial Narrow" w:eastAsia="Calibri" w:hAnsi="Arial Narrow"/>
                <w:sz w:val="20"/>
                <w:szCs w:val="20"/>
              </w:rPr>
              <w:t>No increase in the maximum number of repeats may be authorised.</w:t>
            </w:r>
          </w:p>
        </w:tc>
      </w:tr>
      <w:tr w:rsidR="00F36BCA" w:rsidRPr="008019F9" w14:paraId="36DC13A8" w14:textId="77777777" w:rsidTr="00E120D6">
        <w:tblPrEx>
          <w:tblCellMar>
            <w:top w:w="15" w:type="dxa"/>
            <w:bottom w:w="15" w:type="dxa"/>
          </w:tblCellMar>
        </w:tblPrEx>
        <w:trPr>
          <w:trHeight w:val="20"/>
        </w:trPr>
        <w:tc>
          <w:tcPr>
            <w:tcW w:w="1130" w:type="dxa"/>
            <w:tcBorders>
              <w:left w:val="single" w:sz="4" w:space="0" w:color="auto"/>
              <w:bottom w:val="single" w:sz="4" w:space="0" w:color="auto"/>
              <w:right w:val="single" w:sz="4" w:space="0" w:color="auto"/>
            </w:tcBorders>
            <w:vAlign w:val="center"/>
          </w:tcPr>
          <w:p w14:paraId="6F3B7289" w14:textId="7C1D643F" w:rsidR="00F36BCA" w:rsidRPr="008019F9" w:rsidRDefault="00F36BCA" w:rsidP="00D63E5B">
            <w:pPr>
              <w:jc w:val="center"/>
              <w:rPr>
                <w:rFonts w:ascii="Arial Narrow" w:eastAsia="Calibri"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56A5EF59" w14:textId="77777777" w:rsidR="00F36BCA" w:rsidRPr="008019F9" w:rsidRDefault="00F36BCA" w:rsidP="00D63E5B">
            <w:pPr>
              <w:rPr>
                <w:rFonts w:ascii="Arial Narrow" w:eastAsia="Calibri" w:hAnsi="Arial Narrow"/>
                <w:b/>
                <w:sz w:val="20"/>
                <w:szCs w:val="20"/>
              </w:rPr>
            </w:pPr>
            <w:r w:rsidRPr="008019F9">
              <w:rPr>
                <w:rFonts w:ascii="Arial Narrow" w:eastAsia="Calibri" w:hAnsi="Arial Narrow"/>
                <w:b/>
                <w:bCs/>
                <w:sz w:val="20"/>
                <w:szCs w:val="20"/>
              </w:rPr>
              <w:t xml:space="preserve">Administrative advice: </w:t>
            </w:r>
            <w:r w:rsidRPr="008019F9">
              <w:rPr>
                <w:rFonts w:ascii="Arial Narrow" w:eastAsia="Calibri" w:hAnsi="Arial Narrow"/>
                <w:sz w:val="20"/>
                <w:szCs w:val="20"/>
              </w:rPr>
              <w:t>Special Pricing Arrangements apply.</w:t>
            </w:r>
          </w:p>
        </w:tc>
      </w:tr>
      <w:tr w:rsidR="00F36BCA" w:rsidRPr="008019F9" w14:paraId="4DCC9811" w14:textId="77777777" w:rsidTr="00E120D6">
        <w:tblPrEx>
          <w:tblCellMar>
            <w:top w:w="15" w:type="dxa"/>
            <w:bottom w:w="15" w:type="dxa"/>
          </w:tblCellMar>
        </w:tblPrEx>
        <w:trPr>
          <w:trHeight w:val="20"/>
        </w:trPr>
        <w:tc>
          <w:tcPr>
            <w:tcW w:w="1130" w:type="dxa"/>
            <w:tcBorders>
              <w:left w:val="single" w:sz="4" w:space="0" w:color="auto"/>
              <w:bottom w:val="single" w:sz="4" w:space="0" w:color="auto"/>
              <w:right w:val="single" w:sz="4" w:space="0" w:color="auto"/>
            </w:tcBorders>
            <w:shd w:val="clear" w:color="auto" w:fill="auto"/>
          </w:tcPr>
          <w:p w14:paraId="33EAE435" w14:textId="77777777" w:rsidR="00F36BCA" w:rsidRPr="008019F9" w:rsidRDefault="00F36BCA" w:rsidP="00D63E5B">
            <w:pPr>
              <w:jc w:val="center"/>
              <w:rPr>
                <w:rFonts w:ascii="Arial Narrow" w:hAnsi="Arial Narrow"/>
                <w:color w:val="333333"/>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41865E" w14:textId="7892771F" w:rsidR="00F36BCA" w:rsidRPr="008019F9" w:rsidRDefault="00F36BCA" w:rsidP="00D63E5B">
            <w:pPr>
              <w:rPr>
                <w:rFonts w:ascii="Arial Narrow" w:hAnsi="Arial Narrow"/>
                <w:b/>
                <w:bCs/>
                <w:color w:val="333333"/>
                <w:sz w:val="20"/>
                <w:szCs w:val="20"/>
              </w:rPr>
            </w:pPr>
          </w:p>
        </w:tc>
      </w:tr>
      <w:tr w:rsidR="00F36BCA" w:rsidRPr="008019F9" w14:paraId="45943986" w14:textId="77777777" w:rsidTr="00E120D6">
        <w:tblPrEx>
          <w:tblCellMar>
            <w:top w:w="15" w:type="dxa"/>
            <w:bottom w:w="15" w:type="dxa"/>
          </w:tblCellMar>
        </w:tblPrEx>
        <w:trPr>
          <w:cantSplit/>
          <w:trHeight w:val="20"/>
        </w:trPr>
        <w:tc>
          <w:tcPr>
            <w:tcW w:w="1130" w:type="dxa"/>
            <w:vAlign w:val="center"/>
          </w:tcPr>
          <w:p w14:paraId="3CF2AECD" w14:textId="0E9BBB94" w:rsidR="00F36BCA" w:rsidRPr="008019F9" w:rsidRDefault="00F36BCA" w:rsidP="00D63E5B">
            <w:pPr>
              <w:jc w:val="center"/>
              <w:rPr>
                <w:rFonts w:ascii="Arial Narrow" w:hAnsi="Arial Narrow"/>
                <w:color w:val="333333"/>
                <w:sz w:val="20"/>
                <w:szCs w:val="20"/>
              </w:rPr>
            </w:pPr>
          </w:p>
        </w:tc>
        <w:tc>
          <w:tcPr>
            <w:tcW w:w="7887" w:type="dxa"/>
            <w:gridSpan w:val="6"/>
          </w:tcPr>
          <w:p w14:paraId="4528B428" w14:textId="77777777" w:rsidR="00F36BCA" w:rsidRPr="008019F9" w:rsidRDefault="00F36BCA" w:rsidP="00D63E5B">
            <w:pPr>
              <w:rPr>
                <w:rFonts w:ascii="Arial Narrow" w:hAnsi="Arial Narrow"/>
                <w:sz w:val="20"/>
                <w:szCs w:val="20"/>
              </w:rPr>
            </w:pPr>
            <w:r w:rsidRPr="008019F9">
              <w:rPr>
                <w:rFonts w:ascii="Arial Narrow" w:eastAsia="Calibri" w:hAnsi="Arial Narrow"/>
                <w:b/>
                <w:bCs/>
                <w:sz w:val="20"/>
                <w:szCs w:val="20"/>
              </w:rPr>
              <w:t>Indication:</w:t>
            </w:r>
            <w:r w:rsidRPr="008019F9">
              <w:rPr>
                <w:rFonts w:ascii="Arial Narrow" w:eastAsia="Calibri" w:hAnsi="Arial Narrow"/>
                <w:sz w:val="20"/>
                <w:szCs w:val="20"/>
              </w:rPr>
              <w:t xml:space="preserve"> Chronic treatment of hereditary angioedema Types 1 or 2</w:t>
            </w:r>
          </w:p>
        </w:tc>
      </w:tr>
      <w:tr w:rsidR="00F36BCA" w:rsidRPr="008019F9" w14:paraId="3A35B9C0" w14:textId="77777777" w:rsidTr="00E120D6">
        <w:tblPrEx>
          <w:tblCellMar>
            <w:top w:w="15" w:type="dxa"/>
            <w:bottom w:w="15" w:type="dxa"/>
          </w:tblCellMar>
        </w:tblPrEx>
        <w:trPr>
          <w:cantSplit/>
          <w:trHeight w:val="20"/>
        </w:trPr>
        <w:tc>
          <w:tcPr>
            <w:tcW w:w="1130" w:type="dxa"/>
            <w:vAlign w:val="center"/>
          </w:tcPr>
          <w:p w14:paraId="626F9F19" w14:textId="77777777" w:rsidR="00F36BCA" w:rsidRPr="008019F9" w:rsidRDefault="00F36BCA" w:rsidP="00D63E5B">
            <w:pPr>
              <w:jc w:val="center"/>
              <w:rPr>
                <w:rFonts w:ascii="Arial Narrow" w:hAnsi="Arial Narrow"/>
                <w:color w:val="333333"/>
                <w:sz w:val="20"/>
                <w:szCs w:val="20"/>
              </w:rPr>
            </w:pPr>
          </w:p>
        </w:tc>
        <w:tc>
          <w:tcPr>
            <w:tcW w:w="7887" w:type="dxa"/>
            <w:gridSpan w:val="6"/>
          </w:tcPr>
          <w:p w14:paraId="6F375E9E" w14:textId="77777777" w:rsidR="00F36BCA" w:rsidRPr="008019F9" w:rsidRDefault="00F36BCA" w:rsidP="00D63E5B">
            <w:pPr>
              <w:rPr>
                <w:rFonts w:ascii="Arial Narrow" w:hAnsi="Arial Narrow"/>
                <w:sz w:val="20"/>
                <w:szCs w:val="20"/>
              </w:rPr>
            </w:pPr>
            <w:r w:rsidRPr="008019F9">
              <w:rPr>
                <w:rFonts w:ascii="Arial Narrow" w:eastAsia="Calibri" w:hAnsi="Arial Narrow"/>
                <w:b/>
                <w:bCs/>
                <w:sz w:val="20"/>
                <w:szCs w:val="20"/>
              </w:rPr>
              <w:t xml:space="preserve">Treatment Phase: </w:t>
            </w:r>
            <w:r w:rsidRPr="008019F9">
              <w:rPr>
                <w:rFonts w:ascii="Arial Narrow" w:eastAsia="Calibri" w:hAnsi="Arial Narrow"/>
                <w:sz w:val="20"/>
                <w:szCs w:val="20"/>
              </w:rPr>
              <w:t>Initial 1: New patient (commencing with no previous treatment with C1-INH for routine prophylaxis)</w:t>
            </w:r>
          </w:p>
        </w:tc>
      </w:tr>
      <w:tr w:rsidR="00F36BCA" w:rsidRPr="008019F9" w14:paraId="112D6B70" w14:textId="77777777" w:rsidTr="00E120D6">
        <w:tblPrEx>
          <w:tblCellMar>
            <w:top w:w="15" w:type="dxa"/>
            <w:bottom w:w="15" w:type="dxa"/>
          </w:tblCellMar>
        </w:tblPrEx>
        <w:trPr>
          <w:cantSplit/>
          <w:trHeight w:val="20"/>
        </w:trPr>
        <w:tc>
          <w:tcPr>
            <w:tcW w:w="1130" w:type="dxa"/>
            <w:vAlign w:val="center"/>
          </w:tcPr>
          <w:p w14:paraId="3A23D963" w14:textId="77777777" w:rsidR="00F36BCA" w:rsidRPr="008019F9" w:rsidRDefault="00F36BCA" w:rsidP="00D63E5B">
            <w:pPr>
              <w:jc w:val="center"/>
              <w:rPr>
                <w:rFonts w:ascii="Arial Narrow" w:hAnsi="Arial Narrow"/>
                <w:color w:val="333333"/>
                <w:sz w:val="20"/>
                <w:szCs w:val="20"/>
              </w:rPr>
            </w:pPr>
          </w:p>
        </w:tc>
        <w:tc>
          <w:tcPr>
            <w:tcW w:w="7887" w:type="dxa"/>
            <w:gridSpan w:val="6"/>
          </w:tcPr>
          <w:p w14:paraId="0C576E41" w14:textId="77777777" w:rsidR="00F36BCA" w:rsidRPr="008019F9" w:rsidRDefault="00F36BCA" w:rsidP="00D63E5B">
            <w:pPr>
              <w:rPr>
                <w:rFonts w:ascii="Arial Narrow" w:hAnsi="Arial Narrow"/>
                <w:color w:val="333333"/>
                <w:sz w:val="20"/>
                <w:szCs w:val="20"/>
              </w:rPr>
            </w:pPr>
            <w:r w:rsidRPr="008019F9">
              <w:rPr>
                <w:rFonts w:ascii="Arial Narrow" w:eastAsia="Calibri" w:hAnsi="Arial Narrow"/>
                <w:b/>
                <w:bCs/>
                <w:sz w:val="20"/>
                <w:szCs w:val="20"/>
              </w:rPr>
              <w:t xml:space="preserve">Clinical criteria: </w:t>
            </w:r>
          </w:p>
        </w:tc>
      </w:tr>
      <w:tr w:rsidR="00F36BCA" w:rsidRPr="008019F9" w14:paraId="01B084E2" w14:textId="77777777" w:rsidTr="00E120D6">
        <w:tblPrEx>
          <w:tblCellMar>
            <w:top w:w="15" w:type="dxa"/>
            <w:bottom w:w="15" w:type="dxa"/>
          </w:tblCellMar>
        </w:tblPrEx>
        <w:trPr>
          <w:cantSplit/>
          <w:trHeight w:val="20"/>
        </w:trPr>
        <w:tc>
          <w:tcPr>
            <w:tcW w:w="1130" w:type="dxa"/>
            <w:vAlign w:val="center"/>
          </w:tcPr>
          <w:p w14:paraId="30B37698" w14:textId="0777C575" w:rsidR="00F36BCA" w:rsidRPr="00E120D6" w:rsidRDefault="00F36BCA" w:rsidP="00E120D6">
            <w:pPr>
              <w:jc w:val="center"/>
              <w:rPr>
                <w:rFonts w:ascii="Arial Narrow" w:eastAsia="Calibri" w:hAnsi="Arial Narrow"/>
                <w:strike/>
                <w:sz w:val="20"/>
                <w:szCs w:val="20"/>
              </w:rPr>
            </w:pPr>
          </w:p>
        </w:tc>
        <w:tc>
          <w:tcPr>
            <w:tcW w:w="7887" w:type="dxa"/>
            <w:gridSpan w:val="6"/>
          </w:tcPr>
          <w:p w14:paraId="6FD962CF" w14:textId="0AE8BD5E" w:rsidR="00F36BCA" w:rsidRPr="008019F9" w:rsidRDefault="00F36BCA" w:rsidP="00D63E5B">
            <w:pPr>
              <w:rPr>
                <w:rFonts w:ascii="Arial Narrow" w:hAnsi="Arial Narrow"/>
                <w:color w:val="333333"/>
                <w:sz w:val="20"/>
                <w:szCs w:val="20"/>
              </w:rPr>
            </w:pPr>
            <w:r w:rsidRPr="008019F9">
              <w:rPr>
                <w:rFonts w:ascii="Arial Narrow" w:eastAsia="Calibri" w:hAnsi="Arial Narrow"/>
                <w:sz w:val="20"/>
                <w:szCs w:val="20"/>
              </w:rPr>
              <w:t>Patient must have experienced at least 12 treated acute attacks of hereditary angioedema within the 6 month period prior to commencing treatment with this drug</w:t>
            </w:r>
          </w:p>
        </w:tc>
      </w:tr>
      <w:tr w:rsidR="00F36BCA" w:rsidRPr="008019F9" w14:paraId="6FCD69CC" w14:textId="77777777" w:rsidTr="00E120D6">
        <w:tblPrEx>
          <w:tblCellMar>
            <w:top w:w="15" w:type="dxa"/>
            <w:bottom w:w="15" w:type="dxa"/>
          </w:tblCellMar>
        </w:tblPrEx>
        <w:trPr>
          <w:cantSplit/>
          <w:trHeight w:val="20"/>
        </w:trPr>
        <w:tc>
          <w:tcPr>
            <w:tcW w:w="1130" w:type="dxa"/>
            <w:vAlign w:val="center"/>
          </w:tcPr>
          <w:p w14:paraId="6BE671F2" w14:textId="77777777" w:rsidR="00F36BCA" w:rsidRPr="008019F9" w:rsidRDefault="00F36BCA" w:rsidP="00D63E5B">
            <w:pPr>
              <w:jc w:val="center"/>
              <w:rPr>
                <w:rFonts w:ascii="Arial Narrow" w:hAnsi="Arial Narrow"/>
                <w:color w:val="333333"/>
                <w:sz w:val="20"/>
                <w:szCs w:val="20"/>
              </w:rPr>
            </w:pPr>
          </w:p>
        </w:tc>
        <w:tc>
          <w:tcPr>
            <w:tcW w:w="7887" w:type="dxa"/>
            <w:gridSpan w:val="6"/>
          </w:tcPr>
          <w:p w14:paraId="02AE3254" w14:textId="77777777" w:rsidR="00F36BCA" w:rsidRPr="008019F9" w:rsidRDefault="00F36BCA" w:rsidP="00D63E5B">
            <w:pPr>
              <w:rPr>
                <w:rFonts w:ascii="Arial Narrow" w:hAnsi="Arial Narrow"/>
                <w:color w:val="333333"/>
                <w:sz w:val="20"/>
                <w:szCs w:val="20"/>
              </w:rPr>
            </w:pPr>
            <w:r w:rsidRPr="008019F9">
              <w:rPr>
                <w:rFonts w:ascii="Arial Narrow" w:eastAsia="Calibri" w:hAnsi="Arial Narrow"/>
                <w:sz w:val="20"/>
                <w:szCs w:val="20"/>
              </w:rPr>
              <w:t>AND</w:t>
            </w:r>
          </w:p>
        </w:tc>
      </w:tr>
      <w:tr w:rsidR="00F36BCA" w:rsidRPr="008019F9" w14:paraId="4D13AC27" w14:textId="77777777" w:rsidTr="00E120D6">
        <w:tblPrEx>
          <w:tblCellMar>
            <w:top w:w="15" w:type="dxa"/>
            <w:bottom w:w="15" w:type="dxa"/>
          </w:tblCellMar>
        </w:tblPrEx>
        <w:trPr>
          <w:cantSplit/>
          <w:trHeight w:val="20"/>
        </w:trPr>
        <w:tc>
          <w:tcPr>
            <w:tcW w:w="1130" w:type="dxa"/>
            <w:vAlign w:val="center"/>
          </w:tcPr>
          <w:p w14:paraId="3660BA89" w14:textId="18DEBED2" w:rsidR="00F36BCA" w:rsidRPr="008019F9" w:rsidRDefault="00F36BCA" w:rsidP="00D63E5B">
            <w:pPr>
              <w:jc w:val="center"/>
              <w:rPr>
                <w:rFonts w:ascii="Arial Narrow" w:hAnsi="Arial Narrow"/>
                <w:color w:val="333333"/>
                <w:sz w:val="20"/>
                <w:szCs w:val="20"/>
              </w:rPr>
            </w:pPr>
          </w:p>
        </w:tc>
        <w:tc>
          <w:tcPr>
            <w:tcW w:w="7887" w:type="dxa"/>
            <w:gridSpan w:val="6"/>
          </w:tcPr>
          <w:p w14:paraId="37E0FB41" w14:textId="77777777" w:rsidR="00F36BCA" w:rsidRPr="008019F9" w:rsidRDefault="00F36BCA" w:rsidP="00D63E5B">
            <w:pPr>
              <w:rPr>
                <w:rFonts w:ascii="Arial Narrow" w:hAnsi="Arial Narrow"/>
                <w:color w:val="FF0000"/>
                <w:sz w:val="20"/>
                <w:szCs w:val="20"/>
              </w:rPr>
            </w:pPr>
            <w:r w:rsidRPr="008019F9">
              <w:rPr>
                <w:rFonts w:ascii="Arial Narrow" w:eastAsia="Calibri" w:hAnsi="Arial Narrow"/>
                <w:b/>
                <w:bCs/>
                <w:sz w:val="20"/>
                <w:szCs w:val="20"/>
              </w:rPr>
              <w:t>Clinical criteria:</w:t>
            </w:r>
          </w:p>
        </w:tc>
      </w:tr>
      <w:tr w:rsidR="00F36BCA" w:rsidRPr="008019F9" w14:paraId="4694C4B2" w14:textId="77777777" w:rsidTr="00E120D6">
        <w:tblPrEx>
          <w:tblCellMar>
            <w:top w:w="15" w:type="dxa"/>
            <w:bottom w:w="15" w:type="dxa"/>
          </w:tblCellMar>
        </w:tblPrEx>
        <w:trPr>
          <w:cantSplit/>
          <w:trHeight w:val="20"/>
        </w:trPr>
        <w:tc>
          <w:tcPr>
            <w:tcW w:w="1130" w:type="dxa"/>
            <w:vAlign w:val="center"/>
          </w:tcPr>
          <w:p w14:paraId="06C02F36" w14:textId="344B434D" w:rsidR="00F36BCA" w:rsidRPr="008019F9" w:rsidRDefault="00F36BCA" w:rsidP="00D63E5B">
            <w:pPr>
              <w:jc w:val="center"/>
              <w:rPr>
                <w:rFonts w:ascii="Arial Narrow" w:hAnsi="Arial Narrow"/>
                <w:color w:val="333333"/>
                <w:sz w:val="20"/>
                <w:szCs w:val="20"/>
              </w:rPr>
            </w:pPr>
          </w:p>
        </w:tc>
        <w:tc>
          <w:tcPr>
            <w:tcW w:w="7887" w:type="dxa"/>
            <w:gridSpan w:val="6"/>
          </w:tcPr>
          <w:p w14:paraId="15DFD255" w14:textId="77777777" w:rsidR="00F36BCA" w:rsidRPr="008019F9" w:rsidRDefault="00F36BCA" w:rsidP="00D63E5B">
            <w:pPr>
              <w:rPr>
                <w:rFonts w:ascii="Arial Narrow" w:hAnsi="Arial Narrow"/>
                <w:color w:val="333333"/>
                <w:sz w:val="20"/>
                <w:szCs w:val="20"/>
              </w:rPr>
            </w:pPr>
            <w:r w:rsidRPr="008019F9">
              <w:rPr>
                <w:rFonts w:ascii="Arial Narrow" w:eastAsia="Calibri" w:hAnsi="Arial Narrow"/>
                <w:sz w:val="20"/>
                <w:szCs w:val="20"/>
              </w:rPr>
              <w:t>Patient must not have been receiving a C1-esterase inhibitor through the National Blood Authority as routine prophylaxis for hereditary angioedema at the time of application</w:t>
            </w:r>
          </w:p>
        </w:tc>
      </w:tr>
      <w:tr w:rsidR="00F36BCA" w:rsidRPr="008019F9" w14:paraId="0CD0335D" w14:textId="77777777" w:rsidTr="00E120D6">
        <w:tblPrEx>
          <w:tblCellMar>
            <w:top w:w="15" w:type="dxa"/>
            <w:bottom w:w="15" w:type="dxa"/>
          </w:tblCellMar>
        </w:tblPrEx>
        <w:trPr>
          <w:cantSplit/>
          <w:trHeight w:val="20"/>
        </w:trPr>
        <w:tc>
          <w:tcPr>
            <w:tcW w:w="1130" w:type="dxa"/>
            <w:vAlign w:val="center"/>
          </w:tcPr>
          <w:p w14:paraId="544AB4E2" w14:textId="77777777" w:rsidR="00F36BCA" w:rsidRPr="008019F9" w:rsidRDefault="00F36BCA" w:rsidP="00D63E5B">
            <w:pPr>
              <w:jc w:val="center"/>
              <w:rPr>
                <w:rFonts w:ascii="Arial Narrow" w:hAnsi="Arial Narrow"/>
                <w:color w:val="333333"/>
                <w:sz w:val="20"/>
                <w:szCs w:val="20"/>
              </w:rPr>
            </w:pPr>
          </w:p>
        </w:tc>
        <w:tc>
          <w:tcPr>
            <w:tcW w:w="7887" w:type="dxa"/>
            <w:gridSpan w:val="6"/>
          </w:tcPr>
          <w:p w14:paraId="510A223C" w14:textId="77777777" w:rsidR="00F36BCA" w:rsidRPr="008019F9" w:rsidRDefault="00F36BCA" w:rsidP="00D63E5B">
            <w:pPr>
              <w:rPr>
                <w:rFonts w:ascii="Arial Narrow" w:hAnsi="Arial Narrow"/>
                <w:color w:val="333333"/>
                <w:sz w:val="20"/>
                <w:szCs w:val="20"/>
              </w:rPr>
            </w:pPr>
            <w:r w:rsidRPr="008019F9">
              <w:rPr>
                <w:rFonts w:ascii="Arial Narrow" w:eastAsia="Calibri" w:hAnsi="Arial Narrow"/>
                <w:sz w:val="20"/>
                <w:szCs w:val="20"/>
              </w:rPr>
              <w:t>AND</w:t>
            </w:r>
          </w:p>
        </w:tc>
      </w:tr>
      <w:tr w:rsidR="00F36BCA" w:rsidRPr="008019F9" w14:paraId="1639C073" w14:textId="77777777" w:rsidTr="00E120D6">
        <w:tblPrEx>
          <w:tblCellMar>
            <w:top w:w="15" w:type="dxa"/>
            <w:bottom w:w="15" w:type="dxa"/>
          </w:tblCellMar>
        </w:tblPrEx>
        <w:trPr>
          <w:cantSplit/>
          <w:trHeight w:val="20"/>
        </w:trPr>
        <w:tc>
          <w:tcPr>
            <w:tcW w:w="1130" w:type="dxa"/>
            <w:vAlign w:val="center"/>
          </w:tcPr>
          <w:p w14:paraId="2A4F28EA" w14:textId="46619F9D" w:rsidR="00F36BCA" w:rsidRPr="008019F9" w:rsidRDefault="00F36BCA" w:rsidP="00D63E5B">
            <w:pPr>
              <w:jc w:val="center"/>
              <w:rPr>
                <w:rFonts w:ascii="Arial Narrow" w:hAnsi="Arial Narrow"/>
                <w:sz w:val="20"/>
                <w:szCs w:val="20"/>
              </w:rPr>
            </w:pPr>
          </w:p>
        </w:tc>
        <w:tc>
          <w:tcPr>
            <w:tcW w:w="7887" w:type="dxa"/>
            <w:gridSpan w:val="6"/>
          </w:tcPr>
          <w:p w14:paraId="39E16057" w14:textId="77777777" w:rsidR="00F36BCA" w:rsidRPr="008019F9" w:rsidRDefault="00F36BCA" w:rsidP="00D63E5B">
            <w:pPr>
              <w:rPr>
                <w:rFonts w:ascii="Arial Narrow" w:hAnsi="Arial Narrow"/>
                <w:color w:val="333333"/>
                <w:sz w:val="20"/>
                <w:szCs w:val="20"/>
              </w:rPr>
            </w:pPr>
            <w:r w:rsidRPr="008019F9">
              <w:rPr>
                <w:rFonts w:ascii="Arial Narrow" w:eastAsia="Calibri" w:hAnsi="Arial Narrow"/>
                <w:b/>
                <w:bCs/>
                <w:sz w:val="20"/>
                <w:szCs w:val="20"/>
              </w:rPr>
              <w:t>Clinical criteria:</w:t>
            </w:r>
          </w:p>
        </w:tc>
      </w:tr>
      <w:tr w:rsidR="00F36BCA" w:rsidRPr="008019F9" w14:paraId="510894B7" w14:textId="77777777" w:rsidTr="00E120D6">
        <w:tblPrEx>
          <w:tblCellMar>
            <w:top w:w="15" w:type="dxa"/>
            <w:bottom w:w="15" w:type="dxa"/>
          </w:tblCellMar>
        </w:tblPrEx>
        <w:trPr>
          <w:cantSplit/>
          <w:trHeight w:val="20"/>
        </w:trPr>
        <w:tc>
          <w:tcPr>
            <w:tcW w:w="1130" w:type="dxa"/>
            <w:vAlign w:val="center"/>
          </w:tcPr>
          <w:p w14:paraId="4098C342" w14:textId="2A351E2E" w:rsidR="00F36BCA" w:rsidRPr="008019F9" w:rsidRDefault="00F36BCA" w:rsidP="00D63E5B">
            <w:pPr>
              <w:jc w:val="center"/>
              <w:rPr>
                <w:rFonts w:ascii="Arial Narrow" w:hAnsi="Arial Narrow"/>
                <w:color w:val="FF0000"/>
                <w:sz w:val="20"/>
                <w:szCs w:val="20"/>
              </w:rPr>
            </w:pPr>
          </w:p>
        </w:tc>
        <w:tc>
          <w:tcPr>
            <w:tcW w:w="7887" w:type="dxa"/>
            <w:gridSpan w:val="6"/>
          </w:tcPr>
          <w:p w14:paraId="3F879FC1" w14:textId="77777777" w:rsidR="00F36BCA" w:rsidRPr="008019F9" w:rsidRDefault="00F36BCA" w:rsidP="00D63E5B">
            <w:pPr>
              <w:rPr>
                <w:rFonts w:ascii="Arial Narrow" w:hAnsi="Arial Narrow"/>
                <w:color w:val="FF0000"/>
                <w:sz w:val="20"/>
                <w:szCs w:val="20"/>
              </w:rPr>
            </w:pPr>
            <w:r w:rsidRPr="008019F9">
              <w:rPr>
                <w:rFonts w:ascii="Arial Narrow" w:eastAsia="Calibri" w:hAnsi="Arial Narrow"/>
                <w:sz w:val="20"/>
                <w:szCs w:val="20"/>
              </w:rPr>
              <w:t>The treatment must not be used in combination with a C1-esterase inhibitor concentrate</w:t>
            </w:r>
          </w:p>
        </w:tc>
      </w:tr>
      <w:tr w:rsidR="00F36BCA" w:rsidRPr="008019F9" w14:paraId="6D3FB833" w14:textId="77777777" w:rsidTr="00E120D6">
        <w:tblPrEx>
          <w:tblCellMar>
            <w:top w:w="15" w:type="dxa"/>
            <w:bottom w:w="15" w:type="dxa"/>
          </w:tblCellMar>
        </w:tblPrEx>
        <w:trPr>
          <w:cantSplit/>
          <w:trHeight w:val="20"/>
        </w:trPr>
        <w:tc>
          <w:tcPr>
            <w:tcW w:w="1130" w:type="dxa"/>
            <w:vAlign w:val="center"/>
          </w:tcPr>
          <w:p w14:paraId="513E1602" w14:textId="77777777" w:rsidR="00F36BCA" w:rsidRPr="008019F9" w:rsidRDefault="00F36BCA" w:rsidP="00D63E5B">
            <w:pPr>
              <w:jc w:val="center"/>
              <w:rPr>
                <w:rFonts w:ascii="Arial Narrow" w:hAnsi="Arial Narrow"/>
                <w:color w:val="333333"/>
                <w:sz w:val="20"/>
                <w:szCs w:val="20"/>
              </w:rPr>
            </w:pPr>
          </w:p>
        </w:tc>
        <w:tc>
          <w:tcPr>
            <w:tcW w:w="7887" w:type="dxa"/>
            <w:gridSpan w:val="6"/>
          </w:tcPr>
          <w:p w14:paraId="55DF2949" w14:textId="77777777" w:rsidR="00F36BCA" w:rsidRPr="008019F9" w:rsidRDefault="00F36BCA" w:rsidP="00D63E5B">
            <w:pPr>
              <w:rPr>
                <w:rFonts w:ascii="Arial Narrow" w:hAnsi="Arial Narrow"/>
                <w:color w:val="333333"/>
                <w:sz w:val="20"/>
                <w:szCs w:val="20"/>
              </w:rPr>
            </w:pPr>
            <w:r w:rsidRPr="008019F9">
              <w:rPr>
                <w:rFonts w:ascii="Arial Narrow" w:eastAsia="Calibri" w:hAnsi="Arial Narrow"/>
                <w:sz w:val="20"/>
                <w:szCs w:val="20"/>
              </w:rPr>
              <w:t>AND</w:t>
            </w:r>
          </w:p>
        </w:tc>
      </w:tr>
      <w:tr w:rsidR="00F36BCA" w:rsidRPr="008019F9" w14:paraId="176C8054" w14:textId="77777777" w:rsidTr="00E120D6">
        <w:tblPrEx>
          <w:tblCellMar>
            <w:top w:w="15" w:type="dxa"/>
            <w:bottom w:w="15" w:type="dxa"/>
          </w:tblCellMar>
        </w:tblPrEx>
        <w:trPr>
          <w:cantSplit/>
          <w:trHeight w:val="20"/>
        </w:trPr>
        <w:tc>
          <w:tcPr>
            <w:tcW w:w="1130" w:type="dxa"/>
            <w:vAlign w:val="center"/>
          </w:tcPr>
          <w:p w14:paraId="408A5ED5" w14:textId="3DBCA85E" w:rsidR="00F36BCA" w:rsidRPr="008019F9" w:rsidRDefault="00F36BCA" w:rsidP="00D63E5B">
            <w:pPr>
              <w:jc w:val="center"/>
              <w:rPr>
                <w:rFonts w:ascii="Arial Narrow" w:hAnsi="Arial Narrow"/>
                <w:color w:val="333333"/>
                <w:sz w:val="20"/>
                <w:szCs w:val="20"/>
              </w:rPr>
            </w:pPr>
          </w:p>
        </w:tc>
        <w:tc>
          <w:tcPr>
            <w:tcW w:w="7887" w:type="dxa"/>
            <w:gridSpan w:val="6"/>
          </w:tcPr>
          <w:p w14:paraId="1764F736" w14:textId="77777777" w:rsidR="00F36BCA" w:rsidRPr="008019F9" w:rsidRDefault="00F36BCA" w:rsidP="00D63E5B">
            <w:pPr>
              <w:autoSpaceDE w:val="0"/>
              <w:autoSpaceDN w:val="0"/>
              <w:adjustRightInd w:val="0"/>
              <w:rPr>
                <w:rFonts w:ascii="Arial Narrow" w:eastAsia="Calibri" w:hAnsi="Arial Narrow" w:cs="Arial Narrow"/>
                <w:i/>
                <w:iCs/>
                <w:color w:val="FF0000"/>
                <w:sz w:val="20"/>
                <w:szCs w:val="20"/>
              </w:rPr>
            </w:pPr>
            <w:r w:rsidRPr="008019F9">
              <w:rPr>
                <w:rFonts w:ascii="Arial Narrow" w:eastAsia="Calibri" w:hAnsi="Arial Narrow"/>
                <w:b/>
                <w:bCs/>
                <w:sz w:val="20"/>
                <w:szCs w:val="20"/>
              </w:rPr>
              <w:t>Treatment criteria:</w:t>
            </w:r>
          </w:p>
        </w:tc>
      </w:tr>
      <w:tr w:rsidR="00F36BCA" w:rsidRPr="008019F9" w14:paraId="3BE27A75" w14:textId="77777777" w:rsidTr="00E120D6">
        <w:tblPrEx>
          <w:tblCellMar>
            <w:top w:w="15" w:type="dxa"/>
            <w:bottom w:w="15" w:type="dxa"/>
          </w:tblCellMar>
        </w:tblPrEx>
        <w:trPr>
          <w:cantSplit/>
          <w:trHeight w:val="20"/>
        </w:trPr>
        <w:tc>
          <w:tcPr>
            <w:tcW w:w="1130" w:type="dxa"/>
            <w:vAlign w:val="center"/>
          </w:tcPr>
          <w:p w14:paraId="3883C259" w14:textId="0993EF73" w:rsidR="00F36BCA" w:rsidRPr="008019F9" w:rsidRDefault="00F36BCA" w:rsidP="00D63E5B">
            <w:pPr>
              <w:jc w:val="center"/>
              <w:rPr>
                <w:rFonts w:ascii="Arial Narrow" w:hAnsi="Arial Narrow"/>
                <w:color w:val="FF0000"/>
                <w:sz w:val="20"/>
                <w:szCs w:val="20"/>
              </w:rPr>
            </w:pPr>
          </w:p>
        </w:tc>
        <w:tc>
          <w:tcPr>
            <w:tcW w:w="7887" w:type="dxa"/>
            <w:gridSpan w:val="6"/>
          </w:tcPr>
          <w:p w14:paraId="31C3B423" w14:textId="77777777" w:rsidR="00F36BCA" w:rsidRPr="008019F9" w:rsidRDefault="00F36BCA" w:rsidP="00D63E5B">
            <w:pPr>
              <w:autoSpaceDE w:val="0"/>
              <w:autoSpaceDN w:val="0"/>
              <w:adjustRightInd w:val="0"/>
              <w:rPr>
                <w:rFonts w:ascii="Arial Narrow" w:eastAsia="Calibri" w:hAnsi="Arial Narrow" w:cs="Arial Narrow"/>
                <w:b/>
                <w:bCs/>
                <w:iCs/>
                <w:color w:val="FF0000"/>
                <w:sz w:val="20"/>
                <w:szCs w:val="20"/>
              </w:rPr>
            </w:pPr>
            <w:r w:rsidRPr="008019F9">
              <w:rPr>
                <w:rFonts w:ascii="Arial Narrow" w:eastAsia="Calibri" w:hAnsi="Arial Narrow"/>
                <w:sz w:val="20"/>
                <w:szCs w:val="20"/>
              </w:rPr>
              <w:t>Must be treated by a clinical immunologist or a specialist allergist</w:t>
            </w:r>
          </w:p>
        </w:tc>
      </w:tr>
      <w:tr w:rsidR="00F36BCA" w:rsidRPr="008019F9" w14:paraId="5750B8CD" w14:textId="77777777" w:rsidTr="00515120">
        <w:tblPrEx>
          <w:tblCellMar>
            <w:top w:w="15" w:type="dxa"/>
            <w:bottom w:w="15" w:type="dxa"/>
          </w:tblCellMar>
        </w:tblPrEx>
        <w:trPr>
          <w:cantSplit/>
          <w:trHeight w:val="20"/>
        </w:trPr>
        <w:tc>
          <w:tcPr>
            <w:tcW w:w="1130" w:type="dxa"/>
            <w:vAlign w:val="center"/>
          </w:tcPr>
          <w:p w14:paraId="7DDE2493" w14:textId="0B55C554" w:rsidR="00F36BCA" w:rsidRPr="008019F9" w:rsidRDefault="00F36BCA" w:rsidP="00D63E5B">
            <w:pPr>
              <w:jc w:val="center"/>
              <w:rPr>
                <w:rFonts w:ascii="Arial Narrow" w:hAnsi="Arial Narrow"/>
                <w:color w:val="333333"/>
                <w:sz w:val="20"/>
                <w:szCs w:val="20"/>
              </w:rPr>
            </w:pPr>
          </w:p>
        </w:tc>
        <w:tc>
          <w:tcPr>
            <w:tcW w:w="7887" w:type="dxa"/>
            <w:gridSpan w:val="6"/>
            <w:hideMark/>
          </w:tcPr>
          <w:p w14:paraId="4E2E0A5F" w14:textId="77777777" w:rsidR="00F36BCA" w:rsidRPr="008019F9" w:rsidRDefault="00F36BCA" w:rsidP="00D63E5B">
            <w:pPr>
              <w:rPr>
                <w:rFonts w:ascii="Arial Narrow" w:hAnsi="Arial Narrow"/>
                <w:sz w:val="20"/>
                <w:szCs w:val="20"/>
              </w:rPr>
            </w:pPr>
            <w:r w:rsidRPr="008019F9">
              <w:rPr>
                <w:rFonts w:ascii="Arial Narrow" w:eastAsia="Calibri" w:hAnsi="Arial Narrow"/>
                <w:b/>
                <w:bCs/>
                <w:sz w:val="20"/>
                <w:szCs w:val="20"/>
              </w:rPr>
              <w:t xml:space="preserve">Prescribing instructions: </w:t>
            </w:r>
            <w:r w:rsidRPr="008019F9">
              <w:rPr>
                <w:rFonts w:ascii="Arial Narrow" w:eastAsia="Calibri" w:hAnsi="Arial Narrow"/>
                <w:sz w:val="20"/>
                <w:szCs w:val="20"/>
              </w:rPr>
              <w:t>For the purposes of administering this restriction, acute attacks of hereditary angioedema are those of a severity necessitating immediate medical intervention with either (i) icatibant, or (ii) C1-esterase inhibitor concentrate.</w:t>
            </w:r>
          </w:p>
        </w:tc>
      </w:tr>
      <w:tr w:rsidR="00F36BCA" w:rsidRPr="008019F9" w14:paraId="336C1264" w14:textId="77777777" w:rsidTr="00E120D6">
        <w:tblPrEx>
          <w:tblCellMar>
            <w:top w:w="15" w:type="dxa"/>
            <w:bottom w:w="15" w:type="dxa"/>
          </w:tblCellMar>
        </w:tblPrEx>
        <w:trPr>
          <w:cantSplit/>
          <w:trHeight w:val="20"/>
        </w:trPr>
        <w:tc>
          <w:tcPr>
            <w:tcW w:w="1130" w:type="dxa"/>
            <w:vAlign w:val="center"/>
          </w:tcPr>
          <w:p w14:paraId="5F1C38E1" w14:textId="5B326C31" w:rsidR="00F36BCA" w:rsidRPr="00E120D6" w:rsidRDefault="00F36BCA" w:rsidP="00E120D6">
            <w:pPr>
              <w:jc w:val="center"/>
              <w:rPr>
                <w:rFonts w:ascii="Arial Narrow" w:eastAsia="Calibri" w:hAnsi="Arial Narrow"/>
                <w:strike/>
                <w:sz w:val="20"/>
                <w:szCs w:val="20"/>
              </w:rPr>
            </w:pPr>
          </w:p>
        </w:tc>
        <w:tc>
          <w:tcPr>
            <w:tcW w:w="7887" w:type="dxa"/>
            <w:gridSpan w:val="6"/>
          </w:tcPr>
          <w:p w14:paraId="58BF0693" w14:textId="544EBD8E" w:rsidR="00F36BCA" w:rsidRPr="008019F9" w:rsidRDefault="00F36BCA" w:rsidP="00D63E5B">
            <w:pPr>
              <w:rPr>
                <w:rFonts w:ascii="Arial Narrow" w:hAnsi="Arial Narrow"/>
                <w:b/>
                <w:bCs/>
                <w:color w:val="333333"/>
                <w:sz w:val="20"/>
                <w:szCs w:val="20"/>
              </w:rPr>
            </w:pPr>
            <w:r w:rsidRPr="008019F9">
              <w:rPr>
                <w:rFonts w:ascii="Arial Narrow" w:eastAsia="Calibri" w:hAnsi="Arial Narrow"/>
                <w:b/>
                <w:bCs/>
                <w:sz w:val="20"/>
                <w:szCs w:val="20"/>
              </w:rPr>
              <w:t xml:space="preserve">Prescribing instructions: </w:t>
            </w:r>
            <w:r w:rsidRPr="008019F9">
              <w:rPr>
                <w:rFonts w:ascii="Arial Narrow" w:eastAsia="Calibri" w:hAnsi="Arial Narrow"/>
                <w:sz w:val="20"/>
                <w:szCs w:val="20"/>
              </w:rPr>
              <w:t>The baseline measurement of the number of treated acute attacks of hereditary angioedema within the 6 months prior to initiating treatment must be provided at the time of submitting this application</w:t>
            </w:r>
          </w:p>
        </w:tc>
      </w:tr>
      <w:tr w:rsidR="00F36BCA" w:rsidRPr="008019F9" w14:paraId="4D211DE9" w14:textId="77777777" w:rsidTr="00515120">
        <w:tblPrEx>
          <w:tblCellMar>
            <w:top w:w="15" w:type="dxa"/>
            <w:bottom w:w="15" w:type="dxa"/>
          </w:tblCellMar>
        </w:tblPrEx>
        <w:trPr>
          <w:cantSplit/>
          <w:trHeight w:val="2810"/>
        </w:trPr>
        <w:tc>
          <w:tcPr>
            <w:tcW w:w="1130" w:type="dxa"/>
            <w:vAlign w:val="center"/>
          </w:tcPr>
          <w:p w14:paraId="4BA0A612" w14:textId="77777777" w:rsidR="00F36BCA" w:rsidRPr="008019F9" w:rsidRDefault="00F36BCA" w:rsidP="00D63E5B">
            <w:pPr>
              <w:rPr>
                <w:rFonts w:ascii="Arial Narrow" w:hAnsi="Arial Narrow"/>
                <w:sz w:val="20"/>
                <w:szCs w:val="20"/>
              </w:rPr>
            </w:pPr>
          </w:p>
        </w:tc>
        <w:tc>
          <w:tcPr>
            <w:tcW w:w="7887" w:type="dxa"/>
            <w:gridSpan w:val="6"/>
            <w:hideMark/>
          </w:tcPr>
          <w:p w14:paraId="6D0FDB6D" w14:textId="77777777" w:rsidR="00F36BCA" w:rsidRPr="008019F9" w:rsidRDefault="00F36BCA" w:rsidP="00D63E5B">
            <w:pPr>
              <w:widowControl w:val="0"/>
              <w:rPr>
                <w:rFonts w:ascii="Arial Narrow" w:hAnsi="Arial Narrow"/>
                <w:snapToGrid w:val="0"/>
                <w:sz w:val="20"/>
              </w:rPr>
            </w:pPr>
            <w:r w:rsidRPr="008019F9">
              <w:rPr>
                <w:rFonts w:ascii="Arial Narrow" w:hAnsi="Arial Narrow"/>
                <w:b/>
                <w:bCs/>
                <w:snapToGrid w:val="0"/>
                <w:sz w:val="20"/>
              </w:rPr>
              <w:t>Administrative advice:</w:t>
            </w:r>
          </w:p>
          <w:p w14:paraId="1461CB1A" w14:textId="77777777" w:rsidR="00F36BCA" w:rsidRPr="008019F9" w:rsidRDefault="00F36BCA" w:rsidP="00D63E5B">
            <w:pPr>
              <w:widowControl w:val="0"/>
              <w:rPr>
                <w:rFonts w:ascii="Arial Narrow" w:hAnsi="Arial Narrow"/>
                <w:i/>
                <w:iCs/>
                <w:snapToGrid w:val="0"/>
                <w:sz w:val="20"/>
              </w:rPr>
            </w:pPr>
            <w:r w:rsidRPr="008019F9">
              <w:rPr>
                <w:rFonts w:ascii="Arial Narrow" w:hAnsi="Arial Narrow"/>
                <w:i/>
                <w:iCs/>
                <w:snapToGrid w:val="0"/>
                <w:sz w:val="20"/>
              </w:rPr>
              <w:t>Any queries concerning the arrangements to prescribe may be directed to Services Australia on 1800 700 270 (hours of operation 8 a.m. to 5 p.m. Monday to Friday).</w:t>
            </w:r>
          </w:p>
          <w:p w14:paraId="06B96A82" w14:textId="77777777" w:rsidR="00F36BCA" w:rsidRPr="008019F9" w:rsidRDefault="00F36BCA" w:rsidP="00D63E5B">
            <w:pPr>
              <w:widowControl w:val="0"/>
              <w:rPr>
                <w:rFonts w:ascii="Arial Narrow" w:hAnsi="Arial Narrow"/>
                <w:i/>
                <w:iCs/>
                <w:snapToGrid w:val="0"/>
                <w:sz w:val="20"/>
              </w:rPr>
            </w:pPr>
            <w:r w:rsidRPr="008019F9">
              <w:rPr>
                <w:rFonts w:ascii="Arial Narrow" w:hAnsi="Arial Narrow"/>
                <w:i/>
                <w:iCs/>
                <w:snapToGrid w:val="0"/>
                <w:sz w:val="20"/>
              </w:rPr>
              <w:t>Prescribing information (including Authority Application forms and other relevant documentation as applicable) is available on the Services Australia website at www.servicesaustralia.gov.au</w:t>
            </w:r>
          </w:p>
          <w:p w14:paraId="1237AA56" w14:textId="77777777" w:rsidR="00F36BCA" w:rsidRPr="008019F9" w:rsidRDefault="00F36BCA" w:rsidP="00D63E5B">
            <w:pPr>
              <w:widowControl w:val="0"/>
              <w:rPr>
                <w:rFonts w:ascii="Arial Narrow" w:hAnsi="Arial Narrow"/>
                <w:i/>
                <w:iCs/>
                <w:snapToGrid w:val="0"/>
                <w:sz w:val="20"/>
              </w:rPr>
            </w:pPr>
            <w:r w:rsidRPr="008019F9">
              <w:rPr>
                <w:rFonts w:ascii="Arial Narrow" w:hAnsi="Arial Narrow"/>
                <w:i/>
                <w:iCs/>
                <w:snapToGrid w:val="0"/>
                <w:sz w:val="20"/>
              </w:rPr>
              <w:t>Applications for authority to prescribe should be submitted online using the form upload facility in Health Professional Online Services (HPOS) at www.servicesaustralia.gov.au/hpos</w:t>
            </w:r>
          </w:p>
          <w:p w14:paraId="7C8E660D" w14:textId="77777777" w:rsidR="00F36BCA" w:rsidRPr="008019F9" w:rsidRDefault="00F36BCA" w:rsidP="00D63E5B">
            <w:pPr>
              <w:widowControl w:val="0"/>
              <w:rPr>
                <w:rFonts w:ascii="Arial Narrow" w:hAnsi="Arial Narrow"/>
                <w:i/>
                <w:iCs/>
                <w:snapToGrid w:val="0"/>
                <w:sz w:val="20"/>
              </w:rPr>
            </w:pPr>
            <w:r w:rsidRPr="008019F9">
              <w:rPr>
                <w:rFonts w:ascii="Arial Narrow" w:hAnsi="Arial Narrow"/>
                <w:i/>
                <w:iCs/>
                <w:snapToGrid w:val="0"/>
                <w:sz w:val="20"/>
              </w:rPr>
              <w:t>Or mailed to:</w:t>
            </w:r>
          </w:p>
          <w:p w14:paraId="7DEE057E" w14:textId="77777777" w:rsidR="00F36BCA" w:rsidRPr="008019F9" w:rsidRDefault="00F36BCA" w:rsidP="00D63E5B">
            <w:pPr>
              <w:widowControl w:val="0"/>
              <w:rPr>
                <w:rFonts w:ascii="Arial Narrow" w:hAnsi="Arial Narrow"/>
                <w:i/>
                <w:iCs/>
                <w:snapToGrid w:val="0"/>
                <w:sz w:val="20"/>
              </w:rPr>
            </w:pPr>
            <w:r w:rsidRPr="008019F9">
              <w:rPr>
                <w:rFonts w:ascii="Arial Narrow" w:hAnsi="Arial Narrow"/>
                <w:i/>
                <w:iCs/>
                <w:snapToGrid w:val="0"/>
                <w:sz w:val="20"/>
              </w:rPr>
              <w:t>Services Australia</w:t>
            </w:r>
          </w:p>
          <w:p w14:paraId="2F55ADE2" w14:textId="77777777" w:rsidR="00F36BCA" w:rsidRPr="008019F9" w:rsidRDefault="00F36BCA" w:rsidP="00D63E5B">
            <w:pPr>
              <w:widowControl w:val="0"/>
              <w:rPr>
                <w:rFonts w:ascii="Arial Narrow" w:hAnsi="Arial Narrow"/>
                <w:i/>
                <w:iCs/>
                <w:snapToGrid w:val="0"/>
                <w:sz w:val="20"/>
              </w:rPr>
            </w:pPr>
            <w:r w:rsidRPr="008019F9">
              <w:rPr>
                <w:rFonts w:ascii="Arial Narrow" w:hAnsi="Arial Narrow"/>
                <w:i/>
                <w:iCs/>
                <w:snapToGrid w:val="0"/>
                <w:sz w:val="20"/>
              </w:rPr>
              <w:t>Complex Drugs</w:t>
            </w:r>
          </w:p>
          <w:p w14:paraId="04FC7B5D" w14:textId="77777777" w:rsidR="00F36BCA" w:rsidRPr="008019F9" w:rsidRDefault="00F36BCA" w:rsidP="00D63E5B">
            <w:pPr>
              <w:widowControl w:val="0"/>
              <w:rPr>
                <w:rFonts w:ascii="Arial Narrow" w:hAnsi="Arial Narrow"/>
                <w:i/>
                <w:iCs/>
                <w:snapToGrid w:val="0"/>
                <w:sz w:val="20"/>
              </w:rPr>
            </w:pPr>
            <w:r w:rsidRPr="008019F9">
              <w:rPr>
                <w:rFonts w:ascii="Arial Narrow" w:hAnsi="Arial Narrow"/>
                <w:i/>
                <w:iCs/>
                <w:snapToGrid w:val="0"/>
                <w:sz w:val="20"/>
              </w:rPr>
              <w:t>Reply Paid 9826</w:t>
            </w:r>
          </w:p>
          <w:p w14:paraId="65156477" w14:textId="77777777" w:rsidR="00F36BCA" w:rsidRPr="008019F9" w:rsidRDefault="00F36BCA" w:rsidP="00D63E5B">
            <w:pPr>
              <w:rPr>
                <w:rFonts w:ascii="Arial Narrow" w:eastAsia="Calibri" w:hAnsi="Arial Narrow"/>
                <w:i/>
                <w:iCs/>
                <w:sz w:val="20"/>
                <w:szCs w:val="20"/>
              </w:rPr>
            </w:pPr>
            <w:r w:rsidRPr="008019F9">
              <w:rPr>
                <w:rFonts w:ascii="Arial Narrow" w:eastAsia="Calibri" w:hAnsi="Arial Narrow"/>
                <w:i/>
                <w:iCs/>
                <w:sz w:val="20"/>
                <w:szCs w:val="20"/>
              </w:rPr>
              <w:t>HOBART TAS 7001</w:t>
            </w:r>
          </w:p>
          <w:p w14:paraId="00BC2697" w14:textId="77777777" w:rsidR="00F36BCA" w:rsidRPr="008019F9" w:rsidRDefault="00F36BCA" w:rsidP="00D63E5B">
            <w:pPr>
              <w:rPr>
                <w:rFonts w:ascii="Arial Narrow" w:hAnsi="Arial Narrow"/>
                <w:sz w:val="20"/>
                <w:szCs w:val="20"/>
              </w:rPr>
            </w:pPr>
          </w:p>
        </w:tc>
      </w:tr>
    </w:tbl>
    <w:p w14:paraId="0A855030" w14:textId="77777777" w:rsidR="00F36BCA" w:rsidRPr="008019F9" w:rsidRDefault="00F36BCA" w:rsidP="00D63E5B">
      <w:pPr>
        <w:rPr>
          <w:rFonts w:ascii="Arial Narrow" w:eastAsia="Calibri" w:hAnsi="Arial Narrow" w:cs="Calibri"/>
          <w:sz w:val="20"/>
          <w:szCs w:val="20"/>
        </w:rPr>
      </w:pPr>
    </w:p>
    <w:p w14:paraId="3761E687" w14:textId="77777777" w:rsidR="00F36BCA" w:rsidRPr="008019F9" w:rsidRDefault="00F36BCA" w:rsidP="00D63E5B">
      <w:pPr>
        <w:widowControl w:val="0"/>
        <w:rPr>
          <w:rFonts w:ascii="Arial Narrow" w:hAnsi="Arial Narrow"/>
          <w:b/>
          <w:bCs/>
          <w:sz w:val="20"/>
          <w:szCs w:val="18"/>
        </w:rPr>
      </w:pPr>
    </w:p>
    <w:p w14:paraId="41D59F83" w14:textId="77777777" w:rsidR="00F36BCA" w:rsidRPr="008019F9" w:rsidRDefault="00F36BCA" w:rsidP="00D63E5B">
      <w:pPr>
        <w:widowControl w:val="0"/>
        <w:rPr>
          <w:rFonts w:ascii="Arial Narrow" w:hAnsi="Arial Narrow"/>
          <w:b/>
          <w:bCs/>
          <w:sz w:val="20"/>
          <w:szCs w:val="18"/>
        </w:rPr>
      </w:pPr>
      <w:r w:rsidRPr="008019F9">
        <w:rPr>
          <w:rFonts w:ascii="Arial Narrow" w:hAnsi="Arial Narrow"/>
          <w:b/>
          <w:bCs/>
          <w:sz w:val="20"/>
          <w:szCs w:val="18"/>
        </w:rPr>
        <w:t xml:space="preserve">Initial treatment – New patient coming from NBA-funded C1-INH </w:t>
      </w:r>
    </w:p>
    <w:p w14:paraId="3B552F98" w14:textId="77777777" w:rsidR="00F36BCA" w:rsidRPr="008019F9" w:rsidRDefault="00F36BCA" w:rsidP="00D63E5B">
      <w:pPr>
        <w:rPr>
          <w:rFonts w:ascii="Arial Narrow" w:eastAsia="Calibri" w:hAnsi="Arial Narrow"/>
          <w:b/>
          <w:bCs/>
          <w:sz w:val="20"/>
          <w:szCs w:val="20"/>
          <w:lang w:eastAsia="en-GB"/>
        </w:rPr>
      </w:pPr>
      <w:r w:rsidRPr="008019F9">
        <w:rPr>
          <w:rFonts w:ascii="Arial Narrow" w:eastAsia="Calibri" w:hAnsi="Arial Narrow"/>
          <w:b/>
          <w:bCs/>
          <w:sz w:val="20"/>
          <w:szCs w:val="20"/>
          <w:lang w:eastAsia="en-GB"/>
        </w:rPr>
        <w:t>Restriction Summary New/ ToC: New</w:t>
      </w:r>
    </w:p>
    <w:tbl>
      <w:tblPr>
        <w:tblStyle w:val="TableGridnm1"/>
        <w:tblW w:w="5000" w:type="pct"/>
        <w:tblLook w:val="04A0" w:firstRow="1" w:lastRow="0" w:firstColumn="1" w:lastColumn="0" w:noHBand="0" w:noVBand="1"/>
      </w:tblPr>
      <w:tblGrid>
        <w:gridCol w:w="1129"/>
        <w:gridCol w:w="7888"/>
      </w:tblGrid>
      <w:tr w:rsidR="00F36BCA" w:rsidRPr="00E120D6" w14:paraId="27415B9A" w14:textId="77777777" w:rsidTr="00AE3496">
        <w:tc>
          <w:tcPr>
            <w:tcW w:w="626" w:type="pct"/>
            <w:vMerge w:val="restart"/>
            <w:vAlign w:val="center"/>
          </w:tcPr>
          <w:p w14:paraId="4E0FAD3D" w14:textId="77777777" w:rsidR="00F36BCA" w:rsidRPr="00E120D6" w:rsidRDefault="00F36BCA" w:rsidP="00D63E5B">
            <w:pPr>
              <w:widowControl w:val="0"/>
              <w:jc w:val="center"/>
              <w:rPr>
                <w:rFonts w:ascii="Arial Narrow" w:hAnsi="Arial Narrow"/>
                <w:b/>
                <w:snapToGrid w:val="0"/>
                <w:sz w:val="20"/>
                <w:szCs w:val="20"/>
              </w:rPr>
            </w:pPr>
            <w:r w:rsidRPr="00E120D6">
              <w:rPr>
                <w:rFonts w:ascii="Arial Narrow" w:hAnsi="Arial Narrow"/>
                <w:b/>
                <w:bCs/>
                <w:snapToGrid w:val="0"/>
                <w:color w:val="000000"/>
                <w:sz w:val="20"/>
                <w:szCs w:val="20"/>
              </w:rPr>
              <w:t>Concept ID</w:t>
            </w:r>
            <w:r w:rsidRPr="00E120D6">
              <w:rPr>
                <w:rFonts w:ascii="Arial Narrow" w:hAnsi="Arial Narrow"/>
                <w:snapToGrid w:val="0"/>
                <w:color w:val="333333"/>
                <w:sz w:val="20"/>
                <w:szCs w:val="20"/>
              </w:rPr>
              <w:t xml:space="preserve"> – for Dept. use</w:t>
            </w:r>
          </w:p>
        </w:tc>
        <w:tc>
          <w:tcPr>
            <w:tcW w:w="4374" w:type="pct"/>
          </w:tcPr>
          <w:p w14:paraId="4A75E0E4" w14:textId="77777777" w:rsidR="00F36BCA" w:rsidRPr="00E120D6" w:rsidRDefault="00F36BCA" w:rsidP="00D63E5B">
            <w:pPr>
              <w:widowControl w:val="0"/>
              <w:rPr>
                <w:rFonts w:ascii="Arial Narrow" w:hAnsi="Arial Narrow"/>
                <w:b/>
                <w:bCs/>
                <w:snapToGrid w:val="0"/>
                <w:sz w:val="20"/>
                <w:szCs w:val="20"/>
              </w:rPr>
            </w:pPr>
            <w:r w:rsidRPr="00E120D6">
              <w:rPr>
                <w:rFonts w:ascii="Arial Narrow" w:hAnsi="Arial Narrow"/>
                <w:b/>
                <w:snapToGrid w:val="0"/>
                <w:sz w:val="20"/>
                <w:szCs w:val="20"/>
              </w:rPr>
              <w:t xml:space="preserve">Category / Program: </w:t>
            </w:r>
            <w:r w:rsidRPr="00E120D6">
              <w:rPr>
                <w:rFonts w:ascii="Arial Narrow" w:hAnsi="Arial Narrow"/>
                <w:snapToGrid w:val="0"/>
                <w:sz w:val="20"/>
                <w:szCs w:val="20"/>
              </w:rPr>
              <w:t xml:space="preserve">GENERAL – General Schedule (Code GE) </w:t>
            </w:r>
          </w:p>
        </w:tc>
      </w:tr>
      <w:tr w:rsidR="00F36BCA" w:rsidRPr="00E120D6" w14:paraId="1EF8E268" w14:textId="77777777" w:rsidTr="00AE3496">
        <w:tc>
          <w:tcPr>
            <w:tcW w:w="626" w:type="pct"/>
            <w:vMerge/>
            <w:vAlign w:val="center"/>
          </w:tcPr>
          <w:p w14:paraId="1163F572" w14:textId="77777777" w:rsidR="00F36BCA" w:rsidRPr="00E120D6" w:rsidRDefault="00F36BCA" w:rsidP="00D63E5B">
            <w:pPr>
              <w:widowControl w:val="0"/>
              <w:jc w:val="center"/>
              <w:rPr>
                <w:rFonts w:ascii="Arial Narrow" w:hAnsi="Arial Narrow"/>
                <w:b/>
                <w:snapToGrid w:val="0"/>
                <w:sz w:val="20"/>
                <w:szCs w:val="20"/>
              </w:rPr>
            </w:pPr>
          </w:p>
        </w:tc>
        <w:tc>
          <w:tcPr>
            <w:tcW w:w="4374" w:type="pct"/>
          </w:tcPr>
          <w:p w14:paraId="42CBC95E" w14:textId="77777777" w:rsidR="00F36BCA" w:rsidRPr="00E120D6" w:rsidRDefault="00F36BCA" w:rsidP="00D63E5B">
            <w:pPr>
              <w:widowControl w:val="0"/>
              <w:rPr>
                <w:rFonts w:ascii="Arial Narrow" w:hAnsi="Arial Narrow"/>
                <w:b/>
                <w:bCs/>
                <w:snapToGrid w:val="0"/>
                <w:sz w:val="20"/>
                <w:szCs w:val="20"/>
              </w:rPr>
            </w:pPr>
            <w:r w:rsidRPr="00E120D6">
              <w:rPr>
                <w:rFonts w:ascii="Arial Narrow" w:hAnsi="Arial Narrow"/>
                <w:b/>
                <w:snapToGrid w:val="0"/>
                <w:sz w:val="20"/>
                <w:szCs w:val="20"/>
              </w:rPr>
              <w:t xml:space="preserve">Prescriber type: </w:t>
            </w:r>
            <w:r w:rsidRPr="00E120D6">
              <w:rPr>
                <w:rFonts w:ascii="Arial Narrow" w:hAnsi="Arial Narrow"/>
                <w:snapToGrid w:val="0"/>
                <w:sz w:val="20"/>
                <w:szCs w:val="20"/>
              </w:rPr>
              <w:fldChar w:fldCharType="begin" w:fldLock="1">
                <w:ffData>
                  <w:name w:val=""/>
                  <w:enabled/>
                  <w:calcOnExit w:val="0"/>
                  <w:checkBox>
                    <w:sizeAuto/>
                    <w:default w:val="1"/>
                  </w:checkBox>
                </w:ffData>
              </w:fldChar>
            </w:r>
            <w:r w:rsidRPr="00E120D6">
              <w:rPr>
                <w:rFonts w:ascii="Arial Narrow" w:hAnsi="Arial Narrow"/>
                <w:snapToGrid w:val="0"/>
                <w:sz w:val="20"/>
                <w:szCs w:val="20"/>
              </w:rPr>
              <w:instrText xml:space="preserve"> FORMCHECKBOX </w:instrText>
            </w:r>
            <w:r w:rsidRPr="00E120D6">
              <w:rPr>
                <w:rFonts w:ascii="Arial Narrow" w:hAnsi="Arial Narrow"/>
                <w:snapToGrid w:val="0"/>
                <w:sz w:val="20"/>
                <w:szCs w:val="20"/>
              </w:rPr>
            </w:r>
            <w:r w:rsidRPr="00E120D6">
              <w:rPr>
                <w:rFonts w:ascii="Arial Narrow" w:hAnsi="Arial Narrow"/>
                <w:snapToGrid w:val="0"/>
                <w:sz w:val="20"/>
                <w:szCs w:val="20"/>
              </w:rPr>
              <w:fldChar w:fldCharType="separate"/>
            </w:r>
            <w:r w:rsidRPr="00E120D6">
              <w:rPr>
                <w:rFonts w:ascii="Arial Narrow" w:hAnsi="Arial Narrow"/>
                <w:snapToGrid w:val="0"/>
                <w:sz w:val="20"/>
                <w:szCs w:val="20"/>
              </w:rPr>
              <w:fldChar w:fldCharType="end"/>
            </w:r>
            <w:r w:rsidRPr="00E120D6">
              <w:rPr>
                <w:rFonts w:ascii="Arial Narrow" w:hAnsi="Arial Narrow"/>
                <w:snapToGrid w:val="0"/>
                <w:sz w:val="20"/>
                <w:szCs w:val="20"/>
              </w:rPr>
              <w:t xml:space="preserve"> Medical Practitioners </w:t>
            </w:r>
          </w:p>
        </w:tc>
      </w:tr>
      <w:tr w:rsidR="00F36BCA" w:rsidRPr="00E120D6" w14:paraId="0708FA42" w14:textId="77777777" w:rsidTr="00AE3496">
        <w:tc>
          <w:tcPr>
            <w:tcW w:w="626" w:type="pct"/>
            <w:vMerge/>
            <w:vAlign w:val="center"/>
          </w:tcPr>
          <w:p w14:paraId="4D127FA8" w14:textId="77777777" w:rsidR="00F36BCA" w:rsidRPr="00E120D6" w:rsidRDefault="00F36BCA" w:rsidP="00D63E5B">
            <w:pPr>
              <w:widowControl w:val="0"/>
              <w:jc w:val="center"/>
              <w:rPr>
                <w:rFonts w:ascii="Arial Narrow" w:hAnsi="Arial Narrow"/>
                <w:b/>
                <w:snapToGrid w:val="0"/>
                <w:sz w:val="20"/>
                <w:szCs w:val="20"/>
              </w:rPr>
            </w:pPr>
          </w:p>
        </w:tc>
        <w:tc>
          <w:tcPr>
            <w:tcW w:w="4374" w:type="pct"/>
          </w:tcPr>
          <w:p w14:paraId="59B81BA2" w14:textId="42449CF0" w:rsidR="00F36BCA" w:rsidRPr="00E120D6" w:rsidRDefault="00F36BCA" w:rsidP="00D63E5B">
            <w:pPr>
              <w:widowControl w:val="0"/>
              <w:rPr>
                <w:rFonts w:ascii="Arial Narrow" w:hAnsi="Arial Narrow"/>
                <w:b/>
                <w:bCs/>
                <w:snapToGrid w:val="0"/>
                <w:sz w:val="20"/>
                <w:szCs w:val="20"/>
              </w:rPr>
            </w:pPr>
            <w:r w:rsidRPr="00E120D6">
              <w:rPr>
                <w:rFonts w:ascii="Arial Narrow" w:hAnsi="Arial Narrow"/>
                <w:b/>
                <w:snapToGrid w:val="0"/>
                <w:sz w:val="20"/>
                <w:szCs w:val="20"/>
              </w:rPr>
              <w:t xml:space="preserve">Restriction type: </w:t>
            </w:r>
            <w:r w:rsidRPr="00E120D6">
              <w:rPr>
                <w:rFonts w:ascii="Arial Narrow" w:eastAsia="Calibri" w:hAnsi="Arial Narrow"/>
                <w:snapToGrid w:val="0"/>
                <w:sz w:val="20"/>
                <w:szCs w:val="20"/>
              </w:rPr>
              <w:fldChar w:fldCharType="begin" w:fldLock="1">
                <w:ffData>
                  <w:name w:val=""/>
                  <w:enabled/>
                  <w:calcOnExit w:val="0"/>
                  <w:checkBox>
                    <w:sizeAuto/>
                    <w:default w:val="1"/>
                  </w:checkBox>
                </w:ffData>
              </w:fldChar>
            </w:r>
            <w:r w:rsidRPr="00E120D6">
              <w:rPr>
                <w:rFonts w:ascii="Arial Narrow" w:eastAsia="Calibri" w:hAnsi="Arial Narrow"/>
                <w:snapToGrid w:val="0"/>
                <w:sz w:val="20"/>
                <w:szCs w:val="20"/>
              </w:rPr>
              <w:instrText xml:space="preserve"> FORMCHECKBOX </w:instrText>
            </w:r>
            <w:r w:rsidRPr="00E120D6">
              <w:rPr>
                <w:rFonts w:ascii="Arial Narrow" w:eastAsia="Calibri" w:hAnsi="Arial Narrow"/>
                <w:snapToGrid w:val="0"/>
                <w:sz w:val="20"/>
                <w:szCs w:val="20"/>
              </w:rPr>
            </w:r>
            <w:r w:rsidRPr="00E120D6">
              <w:rPr>
                <w:rFonts w:ascii="Arial Narrow" w:eastAsia="Calibri" w:hAnsi="Arial Narrow"/>
                <w:snapToGrid w:val="0"/>
                <w:sz w:val="20"/>
                <w:szCs w:val="20"/>
              </w:rPr>
              <w:fldChar w:fldCharType="separate"/>
            </w:r>
            <w:r w:rsidRPr="00E120D6">
              <w:rPr>
                <w:rFonts w:ascii="Arial Narrow" w:eastAsia="Calibri" w:hAnsi="Arial Narrow"/>
                <w:snapToGrid w:val="0"/>
                <w:sz w:val="20"/>
                <w:szCs w:val="20"/>
              </w:rPr>
              <w:fldChar w:fldCharType="end"/>
            </w:r>
            <w:r w:rsidRPr="00E120D6">
              <w:rPr>
                <w:rFonts w:ascii="Arial Narrow" w:eastAsia="Calibri" w:hAnsi="Arial Narrow"/>
                <w:snapToGrid w:val="0"/>
                <w:sz w:val="20"/>
                <w:szCs w:val="20"/>
              </w:rPr>
              <w:t xml:space="preserve"> </w:t>
            </w:r>
            <w:r w:rsidR="0051511F" w:rsidRPr="0051511F">
              <w:rPr>
                <w:rFonts w:ascii="Arial Narrow" w:eastAsia="Calibri" w:hAnsi="Arial Narrow"/>
                <w:snapToGrid w:val="0"/>
                <w:sz w:val="20"/>
                <w:szCs w:val="20"/>
              </w:rPr>
              <w:t xml:space="preserve">Authority Required (FULL assessment) in writing only via post/HPOS upload  </w:t>
            </w:r>
          </w:p>
        </w:tc>
      </w:tr>
      <w:tr w:rsidR="00F36BCA" w:rsidRPr="00E120D6" w14:paraId="20875ECD" w14:textId="77777777" w:rsidTr="00AE3496">
        <w:tc>
          <w:tcPr>
            <w:tcW w:w="626" w:type="pct"/>
            <w:vAlign w:val="center"/>
          </w:tcPr>
          <w:p w14:paraId="7E7578BC" w14:textId="77777777" w:rsidR="00F36BCA" w:rsidRPr="00E120D6" w:rsidRDefault="00F36BCA" w:rsidP="00D63E5B">
            <w:pPr>
              <w:widowControl w:val="0"/>
              <w:jc w:val="center"/>
              <w:rPr>
                <w:rFonts w:ascii="Arial Narrow" w:hAnsi="Arial Narrow"/>
                <w:b/>
                <w:bCs/>
                <w:snapToGrid w:val="0"/>
                <w:sz w:val="20"/>
                <w:szCs w:val="20"/>
              </w:rPr>
            </w:pPr>
          </w:p>
        </w:tc>
        <w:tc>
          <w:tcPr>
            <w:tcW w:w="4374" w:type="pct"/>
          </w:tcPr>
          <w:p w14:paraId="7BA5BE6D" w14:textId="77777777" w:rsidR="00F36BCA" w:rsidRPr="00E120D6" w:rsidRDefault="00F36BCA" w:rsidP="00D63E5B">
            <w:pPr>
              <w:widowControl w:val="0"/>
              <w:rPr>
                <w:rFonts w:ascii="Arial Narrow" w:hAnsi="Arial Narrow"/>
                <w:b/>
                <w:bCs/>
                <w:snapToGrid w:val="0"/>
                <w:sz w:val="20"/>
                <w:szCs w:val="20"/>
              </w:rPr>
            </w:pPr>
          </w:p>
        </w:tc>
      </w:tr>
      <w:tr w:rsidR="00F36BCA" w:rsidRPr="00E120D6" w14:paraId="70B4209A" w14:textId="77777777" w:rsidTr="00AE3496">
        <w:tc>
          <w:tcPr>
            <w:tcW w:w="626" w:type="pct"/>
            <w:vAlign w:val="center"/>
          </w:tcPr>
          <w:p w14:paraId="044C940D" w14:textId="459B2245" w:rsidR="00F36BCA" w:rsidRPr="00E120D6" w:rsidRDefault="00F36BCA" w:rsidP="00D63E5B">
            <w:pPr>
              <w:widowControl w:val="0"/>
              <w:jc w:val="center"/>
              <w:rPr>
                <w:rFonts w:ascii="Arial Narrow" w:hAnsi="Arial Narrow"/>
                <w:b/>
                <w:bCs/>
                <w:snapToGrid w:val="0"/>
                <w:sz w:val="20"/>
                <w:szCs w:val="20"/>
              </w:rPr>
            </w:pPr>
          </w:p>
        </w:tc>
        <w:tc>
          <w:tcPr>
            <w:tcW w:w="4374" w:type="pct"/>
          </w:tcPr>
          <w:p w14:paraId="08D86555" w14:textId="77777777" w:rsidR="00F36BCA" w:rsidRPr="00E120D6" w:rsidRDefault="00F36BCA" w:rsidP="00D63E5B">
            <w:pPr>
              <w:widowControl w:val="0"/>
              <w:rPr>
                <w:rFonts w:ascii="Arial Narrow" w:hAnsi="Arial Narrow"/>
                <w:b/>
                <w:bCs/>
                <w:snapToGrid w:val="0"/>
                <w:sz w:val="20"/>
                <w:szCs w:val="20"/>
              </w:rPr>
            </w:pPr>
            <w:r w:rsidRPr="00E120D6">
              <w:rPr>
                <w:rFonts w:ascii="Arial Narrow" w:hAnsi="Arial Narrow"/>
                <w:b/>
                <w:bCs/>
                <w:snapToGrid w:val="0"/>
                <w:sz w:val="20"/>
                <w:szCs w:val="20"/>
              </w:rPr>
              <w:t xml:space="preserve">Administrative advice: </w:t>
            </w:r>
            <w:r w:rsidRPr="00E120D6">
              <w:rPr>
                <w:rFonts w:ascii="Arial Narrow" w:hAnsi="Arial Narrow"/>
                <w:snapToGrid w:val="0"/>
                <w:sz w:val="20"/>
                <w:szCs w:val="20"/>
              </w:rPr>
              <w:t>No increase in the maximum number of repeats may be authorised.</w:t>
            </w:r>
          </w:p>
        </w:tc>
      </w:tr>
      <w:tr w:rsidR="00F36BCA" w:rsidRPr="00E120D6" w14:paraId="64C6D859" w14:textId="77777777" w:rsidTr="00AE3496">
        <w:tc>
          <w:tcPr>
            <w:tcW w:w="626" w:type="pct"/>
            <w:vAlign w:val="center"/>
          </w:tcPr>
          <w:p w14:paraId="4953B306" w14:textId="6B7E8AD4" w:rsidR="00F36BCA" w:rsidRPr="00E120D6" w:rsidRDefault="00F36BCA" w:rsidP="00D63E5B">
            <w:pPr>
              <w:widowControl w:val="0"/>
              <w:jc w:val="center"/>
              <w:rPr>
                <w:rFonts w:ascii="Arial Narrow" w:hAnsi="Arial Narrow"/>
                <w:b/>
                <w:bCs/>
                <w:snapToGrid w:val="0"/>
                <w:sz w:val="20"/>
                <w:szCs w:val="20"/>
              </w:rPr>
            </w:pPr>
          </w:p>
        </w:tc>
        <w:tc>
          <w:tcPr>
            <w:tcW w:w="4374" w:type="pct"/>
          </w:tcPr>
          <w:p w14:paraId="2B07C96B" w14:textId="77777777" w:rsidR="00F36BCA" w:rsidRPr="00E120D6" w:rsidRDefault="00F36BCA" w:rsidP="00D63E5B">
            <w:pPr>
              <w:widowControl w:val="0"/>
              <w:rPr>
                <w:rFonts w:ascii="Arial Narrow" w:hAnsi="Arial Narrow"/>
                <w:b/>
                <w:bCs/>
                <w:snapToGrid w:val="0"/>
                <w:sz w:val="20"/>
                <w:szCs w:val="20"/>
              </w:rPr>
            </w:pPr>
            <w:r w:rsidRPr="00E120D6">
              <w:rPr>
                <w:rFonts w:ascii="Arial Narrow" w:hAnsi="Arial Narrow"/>
                <w:b/>
                <w:bCs/>
                <w:snapToGrid w:val="0"/>
                <w:sz w:val="20"/>
                <w:szCs w:val="20"/>
              </w:rPr>
              <w:t xml:space="preserve">Administrative advice: </w:t>
            </w:r>
            <w:r w:rsidRPr="00E120D6">
              <w:rPr>
                <w:rFonts w:ascii="Arial Narrow" w:hAnsi="Arial Narrow"/>
                <w:snapToGrid w:val="0"/>
                <w:sz w:val="20"/>
                <w:szCs w:val="20"/>
              </w:rPr>
              <w:t>Special Pricing Arrangements apply.</w:t>
            </w:r>
          </w:p>
        </w:tc>
      </w:tr>
      <w:tr w:rsidR="00F36BCA" w:rsidRPr="00E120D6" w14:paraId="11FBB897" w14:textId="77777777" w:rsidTr="00AE3496">
        <w:tc>
          <w:tcPr>
            <w:tcW w:w="626" w:type="pct"/>
            <w:vAlign w:val="center"/>
          </w:tcPr>
          <w:p w14:paraId="3B66BD4D" w14:textId="77777777" w:rsidR="00F36BCA" w:rsidRPr="00E120D6" w:rsidRDefault="00F36BCA" w:rsidP="00D63E5B">
            <w:pPr>
              <w:widowControl w:val="0"/>
              <w:jc w:val="center"/>
              <w:rPr>
                <w:rFonts w:ascii="Arial Narrow" w:hAnsi="Arial Narrow"/>
                <w:b/>
                <w:bCs/>
                <w:snapToGrid w:val="0"/>
                <w:sz w:val="20"/>
                <w:szCs w:val="20"/>
              </w:rPr>
            </w:pPr>
          </w:p>
        </w:tc>
        <w:tc>
          <w:tcPr>
            <w:tcW w:w="4374" w:type="pct"/>
          </w:tcPr>
          <w:p w14:paraId="6F790D2F" w14:textId="77777777" w:rsidR="00F36BCA" w:rsidRPr="00E120D6" w:rsidRDefault="00F36BCA" w:rsidP="00D63E5B">
            <w:pPr>
              <w:widowControl w:val="0"/>
              <w:rPr>
                <w:rFonts w:ascii="Arial Narrow" w:hAnsi="Arial Narrow"/>
                <w:b/>
                <w:bCs/>
                <w:snapToGrid w:val="0"/>
                <w:sz w:val="20"/>
                <w:szCs w:val="20"/>
              </w:rPr>
            </w:pPr>
          </w:p>
        </w:tc>
      </w:tr>
      <w:tr w:rsidR="00F36BCA" w:rsidRPr="00E120D6" w14:paraId="67BA133F" w14:textId="77777777" w:rsidTr="00AE3496">
        <w:tc>
          <w:tcPr>
            <w:tcW w:w="626" w:type="pct"/>
            <w:vAlign w:val="center"/>
          </w:tcPr>
          <w:p w14:paraId="00E53DB8" w14:textId="70A0D814" w:rsidR="00F36BCA" w:rsidRPr="00E120D6" w:rsidRDefault="00F36BCA" w:rsidP="00D63E5B">
            <w:pPr>
              <w:widowControl w:val="0"/>
              <w:jc w:val="center"/>
              <w:rPr>
                <w:rFonts w:ascii="Arial Narrow" w:hAnsi="Arial Narrow"/>
                <w:b/>
                <w:bCs/>
                <w:snapToGrid w:val="0"/>
                <w:sz w:val="20"/>
                <w:szCs w:val="20"/>
              </w:rPr>
            </w:pPr>
          </w:p>
        </w:tc>
        <w:tc>
          <w:tcPr>
            <w:tcW w:w="4374" w:type="pct"/>
          </w:tcPr>
          <w:p w14:paraId="757D6C8B" w14:textId="77777777" w:rsidR="00F36BCA" w:rsidRPr="00E120D6" w:rsidRDefault="00F36BCA" w:rsidP="00D63E5B">
            <w:pPr>
              <w:widowControl w:val="0"/>
              <w:rPr>
                <w:rFonts w:ascii="Arial Narrow" w:hAnsi="Arial Narrow"/>
                <w:snapToGrid w:val="0"/>
                <w:sz w:val="20"/>
                <w:szCs w:val="20"/>
                <w:highlight w:val="lightGray"/>
              </w:rPr>
            </w:pPr>
            <w:r w:rsidRPr="00E120D6">
              <w:rPr>
                <w:rFonts w:ascii="Arial Narrow" w:hAnsi="Arial Narrow"/>
                <w:b/>
                <w:bCs/>
                <w:snapToGrid w:val="0"/>
                <w:sz w:val="20"/>
                <w:szCs w:val="20"/>
              </w:rPr>
              <w:t>Indication:</w:t>
            </w:r>
            <w:r w:rsidRPr="00E120D6">
              <w:rPr>
                <w:rFonts w:ascii="Arial Narrow" w:hAnsi="Arial Narrow"/>
                <w:snapToGrid w:val="0"/>
                <w:sz w:val="20"/>
                <w:szCs w:val="20"/>
              </w:rPr>
              <w:t xml:space="preserve"> Chronic treatment of hereditary angioedema Types 1 or 2</w:t>
            </w:r>
          </w:p>
        </w:tc>
      </w:tr>
      <w:tr w:rsidR="00F36BCA" w:rsidRPr="00E120D6" w14:paraId="16292B0C" w14:textId="77777777" w:rsidTr="00AE3496">
        <w:tc>
          <w:tcPr>
            <w:tcW w:w="626" w:type="pct"/>
            <w:vAlign w:val="center"/>
          </w:tcPr>
          <w:p w14:paraId="68813BEA" w14:textId="77777777" w:rsidR="00F36BCA" w:rsidRPr="00E120D6" w:rsidRDefault="00F36BCA" w:rsidP="00D63E5B">
            <w:pPr>
              <w:widowControl w:val="0"/>
              <w:jc w:val="center"/>
              <w:rPr>
                <w:rFonts w:ascii="Arial Narrow" w:hAnsi="Arial Narrow"/>
                <w:b/>
                <w:bCs/>
                <w:snapToGrid w:val="0"/>
                <w:sz w:val="20"/>
                <w:szCs w:val="20"/>
              </w:rPr>
            </w:pPr>
          </w:p>
        </w:tc>
        <w:tc>
          <w:tcPr>
            <w:tcW w:w="4374" w:type="pct"/>
          </w:tcPr>
          <w:p w14:paraId="40E46CA7" w14:textId="77777777" w:rsidR="00F36BCA" w:rsidRPr="00E120D6" w:rsidRDefault="00F36BCA" w:rsidP="00D63E5B">
            <w:pPr>
              <w:widowControl w:val="0"/>
              <w:rPr>
                <w:rFonts w:ascii="Arial Narrow" w:hAnsi="Arial Narrow"/>
                <w:b/>
                <w:bCs/>
                <w:snapToGrid w:val="0"/>
                <w:sz w:val="20"/>
                <w:szCs w:val="20"/>
              </w:rPr>
            </w:pPr>
            <w:r w:rsidRPr="00E120D6">
              <w:rPr>
                <w:rFonts w:ascii="Arial Narrow" w:hAnsi="Arial Narrow"/>
                <w:b/>
                <w:bCs/>
                <w:snapToGrid w:val="0"/>
                <w:sz w:val="20"/>
                <w:szCs w:val="20"/>
              </w:rPr>
              <w:t xml:space="preserve">Treatment Phase: </w:t>
            </w:r>
            <w:r w:rsidRPr="00E120D6">
              <w:rPr>
                <w:rFonts w:ascii="Arial Narrow" w:hAnsi="Arial Narrow"/>
                <w:snapToGrid w:val="0"/>
                <w:sz w:val="20"/>
                <w:szCs w:val="20"/>
              </w:rPr>
              <w:t>Initial 2: New patient (commencing from National Blood Authority-funded C1-INH)</w:t>
            </w:r>
            <w:r w:rsidRPr="00E120D6">
              <w:rPr>
                <w:rFonts w:ascii="Arial Narrow" w:hAnsi="Arial Narrow"/>
                <w:b/>
                <w:bCs/>
                <w:snapToGrid w:val="0"/>
                <w:sz w:val="20"/>
                <w:szCs w:val="20"/>
              </w:rPr>
              <w:t xml:space="preserve"> </w:t>
            </w:r>
          </w:p>
        </w:tc>
      </w:tr>
      <w:tr w:rsidR="00F36BCA" w:rsidRPr="00E120D6" w14:paraId="7A3B2179" w14:textId="77777777" w:rsidTr="00AE3496">
        <w:tc>
          <w:tcPr>
            <w:tcW w:w="626" w:type="pct"/>
            <w:vAlign w:val="center"/>
          </w:tcPr>
          <w:p w14:paraId="44651FCF" w14:textId="658E7B36" w:rsidR="00F36BCA" w:rsidRPr="00E120D6" w:rsidRDefault="00F36BCA" w:rsidP="00D63E5B">
            <w:pPr>
              <w:widowControl w:val="0"/>
              <w:jc w:val="center"/>
              <w:rPr>
                <w:rFonts w:ascii="Arial Narrow" w:hAnsi="Arial Narrow"/>
                <w:snapToGrid w:val="0"/>
                <w:sz w:val="20"/>
                <w:szCs w:val="20"/>
              </w:rPr>
            </w:pPr>
          </w:p>
        </w:tc>
        <w:tc>
          <w:tcPr>
            <w:tcW w:w="4374" w:type="pct"/>
          </w:tcPr>
          <w:p w14:paraId="768227BB" w14:textId="77777777" w:rsidR="00F36BCA" w:rsidRPr="00E120D6" w:rsidRDefault="00F36BCA" w:rsidP="00D63E5B">
            <w:pPr>
              <w:widowControl w:val="0"/>
              <w:rPr>
                <w:rFonts w:ascii="Arial Narrow" w:hAnsi="Arial Narrow"/>
                <w:b/>
                <w:bCs/>
                <w:snapToGrid w:val="0"/>
                <w:sz w:val="20"/>
                <w:szCs w:val="20"/>
              </w:rPr>
            </w:pPr>
            <w:r w:rsidRPr="00E120D6">
              <w:rPr>
                <w:rFonts w:ascii="Arial Narrow" w:hAnsi="Arial Narrow"/>
                <w:b/>
                <w:bCs/>
                <w:snapToGrid w:val="0"/>
                <w:sz w:val="20"/>
                <w:szCs w:val="20"/>
              </w:rPr>
              <w:t xml:space="preserve">Clinical criteria: </w:t>
            </w:r>
          </w:p>
        </w:tc>
      </w:tr>
      <w:tr w:rsidR="00F36BCA" w:rsidRPr="00E120D6" w14:paraId="46D3C28F" w14:textId="77777777" w:rsidTr="00AE3496">
        <w:tc>
          <w:tcPr>
            <w:tcW w:w="626" w:type="pct"/>
            <w:vAlign w:val="center"/>
          </w:tcPr>
          <w:p w14:paraId="49801891" w14:textId="3DA2888F" w:rsidR="00F36BCA" w:rsidRPr="00E120D6" w:rsidRDefault="00F36BCA" w:rsidP="00D63E5B">
            <w:pPr>
              <w:widowControl w:val="0"/>
              <w:jc w:val="center"/>
              <w:rPr>
                <w:rFonts w:ascii="Arial Narrow" w:hAnsi="Arial Narrow"/>
                <w:snapToGrid w:val="0"/>
                <w:sz w:val="20"/>
                <w:szCs w:val="20"/>
              </w:rPr>
            </w:pPr>
          </w:p>
        </w:tc>
        <w:tc>
          <w:tcPr>
            <w:tcW w:w="4374" w:type="pct"/>
          </w:tcPr>
          <w:p w14:paraId="523B4505" w14:textId="77777777" w:rsidR="00F36BCA" w:rsidRPr="00E120D6" w:rsidRDefault="00F36BCA" w:rsidP="00D63E5B">
            <w:pPr>
              <w:widowControl w:val="0"/>
              <w:rPr>
                <w:rFonts w:ascii="Arial Narrow" w:hAnsi="Arial Narrow"/>
                <w:snapToGrid w:val="0"/>
                <w:sz w:val="20"/>
                <w:szCs w:val="20"/>
                <w:highlight w:val="lightGray"/>
              </w:rPr>
            </w:pPr>
            <w:r w:rsidRPr="00E120D6">
              <w:rPr>
                <w:rFonts w:ascii="Arial Narrow" w:hAnsi="Arial Narrow"/>
                <w:snapToGrid w:val="0"/>
                <w:sz w:val="20"/>
                <w:szCs w:val="20"/>
              </w:rPr>
              <w:t>Patient must have been receiving a C1-esterase inhibitor through the National Blood Authority as routine prophylaxis for hereditary angioedema immediately prior to receiving lanadelumab</w:t>
            </w:r>
          </w:p>
        </w:tc>
      </w:tr>
      <w:tr w:rsidR="00F36BCA" w:rsidRPr="00E120D6" w14:paraId="3A32C191" w14:textId="77777777" w:rsidTr="00AE3496">
        <w:tc>
          <w:tcPr>
            <w:tcW w:w="626" w:type="pct"/>
            <w:vAlign w:val="center"/>
          </w:tcPr>
          <w:p w14:paraId="44DBB773" w14:textId="77777777" w:rsidR="00F36BCA" w:rsidRPr="00E120D6" w:rsidRDefault="00F36BCA" w:rsidP="00D63E5B">
            <w:pPr>
              <w:widowControl w:val="0"/>
              <w:jc w:val="center"/>
              <w:rPr>
                <w:rFonts w:ascii="Arial Narrow" w:hAnsi="Arial Narrow"/>
                <w:snapToGrid w:val="0"/>
                <w:sz w:val="20"/>
                <w:szCs w:val="20"/>
              </w:rPr>
            </w:pPr>
          </w:p>
        </w:tc>
        <w:tc>
          <w:tcPr>
            <w:tcW w:w="4374" w:type="pct"/>
          </w:tcPr>
          <w:p w14:paraId="3C1985E7" w14:textId="77777777" w:rsidR="00F36BCA" w:rsidRPr="00E120D6" w:rsidRDefault="00F36BCA" w:rsidP="00D63E5B">
            <w:pPr>
              <w:widowControl w:val="0"/>
              <w:rPr>
                <w:rFonts w:ascii="Arial Narrow" w:hAnsi="Arial Narrow"/>
                <w:snapToGrid w:val="0"/>
                <w:sz w:val="20"/>
                <w:szCs w:val="20"/>
              </w:rPr>
            </w:pPr>
            <w:r w:rsidRPr="00E120D6">
              <w:rPr>
                <w:rFonts w:ascii="Arial Narrow" w:hAnsi="Arial Narrow"/>
                <w:snapToGrid w:val="0"/>
                <w:sz w:val="20"/>
                <w:szCs w:val="20"/>
              </w:rPr>
              <w:t>AND</w:t>
            </w:r>
          </w:p>
        </w:tc>
      </w:tr>
      <w:tr w:rsidR="00F36BCA" w:rsidRPr="00E120D6" w14:paraId="794AA3EC" w14:textId="77777777" w:rsidTr="00AE3496">
        <w:tc>
          <w:tcPr>
            <w:tcW w:w="626" w:type="pct"/>
            <w:vAlign w:val="center"/>
          </w:tcPr>
          <w:p w14:paraId="48389890" w14:textId="22269F2D" w:rsidR="00F36BCA" w:rsidRPr="00E120D6" w:rsidRDefault="00F36BCA" w:rsidP="00D63E5B">
            <w:pPr>
              <w:widowControl w:val="0"/>
              <w:jc w:val="center"/>
              <w:rPr>
                <w:rFonts w:ascii="Arial Narrow" w:hAnsi="Arial Narrow"/>
                <w:snapToGrid w:val="0"/>
                <w:sz w:val="20"/>
                <w:szCs w:val="20"/>
              </w:rPr>
            </w:pPr>
          </w:p>
        </w:tc>
        <w:tc>
          <w:tcPr>
            <w:tcW w:w="4374" w:type="pct"/>
          </w:tcPr>
          <w:p w14:paraId="3E41B1B1" w14:textId="77777777" w:rsidR="00F36BCA" w:rsidRPr="00E120D6" w:rsidRDefault="00F36BCA" w:rsidP="00D63E5B">
            <w:pPr>
              <w:widowControl w:val="0"/>
              <w:rPr>
                <w:rFonts w:ascii="Arial Narrow" w:hAnsi="Arial Narrow"/>
                <w:snapToGrid w:val="0"/>
                <w:sz w:val="20"/>
                <w:szCs w:val="20"/>
              </w:rPr>
            </w:pPr>
            <w:r w:rsidRPr="00E120D6">
              <w:rPr>
                <w:rFonts w:ascii="Arial Narrow" w:hAnsi="Arial Narrow"/>
                <w:b/>
                <w:bCs/>
                <w:snapToGrid w:val="0"/>
                <w:sz w:val="20"/>
                <w:szCs w:val="20"/>
              </w:rPr>
              <w:t>Clinical criteria:</w:t>
            </w:r>
          </w:p>
        </w:tc>
      </w:tr>
      <w:tr w:rsidR="00F36BCA" w:rsidRPr="00E120D6" w14:paraId="5AEB143B" w14:textId="77777777" w:rsidTr="00AE3496">
        <w:tc>
          <w:tcPr>
            <w:tcW w:w="626" w:type="pct"/>
            <w:vAlign w:val="center"/>
          </w:tcPr>
          <w:p w14:paraId="3F7F7FA8" w14:textId="3106D093" w:rsidR="00F36BCA" w:rsidRPr="00E120D6" w:rsidRDefault="00F36BCA" w:rsidP="00D63E5B">
            <w:pPr>
              <w:widowControl w:val="0"/>
              <w:jc w:val="center"/>
              <w:rPr>
                <w:rFonts w:ascii="Arial Narrow" w:hAnsi="Arial Narrow"/>
                <w:snapToGrid w:val="0"/>
                <w:sz w:val="20"/>
                <w:szCs w:val="20"/>
              </w:rPr>
            </w:pPr>
          </w:p>
        </w:tc>
        <w:tc>
          <w:tcPr>
            <w:tcW w:w="4374" w:type="pct"/>
          </w:tcPr>
          <w:p w14:paraId="195131AA" w14:textId="77777777" w:rsidR="00F36BCA" w:rsidRPr="00E120D6" w:rsidRDefault="00F36BCA" w:rsidP="00D63E5B">
            <w:pPr>
              <w:widowControl w:val="0"/>
              <w:rPr>
                <w:rFonts w:ascii="Arial Narrow" w:hAnsi="Arial Narrow"/>
                <w:snapToGrid w:val="0"/>
                <w:sz w:val="20"/>
                <w:szCs w:val="20"/>
              </w:rPr>
            </w:pPr>
            <w:r w:rsidRPr="00E120D6">
              <w:rPr>
                <w:rFonts w:ascii="Arial Narrow" w:hAnsi="Arial Narrow"/>
                <w:snapToGrid w:val="0"/>
                <w:sz w:val="20"/>
                <w:szCs w:val="20"/>
              </w:rPr>
              <w:t>The treatment must not be used in combination with a C1-esterase inhibitor concentrate</w:t>
            </w:r>
          </w:p>
        </w:tc>
      </w:tr>
      <w:tr w:rsidR="00F36BCA" w:rsidRPr="00E120D6" w14:paraId="3827B522" w14:textId="77777777" w:rsidTr="00AE3496">
        <w:tc>
          <w:tcPr>
            <w:tcW w:w="626" w:type="pct"/>
            <w:vAlign w:val="center"/>
          </w:tcPr>
          <w:p w14:paraId="07741499" w14:textId="77777777" w:rsidR="00F36BCA" w:rsidRPr="00E120D6" w:rsidRDefault="00F36BCA" w:rsidP="00D63E5B">
            <w:pPr>
              <w:widowControl w:val="0"/>
              <w:jc w:val="center"/>
              <w:rPr>
                <w:rFonts w:ascii="Arial Narrow" w:hAnsi="Arial Narrow"/>
                <w:snapToGrid w:val="0"/>
                <w:sz w:val="20"/>
                <w:szCs w:val="20"/>
              </w:rPr>
            </w:pPr>
          </w:p>
        </w:tc>
        <w:tc>
          <w:tcPr>
            <w:tcW w:w="4374" w:type="pct"/>
          </w:tcPr>
          <w:p w14:paraId="0B46DA0C" w14:textId="77777777" w:rsidR="00F36BCA" w:rsidRPr="00E120D6" w:rsidRDefault="00F36BCA" w:rsidP="00D63E5B">
            <w:pPr>
              <w:widowControl w:val="0"/>
              <w:rPr>
                <w:rFonts w:ascii="Arial Narrow" w:hAnsi="Arial Narrow"/>
                <w:snapToGrid w:val="0"/>
                <w:sz w:val="20"/>
                <w:szCs w:val="20"/>
              </w:rPr>
            </w:pPr>
            <w:r w:rsidRPr="00E120D6">
              <w:rPr>
                <w:rFonts w:ascii="Arial Narrow" w:hAnsi="Arial Narrow"/>
                <w:snapToGrid w:val="0"/>
                <w:sz w:val="20"/>
                <w:szCs w:val="20"/>
              </w:rPr>
              <w:t>AND</w:t>
            </w:r>
          </w:p>
        </w:tc>
      </w:tr>
      <w:tr w:rsidR="00F36BCA" w:rsidRPr="00E120D6" w14:paraId="1E62ADB4" w14:textId="77777777" w:rsidTr="00AE3496">
        <w:tc>
          <w:tcPr>
            <w:tcW w:w="626" w:type="pct"/>
            <w:vAlign w:val="center"/>
          </w:tcPr>
          <w:p w14:paraId="665CAAB9" w14:textId="6D7C6BC5" w:rsidR="00F36BCA" w:rsidRPr="00E120D6" w:rsidRDefault="00F36BCA" w:rsidP="00D63E5B">
            <w:pPr>
              <w:widowControl w:val="0"/>
              <w:jc w:val="center"/>
              <w:rPr>
                <w:rFonts w:ascii="Arial Narrow" w:hAnsi="Arial Narrow"/>
                <w:snapToGrid w:val="0"/>
                <w:sz w:val="20"/>
                <w:szCs w:val="20"/>
              </w:rPr>
            </w:pPr>
          </w:p>
        </w:tc>
        <w:tc>
          <w:tcPr>
            <w:tcW w:w="4374" w:type="pct"/>
          </w:tcPr>
          <w:p w14:paraId="0C0E5F17" w14:textId="77777777" w:rsidR="00F36BCA" w:rsidRPr="00E120D6" w:rsidRDefault="00F36BCA" w:rsidP="00D63E5B">
            <w:pPr>
              <w:widowControl w:val="0"/>
              <w:rPr>
                <w:rFonts w:ascii="Arial Narrow" w:hAnsi="Arial Narrow"/>
                <w:b/>
                <w:bCs/>
                <w:snapToGrid w:val="0"/>
                <w:sz w:val="20"/>
                <w:szCs w:val="20"/>
              </w:rPr>
            </w:pPr>
            <w:r w:rsidRPr="00E120D6">
              <w:rPr>
                <w:rFonts w:ascii="Arial Narrow" w:hAnsi="Arial Narrow"/>
                <w:b/>
                <w:bCs/>
                <w:snapToGrid w:val="0"/>
                <w:sz w:val="20"/>
                <w:szCs w:val="20"/>
              </w:rPr>
              <w:t>Treatment criteria:</w:t>
            </w:r>
          </w:p>
        </w:tc>
      </w:tr>
      <w:tr w:rsidR="00F36BCA" w:rsidRPr="00E120D6" w14:paraId="7BF04CF0" w14:textId="77777777" w:rsidTr="00AE3496">
        <w:tc>
          <w:tcPr>
            <w:tcW w:w="626" w:type="pct"/>
            <w:vAlign w:val="center"/>
          </w:tcPr>
          <w:p w14:paraId="4AAE9CA5" w14:textId="593F52A3" w:rsidR="00F36BCA" w:rsidRPr="00E120D6" w:rsidRDefault="00F36BCA" w:rsidP="00D63E5B">
            <w:pPr>
              <w:widowControl w:val="0"/>
              <w:jc w:val="center"/>
              <w:rPr>
                <w:rFonts w:ascii="Arial Narrow" w:hAnsi="Arial Narrow"/>
                <w:snapToGrid w:val="0"/>
                <w:sz w:val="20"/>
                <w:szCs w:val="20"/>
              </w:rPr>
            </w:pPr>
          </w:p>
        </w:tc>
        <w:tc>
          <w:tcPr>
            <w:tcW w:w="4374" w:type="pct"/>
          </w:tcPr>
          <w:p w14:paraId="27BC4002" w14:textId="77777777" w:rsidR="00F36BCA" w:rsidRPr="00E120D6" w:rsidRDefault="00F36BCA" w:rsidP="00D63E5B">
            <w:pPr>
              <w:widowControl w:val="0"/>
              <w:rPr>
                <w:rFonts w:ascii="Arial Narrow" w:hAnsi="Arial Narrow"/>
                <w:snapToGrid w:val="0"/>
                <w:sz w:val="20"/>
                <w:szCs w:val="20"/>
              </w:rPr>
            </w:pPr>
            <w:r w:rsidRPr="00E120D6">
              <w:rPr>
                <w:rFonts w:ascii="Arial Narrow" w:hAnsi="Arial Narrow"/>
                <w:snapToGrid w:val="0"/>
                <w:sz w:val="20"/>
                <w:szCs w:val="20"/>
              </w:rPr>
              <w:t>Must be treated by a clinical immunologist or a specialist allergist</w:t>
            </w:r>
          </w:p>
        </w:tc>
      </w:tr>
      <w:tr w:rsidR="00F36BCA" w:rsidRPr="00E120D6" w14:paraId="4559BA6A" w14:textId="77777777" w:rsidTr="00AE3496">
        <w:tc>
          <w:tcPr>
            <w:tcW w:w="626" w:type="pct"/>
            <w:vAlign w:val="center"/>
          </w:tcPr>
          <w:p w14:paraId="2C5F39B9" w14:textId="5B9C59F9" w:rsidR="00F36BCA" w:rsidRPr="00E120D6" w:rsidRDefault="00F36BCA" w:rsidP="00D63E5B">
            <w:pPr>
              <w:widowControl w:val="0"/>
              <w:jc w:val="center"/>
              <w:rPr>
                <w:rFonts w:ascii="Arial Narrow" w:hAnsi="Arial Narrow"/>
                <w:snapToGrid w:val="0"/>
                <w:sz w:val="20"/>
                <w:szCs w:val="20"/>
              </w:rPr>
            </w:pPr>
          </w:p>
        </w:tc>
        <w:tc>
          <w:tcPr>
            <w:tcW w:w="4374" w:type="pct"/>
          </w:tcPr>
          <w:p w14:paraId="5C362654" w14:textId="77777777" w:rsidR="00F36BCA" w:rsidRPr="00E120D6" w:rsidRDefault="00F36BCA" w:rsidP="00D63E5B">
            <w:pPr>
              <w:widowControl w:val="0"/>
              <w:rPr>
                <w:rFonts w:ascii="Arial Narrow" w:hAnsi="Arial Narrow"/>
                <w:snapToGrid w:val="0"/>
                <w:sz w:val="20"/>
                <w:szCs w:val="20"/>
              </w:rPr>
            </w:pPr>
            <w:r w:rsidRPr="00E120D6">
              <w:rPr>
                <w:rFonts w:ascii="Arial Narrow" w:hAnsi="Arial Narrow"/>
                <w:b/>
                <w:bCs/>
                <w:snapToGrid w:val="0"/>
                <w:sz w:val="20"/>
                <w:szCs w:val="20"/>
              </w:rPr>
              <w:t>Administrative advice:</w:t>
            </w:r>
          </w:p>
          <w:p w14:paraId="2469403B" w14:textId="77777777" w:rsidR="00F36BCA" w:rsidRPr="00E120D6" w:rsidRDefault="00F36BCA" w:rsidP="00D63E5B">
            <w:pPr>
              <w:widowControl w:val="0"/>
              <w:rPr>
                <w:rFonts w:ascii="Arial Narrow" w:hAnsi="Arial Narrow"/>
                <w:i/>
                <w:iCs/>
                <w:snapToGrid w:val="0"/>
                <w:sz w:val="20"/>
                <w:szCs w:val="20"/>
              </w:rPr>
            </w:pPr>
            <w:r w:rsidRPr="00E120D6">
              <w:rPr>
                <w:rFonts w:ascii="Arial Narrow" w:hAnsi="Arial Narrow"/>
                <w:i/>
                <w:iCs/>
                <w:snapToGrid w:val="0"/>
                <w:sz w:val="20"/>
                <w:szCs w:val="20"/>
              </w:rPr>
              <w:t xml:space="preserve">Any queries concerning the arrangements to prescribe may be directed to Services Australia on 1800 700 </w:t>
            </w:r>
            <w:r w:rsidRPr="00E120D6">
              <w:rPr>
                <w:rFonts w:ascii="Arial Narrow" w:hAnsi="Arial Narrow"/>
                <w:i/>
                <w:iCs/>
                <w:snapToGrid w:val="0"/>
                <w:sz w:val="20"/>
                <w:szCs w:val="20"/>
              </w:rPr>
              <w:lastRenderedPageBreak/>
              <w:t>270 (hours of operation 8 a.m. to 5 p.m. Monday to Friday).</w:t>
            </w:r>
          </w:p>
          <w:p w14:paraId="74D1D77F" w14:textId="77777777" w:rsidR="00F36BCA" w:rsidRPr="00E120D6" w:rsidRDefault="00F36BCA" w:rsidP="00D63E5B">
            <w:pPr>
              <w:widowControl w:val="0"/>
              <w:rPr>
                <w:rFonts w:ascii="Arial Narrow" w:hAnsi="Arial Narrow"/>
                <w:i/>
                <w:iCs/>
                <w:snapToGrid w:val="0"/>
                <w:sz w:val="20"/>
                <w:szCs w:val="20"/>
              </w:rPr>
            </w:pPr>
            <w:r w:rsidRPr="00E120D6">
              <w:rPr>
                <w:rFonts w:ascii="Arial Narrow" w:hAnsi="Arial Narrow"/>
                <w:i/>
                <w:iCs/>
                <w:snapToGrid w:val="0"/>
                <w:sz w:val="20"/>
                <w:szCs w:val="20"/>
              </w:rPr>
              <w:t>Prescribing information (including Authority Application forms and other relevant documentation as applicable) is available on the Services Australia website at www.servicesaustralia.gov.au</w:t>
            </w:r>
          </w:p>
          <w:p w14:paraId="31450897" w14:textId="77777777" w:rsidR="00F36BCA" w:rsidRPr="00E120D6" w:rsidRDefault="00F36BCA" w:rsidP="00D63E5B">
            <w:pPr>
              <w:widowControl w:val="0"/>
              <w:rPr>
                <w:rFonts w:ascii="Arial Narrow" w:hAnsi="Arial Narrow"/>
                <w:i/>
                <w:iCs/>
                <w:snapToGrid w:val="0"/>
                <w:sz w:val="20"/>
                <w:szCs w:val="20"/>
              </w:rPr>
            </w:pPr>
            <w:r w:rsidRPr="00E120D6">
              <w:rPr>
                <w:rFonts w:ascii="Arial Narrow" w:hAnsi="Arial Narrow"/>
                <w:i/>
                <w:iCs/>
                <w:snapToGrid w:val="0"/>
                <w:sz w:val="20"/>
                <w:szCs w:val="20"/>
              </w:rPr>
              <w:t>Applications for authority to prescribe should be submitted online using the form upload facility in Health Professional Online Services (HPOS) at www.servicesaustralia.gov.au/hpos</w:t>
            </w:r>
          </w:p>
          <w:p w14:paraId="40676099" w14:textId="77777777" w:rsidR="00F36BCA" w:rsidRPr="00E120D6" w:rsidRDefault="00F36BCA" w:rsidP="00D63E5B">
            <w:pPr>
              <w:widowControl w:val="0"/>
              <w:rPr>
                <w:rFonts w:ascii="Arial Narrow" w:hAnsi="Arial Narrow"/>
                <w:i/>
                <w:iCs/>
                <w:snapToGrid w:val="0"/>
                <w:sz w:val="20"/>
                <w:szCs w:val="20"/>
              </w:rPr>
            </w:pPr>
            <w:r w:rsidRPr="00E120D6">
              <w:rPr>
                <w:rFonts w:ascii="Arial Narrow" w:hAnsi="Arial Narrow"/>
                <w:i/>
                <w:iCs/>
                <w:snapToGrid w:val="0"/>
                <w:sz w:val="20"/>
                <w:szCs w:val="20"/>
              </w:rPr>
              <w:t>Or mailed to:</w:t>
            </w:r>
          </w:p>
          <w:p w14:paraId="58F19BF5" w14:textId="77777777" w:rsidR="00F36BCA" w:rsidRPr="00E120D6" w:rsidRDefault="00F36BCA" w:rsidP="00D63E5B">
            <w:pPr>
              <w:widowControl w:val="0"/>
              <w:rPr>
                <w:rFonts w:ascii="Arial Narrow" w:hAnsi="Arial Narrow"/>
                <w:i/>
                <w:iCs/>
                <w:snapToGrid w:val="0"/>
                <w:sz w:val="20"/>
                <w:szCs w:val="20"/>
              </w:rPr>
            </w:pPr>
            <w:r w:rsidRPr="00E120D6">
              <w:rPr>
                <w:rFonts w:ascii="Arial Narrow" w:hAnsi="Arial Narrow"/>
                <w:i/>
                <w:iCs/>
                <w:snapToGrid w:val="0"/>
                <w:sz w:val="20"/>
                <w:szCs w:val="20"/>
              </w:rPr>
              <w:t>Services Australia</w:t>
            </w:r>
          </w:p>
          <w:p w14:paraId="47F8DFB1" w14:textId="77777777" w:rsidR="00F36BCA" w:rsidRPr="00E120D6" w:rsidRDefault="00F36BCA" w:rsidP="00D63E5B">
            <w:pPr>
              <w:widowControl w:val="0"/>
              <w:rPr>
                <w:rFonts w:ascii="Arial Narrow" w:hAnsi="Arial Narrow"/>
                <w:i/>
                <w:iCs/>
                <w:snapToGrid w:val="0"/>
                <w:sz w:val="20"/>
                <w:szCs w:val="20"/>
              </w:rPr>
            </w:pPr>
            <w:r w:rsidRPr="00E120D6">
              <w:rPr>
                <w:rFonts w:ascii="Arial Narrow" w:hAnsi="Arial Narrow"/>
                <w:i/>
                <w:iCs/>
                <w:snapToGrid w:val="0"/>
                <w:sz w:val="20"/>
                <w:szCs w:val="20"/>
              </w:rPr>
              <w:t>Complex Drugs</w:t>
            </w:r>
          </w:p>
          <w:p w14:paraId="31AA7367" w14:textId="77777777" w:rsidR="00F36BCA" w:rsidRPr="00E120D6" w:rsidRDefault="00F36BCA" w:rsidP="00D63E5B">
            <w:pPr>
              <w:widowControl w:val="0"/>
              <w:rPr>
                <w:rFonts w:ascii="Arial Narrow" w:hAnsi="Arial Narrow"/>
                <w:i/>
                <w:iCs/>
                <w:snapToGrid w:val="0"/>
                <w:sz w:val="20"/>
                <w:szCs w:val="20"/>
              </w:rPr>
            </w:pPr>
            <w:r w:rsidRPr="00E120D6">
              <w:rPr>
                <w:rFonts w:ascii="Arial Narrow" w:hAnsi="Arial Narrow"/>
                <w:i/>
                <w:iCs/>
                <w:snapToGrid w:val="0"/>
                <w:sz w:val="20"/>
                <w:szCs w:val="20"/>
              </w:rPr>
              <w:t>Reply Paid 9826</w:t>
            </w:r>
          </w:p>
          <w:p w14:paraId="7319F1AF" w14:textId="77777777" w:rsidR="00F36BCA" w:rsidRPr="00E120D6" w:rsidRDefault="00F36BCA" w:rsidP="00D63E5B">
            <w:pPr>
              <w:widowControl w:val="0"/>
              <w:rPr>
                <w:rFonts w:ascii="Arial Narrow" w:hAnsi="Arial Narrow"/>
                <w:snapToGrid w:val="0"/>
                <w:sz w:val="20"/>
                <w:szCs w:val="20"/>
              </w:rPr>
            </w:pPr>
            <w:r w:rsidRPr="00E120D6">
              <w:rPr>
                <w:rFonts w:ascii="Arial Narrow" w:hAnsi="Arial Narrow"/>
                <w:i/>
                <w:iCs/>
                <w:snapToGrid w:val="0"/>
                <w:sz w:val="20"/>
                <w:szCs w:val="20"/>
              </w:rPr>
              <w:t>HOBART TAS 7001</w:t>
            </w:r>
          </w:p>
        </w:tc>
      </w:tr>
    </w:tbl>
    <w:p w14:paraId="3A9BB7D0" w14:textId="77777777" w:rsidR="00F36BCA" w:rsidRPr="008019F9" w:rsidRDefault="00F36BCA" w:rsidP="00D63E5B">
      <w:pPr>
        <w:rPr>
          <w:rFonts w:ascii="Arial Narrow" w:eastAsia="Calibri" w:hAnsi="Arial Narrow"/>
          <w:b/>
          <w:bCs/>
          <w:sz w:val="20"/>
          <w:szCs w:val="20"/>
        </w:rPr>
      </w:pPr>
    </w:p>
    <w:p w14:paraId="050DAE6A" w14:textId="087221EE" w:rsidR="00F36BCA" w:rsidRPr="008019F9" w:rsidRDefault="00F36BCA" w:rsidP="00D63E5B">
      <w:pPr>
        <w:widowControl w:val="0"/>
        <w:rPr>
          <w:rFonts w:ascii="Arial Narrow" w:hAnsi="Arial Narrow"/>
          <w:b/>
          <w:bCs/>
          <w:sz w:val="20"/>
          <w:szCs w:val="18"/>
        </w:rPr>
      </w:pPr>
      <w:r w:rsidRPr="008019F9">
        <w:rPr>
          <w:rFonts w:ascii="Arial Narrow" w:hAnsi="Arial Narrow"/>
          <w:b/>
          <w:bCs/>
          <w:sz w:val="20"/>
          <w:szCs w:val="18"/>
        </w:rPr>
        <w:t>Initial treatment – New patient (Grandfather provision)</w:t>
      </w:r>
    </w:p>
    <w:p w14:paraId="78E8CE01" w14:textId="77777777" w:rsidR="00F36BCA" w:rsidRPr="008019F9" w:rsidRDefault="00F36BCA" w:rsidP="00D63E5B">
      <w:pPr>
        <w:rPr>
          <w:rFonts w:ascii="Arial Narrow" w:eastAsia="Calibri" w:hAnsi="Arial Narrow"/>
          <w:b/>
          <w:bCs/>
          <w:sz w:val="20"/>
          <w:szCs w:val="20"/>
          <w:lang w:eastAsia="en-GB"/>
        </w:rPr>
      </w:pPr>
      <w:r w:rsidRPr="008019F9">
        <w:rPr>
          <w:rFonts w:ascii="Arial Narrow" w:eastAsia="Calibri" w:hAnsi="Arial Narrow"/>
          <w:b/>
          <w:bCs/>
          <w:sz w:val="20"/>
          <w:szCs w:val="20"/>
          <w:lang w:eastAsia="en-GB"/>
        </w:rPr>
        <w:t>Restriction Summary New/ ToC: New</w:t>
      </w:r>
    </w:p>
    <w:p w14:paraId="163407B9" w14:textId="77777777" w:rsidR="00F36BCA" w:rsidRPr="008019F9" w:rsidRDefault="00F36BCA" w:rsidP="00D63E5B">
      <w:pPr>
        <w:rPr>
          <w:rFonts w:ascii="Arial Narrow" w:eastAsia="Calibri" w:hAnsi="Arial Narrow"/>
          <w:b/>
          <w:bCs/>
          <w:sz w:val="20"/>
          <w:szCs w:val="20"/>
        </w:rPr>
      </w:pPr>
    </w:p>
    <w:tbl>
      <w:tblPr>
        <w:tblStyle w:val="TableGrid"/>
        <w:tblW w:w="5000" w:type="pct"/>
        <w:tblLook w:val="04A0" w:firstRow="1" w:lastRow="0" w:firstColumn="1" w:lastColumn="0" w:noHBand="0" w:noVBand="1"/>
      </w:tblPr>
      <w:tblGrid>
        <w:gridCol w:w="1129"/>
        <w:gridCol w:w="7888"/>
      </w:tblGrid>
      <w:tr w:rsidR="00F36BCA" w:rsidRPr="008019F9" w14:paraId="283902B1" w14:textId="77777777" w:rsidTr="00AE3496">
        <w:tc>
          <w:tcPr>
            <w:tcW w:w="626" w:type="pct"/>
            <w:vMerge w:val="restart"/>
            <w:vAlign w:val="center"/>
          </w:tcPr>
          <w:p w14:paraId="65190937" w14:textId="77777777" w:rsidR="00F36BCA" w:rsidRPr="008019F9" w:rsidRDefault="00F36BCA" w:rsidP="00D63E5B">
            <w:pPr>
              <w:widowControl w:val="0"/>
              <w:jc w:val="center"/>
              <w:rPr>
                <w:rFonts w:ascii="Arial Narrow" w:hAnsi="Arial Narrow"/>
                <w:b/>
                <w:snapToGrid w:val="0"/>
                <w:sz w:val="20"/>
              </w:rPr>
            </w:pPr>
            <w:r w:rsidRPr="008019F9">
              <w:rPr>
                <w:rFonts w:ascii="Arial Narrow" w:hAnsi="Arial Narrow"/>
                <w:b/>
                <w:bCs/>
                <w:snapToGrid w:val="0"/>
                <w:color w:val="000000"/>
                <w:sz w:val="20"/>
              </w:rPr>
              <w:t>Concept ID</w:t>
            </w:r>
            <w:r w:rsidRPr="008019F9">
              <w:rPr>
                <w:rFonts w:ascii="Arial Narrow" w:hAnsi="Arial Narrow"/>
                <w:snapToGrid w:val="0"/>
                <w:color w:val="333333"/>
                <w:sz w:val="20"/>
              </w:rPr>
              <w:t xml:space="preserve"> – for Dept. use</w:t>
            </w:r>
          </w:p>
        </w:tc>
        <w:tc>
          <w:tcPr>
            <w:tcW w:w="4374" w:type="pct"/>
          </w:tcPr>
          <w:p w14:paraId="0C8367FD" w14:textId="77777777" w:rsidR="00F36BCA" w:rsidRPr="008019F9" w:rsidRDefault="00F36BCA" w:rsidP="00D63E5B">
            <w:pPr>
              <w:widowControl w:val="0"/>
              <w:rPr>
                <w:rFonts w:ascii="Arial Narrow" w:hAnsi="Arial Narrow"/>
                <w:snapToGrid w:val="0"/>
                <w:sz w:val="20"/>
              </w:rPr>
            </w:pPr>
            <w:r w:rsidRPr="008019F9">
              <w:rPr>
                <w:rFonts w:ascii="Arial Narrow" w:hAnsi="Arial Narrow"/>
                <w:b/>
                <w:snapToGrid w:val="0"/>
                <w:sz w:val="20"/>
              </w:rPr>
              <w:t xml:space="preserve">Category / Program: </w:t>
            </w:r>
            <w:r w:rsidRPr="008019F9">
              <w:rPr>
                <w:rFonts w:ascii="Arial Narrow" w:hAnsi="Arial Narrow"/>
                <w:snapToGrid w:val="0"/>
                <w:sz w:val="20"/>
              </w:rPr>
              <w:t xml:space="preserve">GENERAL – General Schedule (Code GE) </w:t>
            </w:r>
          </w:p>
        </w:tc>
      </w:tr>
      <w:tr w:rsidR="00F36BCA" w:rsidRPr="008019F9" w14:paraId="40C8EE20" w14:textId="77777777" w:rsidTr="00AE3496">
        <w:tc>
          <w:tcPr>
            <w:tcW w:w="626" w:type="pct"/>
            <w:vMerge/>
            <w:vAlign w:val="center"/>
          </w:tcPr>
          <w:p w14:paraId="2E291978" w14:textId="77777777" w:rsidR="00F36BCA" w:rsidRPr="008019F9" w:rsidRDefault="00F36BCA" w:rsidP="00D63E5B">
            <w:pPr>
              <w:widowControl w:val="0"/>
              <w:jc w:val="center"/>
              <w:rPr>
                <w:rFonts w:ascii="Arial Narrow" w:hAnsi="Arial Narrow"/>
                <w:b/>
                <w:snapToGrid w:val="0"/>
                <w:sz w:val="20"/>
              </w:rPr>
            </w:pPr>
          </w:p>
        </w:tc>
        <w:tc>
          <w:tcPr>
            <w:tcW w:w="4374" w:type="pct"/>
          </w:tcPr>
          <w:p w14:paraId="79C2C9E9" w14:textId="77777777" w:rsidR="00F36BCA" w:rsidRPr="008019F9" w:rsidRDefault="00F36BCA" w:rsidP="00D63E5B">
            <w:pPr>
              <w:widowControl w:val="0"/>
              <w:rPr>
                <w:rFonts w:ascii="Arial Narrow" w:hAnsi="Arial Narrow"/>
                <w:snapToGrid w:val="0"/>
                <w:sz w:val="20"/>
              </w:rPr>
            </w:pPr>
            <w:r w:rsidRPr="008019F9">
              <w:rPr>
                <w:rFonts w:ascii="Arial Narrow" w:hAnsi="Arial Narrow"/>
                <w:b/>
                <w:snapToGrid w:val="0"/>
                <w:sz w:val="20"/>
              </w:rPr>
              <w:t xml:space="preserve">Prescriber type: </w:t>
            </w:r>
            <w:r w:rsidRPr="008019F9">
              <w:rPr>
                <w:rFonts w:ascii="Arial Narrow" w:hAnsi="Arial Narrow"/>
                <w:snapToGrid w:val="0"/>
                <w:sz w:val="20"/>
              </w:rPr>
              <w:fldChar w:fldCharType="begin" w:fldLock="1">
                <w:ffData>
                  <w:name w:val=""/>
                  <w:enabled/>
                  <w:calcOnExit w:val="0"/>
                  <w:checkBox>
                    <w:sizeAuto/>
                    <w:default w:val="1"/>
                  </w:checkBox>
                </w:ffData>
              </w:fldChar>
            </w:r>
            <w:r w:rsidRPr="008019F9">
              <w:rPr>
                <w:rFonts w:ascii="Arial Narrow" w:hAnsi="Arial Narrow"/>
                <w:snapToGrid w:val="0"/>
                <w:sz w:val="20"/>
              </w:rPr>
              <w:instrText xml:space="preserve"> FORMCHECKBOX </w:instrText>
            </w:r>
            <w:r w:rsidRPr="008019F9">
              <w:rPr>
                <w:rFonts w:ascii="Arial Narrow" w:hAnsi="Arial Narrow"/>
                <w:snapToGrid w:val="0"/>
                <w:sz w:val="20"/>
              </w:rPr>
            </w:r>
            <w:r w:rsidRPr="008019F9">
              <w:rPr>
                <w:rFonts w:ascii="Arial Narrow" w:hAnsi="Arial Narrow"/>
                <w:snapToGrid w:val="0"/>
                <w:sz w:val="20"/>
              </w:rPr>
              <w:fldChar w:fldCharType="separate"/>
            </w:r>
            <w:r w:rsidRPr="008019F9">
              <w:rPr>
                <w:rFonts w:ascii="Arial Narrow" w:hAnsi="Arial Narrow"/>
                <w:snapToGrid w:val="0"/>
                <w:sz w:val="20"/>
              </w:rPr>
              <w:fldChar w:fldCharType="end"/>
            </w:r>
            <w:r w:rsidRPr="008019F9">
              <w:rPr>
                <w:rFonts w:ascii="Arial Narrow" w:hAnsi="Arial Narrow"/>
                <w:snapToGrid w:val="0"/>
                <w:sz w:val="20"/>
              </w:rPr>
              <w:t xml:space="preserve"> Medical Practitioners </w:t>
            </w:r>
          </w:p>
        </w:tc>
      </w:tr>
      <w:tr w:rsidR="00F36BCA" w:rsidRPr="008019F9" w14:paraId="257B3E54" w14:textId="77777777" w:rsidTr="00AE3496">
        <w:tc>
          <w:tcPr>
            <w:tcW w:w="626" w:type="pct"/>
            <w:vMerge/>
            <w:vAlign w:val="center"/>
          </w:tcPr>
          <w:p w14:paraId="77640C7A" w14:textId="77777777" w:rsidR="00F36BCA" w:rsidRPr="008019F9" w:rsidRDefault="00F36BCA" w:rsidP="00D63E5B">
            <w:pPr>
              <w:widowControl w:val="0"/>
              <w:jc w:val="center"/>
              <w:rPr>
                <w:rFonts w:ascii="Arial Narrow" w:hAnsi="Arial Narrow"/>
                <w:b/>
                <w:snapToGrid w:val="0"/>
                <w:sz w:val="20"/>
              </w:rPr>
            </w:pPr>
          </w:p>
        </w:tc>
        <w:tc>
          <w:tcPr>
            <w:tcW w:w="4374" w:type="pct"/>
          </w:tcPr>
          <w:p w14:paraId="543F8FC4" w14:textId="67EEA1F1" w:rsidR="00F36BCA" w:rsidRPr="008019F9" w:rsidRDefault="00F36BCA" w:rsidP="00D63E5B">
            <w:pPr>
              <w:widowControl w:val="0"/>
              <w:rPr>
                <w:rFonts w:ascii="Arial Narrow" w:hAnsi="Arial Narrow"/>
                <w:snapToGrid w:val="0"/>
                <w:sz w:val="20"/>
              </w:rPr>
            </w:pPr>
            <w:r w:rsidRPr="008019F9">
              <w:rPr>
                <w:rFonts w:ascii="Arial Narrow" w:hAnsi="Arial Narrow"/>
                <w:b/>
                <w:snapToGrid w:val="0"/>
                <w:sz w:val="20"/>
              </w:rPr>
              <w:t xml:space="preserve">Restriction type: </w:t>
            </w:r>
            <w:r w:rsidRPr="008019F9">
              <w:rPr>
                <w:rFonts w:ascii="Arial Narrow" w:eastAsia="Calibri" w:hAnsi="Arial Narrow"/>
                <w:snapToGrid w:val="0"/>
                <w:sz w:val="20"/>
              </w:rPr>
              <w:fldChar w:fldCharType="begin" w:fldLock="1">
                <w:ffData>
                  <w:name w:val=""/>
                  <w:enabled/>
                  <w:calcOnExit w:val="0"/>
                  <w:checkBox>
                    <w:sizeAuto/>
                    <w:default w:val="1"/>
                  </w:checkBox>
                </w:ffData>
              </w:fldChar>
            </w:r>
            <w:r w:rsidRPr="008019F9">
              <w:rPr>
                <w:rFonts w:ascii="Arial Narrow" w:eastAsia="Calibri" w:hAnsi="Arial Narrow"/>
                <w:snapToGrid w:val="0"/>
                <w:sz w:val="20"/>
              </w:rPr>
              <w:instrText xml:space="preserve"> FORMCHECKBOX </w:instrText>
            </w:r>
            <w:r w:rsidRPr="008019F9">
              <w:rPr>
                <w:rFonts w:ascii="Arial Narrow" w:eastAsia="Calibri" w:hAnsi="Arial Narrow"/>
                <w:snapToGrid w:val="0"/>
                <w:sz w:val="20"/>
              </w:rPr>
            </w:r>
            <w:r w:rsidRPr="008019F9">
              <w:rPr>
                <w:rFonts w:ascii="Arial Narrow" w:eastAsia="Calibri" w:hAnsi="Arial Narrow"/>
                <w:snapToGrid w:val="0"/>
                <w:sz w:val="20"/>
              </w:rPr>
              <w:fldChar w:fldCharType="separate"/>
            </w:r>
            <w:r w:rsidRPr="008019F9">
              <w:rPr>
                <w:rFonts w:ascii="Arial Narrow" w:eastAsia="Calibri" w:hAnsi="Arial Narrow"/>
                <w:snapToGrid w:val="0"/>
                <w:sz w:val="20"/>
              </w:rPr>
              <w:fldChar w:fldCharType="end"/>
            </w:r>
            <w:r w:rsidRPr="008019F9">
              <w:rPr>
                <w:rFonts w:ascii="Arial Narrow" w:eastAsia="Calibri" w:hAnsi="Arial Narrow"/>
                <w:snapToGrid w:val="0"/>
                <w:sz w:val="20"/>
              </w:rPr>
              <w:t xml:space="preserve"> </w:t>
            </w:r>
            <w:r w:rsidR="0051511F" w:rsidRPr="0051511F">
              <w:rPr>
                <w:rFonts w:ascii="Arial Narrow" w:eastAsia="Calibri" w:hAnsi="Arial Narrow"/>
                <w:snapToGrid w:val="0"/>
                <w:sz w:val="20"/>
                <w:szCs w:val="20"/>
              </w:rPr>
              <w:t xml:space="preserve">Authority Required (FULL assessment) in writing only via post/HPOS upload  </w:t>
            </w:r>
          </w:p>
        </w:tc>
      </w:tr>
      <w:tr w:rsidR="00F36BCA" w:rsidRPr="008019F9" w14:paraId="41CB214A" w14:textId="77777777" w:rsidTr="00AE3496">
        <w:tc>
          <w:tcPr>
            <w:tcW w:w="626" w:type="pct"/>
            <w:vAlign w:val="center"/>
          </w:tcPr>
          <w:p w14:paraId="0412D41E" w14:textId="77777777" w:rsidR="00F36BCA" w:rsidRPr="008019F9" w:rsidRDefault="00F36BCA" w:rsidP="00D63E5B">
            <w:pPr>
              <w:widowControl w:val="0"/>
              <w:jc w:val="center"/>
              <w:rPr>
                <w:rFonts w:ascii="Arial Narrow" w:hAnsi="Arial Narrow"/>
                <w:snapToGrid w:val="0"/>
                <w:sz w:val="20"/>
              </w:rPr>
            </w:pPr>
          </w:p>
        </w:tc>
        <w:tc>
          <w:tcPr>
            <w:tcW w:w="4374" w:type="pct"/>
          </w:tcPr>
          <w:p w14:paraId="61602DD5" w14:textId="77777777" w:rsidR="00F36BCA" w:rsidRPr="008019F9" w:rsidRDefault="00F36BCA" w:rsidP="00D63E5B">
            <w:pPr>
              <w:widowControl w:val="0"/>
              <w:rPr>
                <w:rFonts w:ascii="Arial Narrow" w:hAnsi="Arial Narrow"/>
                <w:snapToGrid w:val="0"/>
                <w:sz w:val="20"/>
              </w:rPr>
            </w:pPr>
          </w:p>
        </w:tc>
      </w:tr>
      <w:tr w:rsidR="00F36BCA" w:rsidRPr="008019F9" w14:paraId="5E216B01" w14:textId="77777777" w:rsidTr="00AE3496">
        <w:tc>
          <w:tcPr>
            <w:tcW w:w="626" w:type="pct"/>
            <w:vAlign w:val="center"/>
          </w:tcPr>
          <w:p w14:paraId="28C8F6B7" w14:textId="6D402A4F" w:rsidR="00F36BCA" w:rsidRPr="008019F9" w:rsidRDefault="00F36BCA" w:rsidP="00D63E5B">
            <w:pPr>
              <w:widowControl w:val="0"/>
              <w:jc w:val="center"/>
              <w:rPr>
                <w:rFonts w:ascii="Arial Narrow" w:hAnsi="Arial Narrow"/>
                <w:b/>
                <w:bCs/>
                <w:snapToGrid w:val="0"/>
                <w:sz w:val="20"/>
              </w:rPr>
            </w:pPr>
          </w:p>
        </w:tc>
        <w:tc>
          <w:tcPr>
            <w:tcW w:w="4374" w:type="pct"/>
          </w:tcPr>
          <w:p w14:paraId="40AD945C" w14:textId="77777777" w:rsidR="00F36BCA" w:rsidRPr="008019F9" w:rsidRDefault="00F36BCA" w:rsidP="00D63E5B">
            <w:pPr>
              <w:widowControl w:val="0"/>
              <w:rPr>
                <w:rFonts w:ascii="Arial Narrow" w:hAnsi="Arial Narrow"/>
                <w:snapToGrid w:val="0"/>
                <w:sz w:val="20"/>
              </w:rPr>
            </w:pPr>
            <w:r w:rsidRPr="008019F9">
              <w:rPr>
                <w:rFonts w:ascii="Arial Narrow" w:hAnsi="Arial Narrow"/>
                <w:b/>
                <w:bCs/>
                <w:snapToGrid w:val="0"/>
                <w:sz w:val="20"/>
              </w:rPr>
              <w:t xml:space="preserve">Administrative advice: </w:t>
            </w:r>
            <w:r w:rsidRPr="008019F9">
              <w:rPr>
                <w:rFonts w:ascii="Arial Narrow" w:hAnsi="Arial Narrow"/>
                <w:snapToGrid w:val="0"/>
                <w:sz w:val="20"/>
              </w:rPr>
              <w:t>No increase in the maximum number of repeats may be authorised.</w:t>
            </w:r>
          </w:p>
        </w:tc>
      </w:tr>
      <w:tr w:rsidR="00F36BCA" w:rsidRPr="008019F9" w14:paraId="2AA1420C" w14:textId="77777777" w:rsidTr="00AE3496">
        <w:tc>
          <w:tcPr>
            <w:tcW w:w="626" w:type="pct"/>
            <w:vAlign w:val="center"/>
          </w:tcPr>
          <w:p w14:paraId="4313008C" w14:textId="63A3C773" w:rsidR="00F36BCA" w:rsidRPr="008019F9" w:rsidRDefault="00F36BCA" w:rsidP="00D63E5B">
            <w:pPr>
              <w:widowControl w:val="0"/>
              <w:jc w:val="center"/>
              <w:rPr>
                <w:rFonts w:ascii="Arial Narrow" w:hAnsi="Arial Narrow"/>
                <w:b/>
                <w:bCs/>
                <w:snapToGrid w:val="0"/>
                <w:sz w:val="20"/>
              </w:rPr>
            </w:pPr>
          </w:p>
        </w:tc>
        <w:tc>
          <w:tcPr>
            <w:tcW w:w="4374" w:type="pct"/>
          </w:tcPr>
          <w:p w14:paraId="4B08C603" w14:textId="77777777" w:rsidR="00F36BCA" w:rsidRPr="008019F9" w:rsidRDefault="00F36BCA" w:rsidP="00D63E5B">
            <w:pPr>
              <w:widowControl w:val="0"/>
              <w:rPr>
                <w:rFonts w:ascii="Arial Narrow" w:hAnsi="Arial Narrow"/>
                <w:snapToGrid w:val="0"/>
                <w:sz w:val="20"/>
              </w:rPr>
            </w:pPr>
            <w:r w:rsidRPr="008019F9">
              <w:rPr>
                <w:rFonts w:ascii="Arial Narrow" w:hAnsi="Arial Narrow"/>
                <w:b/>
                <w:bCs/>
                <w:snapToGrid w:val="0"/>
                <w:sz w:val="20"/>
              </w:rPr>
              <w:t xml:space="preserve">Administrative advice: </w:t>
            </w:r>
            <w:r w:rsidRPr="008019F9">
              <w:rPr>
                <w:rFonts w:ascii="Arial Narrow" w:hAnsi="Arial Narrow"/>
                <w:snapToGrid w:val="0"/>
                <w:sz w:val="20"/>
              </w:rPr>
              <w:t>Special Pricing Arrangements apply.</w:t>
            </w:r>
          </w:p>
        </w:tc>
      </w:tr>
      <w:tr w:rsidR="00F36BCA" w:rsidRPr="008019F9" w14:paraId="14D91584" w14:textId="77777777" w:rsidTr="00AE3496">
        <w:tc>
          <w:tcPr>
            <w:tcW w:w="626" w:type="pct"/>
            <w:vAlign w:val="center"/>
          </w:tcPr>
          <w:p w14:paraId="076FA1DA" w14:textId="77777777" w:rsidR="00F36BCA" w:rsidRPr="008019F9" w:rsidRDefault="00F36BCA" w:rsidP="00D63E5B">
            <w:pPr>
              <w:widowControl w:val="0"/>
              <w:jc w:val="center"/>
              <w:rPr>
                <w:rFonts w:ascii="Arial Narrow" w:hAnsi="Arial Narrow"/>
                <w:snapToGrid w:val="0"/>
                <w:sz w:val="20"/>
              </w:rPr>
            </w:pPr>
          </w:p>
        </w:tc>
        <w:tc>
          <w:tcPr>
            <w:tcW w:w="4374" w:type="pct"/>
          </w:tcPr>
          <w:p w14:paraId="60A0D35A" w14:textId="77777777" w:rsidR="00F36BCA" w:rsidRPr="008019F9" w:rsidRDefault="00F36BCA" w:rsidP="00D63E5B">
            <w:pPr>
              <w:widowControl w:val="0"/>
              <w:rPr>
                <w:rFonts w:ascii="Arial Narrow" w:hAnsi="Arial Narrow"/>
                <w:snapToGrid w:val="0"/>
                <w:sz w:val="20"/>
              </w:rPr>
            </w:pPr>
          </w:p>
        </w:tc>
      </w:tr>
      <w:tr w:rsidR="00F36BCA" w:rsidRPr="008019F9" w14:paraId="47CC7829" w14:textId="77777777" w:rsidTr="00AE3496">
        <w:tc>
          <w:tcPr>
            <w:tcW w:w="626" w:type="pct"/>
            <w:vAlign w:val="center"/>
          </w:tcPr>
          <w:p w14:paraId="671B190E" w14:textId="1D2761F8" w:rsidR="00F36BCA" w:rsidRPr="008019F9" w:rsidRDefault="00F36BCA" w:rsidP="00D63E5B">
            <w:pPr>
              <w:widowControl w:val="0"/>
              <w:jc w:val="center"/>
              <w:rPr>
                <w:rFonts w:ascii="Arial Narrow" w:hAnsi="Arial Narrow"/>
                <w:b/>
                <w:bCs/>
                <w:snapToGrid w:val="0"/>
                <w:sz w:val="20"/>
              </w:rPr>
            </w:pPr>
          </w:p>
        </w:tc>
        <w:tc>
          <w:tcPr>
            <w:tcW w:w="4374" w:type="pct"/>
          </w:tcPr>
          <w:p w14:paraId="159D1F75" w14:textId="77777777" w:rsidR="00F36BCA" w:rsidRPr="008019F9" w:rsidRDefault="00F36BCA" w:rsidP="00D63E5B">
            <w:pPr>
              <w:widowControl w:val="0"/>
              <w:rPr>
                <w:rFonts w:ascii="Arial Narrow" w:hAnsi="Arial Narrow"/>
                <w:snapToGrid w:val="0"/>
                <w:sz w:val="20"/>
              </w:rPr>
            </w:pPr>
            <w:r w:rsidRPr="008019F9">
              <w:rPr>
                <w:rFonts w:ascii="Arial Narrow" w:hAnsi="Arial Narrow"/>
                <w:b/>
                <w:bCs/>
                <w:snapToGrid w:val="0"/>
                <w:sz w:val="20"/>
              </w:rPr>
              <w:t>Indication:</w:t>
            </w:r>
            <w:r w:rsidRPr="008019F9">
              <w:rPr>
                <w:rFonts w:ascii="Arial Narrow" w:hAnsi="Arial Narrow"/>
                <w:snapToGrid w:val="0"/>
                <w:sz w:val="20"/>
              </w:rPr>
              <w:t xml:space="preserve"> Chronic treatment of hereditary angioedema Types 1 or 2</w:t>
            </w:r>
          </w:p>
        </w:tc>
      </w:tr>
      <w:tr w:rsidR="00F36BCA" w:rsidRPr="008019F9" w14:paraId="41204C0D" w14:textId="77777777" w:rsidTr="00AE3496">
        <w:tc>
          <w:tcPr>
            <w:tcW w:w="626" w:type="pct"/>
            <w:vAlign w:val="center"/>
          </w:tcPr>
          <w:p w14:paraId="0A2AA0A1" w14:textId="77777777" w:rsidR="00F36BCA" w:rsidRPr="008019F9" w:rsidRDefault="00F36BCA" w:rsidP="00D63E5B">
            <w:pPr>
              <w:widowControl w:val="0"/>
              <w:jc w:val="center"/>
              <w:rPr>
                <w:rFonts w:ascii="Arial Narrow" w:hAnsi="Arial Narrow"/>
                <w:b/>
                <w:bCs/>
                <w:snapToGrid w:val="0"/>
                <w:sz w:val="20"/>
              </w:rPr>
            </w:pPr>
          </w:p>
        </w:tc>
        <w:tc>
          <w:tcPr>
            <w:tcW w:w="4374" w:type="pct"/>
          </w:tcPr>
          <w:p w14:paraId="2060EAE6" w14:textId="54EBE958" w:rsidR="00F36BCA" w:rsidRPr="009F601C" w:rsidRDefault="00F36BCA" w:rsidP="00D63E5B">
            <w:pPr>
              <w:widowControl w:val="0"/>
              <w:rPr>
                <w:rFonts w:ascii="Arial Narrow" w:hAnsi="Arial Narrow"/>
                <w:snapToGrid w:val="0"/>
                <w:sz w:val="20"/>
              </w:rPr>
            </w:pPr>
            <w:r w:rsidRPr="009F601C">
              <w:rPr>
                <w:rFonts w:ascii="Arial Narrow" w:hAnsi="Arial Narrow"/>
                <w:b/>
                <w:bCs/>
                <w:snapToGrid w:val="0"/>
                <w:sz w:val="20"/>
              </w:rPr>
              <w:t xml:space="preserve">Treatment Phase: </w:t>
            </w:r>
            <w:r w:rsidRPr="009F601C">
              <w:rPr>
                <w:rFonts w:ascii="Arial Narrow" w:hAnsi="Arial Narrow"/>
                <w:snapToGrid w:val="0"/>
                <w:sz w:val="20"/>
              </w:rPr>
              <w:t>Transitioning from non-PBS to PBS-subsidised treatment – Grandfather arrangements</w:t>
            </w:r>
          </w:p>
        </w:tc>
      </w:tr>
      <w:tr w:rsidR="00F36BCA" w:rsidRPr="008019F9" w14:paraId="11FE10B4" w14:textId="77777777" w:rsidTr="00AE3496">
        <w:tc>
          <w:tcPr>
            <w:tcW w:w="626" w:type="pct"/>
            <w:vAlign w:val="center"/>
          </w:tcPr>
          <w:p w14:paraId="0F12680A" w14:textId="77777777" w:rsidR="00F36BCA" w:rsidRPr="008019F9" w:rsidRDefault="00F36BCA" w:rsidP="00D63E5B">
            <w:pPr>
              <w:widowControl w:val="0"/>
              <w:jc w:val="center"/>
              <w:rPr>
                <w:rFonts w:ascii="Arial Narrow" w:hAnsi="Arial Narrow"/>
                <w:b/>
                <w:bCs/>
                <w:snapToGrid w:val="0"/>
                <w:sz w:val="20"/>
              </w:rPr>
            </w:pPr>
          </w:p>
        </w:tc>
        <w:tc>
          <w:tcPr>
            <w:tcW w:w="4374" w:type="pct"/>
          </w:tcPr>
          <w:p w14:paraId="502E0EE4" w14:textId="77777777" w:rsidR="00F36BCA" w:rsidRPr="008019F9" w:rsidRDefault="00F36BCA" w:rsidP="00D63E5B">
            <w:pPr>
              <w:widowControl w:val="0"/>
              <w:rPr>
                <w:rFonts w:ascii="Arial Narrow" w:hAnsi="Arial Narrow"/>
                <w:b/>
                <w:bCs/>
                <w:snapToGrid w:val="0"/>
                <w:sz w:val="20"/>
              </w:rPr>
            </w:pPr>
            <w:r w:rsidRPr="008019F9">
              <w:rPr>
                <w:rFonts w:ascii="Arial Narrow" w:hAnsi="Arial Narrow"/>
                <w:b/>
                <w:bCs/>
                <w:snapToGrid w:val="0"/>
                <w:sz w:val="20"/>
              </w:rPr>
              <w:t xml:space="preserve">Clinical criteria: </w:t>
            </w:r>
          </w:p>
        </w:tc>
      </w:tr>
      <w:tr w:rsidR="00F36BCA" w:rsidRPr="008019F9" w14:paraId="7D44ADF8" w14:textId="77777777" w:rsidTr="00AE3496">
        <w:tc>
          <w:tcPr>
            <w:tcW w:w="626" w:type="pct"/>
            <w:vAlign w:val="center"/>
          </w:tcPr>
          <w:p w14:paraId="5AD394FE" w14:textId="375F4EBF" w:rsidR="00F36BCA" w:rsidRPr="008019F9" w:rsidRDefault="00F36BCA" w:rsidP="00D63E5B">
            <w:pPr>
              <w:widowControl w:val="0"/>
              <w:jc w:val="center"/>
              <w:rPr>
                <w:rFonts w:ascii="Arial Narrow" w:hAnsi="Arial Narrow"/>
                <w:snapToGrid w:val="0"/>
                <w:sz w:val="20"/>
              </w:rPr>
            </w:pPr>
          </w:p>
        </w:tc>
        <w:tc>
          <w:tcPr>
            <w:tcW w:w="4374" w:type="pct"/>
          </w:tcPr>
          <w:p w14:paraId="0207B8AE" w14:textId="762E5092" w:rsidR="00F36BCA" w:rsidRPr="008019F9" w:rsidRDefault="00F36BCA" w:rsidP="00D63E5B">
            <w:pPr>
              <w:widowControl w:val="0"/>
              <w:rPr>
                <w:rFonts w:ascii="Arial Narrow" w:hAnsi="Arial Narrow"/>
                <w:snapToGrid w:val="0"/>
                <w:sz w:val="20"/>
              </w:rPr>
            </w:pPr>
            <w:r w:rsidRPr="008019F9">
              <w:rPr>
                <w:rFonts w:ascii="Arial Narrow" w:hAnsi="Arial Narrow"/>
                <w:snapToGrid w:val="0"/>
                <w:sz w:val="20"/>
              </w:rPr>
              <w:t xml:space="preserve">Patient must have previously received non-PBS subsidised treatment with this drug </w:t>
            </w:r>
            <w:r w:rsidRPr="009F601C">
              <w:rPr>
                <w:rFonts w:ascii="Arial Narrow" w:hAnsi="Arial Narrow"/>
                <w:snapToGrid w:val="0"/>
                <w:sz w:val="20"/>
              </w:rPr>
              <w:t>for this PBS indication</w:t>
            </w:r>
            <w:r w:rsidRPr="008019F9">
              <w:rPr>
                <w:rFonts w:ascii="Arial Narrow" w:hAnsi="Arial Narrow"/>
                <w:snapToGrid w:val="0"/>
                <w:sz w:val="20"/>
              </w:rPr>
              <w:t xml:space="preserve"> prior to </w:t>
            </w:r>
            <w:r w:rsidRPr="008019F9">
              <w:rPr>
                <w:rFonts w:ascii="Arial Narrow" w:hAnsi="Arial Narrow"/>
                <w:i/>
                <w:iCs/>
                <w:snapToGrid w:val="0"/>
                <w:sz w:val="20"/>
              </w:rPr>
              <w:t>[PBS listing date]</w:t>
            </w:r>
            <w:r w:rsidRPr="008019F9">
              <w:rPr>
                <w:rFonts w:ascii="Arial Narrow" w:hAnsi="Arial Narrow"/>
                <w:snapToGrid w:val="0"/>
                <w:sz w:val="20"/>
              </w:rPr>
              <w:t xml:space="preserve">; </w:t>
            </w:r>
          </w:p>
        </w:tc>
      </w:tr>
      <w:tr w:rsidR="00F36BCA" w:rsidRPr="008019F9" w14:paraId="5A912A9B" w14:textId="77777777" w:rsidTr="00AE3496">
        <w:tc>
          <w:tcPr>
            <w:tcW w:w="626" w:type="pct"/>
            <w:vAlign w:val="center"/>
          </w:tcPr>
          <w:p w14:paraId="0A447976" w14:textId="77777777" w:rsidR="00F36BCA" w:rsidRPr="008019F9" w:rsidRDefault="00F36BCA" w:rsidP="00D63E5B">
            <w:pPr>
              <w:widowControl w:val="0"/>
              <w:jc w:val="center"/>
              <w:rPr>
                <w:rFonts w:ascii="Arial Narrow" w:hAnsi="Arial Narrow"/>
                <w:snapToGrid w:val="0"/>
                <w:sz w:val="20"/>
              </w:rPr>
            </w:pPr>
          </w:p>
        </w:tc>
        <w:tc>
          <w:tcPr>
            <w:tcW w:w="4374" w:type="pct"/>
          </w:tcPr>
          <w:p w14:paraId="7FF44F3F" w14:textId="77777777" w:rsidR="00F36BCA" w:rsidRPr="008019F9" w:rsidRDefault="00F36BCA" w:rsidP="00D63E5B">
            <w:pPr>
              <w:widowControl w:val="0"/>
              <w:rPr>
                <w:rFonts w:ascii="Arial Narrow" w:hAnsi="Arial Narrow"/>
                <w:snapToGrid w:val="0"/>
                <w:sz w:val="20"/>
              </w:rPr>
            </w:pPr>
            <w:r w:rsidRPr="008019F9">
              <w:rPr>
                <w:rFonts w:ascii="Arial Narrow" w:hAnsi="Arial Narrow"/>
                <w:snapToGrid w:val="0"/>
                <w:sz w:val="20"/>
              </w:rPr>
              <w:t>AND</w:t>
            </w:r>
          </w:p>
        </w:tc>
      </w:tr>
      <w:tr w:rsidR="00F36BCA" w:rsidRPr="008019F9" w14:paraId="4DA5FD79" w14:textId="77777777" w:rsidTr="00AE3496">
        <w:tc>
          <w:tcPr>
            <w:tcW w:w="626" w:type="pct"/>
            <w:vAlign w:val="center"/>
          </w:tcPr>
          <w:p w14:paraId="0E1C6CEE" w14:textId="5E5CBA3F" w:rsidR="00F36BCA" w:rsidRPr="008019F9" w:rsidRDefault="00F36BCA" w:rsidP="00D63E5B">
            <w:pPr>
              <w:widowControl w:val="0"/>
              <w:jc w:val="center"/>
              <w:rPr>
                <w:rFonts w:ascii="Arial Narrow" w:hAnsi="Arial Narrow"/>
                <w:b/>
                <w:bCs/>
                <w:snapToGrid w:val="0"/>
                <w:sz w:val="20"/>
              </w:rPr>
            </w:pPr>
          </w:p>
        </w:tc>
        <w:tc>
          <w:tcPr>
            <w:tcW w:w="4374" w:type="pct"/>
          </w:tcPr>
          <w:p w14:paraId="738B9A29" w14:textId="77777777" w:rsidR="00F36BCA" w:rsidRPr="008019F9" w:rsidRDefault="00F36BCA" w:rsidP="00D63E5B">
            <w:pPr>
              <w:widowControl w:val="0"/>
              <w:rPr>
                <w:rFonts w:ascii="Arial Narrow" w:hAnsi="Arial Narrow"/>
                <w:snapToGrid w:val="0"/>
                <w:sz w:val="20"/>
              </w:rPr>
            </w:pPr>
            <w:r w:rsidRPr="008019F9">
              <w:rPr>
                <w:rFonts w:ascii="Arial Narrow" w:hAnsi="Arial Narrow"/>
                <w:b/>
                <w:bCs/>
                <w:snapToGrid w:val="0"/>
                <w:sz w:val="20"/>
              </w:rPr>
              <w:t>Clinical criteria:</w:t>
            </w:r>
          </w:p>
        </w:tc>
      </w:tr>
      <w:tr w:rsidR="00F36BCA" w:rsidRPr="008019F9" w14:paraId="58657BA2" w14:textId="77777777" w:rsidTr="00AE3496">
        <w:tc>
          <w:tcPr>
            <w:tcW w:w="626" w:type="pct"/>
            <w:vAlign w:val="center"/>
          </w:tcPr>
          <w:p w14:paraId="73F9D80E" w14:textId="2661D9F5" w:rsidR="00F36BCA" w:rsidRPr="008019F9" w:rsidRDefault="00F36BCA" w:rsidP="00D63E5B">
            <w:pPr>
              <w:widowControl w:val="0"/>
              <w:jc w:val="center"/>
              <w:rPr>
                <w:rFonts w:ascii="Arial Narrow" w:hAnsi="Arial Narrow"/>
                <w:snapToGrid w:val="0"/>
                <w:sz w:val="20"/>
              </w:rPr>
            </w:pPr>
          </w:p>
        </w:tc>
        <w:tc>
          <w:tcPr>
            <w:tcW w:w="4374" w:type="pct"/>
          </w:tcPr>
          <w:p w14:paraId="52E28DC4" w14:textId="77777777" w:rsidR="00F36BCA" w:rsidRPr="008019F9" w:rsidRDefault="00F36BCA" w:rsidP="00D63E5B">
            <w:pPr>
              <w:widowControl w:val="0"/>
              <w:rPr>
                <w:rFonts w:ascii="Arial Narrow" w:hAnsi="Arial Narrow"/>
                <w:snapToGrid w:val="0"/>
                <w:sz w:val="20"/>
              </w:rPr>
            </w:pPr>
            <w:r w:rsidRPr="008019F9">
              <w:rPr>
                <w:rFonts w:ascii="Arial Narrow" w:hAnsi="Arial Narrow"/>
                <w:snapToGrid w:val="0"/>
                <w:sz w:val="20"/>
              </w:rPr>
              <w:t>The treatment must not be used in combination with a C1-esterase inhibitor concentrate</w:t>
            </w:r>
          </w:p>
        </w:tc>
      </w:tr>
      <w:tr w:rsidR="00F36BCA" w:rsidRPr="008019F9" w14:paraId="7A7A27C4" w14:textId="77777777" w:rsidTr="00AE3496">
        <w:tc>
          <w:tcPr>
            <w:tcW w:w="626" w:type="pct"/>
            <w:vAlign w:val="center"/>
          </w:tcPr>
          <w:p w14:paraId="4844D11D" w14:textId="77777777" w:rsidR="00F36BCA" w:rsidRPr="008019F9" w:rsidRDefault="00F36BCA" w:rsidP="00D63E5B">
            <w:pPr>
              <w:widowControl w:val="0"/>
              <w:jc w:val="center"/>
              <w:rPr>
                <w:rFonts w:ascii="Arial Narrow" w:hAnsi="Arial Narrow"/>
                <w:snapToGrid w:val="0"/>
                <w:sz w:val="20"/>
              </w:rPr>
            </w:pPr>
          </w:p>
        </w:tc>
        <w:tc>
          <w:tcPr>
            <w:tcW w:w="4374" w:type="pct"/>
          </w:tcPr>
          <w:p w14:paraId="13172885" w14:textId="77777777" w:rsidR="00F36BCA" w:rsidRPr="008019F9" w:rsidRDefault="00F36BCA" w:rsidP="00D63E5B">
            <w:pPr>
              <w:widowControl w:val="0"/>
              <w:rPr>
                <w:rFonts w:ascii="Arial Narrow" w:hAnsi="Arial Narrow"/>
                <w:snapToGrid w:val="0"/>
                <w:sz w:val="20"/>
              </w:rPr>
            </w:pPr>
            <w:r w:rsidRPr="008019F9">
              <w:rPr>
                <w:rFonts w:ascii="Arial Narrow" w:hAnsi="Arial Narrow"/>
                <w:snapToGrid w:val="0"/>
                <w:sz w:val="20"/>
              </w:rPr>
              <w:t>AND</w:t>
            </w:r>
          </w:p>
        </w:tc>
      </w:tr>
      <w:tr w:rsidR="00F36BCA" w:rsidRPr="008019F9" w14:paraId="487E0EF6" w14:textId="77777777" w:rsidTr="00AE3496">
        <w:tc>
          <w:tcPr>
            <w:tcW w:w="626" w:type="pct"/>
            <w:vAlign w:val="center"/>
          </w:tcPr>
          <w:p w14:paraId="3B5485E9" w14:textId="00D0B083" w:rsidR="00F36BCA" w:rsidRPr="008019F9" w:rsidRDefault="00F36BCA" w:rsidP="00D63E5B">
            <w:pPr>
              <w:widowControl w:val="0"/>
              <w:jc w:val="center"/>
              <w:rPr>
                <w:rFonts w:ascii="Arial Narrow" w:hAnsi="Arial Narrow"/>
                <w:b/>
                <w:bCs/>
                <w:snapToGrid w:val="0"/>
                <w:sz w:val="20"/>
              </w:rPr>
            </w:pPr>
          </w:p>
        </w:tc>
        <w:tc>
          <w:tcPr>
            <w:tcW w:w="4374" w:type="pct"/>
          </w:tcPr>
          <w:p w14:paraId="34A2114A" w14:textId="77777777" w:rsidR="00F36BCA" w:rsidRPr="008019F9" w:rsidRDefault="00F36BCA" w:rsidP="00D63E5B">
            <w:pPr>
              <w:widowControl w:val="0"/>
              <w:rPr>
                <w:rFonts w:ascii="Arial Narrow" w:hAnsi="Arial Narrow"/>
                <w:b/>
                <w:bCs/>
                <w:snapToGrid w:val="0"/>
                <w:sz w:val="20"/>
              </w:rPr>
            </w:pPr>
            <w:r w:rsidRPr="008019F9">
              <w:rPr>
                <w:rFonts w:ascii="Arial Narrow" w:hAnsi="Arial Narrow"/>
                <w:b/>
                <w:bCs/>
                <w:snapToGrid w:val="0"/>
                <w:sz w:val="20"/>
              </w:rPr>
              <w:t>Treatment criteria:</w:t>
            </w:r>
          </w:p>
        </w:tc>
      </w:tr>
      <w:tr w:rsidR="00F36BCA" w:rsidRPr="008019F9" w14:paraId="699DA044" w14:textId="77777777" w:rsidTr="00AE3496">
        <w:tc>
          <w:tcPr>
            <w:tcW w:w="626" w:type="pct"/>
            <w:vAlign w:val="center"/>
          </w:tcPr>
          <w:p w14:paraId="2710CD5C" w14:textId="61104EE1" w:rsidR="00F36BCA" w:rsidRPr="008019F9" w:rsidRDefault="00F36BCA" w:rsidP="00D63E5B">
            <w:pPr>
              <w:widowControl w:val="0"/>
              <w:jc w:val="center"/>
              <w:rPr>
                <w:rFonts w:ascii="Arial Narrow" w:hAnsi="Arial Narrow"/>
                <w:snapToGrid w:val="0"/>
                <w:sz w:val="20"/>
              </w:rPr>
            </w:pPr>
          </w:p>
        </w:tc>
        <w:tc>
          <w:tcPr>
            <w:tcW w:w="4374" w:type="pct"/>
          </w:tcPr>
          <w:p w14:paraId="4AA2FBAB" w14:textId="77777777" w:rsidR="00F36BCA" w:rsidRPr="008019F9" w:rsidRDefault="00F36BCA" w:rsidP="00D63E5B">
            <w:pPr>
              <w:widowControl w:val="0"/>
              <w:rPr>
                <w:rFonts w:ascii="Arial Narrow" w:hAnsi="Arial Narrow"/>
                <w:snapToGrid w:val="0"/>
                <w:sz w:val="20"/>
              </w:rPr>
            </w:pPr>
            <w:r w:rsidRPr="008019F9">
              <w:rPr>
                <w:rFonts w:ascii="Arial Narrow" w:hAnsi="Arial Narrow"/>
                <w:snapToGrid w:val="0"/>
                <w:sz w:val="20"/>
              </w:rPr>
              <w:t>Must be treated by a clinical immunologist or a specialist allergist</w:t>
            </w:r>
          </w:p>
        </w:tc>
      </w:tr>
      <w:tr w:rsidR="00F36BCA" w:rsidRPr="008019F9" w14:paraId="52C447F1" w14:textId="77777777" w:rsidTr="00AE3496">
        <w:tc>
          <w:tcPr>
            <w:tcW w:w="626" w:type="pct"/>
            <w:vAlign w:val="center"/>
          </w:tcPr>
          <w:p w14:paraId="08EE5853" w14:textId="453F503B" w:rsidR="00F36BCA" w:rsidRPr="008019F9" w:rsidRDefault="00F36BCA" w:rsidP="00D63E5B">
            <w:pPr>
              <w:widowControl w:val="0"/>
              <w:jc w:val="center"/>
              <w:rPr>
                <w:rFonts w:ascii="Arial Narrow" w:hAnsi="Arial Narrow"/>
                <w:b/>
                <w:bCs/>
                <w:snapToGrid w:val="0"/>
                <w:sz w:val="20"/>
              </w:rPr>
            </w:pPr>
          </w:p>
        </w:tc>
        <w:tc>
          <w:tcPr>
            <w:tcW w:w="4374" w:type="pct"/>
          </w:tcPr>
          <w:p w14:paraId="3ABF2A3D" w14:textId="77777777" w:rsidR="00F36BCA" w:rsidRPr="008019F9" w:rsidRDefault="00F36BCA" w:rsidP="00D63E5B">
            <w:pPr>
              <w:widowControl w:val="0"/>
              <w:rPr>
                <w:rFonts w:ascii="Arial Narrow" w:hAnsi="Arial Narrow"/>
                <w:snapToGrid w:val="0"/>
                <w:sz w:val="20"/>
              </w:rPr>
            </w:pPr>
            <w:r w:rsidRPr="008019F9">
              <w:rPr>
                <w:rFonts w:ascii="Arial Narrow" w:hAnsi="Arial Narrow"/>
                <w:b/>
                <w:bCs/>
                <w:snapToGrid w:val="0"/>
                <w:sz w:val="20"/>
              </w:rPr>
              <w:t xml:space="preserve">Prescribing instructions: </w:t>
            </w:r>
            <w:r w:rsidRPr="008019F9">
              <w:rPr>
                <w:rFonts w:ascii="Arial Narrow" w:hAnsi="Arial Narrow"/>
                <w:snapToGrid w:val="0"/>
                <w:sz w:val="20"/>
              </w:rPr>
              <w:t>For the purposes of administering this restriction, acute attacks of hereditary angioedema are those of a severity necessitating immediate medical intervention with either (i) icatibant, or (ii) C1-esterase inhibitor concentrate.</w:t>
            </w:r>
          </w:p>
        </w:tc>
      </w:tr>
      <w:tr w:rsidR="00F36BCA" w:rsidRPr="008019F9" w14:paraId="48470741" w14:textId="77777777" w:rsidTr="00AE3496">
        <w:tc>
          <w:tcPr>
            <w:tcW w:w="626" w:type="pct"/>
            <w:vAlign w:val="center"/>
          </w:tcPr>
          <w:p w14:paraId="66E5BBCF" w14:textId="28F5AEEB" w:rsidR="00F36BCA" w:rsidRPr="008019F9" w:rsidRDefault="00F36BCA" w:rsidP="00D63E5B">
            <w:pPr>
              <w:widowControl w:val="0"/>
              <w:jc w:val="center"/>
              <w:rPr>
                <w:rFonts w:ascii="Arial Narrow" w:hAnsi="Arial Narrow"/>
                <w:snapToGrid w:val="0"/>
                <w:sz w:val="20"/>
              </w:rPr>
            </w:pPr>
          </w:p>
        </w:tc>
        <w:tc>
          <w:tcPr>
            <w:tcW w:w="4374" w:type="pct"/>
            <w:vAlign w:val="center"/>
          </w:tcPr>
          <w:p w14:paraId="1662E917" w14:textId="77777777" w:rsidR="00F36BCA" w:rsidRPr="009F601C" w:rsidRDefault="00F36BCA" w:rsidP="00D63E5B">
            <w:pPr>
              <w:rPr>
                <w:rFonts w:ascii="Arial Narrow" w:eastAsia="Calibri" w:hAnsi="Arial Narrow"/>
                <w:b/>
                <w:bCs/>
                <w:color w:val="333333"/>
                <w:sz w:val="20"/>
                <w:szCs w:val="20"/>
              </w:rPr>
            </w:pPr>
            <w:r w:rsidRPr="009F601C">
              <w:rPr>
                <w:rFonts w:ascii="Arial Narrow" w:eastAsia="Calibri" w:hAnsi="Arial Narrow"/>
                <w:b/>
                <w:bCs/>
                <w:color w:val="333333"/>
                <w:sz w:val="20"/>
                <w:szCs w:val="20"/>
              </w:rPr>
              <w:t>Administrative advice:</w:t>
            </w:r>
          </w:p>
          <w:p w14:paraId="6B94D89E" w14:textId="77777777" w:rsidR="00F36BCA" w:rsidRPr="009F601C" w:rsidRDefault="00F36BCA" w:rsidP="00D63E5B">
            <w:pPr>
              <w:widowControl w:val="0"/>
              <w:rPr>
                <w:rFonts w:ascii="Arial Narrow" w:hAnsi="Arial Narrow"/>
                <w:b/>
                <w:bCs/>
                <w:snapToGrid w:val="0"/>
                <w:sz w:val="20"/>
              </w:rPr>
            </w:pPr>
            <w:r w:rsidRPr="009F601C">
              <w:rPr>
                <w:rFonts w:ascii="Arial Narrow" w:hAnsi="Arial Narrow"/>
                <w:snapToGrid w:val="0"/>
                <w:color w:val="333333"/>
                <w:sz w:val="20"/>
              </w:rPr>
              <w:t xml:space="preserve">This grandfather restriction will cease to operate from 12 months after the date specified in the clinical criteria. </w:t>
            </w:r>
          </w:p>
        </w:tc>
      </w:tr>
      <w:tr w:rsidR="00F36BCA" w:rsidRPr="008019F9" w14:paraId="3CEEDF63" w14:textId="77777777" w:rsidTr="00AE3496">
        <w:tc>
          <w:tcPr>
            <w:tcW w:w="626" w:type="pct"/>
            <w:vAlign w:val="center"/>
          </w:tcPr>
          <w:p w14:paraId="67EE2B24" w14:textId="74442BC9" w:rsidR="00F36BCA" w:rsidRPr="008019F9" w:rsidRDefault="00F36BCA" w:rsidP="00D63E5B">
            <w:pPr>
              <w:widowControl w:val="0"/>
              <w:jc w:val="center"/>
              <w:rPr>
                <w:rFonts w:ascii="Arial Narrow" w:hAnsi="Arial Narrow"/>
                <w:snapToGrid w:val="0"/>
                <w:sz w:val="20"/>
              </w:rPr>
            </w:pPr>
          </w:p>
        </w:tc>
        <w:tc>
          <w:tcPr>
            <w:tcW w:w="4374" w:type="pct"/>
            <w:vAlign w:val="center"/>
          </w:tcPr>
          <w:p w14:paraId="36F9FED0" w14:textId="77777777" w:rsidR="00F36BCA" w:rsidRPr="009F601C" w:rsidRDefault="00F36BCA" w:rsidP="00D63E5B">
            <w:pPr>
              <w:rPr>
                <w:rFonts w:ascii="Arial Narrow" w:eastAsia="Calibri" w:hAnsi="Arial Narrow"/>
                <w:b/>
                <w:bCs/>
                <w:color w:val="333333"/>
                <w:sz w:val="20"/>
                <w:szCs w:val="20"/>
              </w:rPr>
            </w:pPr>
            <w:r w:rsidRPr="009F601C">
              <w:rPr>
                <w:rFonts w:ascii="Arial Narrow" w:eastAsia="Calibri" w:hAnsi="Arial Narrow"/>
                <w:b/>
                <w:bCs/>
                <w:color w:val="333333"/>
                <w:sz w:val="20"/>
                <w:szCs w:val="20"/>
              </w:rPr>
              <w:t>Administrative advice:</w:t>
            </w:r>
          </w:p>
          <w:p w14:paraId="2FB13945" w14:textId="7F686664" w:rsidR="00F36BCA" w:rsidRPr="009F601C" w:rsidRDefault="00F36BCA" w:rsidP="00D63E5B">
            <w:pPr>
              <w:widowControl w:val="0"/>
              <w:rPr>
                <w:rFonts w:ascii="Arial Narrow" w:hAnsi="Arial Narrow"/>
                <w:b/>
                <w:bCs/>
                <w:snapToGrid w:val="0"/>
                <w:sz w:val="20"/>
              </w:rPr>
            </w:pPr>
            <w:r w:rsidRPr="009F601C">
              <w:rPr>
                <w:rFonts w:ascii="Arial Narrow" w:hAnsi="Arial Narrow"/>
                <w:snapToGrid w:val="0"/>
                <w:color w:val="333333"/>
                <w:sz w:val="20"/>
              </w:rPr>
              <w:t xml:space="preserve">Patients may qualify for PBS-subsidised treatment under this restriction once only. For continuing PBS-subsidised treatment, a ‘Grandfather’ patient must qualify under the ‘Continuing treatment’ criteria. </w:t>
            </w:r>
          </w:p>
        </w:tc>
      </w:tr>
      <w:tr w:rsidR="00F36BCA" w:rsidRPr="008019F9" w14:paraId="54688A96" w14:textId="77777777" w:rsidTr="00AE3496">
        <w:tc>
          <w:tcPr>
            <w:tcW w:w="626" w:type="pct"/>
            <w:vAlign w:val="center"/>
          </w:tcPr>
          <w:p w14:paraId="234D5B8B" w14:textId="1C88229B" w:rsidR="00F36BCA" w:rsidRPr="008019F9" w:rsidRDefault="00F36BCA" w:rsidP="00D63E5B">
            <w:pPr>
              <w:widowControl w:val="0"/>
              <w:jc w:val="center"/>
              <w:rPr>
                <w:rFonts w:ascii="Arial Narrow" w:hAnsi="Arial Narrow"/>
                <w:snapToGrid w:val="0"/>
                <w:sz w:val="20"/>
              </w:rPr>
            </w:pPr>
          </w:p>
        </w:tc>
        <w:tc>
          <w:tcPr>
            <w:tcW w:w="4374" w:type="pct"/>
          </w:tcPr>
          <w:p w14:paraId="69BDB77D" w14:textId="77777777" w:rsidR="00F36BCA" w:rsidRPr="008019F9" w:rsidRDefault="00F36BCA" w:rsidP="00D63E5B">
            <w:pPr>
              <w:widowControl w:val="0"/>
              <w:rPr>
                <w:rFonts w:ascii="Arial Narrow" w:hAnsi="Arial Narrow"/>
                <w:snapToGrid w:val="0"/>
                <w:sz w:val="20"/>
              </w:rPr>
            </w:pPr>
            <w:r w:rsidRPr="008019F9">
              <w:rPr>
                <w:rFonts w:ascii="Arial Narrow" w:hAnsi="Arial Narrow"/>
                <w:b/>
                <w:bCs/>
                <w:snapToGrid w:val="0"/>
                <w:sz w:val="20"/>
              </w:rPr>
              <w:t>Administrative advice:</w:t>
            </w:r>
          </w:p>
          <w:p w14:paraId="2E352801" w14:textId="77777777" w:rsidR="00F36BCA" w:rsidRPr="008019F9" w:rsidRDefault="00F36BCA" w:rsidP="00D63E5B">
            <w:pPr>
              <w:widowControl w:val="0"/>
              <w:rPr>
                <w:rFonts w:ascii="Arial Narrow" w:hAnsi="Arial Narrow"/>
                <w:i/>
                <w:iCs/>
                <w:snapToGrid w:val="0"/>
                <w:sz w:val="20"/>
              </w:rPr>
            </w:pPr>
            <w:r w:rsidRPr="008019F9">
              <w:rPr>
                <w:rFonts w:ascii="Arial Narrow" w:hAnsi="Arial Narrow"/>
                <w:i/>
                <w:iCs/>
                <w:snapToGrid w:val="0"/>
                <w:sz w:val="20"/>
              </w:rPr>
              <w:t>Any queries concerning the arrangements to prescribe may be directed to Services Australia on 1800 700 270 (hours of operation 8 a.m. to 5 p.m. Monday to Friday).</w:t>
            </w:r>
          </w:p>
          <w:p w14:paraId="484C6FED" w14:textId="77777777" w:rsidR="00F36BCA" w:rsidRPr="008019F9" w:rsidRDefault="00F36BCA" w:rsidP="00D63E5B">
            <w:pPr>
              <w:widowControl w:val="0"/>
              <w:rPr>
                <w:rFonts w:ascii="Arial Narrow" w:hAnsi="Arial Narrow"/>
                <w:i/>
                <w:iCs/>
                <w:snapToGrid w:val="0"/>
                <w:sz w:val="20"/>
              </w:rPr>
            </w:pPr>
            <w:r w:rsidRPr="008019F9">
              <w:rPr>
                <w:rFonts w:ascii="Arial Narrow" w:hAnsi="Arial Narrow"/>
                <w:i/>
                <w:iCs/>
                <w:snapToGrid w:val="0"/>
                <w:sz w:val="20"/>
              </w:rPr>
              <w:t>Prescribing information (including Authority Application forms and other relevant documentation as applicable) is available on the Services Australia website at www.servicesaustralia.gov.au</w:t>
            </w:r>
          </w:p>
          <w:p w14:paraId="376EAE77" w14:textId="77777777" w:rsidR="00F36BCA" w:rsidRPr="008019F9" w:rsidRDefault="00F36BCA" w:rsidP="00D63E5B">
            <w:pPr>
              <w:widowControl w:val="0"/>
              <w:rPr>
                <w:rFonts w:ascii="Arial Narrow" w:hAnsi="Arial Narrow"/>
                <w:i/>
                <w:iCs/>
                <w:snapToGrid w:val="0"/>
                <w:sz w:val="20"/>
              </w:rPr>
            </w:pPr>
            <w:r w:rsidRPr="008019F9">
              <w:rPr>
                <w:rFonts w:ascii="Arial Narrow" w:hAnsi="Arial Narrow"/>
                <w:i/>
                <w:iCs/>
                <w:snapToGrid w:val="0"/>
                <w:sz w:val="20"/>
              </w:rPr>
              <w:t>Applications for authority to prescribe should be submitted online using the form upload facility in Health Professional Online Services (HPOS) at www.servicesaustralia.gov.au/hpos</w:t>
            </w:r>
          </w:p>
          <w:p w14:paraId="2C27DD21" w14:textId="77777777" w:rsidR="00F36BCA" w:rsidRPr="008019F9" w:rsidRDefault="00F36BCA" w:rsidP="00D63E5B">
            <w:pPr>
              <w:widowControl w:val="0"/>
              <w:rPr>
                <w:rFonts w:ascii="Arial Narrow" w:hAnsi="Arial Narrow"/>
                <w:i/>
                <w:iCs/>
                <w:snapToGrid w:val="0"/>
                <w:sz w:val="20"/>
              </w:rPr>
            </w:pPr>
            <w:r w:rsidRPr="008019F9">
              <w:rPr>
                <w:rFonts w:ascii="Arial Narrow" w:hAnsi="Arial Narrow"/>
                <w:i/>
                <w:iCs/>
                <w:snapToGrid w:val="0"/>
                <w:sz w:val="20"/>
              </w:rPr>
              <w:t>Or mailed to:</w:t>
            </w:r>
          </w:p>
          <w:p w14:paraId="105B02EC" w14:textId="77777777" w:rsidR="00F36BCA" w:rsidRPr="008019F9" w:rsidRDefault="00F36BCA" w:rsidP="00D63E5B">
            <w:pPr>
              <w:widowControl w:val="0"/>
              <w:rPr>
                <w:rFonts w:ascii="Arial Narrow" w:hAnsi="Arial Narrow"/>
                <w:i/>
                <w:iCs/>
                <w:snapToGrid w:val="0"/>
                <w:sz w:val="20"/>
              </w:rPr>
            </w:pPr>
            <w:r w:rsidRPr="008019F9">
              <w:rPr>
                <w:rFonts w:ascii="Arial Narrow" w:hAnsi="Arial Narrow"/>
                <w:i/>
                <w:iCs/>
                <w:snapToGrid w:val="0"/>
                <w:sz w:val="20"/>
              </w:rPr>
              <w:t>Services Australia</w:t>
            </w:r>
          </w:p>
          <w:p w14:paraId="0E8BD99A" w14:textId="77777777" w:rsidR="00F36BCA" w:rsidRPr="008019F9" w:rsidRDefault="00F36BCA" w:rsidP="00D63E5B">
            <w:pPr>
              <w:widowControl w:val="0"/>
              <w:rPr>
                <w:rFonts w:ascii="Arial Narrow" w:hAnsi="Arial Narrow"/>
                <w:i/>
                <w:iCs/>
                <w:snapToGrid w:val="0"/>
                <w:sz w:val="20"/>
              </w:rPr>
            </w:pPr>
            <w:r w:rsidRPr="008019F9">
              <w:rPr>
                <w:rFonts w:ascii="Arial Narrow" w:hAnsi="Arial Narrow"/>
                <w:i/>
                <w:iCs/>
                <w:snapToGrid w:val="0"/>
                <w:sz w:val="20"/>
              </w:rPr>
              <w:t>Complex Drugs</w:t>
            </w:r>
          </w:p>
          <w:p w14:paraId="26278F76" w14:textId="77777777" w:rsidR="00F36BCA" w:rsidRPr="008019F9" w:rsidRDefault="00F36BCA" w:rsidP="00D63E5B">
            <w:pPr>
              <w:widowControl w:val="0"/>
              <w:rPr>
                <w:rFonts w:ascii="Arial Narrow" w:hAnsi="Arial Narrow"/>
                <w:i/>
                <w:iCs/>
                <w:snapToGrid w:val="0"/>
                <w:sz w:val="20"/>
              </w:rPr>
            </w:pPr>
            <w:r w:rsidRPr="008019F9">
              <w:rPr>
                <w:rFonts w:ascii="Arial Narrow" w:hAnsi="Arial Narrow"/>
                <w:i/>
                <w:iCs/>
                <w:snapToGrid w:val="0"/>
                <w:sz w:val="20"/>
              </w:rPr>
              <w:t>Reply Paid 9826</w:t>
            </w:r>
          </w:p>
          <w:p w14:paraId="56B76347" w14:textId="77777777" w:rsidR="00F36BCA" w:rsidRPr="008019F9" w:rsidRDefault="00F36BCA" w:rsidP="00D63E5B">
            <w:pPr>
              <w:widowControl w:val="0"/>
              <w:rPr>
                <w:rFonts w:ascii="Arial Narrow" w:hAnsi="Arial Narrow"/>
                <w:snapToGrid w:val="0"/>
                <w:sz w:val="20"/>
              </w:rPr>
            </w:pPr>
            <w:r w:rsidRPr="008019F9">
              <w:rPr>
                <w:rFonts w:ascii="Arial Narrow" w:hAnsi="Arial Narrow"/>
                <w:i/>
                <w:iCs/>
                <w:snapToGrid w:val="0"/>
                <w:sz w:val="20"/>
              </w:rPr>
              <w:t>HOBART TAS 7001</w:t>
            </w:r>
          </w:p>
        </w:tc>
      </w:tr>
    </w:tbl>
    <w:p w14:paraId="499976A1" w14:textId="77777777" w:rsidR="00F36BCA" w:rsidRPr="008019F9" w:rsidRDefault="00F36BCA" w:rsidP="00D63E5B">
      <w:pPr>
        <w:rPr>
          <w:rFonts w:ascii="Arial Narrow" w:eastAsia="Calibri" w:hAnsi="Arial Narrow"/>
          <w:b/>
          <w:bCs/>
          <w:sz w:val="20"/>
          <w:szCs w:val="20"/>
        </w:rPr>
      </w:pPr>
    </w:p>
    <w:p w14:paraId="1733DE2D" w14:textId="77777777" w:rsidR="00F36BCA" w:rsidRPr="008019F9" w:rsidRDefault="00F36BCA" w:rsidP="00D63E5B">
      <w:pPr>
        <w:widowControl w:val="0"/>
        <w:rPr>
          <w:rFonts w:ascii="Arial Narrow" w:hAnsi="Arial Narrow"/>
          <w:b/>
          <w:bCs/>
          <w:sz w:val="20"/>
          <w:szCs w:val="18"/>
        </w:rPr>
      </w:pPr>
      <w:r w:rsidRPr="008019F9">
        <w:rPr>
          <w:rFonts w:ascii="Arial Narrow" w:hAnsi="Arial Narrow"/>
          <w:b/>
          <w:bCs/>
          <w:sz w:val="20"/>
          <w:szCs w:val="18"/>
        </w:rPr>
        <w:lastRenderedPageBreak/>
        <w:t>Continuing treatment</w:t>
      </w:r>
    </w:p>
    <w:p w14:paraId="3BDF3412" w14:textId="77777777" w:rsidR="00F36BCA" w:rsidRPr="008019F9" w:rsidRDefault="00F36BCA" w:rsidP="00D63E5B">
      <w:pPr>
        <w:rPr>
          <w:rFonts w:ascii="Arial Narrow" w:eastAsia="Calibri" w:hAnsi="Arial Narrow"/>
          <w:b/>
          <w:bCs/>
          <w:sz w:val="20"/>
          <w:szCs w:val="20"/>
          <w:lang w:eastAsia="en-GB"/>
        </w:rPr>
      </w:pPr>
      <w:r w:rsidRPr="008019F9">
        <w:rPr>
          <w:rFonts w:ascii="Arial Narrow" w:eastAsia="Calibri" w:hAnsi="Arial Narrow"/>
          <w:b/>
          <w:bCs/>
          <w:sz w:val="20"/>
          <w:szCs w:val="20"/>
          <w:lang w:eastAsia="en-GB"/>
        </w:rPr>
        <w:t>Restriction Summary New/ ToC: New</w:t>
      </w:r>
    </w:p>
    <w:tbl>
      <w:tblPr>
        <w:tblStyle w:val="TableGrid"/>
        <w:tblW w:w="5000" w:type="pct"/>
        <w:tblLook w:val="04A0" w:firstRow="1" w:lastRow="0" w:firstColumn="1" w:lastColumn="0" w:noHBand="0" w:noVBand="1"/>
      </w:tblPr>
      <w:tblGrid>
        <w:gridCol w:w="1129"/>
        <w:gridCol w:w="7888"/>
      </w:tblGrid>
      <w:tr w:rsidR="00F36BCA" w:rsidRPr="008019F9" w14:paraId="2E70A751" w14:textId="77777777" w:rsidTr="00AE3496">
        <w:tc>
          <w:tcPr>
            <w:tcW w:w="626" w:type="pct"/>
            <w:vMerge w:val="restart"/>
            <w:vAlign w:val="center"/>
          </w:tcPr>
          <w:p w14:paraId="7CDD7A91" w14:textId="77777777" w:rsidR="00F36BCA" w:rsidRPr="008019F9" w:rsidRDefault="00F36BCA" w:rsidP="00D63E5B">
            <w:pPr>
              <w:widowControl w:val="0"/>
              <w:jc w:val="center"/>
              <w:rPr>
                <w:rFonts w:ascii="Arial Narrow" w:hAnsi="Arial Narrow"/>
                <w:b/>
                <w:snapToGrid w:val="0"/>
                <w:sz w:val="20"/>
              </w:rPr>
            </w:pPr>
            <w:r w:rsidRPr="008019F9">
              <w:rPr>
                <w:rFonts w:ascii="Arial Narrow" w:hAnsi="Arial Narrow"/>
                <w:b/>
                <w:bCs/>
                <w:snapToGrid w:val="0"/>
                <w:color w:val="000000"/>
                <w:sz w:val="20"/>
              </w:rPr>
              <w:t>Concept ID</w:t>
            </w:r>
            <w:r w:rsidRPr="008019F9">
              <w:rPr>
                <w:rFonts w:ascii="Arial Narrow" w:hAnsi="Arial Narrow"/>
                <w:snapToGrid w:val="0"/>
                <w:color w:val="333333"/>
                <w:sz w:val="20"/>
              </w:rPr>
              <w:t xml:space="preserve"> – for Dept. use</w:t>
            </w:r>
          </w:p>
        </w:tc>
        <w:tc>
          <w:tcPr>
            <w:tcW w:w="4374" w:type="pct"/>
          </w:tcPr>
          <w:p w14:paraId="57B3F952" w14:textId="77777777" w:rsidR="00F36BCA" w:rsidRPr="008019F9" w:rsidRDefault="00F36BCA" w:rsidP="00D63E5B">
            <w:pPr>
              <w:widowControl w:val="0"/>
              <w:rPr>
                <w:rFonts w:ascii="Arial Narrow" w:hAnsi="Arial Narrow"/>
                <w:snapToGrid w:val="0"/>
                <w:sz w:val="20"/>
              </w:rPr>
            </w:pPr>
            <w:r w:rsidRPr="008019F9">
              <w:rPr>
                <w:rFonts w:ascii="Arial Narrow" w:hAnsi="Arial Narrow"/>
                <w:b/>
                <w:snapToGrid w:val="0"/>
                <w:sz w:val="20"/>
              </w:rPr>
              <w:t xml:space="preserve">Category / Program: </w:t>
            </w:r>
            <w:r w:rsidRPr="008019F9">
              <w:rPr>
                <w:rFonts w:ascii="Arial Narrow" w:hAnsi="Arial Narrow"/>
                <w:snapToGrid w:val="0"/>
                <w:sz w:val="20"/>
              </w:rPr>
              <w:t xml:space="preserve">GENERAL – General Schedule (Code GE) </w:t>
            </w:r>
          </w:p>
        </w:tc>
      </w:tr>
      <w:tr w:rsidR="00F36BCA" w:rsidRPr="008019F9" w14:paraId="14BE667D" w14:textId="77777777" w:rsidTr="00AE3496">
        <w:tc>
          <w:tcPr>
            <w:tcW w:w="626" w:type="pct"/>
            <w:vMerge/>
            <w:vAlign w:val="center"/>
          </w:tcPr>
          <w:p w14:paraId="32CF90D0" w14:textId="77777777" w:rsidR="00F36BCA" w:rsidRPr="008019F9" w:rsidRDefault="00F36BCA" w:rsidP="00D63E5B">
            <w:pPr>
              <w:widowControl w:val="0"/>
              <w:jc w:val="center"/>
              <w:rPr>
                <w:rFonts w:ascii="Arial Narrow" w:hAnsi="Arial Narrow"/>
                <w:b/>
                <w:snapToGrid w:val="0"/>
                <w:sz w:val="20"/>
              </w:rPr>
            </w:pPr>
          </w:p>
        </w:tc>
        <w:tc>
          <w:tcPr>
            <w:tcW w:w="4374" w:type="pct"/>
          </w:tcPr>
          <w:p w14:paraId="5FF352DA" w14:textId="77777777" w:rsidR="00F36BCA" w:rsidRPr="008019F9" w:rsidRDefault="00F36BCA" w:rsidP="00D63E5B">
            <w:pPr>
              <w:widowControl w:val="0"/>
              <w:rPr>
                <w:rFonts w:ascii="Arial Narrow" w:hAnsi="Arial Narrow"/>
                <w:snapToGrid w:val="0"/>
                <w:sz w:val="20"/>
              </w:rPr>
            </w:pPr>
            <w:r w:rsidRPr="008019F9">
              <w:rPr>
                <w:rFonts w:ascii="Arial Narrow" w:hAnsi="Arial Narrow"/>
                <w:b/>
                <w:snapToGrid w:val="0"/>
                <w:sz w:val="20"/>
              </w:rPr>
              <w:t xml:space="preserve">Prescriber type: </w:t>
            </w:r>
            <w:r w:rsidRPr="008019F9">
              <w:rPr>
                <w:rFonts w:ascii="Arial Narrow" w:hAnsi="Arial Narrow"/>
                <w:snapToGrid w:val="0"/>
                <w:sz w:val="20"/>
              </w:rPr>
              <w:fldChar w:fldCharType="begin" w:fldLock="1">
                <w:ffData>
                  <w:name w:val=""/>
                  <w:enabled/>
                  <w:calcOnExit w:val="0"/>
                  <w:checkBox>
                    <w:sizeAuto/>
                    <w:default w:val="1"/>
                  </w:checkBox>
                </w:ffData>
              </w:fldChar>
            </w:r>
            <w:r w:rsidRPr="008019F9">
              <w:rPr>
                <w:rFonts w:ascii="Arial Narrow" w:hAnsi="Arial Narrow"/>
                <w:snapToGrid w:val="0"/>
                <w:sz w:val="20"/>
              </w:rPr>
              <w:instrText xml:space="preserve"> FORMCHECKBOX </w:instrText>
            </w:r>
            <w:r w:rsidRPr="008019F9">
              <w:rPr>
                <w:rFonts w:ascii="Arial Narrow" w:hAnsi="Arial Narrow"/>
                <w:snapToGrid w:val="0"/>
                <w:sz w:val="20"/>
              </w:rPr>
            </w:r>
            <w:r w:rsidRPr="008019F9">
              <w:rPr>
                <w:rFonts w:ascii="Arial Narrow" w:hAnsi="Arial Narrow"/>
                <w:snapToGrid w:val="0"/>
                <w:sz w:val="20"/>
              </w:rPr>
              <w:fldChar w:fldCharType="separate"/>
            </w:r>
            <w:r w:rsidRPr="008019F9">
              <w:rPr>
                <w:rFonts w:ascii="Arial Narrow" w:hAnsi="Arial Narrow"/>
                <w:snapToGrid w:val="0"/>
                <w:sz w:val="20"/>
              </w:rPr>
              <w:fldChar w:fldCharType="end"/>
            </w:r>
            <w:r w:rsidRPr="008019F9">
              <w:rPr>
                <w:rFonts w:ascii="Arial Narrow" w:hAnsi="Arial Narrow"/>
                <w:snapToGrid w:val="0"/>
                <w:sz w:val="20"/>
              </w:rPr>
              <w:t xml:space="preserve"> Medical Practitioners </w:t>
            </w:r>
          </w:p>
        </w:tc>
      </w:tr>
      <w:tr w:rsidR="00F36BCA" w:rsidRPr="008019F9" w14:paraId="045CDE3F" w14:textId="77777777" w:rsidTr="00AE3496">
        <w:tc>
          <w:tcPr>
            <w:tcW w:w="626" w:type="pct"/>
            <w:vMerge/>
            <w:vAlign w:val="center"/>
          </w:tcPr>
          <w:p w14:paraId="676E9576" w14:textId="77777777" w:rsidR="00F36BCA" w:rsidRPr="008019F9" w:rsidRDefault="00F36BCA" w:rsidP="00D63E5B">
            <w:pPr>
              <w:widowControl w:val="0"/>
              <w:jc w:val="center"/>
              <w:rPr>
                <w:rFonts w:ascii="Arial Narrow" w:hAnsi="Arial Narrow"/>
                <w:b/>
                <w:snapToGrid w:val="0"/>
                <w:sz w:val="20"/>
              </w:rPr>
            </w:pPr>
          </w:p>
        </w:tc>
        <w:tc>
          <w:tcPr>
            <w:tcW w:w="4374" w:type="pct"/>
          </w:tcPr>
          <w:p w14:paraId="1868B7B8" w14:textId="73F1F353" w:rsidR="00F36BCA" w:rsidRPr="008019F9" w:rsidRDefault="00F36BCA" w:rsidP="00D63E5B">
            <w:pPr>
              <w:widowControl w:val="0"/>
              <w:rPr>
                <w:rFonts w:ascii="Arial Narrow" w:hAnsi="Arial Narrow"/>
                <w:snapToGrid w:val="0"/>
                <w:sz w:val="20"/>
              </w:rPr>
            </w:pPr>
            <w:r w:rsidRPr="008019F9">
              <w:rPr>
                <w:rFonts w:ascii="Arial Narrow" w:hAnsi="Arial Narrow"/>
                <w:b/>
                <w:snapToGrid w:val="0"/>
                <w:sz w:val="20"/>
              </w:rPr>
              <w:t xml:space="preserve">Restriction type: </w:t>
            </w:r>
            <w:r w:rsidRPr="008019F9">
              <w:rPr>
                <w:rFonts w:ascii="Arial Narrow" w:eastAsia="Calibri" w:hAnsi="Arial Narrow"/>
                <w:snapToGrid w:val="0"/>
                <w:sz w:val="20"/>
              </w:rPr>
              <w:fldChar w:fldCharType="begin" w:fldLock="1">
                <w:ffData>
                  <w:name w:val=""/>
                  <w:enabled/>
                  <w:calcOnExit w:val="0"/>
                  <w:checkBox>
                    <w:sizeAuto/>
                    <w:default w:val="1"/>
                  </w:checkBox>
                </w:ffData>
              </w:fldChar>
            </w:r>
            <w:r w:rsidRPr="008019F9">
              <w:rPr>
                <w:rFonts w:ascii="Arial Narrow" w:eastAsia="Calibri" w:hAnsi="Arial Narrow"/>
                <w:snapToGrid w:val="0"/>
                <w:sz w:val="20"/>
              </w:rPr>
              <w:instrText xml:space="preserve"> FORMCHECKBOX </w:instrText>
            </w:r>
            <w:r w:rsidRPr="008019F9">
              <w:rPr>
                <w:rFonts w:ascii="Arial Narrow" w:eastAsia="Calibri" w:hAnsi="Arial Narrow"/>
                <w:snapToGrid w:val="0"/>
                <w:sz w:val="20"/>
              </w:rPr>
            </w:r>
            <w:r w:rsidRPr="008019F9">
              <w:rPr>
                <w:rFonts w:ascii="Arial Narrow" w:eastAsia="Calibri" w:hAnsi="Arial Narrow"/>
                <w:snapToGrid w:val="0"/>
                <w:sz w:val="20"/>
              </w:rPr>
              <w:fldChar w:fldCharType="separate"/>
            </w:r>
            <w:r w:rsidRPr="008019F9">
              <w:rPr>
                <w:rFonts w:ascii="Arial Narrow" w:eastAsia="Calibri" w:hAnsi="Arial Narrow"/>
                <w:snapToGrid w:val="0"/>
                <w:sz w:val="20"/>
              </w:rPr>
              <w:fldChar w:fldCharType="end"/>
            </w:r>
            <w:r w:rsidRPr="008019F9">
              <w:rPr>
                <w:rFonts w:ascii="Arial Narrow" w:eastAsia="Calibri" w:hAnsi="Arial Narrow"/>
                <w:snapToGrid w:val="0"/>
                <w:sz w:val="20"/>
              </w:rPr>
              <w:t xml:space="preserve"> Authority </w:t>
            </w:r>
            <w:r w:rsidRPr="009F601C">
              <w:rPr>
                <w:rFonts w:ascii="Arial Narrow" w:eastAsia="Calibri" w:hAnsi="Arial Narrow"/>
                <w:snapToGrid w:val="0"/>
                <w:sz w:val="20"/>
              </w:rPr>
              <w:t xml:space="preserve">Required </w:t>
            </w:r>
            <w:r w:rsidR="009F601C" w:rsidRPr="009F601C">
              <w:rPr>
                <w:rFonts w:ascii="Arial Narrow" w:eastAsia="Calibri" w:hAnsi="Arial Narrow"/>
                <w:snapToGrid w:val="0"/>
                <w:sz w:val="20"/>
              </w:rPr>
              <w:t>(</w:t>
            </w:r>
            <w:r w:rsidR="004916F1">
              <w:rPr>
                <w:rFonts w:ascii="Arial Narrow" w:eastAsia="Calibri" w:hAnsi="Arial Narrow"/>
                <w:snapToGrid w:val="0"/>
                <w:sz w:val="20"/>
              </w:rPr>
              <w:t>i</w:t>
            </w:r>
            <w:r w:rsidR="0051511F">
              <w:rPr>
                <w:rFonts w:ascii="Arial Narrow" w:eastAsia="Calibri" w:hAnsi="Arial Narrow"/>
                <w:snapToGrid w:val="0"/>
                <w:sz w:val="20"/>
              </w:rPr>
              <w:t xml:space="preserve">mmediate assessment) </w:t>
            </w:r>
            <w:r w:rsidRPr="009F601C">
              <w:rPr>
                <w:rFonts w:ascii="Arial Narrow" w:eastAsia="Calibri" w:hAnsi="Arial Narrow"/>
                <w:snapToGrid w:val="0"/>
                <w:sz w:val="20"/>
              </w:rPr>
              <w:t xml:space="preserve">telephone/online </w:t>
            </w:r>
          </w:p>
        </w:tc>
      </w:tr>
      <w:tr w:rsidR="00F36BCA" w:rsidRPr="008019F9" w14:paraId="0AAC008C" w14:textId="77777777" w:rsidTr="00AE3496">
        <w:tc>
          <w:tcPr>
            <w:tcW w:w="626" w:type="pct"/>
            <w:vAlign w:val="center"/>
          </w:tcPr>
          <w:p w14:paraId="79C6C68A" w14:textId="77777777" w:rsidR="00F36BCA" w:rsidRPr="008019F9" w:rsidRDefault="00F36BCA" w:rsidP="00D63E5B">
            <w:pPr>
              <w:widowControl w:val="0"/>
              <w:jc w:val="center"/>
              <w:rPr>
                <w:rFonts w:ascii="Arial Narrow" w:hAnsi="Arial Narrow"/>
                <w:snapToGrid w:val="0"/>
                <w:sz w:val="20"/>
              </w:rPr>
            </w:pPr>
          </w:p>
        </w:tc>
        <w:tc>
          <w:tcPr>
            <w:tcW w:w="4374" w:type="pct"/>
          </w:tcPr>
          <w:p w14:paraId="59BB8A0D" w14:textId="77777777" w:rsidR="00F36BCA" w:rsidRPr="008019F9" w:rsidRDefault="00F36BCA" w:rsidP="00D63E5B">
            <w:pPr>
              <w:widowControl w:val="0"/>
              <w:rPr>
                <w:rFonts w:ascii="Arial Narrow" w:hAnsi="Arial Narrow"/>
                <w:snapToGrid w:val="0"/>
                <w:sz w:val="20"/>
              </w:rPr>
            </w:pPr>
          </w:p>
        </w:tc>
      </w:tr>
      <w:tr w:rsidR="00F36BCA" w:rsidRPr="008019F9" w14:paraId="56249513" w14:textId="77777777" w:rsidTr="00AE3496">
        <w:tc>
          <w:tcPr>
            <w:tcW w:w="626" w:type="pct"/>
            <w:vAlign w:val="center"/>
          </w:tcPr>
          <w:p w14:paraId="039DBCF3" w14:textId="6B7E4403" w:rsidR="00F36BCA" w:rsidRPr="008019F9" w:rsidRDefault="00F36BCA" w:rsidP="00D63E5B">
            <w:pPr>
              <w:widowControl w:val="0"/>
              <w:jc w:val="center"/>
              <w:rPr>
                <w:rFonts w:ascii="Arial Narrow" w:hAnsi="Arial Narrow"/>
                <w:b/>
                <w:bCs/>
                <w:snapToGrid w:val="0"/>
                <w:sz w:val="20"/>
              </w:rPr>
            </w:pPr>
          </w:p>
        </w:tc>
        <w:tc>
          <w:tcPr>
            <w:tcW w:w="4374" w:type="pct"/>
          </w:tcPr>
          <w:p w14:paraId="556671B2" w14:textId="77777777" w:rsidR="00F36BCA" w:rsidRPr="008019F9" w:rsidRDefault="00F36BCA" w:rsidP="00D63E5B">
            <w:pPr>
              <w:widowControl w:val="0"/>
              <w:rPr>
                <w:rFonts w:ascii="Arial Narrow" w:hAnsi="Arial Narrow"/>
                <w:snapToGrid w:val="0"/>
                <w:sz w:val="20"/>
              </w:rPr>
            </w:pPr>
            <w:r w:rsidRPr="008019F9">
              <w:rPr>
                <w:rFonts w:ascii="Arial Narrow" w:hAnsi="Arial Narrow"/>
                <w:b/>
                <w:bCs/>
                <w:snapToGrid w:val="0"/>
                <w:sz w:val="20"/>
              </w:rPr>
              <w:t xml:space="preserve">Administrative advice: </w:t>
            </w:r>
            <w:r w:rsidRPr="008019F9">
              <w:rPr>
                <w:rFonts w:ascii="Arial Narrow" w:hAnsi="Arial Narrow"/>
                <w:snapToGrid w:val="0"/>
                <w:sz w:val="20"/>
              </w:rPr>
              <w:t>No increase in the maximum number of repeats may be authorised.</w:t>
            </w:r>
          </w:p>
        </w:tc>
      </w:tr>
      <w:tr w:rsidR="00F36BCA" w:rsidRPr="008019F9" w14:paraId="7CB67960" w14:textId="77777777" w:rsidTr="00AE3496">
        <w:tc>
          <w:tcPr>
            <w:tcW w:w="626" w:type="pct"/>
            <w:vAlign w:val="center"/>
          </w:tcPr>
          <w:p w14:paraId="5477EAD1" w14:textId="6604092B" w:rsidR="00F36BCA" w:rsidRPr="008019F9" w:rsidRDefault="00F36BCA" w:rsidP="00D63E5B">
            <w:pPr>
              <w:widowControl w:val="0"/>
              <w:jc w:val="center"/>
              <w:rPr>
                <w:rFonts w:ascii="Arial Narrow" w:hAnsi="Arial Narrow"/>
                <w:b/>
                <w:bCs/>
                <w:snapToGrid w:val="0"/>
                <w:sz w:val="20"/>
              </w:rPr>
            </w:pPr>
          </w:p>
        </w:tc>
        <w:tc>
          <w:tcPr>
            <w:tcW w:w="4374" w:type="pct"/>
          </w:tcPr>
          <w:p w14:paraId="177849DE" w14:textId="77777777" w:rsidR="00F36BCA" w:rsidRPr="008019F9" w:rsidRDefault="00F36BCA" w:rsidP="00D63E5B">
            <w:pPr>
              <w:widowControl w:val="0"/>
              <w:rPr>
                <w:rFonts w:ascii="Arial Narrow" w:hAnsi="Arial Narrow"/>
                <w:snapToGrid w:val="0"/>
                <w:sz w:val="20"/>
              </w:rPr>
            </w:pPr>
            <w:r w:rsidRPr="008019F9">
              <w:rPr>
                <w:rFonts w:ascii="Arial Narrow" w:hAnsi="Arial Narrow"/>
                <w:b/>
                <w:bCs/>
                <w:snapToGrid w:val="0"/>
                <w:sz w:val="20"/>
              </w:rPr>
              <w:t xml:space="preserve">Administrative advice: </w:t>
            </w:r>
            <w:r w:rsidRPr="008019F9">
              <w:rPr>
                <w:rFonts w:ascii="Arial Narrow" w:hAnsi="Arial Narrow"/>
                <w:snapToGrid w:val="0"/>
                <w:sz w:val="20"/>
              </w:rPr>
              <w:t>Special Pricing Arrangements apply.</w:t>
            </w:r>
          </w:p>
        </w:tc>
      </w:tr>
      <w:tr w:rsidR="00F36BCA" w:rsidRPr="008019F9" w14:paraId="53F70329" w14:textId="77777777" w:rsidTr="00AE3496">
        <w:tc>
          <w:tcPr>
            <w:tcW w:w="626" w:type="pct"/>
            <w:vAlign w:val="center"/>
          </w:tcPr>
          <w:p w14:paraId="7F5B4CC2" w14:textId="77777777" w:rsidR="00F36BCA" w:rsidRPr="008019F9" w:rsidRDefault="00F36BCA" w:rsidP="00D63E5B">
            <w:pPr>
              <w:widowControl w:val="0"/>
              <w:jc w:val="center"/>
              <w:rPr>
                <w:rFonts w:ascii="Arial Narrow" w:hAnsi="Arial Narrow"/>
                <w:snapToGrid w:val="0"/>
                <w:sz w:val="20"/>
              </w:rPr>
            </w:pPr>
          </w:p>
        </w:tc>
        <w:tc>
          <w:tcPr>
            <w:tcW w:w="4374" w:type="pct"/>
          </w:tcPr>
          <w:p w14:paraId="6C9CBC77" w14:textId="77777777" w:rsidR="00F36BCA" w:rsidRPr="008019F9" w:rsidRDefault="00F36BCA" w:rsidP="00D63E5B">
            <w:pPr>
              <w:widowControl w:val="0"/>
              <w:rPr>
                <w:rFonts w:ascii="Arial Narrow" w:hAnsi="Arial Narrow"/>
                <w:snapToGrid w:val="0"/>
                <w:sz w:val="20"/>
              </w:rPr>
            </w:pPr>
          </w:p>
        </w:tc>
      </w:tr>
      <w:tr w:rsidR="00F36BCA" w:rsidRPr="008019F9" w14:paraId="087472BF" w14:textId="77777777" w:rsidTr="00AE3496">
        <w:tc>
          <w:tcPr>
            <w:tcW w:w="626" w:type="pct"/>
            <w:vAlign w:val="center"/>
          </w:tcPr>
          <w:p w14:paraId="46412552" w14:textId="43E0ADFB" w:rsidR="00F36BCA" w:rsidRPr="008019F9" w:rsidRDefault="00F36BCA" w:rsidP="00D63E5B">
            <w:pPr>
              <w:widowControl w:val="0"/>
              <w:jc w:val="center"/>
              <w:rPr>
                <w:rFonts w:ascii="Arial Narrow" w:hAnsi="Arial Narrow"/>
                <w:b/>
                <w:bCs/>
                <w:snapToGrid w:val="0"/>
                <w:sz w:val="20"/>
              </w:rPr>
            </w:pPr>
          </w:p>
        </w:tc>
        <w:tc>
          <w:tcPr>
            <w:tcW w:w="4374" w:type="pct"/>
          </w:tcPr>
          <w:p w14:paraId="4C418412" w14:textId="77777777" w:rsidR="00F36BCA" w:rsidRPr="008019F9" w:rsidRDefault="00F36BCA" w:rsidP="00D63E5B">
            <w:pPr>
              <w:widowControl w:val="0"/>
              <w:rPr>
                <w:rFonts w:ascii="Arial Narrow" w:hAnsi="Arial Narrow"/>
                <w:snapToGrid w:val="0"/>
                <w:sz w:val="20"/>
              </w:rPr>
            </w:pPr>
            <w:r w:rsidRPr="008019F9">
              <w:rPr>
                <w:rFonts w:ascii="Arial Narrow" w:hAnsi="Arial Narrow"/>
                <w:b/>
                <w:bCs/>
                <w:snapToGrid w:val="0"/>
                <w:sz w:val="20"/>
              </w:rPr>
              <w:t>Indication:</w:t>
            </w:r>
            <w:r w:rsidRPr="008019F9">
              <w:rPr>
                <w:rFonts w:ascii="Arial Narrow" w:hAnsi="Arial Narrow"/>
                <w:snapToGrid w:val="0"/>
                <w:sz w:val="20"/>
              </w:rPr>
              <w:t xml:space="preserve"> Chronic treatment of hereditary angioedema Types 1 or 2</w:t>
            </w:r>
          </w:p>
        </w:tc>
      </w:tr>
      <w:tr w:rsidR="00F36BCA" w:rsidRPr="008019F9" w14:paraId="087180AB" w14:textId="77777777" w:rsidTr="00AE3496">
        <w:tc>
          <w:tcPr>
            <w:tcW w:w="626" w:type="pct"/>
            <w:vAlign w:val="center"/>
          </w:tcPr>
          <w:p w14:paraId="7662B272" w14:textId="77777777" w:rsidR="00F36BCA" w:rsidRPr="008019F9" w:rsidRDefault="00F36BCA" w:rsidP="00D63E5B">
            <w:pPr>
              <w:widowControl w:val="0"/>
              <w:jc w:val="center"/>
              <w:rPr>
                <w:rFonts w:ascii="Arial Narrow" w:hAnsi="Arial Narrow"/>
                <w:b/>
                <w:bCs/>
                <w:snapToGrid w:val="0"/>
                <w:sz w:val="20"/>
              </w:rPr>
            </w:pPr>
          </w:p>
        </w:tc>
        <w:tc>
          <w:tcPr>
            <w:tcW w:w="4374" w:type="pct"/>
          </w:tcPr>
          <w:p w14:paraId="4364ADEF" w14:textId="77777777" w:rsidR="00F36BCA" w:rsidRPr="008019F9" w:rsidRDefault="00F36BCA" w:rsidP="00D63E5B">
            <w:pPr>
              <w:widowControl w:val="0"/>
              <w:rPr>
                <w:rFonts w:ascii="Arial Narrow" w:hAnsi="Arial Narrow"/>
                <w:b/>
                <w:bCs/>
                <w:snapToGrid w:val="0"/>
                <w:sz w:val="20"/>
              </w:rPr>
            </w:pPr>
            <w:r w:rsidRPr="008019F9">
              <w:rPr>
                <w:rFonts w:ascii="Arial Narrow" w:hAnsi="Arial Narrow"/>
                <w:b/>
                <w:bCs/>
                <w:snapToGrid w:val="0"/>
                <w:sz w:val="20"/>
              </w:rPr>
              <w:t xml:space="preserve">Treatment Phase: </w:t>
            </w:r>
            <w:r w:rsidRPr="008019F9">
              <w:rPr>
                <w:rFonts w:ascii="Arial Narrow" w:hAnsi="Arial Narrow"/>
                <w:snapToGrid w:val="0"/>
                <w:sz w:val="20"/>
              </w:rPr>
              <w:t>Continuing preventative treatment</w:t>
            </w:r>
            <w:r w:rsidRPr="008019F9">
              <w:rPr>
                <w:rFonts w:ascii="Arial Narrow" w:hAnsi="Arial Narrow"/>
                <w:b/>
                <w:bCs/>
                <w:snapToGrid w:val="0"/>
                <w:sz w:val="20"/>
              </w:rPr>
              <w:t xml:space="preserve"> </w:t>
            </w:r>
          </w:p>
        </w:tc>
      </w:tr>
      <w:tr w:rsidR="00F36BCA" w:rsidRPr="008019F9" w14:paraId="287315D0" w14:textId="77777777" w:rsidTr="00AE3496">
        <w:tc>
          <w:tcPr>
            <w:tcW w:w="626" w:type="pct"/>
            <w:vAlign w:val="center"/>
          </w:tcPr>
          <w:p w14:paraId="0561E79B" w14:textId="1D7F5D96" w:rsidR="00F36BCA" w:rsidRPr="008019F9" w:rsidRDefault="00F36BCA" w:rsidP="00D63E5B">
            <w:pPr>
              <w:widowControl w:val="0"/>
              <w:jc w:val="center"/>
              <w:rPr>
                <w:rFonts w:ascii="Arial Narrow" w:hAnsi="Arial Narrow"/>
                <w:snapToGrid w:val="0"/>
                <w:sz w:val="20"/>
                <w:highlight w:val="yellow"/>
              </w:rPr>
            </w:pPr>
          </w:p>
        </w:tc>
        <w:tc>
          <w:tcPr>
            <w:tcW w:w="4374" w:type="pct"/>
          </w:tcPr>
          <w:p w14:paraId="17FEE3BA" w14:textId="77777777" w:rsidR="00F36BCA" w:rsidRPr="008019F9" w:rsidRDefault="00F36BCA" w:rsidP="00D63E5B">
            <w:pPr>
              <w:widowControl w:val="0"/>
              <w:rPr>
                <w:rFonts w:ascii="Arial Narrow" w:hAnsi="Arial Narrow"/>
                <w:b/>
                <w:bCs/>
                <w:snapToGrid w:val="0"/>
                <w:sz w:val="20"/>
              </w:rPr>
            </w:pPr>
            <w:r w:rsidRPr="008019F9">
              <w:rPr>
                <w:rFonts w:ascii="Arial Narrow" w:hAnsi="Arial Narrow"/>
                <w:b/>
                <w:bCs/>
                <w:snapToGrid w:val="0"/>
                <w:sz w:val="20"/>
              </w:rPr>
              <w:t xml:space="preserve">Clinical criteria: </w:t>
            </w:r>
          </w:p>
        </w:tc>
      </w:tr>
      <w:tr w:rsidR="00F36BCA" w:rsidRPr="008019F9" w14:paraId="5DF6FDAB" w14:textId="77777777" w:rsidTr="00AE3496">
        <w:tc>
          <w:tcPr>
            <w:tcW w:w="626" w:type="pct"/>
            <w:vAlign w:val="center"/>
          </w:tcPr>
          <w:p w14:paraId="62188BBA" w14:textId="3A361072" w:rsidR="00F36BCA" w:rsidRPr="008019F9" w:rsidRDefault="00F36BCA" w:rsidP="00D63E5B">
            <w:pPr>
              <w:widowControl w:val="0"/>
              <w:jc w:val="center"/>
              <w:rPr>
                <w:rFonts w:ascii="Arial Narrow" w:hAnsi="Arial Narrow"/>
                <w:snapToGrid w:val="0"/>
                <w:sz w:val="20"/>
                <w:highlight w:val="yellow"/>
              </w:rPr>
            </w:pPr>
          </w:p>
        </w:tc>
        <w:tc>
          <w:tcPr>
            <w:tcW w:w="4374" w:type="pct"/>
          </w:tcPr>
          <w:p w14:paraId="62B53D21" w14:textId="77777777" w:rsidR="00F36BCA" w:rsidRPr="008019F9" w:rsidRDefault="00F36BCA" w:rsidP="00D63E5B">
            <w:pPr>
              <w:widowControl w:val="0"/>
              <w:rPr>
                <w:rFonts w:ascii="Arial Narrow" w:hAnsi="Arial Narrow"/>
                <w:snapToGrid w:val="0"/>
                <w:sz w:val="20"/>
              </w:rPr>
            </w:pPr>
            <w:r w:rsidRPr="008019F9">
              <w:rPr>
                <w:rFonts w:ascii="Arial Narrow" w:hAnsi="Arial Narrow"/>
                <w:snapToGrid w:val="0"/>
                <w:sz w:val="20"/>
              </w:rPr>
              <w:t>Patient must have previously received PBS-subsidised treatment with this drug for this condition</w:t>
            </w:r>
          </w:p>
        </w:tc>
      </w:tr>
      <w:tr w:rsidR="00F36BCA" w:rsidRPr="008019F9" w14:paraId="5B2E9BAA" w14:textId="77777777" w:rsidTr="00AE3496">
        <w:tc>
          <w:tcPr>
            <w:tcW w:w="626" w:type="pct"/>
            <w:vAlign w:val="center"/>
          </w:tcPr>
          <w:p w14:paraId="676E6B6D" w14:textId="77777777" w:rsidR="00F36BCA" w:rsidRPr="008019F9" w:rsidRDefault="00F36BCA" w:rsidP="00D63E5B">
            <w:pPr>
              <w:widowControl w:val="0"/>
              <w:jc w:val="center"/>
              <w:rPr>
                <w:rFonts w:ascii="Arial Narrow" w:hAnsi="Arial Narrow"/>
                <w:snapToGrid w:val="0"/>
                <w:sz w:val="20"/>
              </w:rPr>
            </w:pPr>
          </w:p>
        </w:tc>
        <w:tc>
          <w:tcPr>
            <w:tcW w:w="4374" w:type="pct"/>
          </w:tcPr>
          <w:p w14:paraId="121C1A6E" w14:textId="77777777" w:rsidR="00F36BCA" w:rsidRPr="008019F9" w:rsidRDefault="00F36BCA" w:rsidP="00D63E5B">
            <w:pPr>
              <w:widowControl w:val="0"/>
              <w:rPr>
                <w:rFonts w:ascii="Arial Narrow" w:hAnsi="Arial Narrow"/>
                <w:snapToGrid w:val="0"/>
                <w:sz w:val="20"/>
              </w:rPr>
            </w:pPr>
            <w:r w:rsidRPr="008019F9">
              <w:rPr>
                <w:rFonts w:ascii="Arial Narrow" w:hAnsi="Arial Narrow"/>
                <w:snapToGrid w:val="0"/>
                <w:sz w:val="20"/>
              </w:rPr>
              <w:t>AND</w:t>
            </w:r>
          </w:p>
        </w:tc>
      </w:tr>
      <w:tr w:rsidR="00F36BCA" w:rsidRPr="008019F9" w14:paraId="5D91C32C" w14:textId="77777777" w:rsidTr="00AE3496">
        <w:tc>
          <w:tcPr>
            <w:tcW w:w="626" w:type="pct"/>
            <w:vAlign w:val="center"/>
          </w:tcPr>
          <w:p w14:paraId="2616C152" w14:textId="2C65A19B" w:rsidR="00F36BCA" w:rsidRPr="008019F9" w:rsidRDefault="00F36BCA" w:rsidP="00D63E5B">
            <w:pPr>
              <w:widowControl w:val="0"/>
              <w:jc w:val="center"/>
              <w:rPr>
                <w:rFonts w:ascii="Arial Narrow" w:hAnsi="Arial Narrow"/>
                <w:snapToGrid w:val="0"/>
                <w:sz w:val="20"/>
              </w:rPr>
            </w:pPr>
          </w:p>
        </w:tc>
        <w:tc>
          <w:tcPr>
            <w:tcW w:w="4374" w:type="pct"/>
          </w:tcPr>
          <w:p w14:paraId="5203243B" w14:textId="77777777" w:rsidR="00F36BCA" w:rsidRPr="008019F9" w:rsidRDefault="00F36BCA" w:rsidP="00D63E5B">
            <w:pPr>
              <w:widowControl w:val="0"/>
              <w:rPr>
                <w:rFonts w:ascii="Arial Narrow" w:hAnsi="Arial Narrow"/>
                <w:snapToGrid w:val="0"/>
                <w:sz w:val="20"/>
              </w:rPr>
            </w:pPr>
            <w:r w:rsidRPr="008019F9">
              <w:rPr>
                <w:rFonts w:ascii="Arial Narrow" w:hAnsi="Arial Narrow"/>
                <w:b/>
                <w:bCs/>
                <w:snapToGrid w:val="0"/>
                <w:sz w:val="20"/>
              </w:rPr>
              <w:t>Clinical criteria:</w:t>
            </w:r>
          </w:p>
        </w:tc>
      </w:tr>
      <w:tr w:rsidR="00F36BCA" w:rsidRPr="008019F9" w14:paraId="107E004B" w14:textId="77777777" w:rsidTr="00AE3496">
        <w:trPr>
          <w:trHeight w:val="209"/>
        </w:trPr>
        <w:tc>
          <w:tcPr>
            <w:tcW w:w="626" w:type="pct"/>
            <w:vAlign w:val="center"/>
          </w:tcPr>
          <w:p w14:paraId="3BF963B9" w14:textId="51F589A7" w:rsidR="00F36BCA" w:rsidRPr="008019F9" w:rsidRDefault="00F36BCA" w:rsidP="00D63E5B">
            <w:pPr>
              <w:widowControl w:val="0"/>
              <w:jc w:val="center"/>
              <w:rPr>
                <w:rFonts w:ascii="Arial Narrow" w:hAnsi="Arial Narrow"/>
                <w:snapToGrid w:val="0"/>
                <w:sz w:val="20"/>
              </w:rPr>
            </w:pPr>
          </w:p>
        </w:tc>
        <w:tc>
          <w:tcPr>
            <w:tcW w:w="4374" w:type="pct"/>
          </w:tcPr>
          <w:p w14:paraId="697389E5" w14:textId="77777777" w:rsidR="00F36BCA" w:rsidRPr="008019F9" w:rsidRDefault="00F36BCA" w:rsidP="00D63E5B">
            <w:pPr>
              <w:widowControl w:val="0"/>
              <w:rPr>
                <w:rFonts w:ascii="Arial Narrow" w:hAnsi="Arial Narrow"/>
                <w:snapToGrid w:val="0"/>
                <w:sz w:val="20"/>
              </w:rPr>
            </w:pPr>
            <w:r w:rsidRPr="008019F9">
              <w:rPr>
                <w:rFonts w:ascii="Arial Narrow" w:hAnsi="Arial Narrow"/>
                <w:snapToGrid w:val="0"/>
                <w:sz w:val="20"/>
              </w:rPr>
              <w:t>Patient must have demonstrated or sustained an adequate response to PBS-subsidised treatment with this drug for this condition</w:t>
            </w:r>
          </w:p>
        </w:tc>
      </w:tr>
      <w:tr w:rsidR="00F36BCA" w:rsidRPr="008019F9" w14:paraId="0E7127C3" w14:textId="77777777" w:rsidTr="00AE3496">
        <w:trPr>
          <w:trHeight w:val="209"/>
        </w:trPr>
        <w:tc>
          <w:tcPr>
            <w:tcW w:w="626" w:type="pct"/>
            <w:vAlign w:val="center"/>
          </w:tcPr>
          <w:p w14:paraId="4CDDF884" w14:textId="77777777" w:rsidR="00F36BCA" w:rsidRPr="008019F9" w:rsidRDefault="00F36BCA" w:rsidP="00D63E5B">
            <w:pPr>
              <w:widowControl w:val="0"/>
              <w:jc w:val="center"/>
              <w:rPr>
                <w:rFonts w:ascii="Arial Narrow" w:hAnsi="Arial Narrow"/>
                <w:snapToGrid w:val="0"/>
                <w:sz w:val="20"/>
              </w:rPr>
            </w:pPr>
          </w:p>
        </w:tc>
        <w:tc>
          <w:tcPr>
            <w:tcW w:w="4374" w:type="pct"/>
          </w:tcPr>
          <w:p w14:paraId="7A93AD6D" w14:textId="77777777" w:rsidR="00F36BCA" w:rsidRPr="008019F9" w:rsidRDefault="00F36BCA" w:rsidP="00D63E5B">
            <w:pPr>
              <w:widowControl w:val="0"/>
              <w:rPr>
                <w:rFonts w:ascii="Arial Narrow" w:hAnsi="Arial Narrow"/>
                <w:snapToGrid w:val="0"/>
                <w:sz w:val="20"/>
              </w:rPr>
            </w:pPr>
            <w:r w:rsidRPr="008019F9">
              <w:rPr>
                <w:rFonts w:ascii="Arial Narrow" w:hAnsi="Arial Narrow"/>
                <w:snapToGrid w:val="0"/>
                <w:sz w:val="20"/>
              </w:rPr>
              <w:t>AND</w:t>
            </w:r>
          </w:p>
        </w:tc>
      </w:tr>
      <w:tr w:rsidR="00F36BCA" w:rsidRPr="008019F9" w14:paraId="722B446F" w14:textId="77777777" w:rsidTr="00AE3496">
        <w:trPr>
          <w:trHeight w:val="209"/>
        </w:trPr>
        <w:tc>
          <w:tcPr>
            <w:tcW w:w="626" w:type="pct"/>
            <w:vAlign w:val="center"/>
          </w:tcPr>
          <w:p w14:paraId="260F0C61" w14:textId="53AEBD69" w:rsidR="00F36BCA" w:rsidRPr="008019F9" w:rsidRDefault="00F36BCA" w:rsidP="00D63E5B">
            <w:pPr>
              <w:widowControl w:val="0"/>
              <w:jc w:val="center"/>
              <w:rPr>
                <w:rFonts w:ascii="Arial Narrow" w:hAnsi="Arial Narrow"/>
                <w:b/>
                <w:bCs/>
                <w:snapToGrid w:val="0"/>
                <w:sz w:val="20"/>
              </w:rPr>
            </w:pPr>
          </w:p>
        </w:tc>
        <w:tc>
          <w:tcPr>
            <w:tcW w:w="4374" w:type="pct"/>
          </w:tcPr>
          <w:p w14:paraId="2A5AA2FB" w14:textId="77777777" w:rsidR="00F36BCA" w:rsidRPr="008019F9" w:rsidRDefault="00F36BCA" w:rsidP="00D63E5B">
            <w:pPr>
              <w:widowControl w:val="0"/>
              <w:rPr>
                <w:rFonts w:ascii="Arial Narrow" w:hAnsi="Arial Narrow"/>
                <w:snapToGrid w:val="0"/>
                <w:sz w:val="20"/>
              </w:rPr>
            </w:pPr>
            <w:r w:rsidRPr="008019F9">
              <w:rPr>
                <w:rFonts w:ascii="Arial Narrow" w:hAnsi="Arial Narrow"/>
                <w:b/>
                <w:bCs/>
                <w:snapToGrid w:val="0"/>
                <w:sz w:val="20"/>
              </w:rPr>
              <w:t>Clinical criteria:</w:t>
            </w:r>
          </w:p>
        </w:tc>
      </w:tr>
      <w:tr w:rsidR="00F36BCA" w:rsidRPr="008019F9" w14:paraId="4E359E65" w14:textId="77777777" w:rsidTr="00AE3496">
        <w:tc>
          <w:tcPr>
            <w:tcW w:w="626" w:type="pct"/>
            <w:vAlign w:val="center"/>
          </w:tcPr>
          <w:p w14:paraId="00ED3A95" w14:textId="71A534A4" w:rsidR="00F36BCA" w:rsidRPr="008019F9" w:rsidRDefault="00F36BCA" w:rsidP="00D63E5B">
            <w:pPr>
              <w:widowControl w:val="0"/>
              <w:jc w:val="center"/>
              <w:rPr>
                <w:rFonts w:ascii="Arial Narrow" w:hAnsi="Arial Narrow"/>
                <w:snapToGrid w:val="0"/>
                <w:sz w:val="20"/>
              </w:rPr>
            </w:pPr>
          </w:p>
        </w:tc>
        <w:tc>
          <w:tcPr>
            <w:tcW w:w="4374" w:type="pct"/>
          </w:tcPr>
          <w:p w14:paraId="27ED1B1B" w14:textId="77777777" w:rsidR="00F36BCA" w:rsidRPr="008019F9" w:rsidRDefault="00F36BCA" w:rsidP="00D63E5B">
            <w:pPr>
              <w:widowControl w:val="0"/>
              <w:rPr>
                <w:rFonts w:ascii="Arial Narrow" w:hAnsi="Arial Narrow"/>
                <w:snapToGrid w:val="0"/>
                <w:sz w:val="20"/>
              </w:rPr>
            </w:pPr>
            <w:r w:rsidRPr="008019F9">
              <w:rPr>
                <w:rFonts w:ascii="Arial Narrow" w:hAnsi="Arial Narrow"/>
                <w:snapToGrid w:val="0"/>
                <w:sz w:val="20"/>
              </w:rPr>
              <w:t>The treatment must not be PBS subsidised in combination with a C1-esterase inhibitor concentrate</w:t>
            </w:r>
          </w:p>
        </w:tc>
      </w:tr>
      <w:tr w:rsidR="00F36BCA" w:rsidRPr="008019F9" w14:paraId="4ADE54C6" w14:textId="77777777" w:rsidTr="00AE3496">
        <w:tc>
          <w:tcPr>
            <w:tcW w:w="626" w:type="pct"/>
            <w:vAlign w:val="center"/>
          </w:tcPr>
          <w:p w14:paraId="7A0A67E2" w14:textId="77777777" w:rsidR="00F36BCA" w:rsidRPr="008019F9" w:rsidRDefault="00F36BCA" w:rsidP="00D63E5B">
            <w:pPr>
              <w:widowControl w:val="0"/>
              <w:jc w:val="center"/>
              <w:rPr>
                <w:rFonts w:ascii="Arial Narrow" w:hAnsi="Arial Narrow"/>
                <w:snapToGrid w:val="0"/>
                <w:sz w:val="20"/>
              </w:rPr>
            </w:pPr>
          </w:p>
        </w:tc>
        <w:tc>
          <w:tcPr>
            <w:tcW w:w="4374" w:type="pct"/>
          </w:tcPr>
          <w:p w14:paraId="7C4053DE" w14:textId="77777777" w:rsidR="00F36BCA" w:rsidRPr="008019F9" w:rsidRDefault="00F36BCA" w:rsidP="00D63E5B">
            <w:pPr>
              <w:widowControl w:val="0"/>
              <w:rPr>
                <w:rFonts w:ascii="Arial Narrow" w:hAnsi="Arial Narrow"/>
                <w:snapToGrid w:val="0"/>
                <w:sz w:val="20"/>
              </w:rPr>
            </w:pPr>
            <w:r w:rsidRPr="008019F9">
              <w:rPr>
                <w:rFonts w:ascii="Arial Narrow" w:hAnsi="Arial Narrow"/>
                <w:snapToGrid w:val="0"/>
                <w:sz w:val="20"/>
              </w:rPr>
              <w:t>AND</w:t>
            </w:r>
          </w:p>
        </w:tc>
      </w:tr>
      <w:tr w:rsidR="00F36BCA" w:rsidRPr="008019F9" w14:paraId="23EB924C" w14:textId="77777777" w:rsidTr="00AE3496">
        <w:tc>
          <w:tcPr>
            <w:tcW w:w="626" w:type="pct"/>
            <w:vAlign w:val="center"/>
          </w:tcPr>
          <w:p w14:paraId="4E6703C6" w14:textId="0E7AE4B1" w:rsidR="00F36BCA" w:rsidRPr="008019F9" w:rsidRDefault="00F36BCA" w:rsidP="00D63E5B">
            <w:pPr>
              <w:widowControl w:val="0"/>
              <w:jc w:val="center"/>
              <w:rPr>
                <w:rFonts w:ascii="Arial Narrow" w:hAnsi="Arial Narrow"/>
                <w:snapToGrid w:val="0"/>
                <w:sz w:val="20"/>
              </w:rPr>
            </w:pPr>
          </w:p>
        </w:tc>
        <w:tc>
          <w:tcPr>
            <w:tcW w:w="4374" w:type="pct"/>
          </w:tcPr>
          <w:p w14:paraId="6108A695" w14:textId="77777777" w:rsidR="00F36BCA" w:rsidRPr="008019F9" w:rsidRDefault="00F36BCA" w:rsidP="00D63E5B">
            <w:pPr>
              <w:widowControl w:val="0"/>
              <w:rPr>
                <w:rFonts w:ascii="Arial Narrow" w:hAnsi="Arial Narrow"/>
                <w:b/>
                <w:bCs/>
                <w:snapToGrid w:val="0"/>
                <w:sz w:val="20"/>
              </w:rPr>
            </w:pPr>
            <w:r w:rsidRPr="008019F9">
              <w:rPr>
                <w:rFonts w:ascii="Arial Narrow" w:hAnsi="Arial Narrow"/>
                <w:b/>
                <w:bCs/>
                <w:snapToGrid w:val="0"/>
                <w:sz w:val="20"/>
              </w:rPr>
              <w:t>Treatment criteria:</w:t>
            </w:r>
          </w:p>
        </w:tc>
      </w:tr>
      <w:tr w:rsidR="00F36BCA" w:rsidRPr="008019F9" w14:paraId="26DDC3DF" w14:textId="77777777" w:rsidTr="00AE3496">
        <w:tc>
          <w:tcPr>
            <w:tcW w:w="626" w:type="pct"/>
            <w:vAlign w:val="center"/>
          </w:tcPr>
          <w:p w14:paraId="1F58443B" w14:textId="1BA420D0" w:rsidR="00F36BCA" w:rsidRPr="008019F9" w:rsidRDefault="00F36BCA" w:rsidP="00D63E5B">
            <w:pPr>
              <w:widowControl w:val="0"/>
              <w:jc w:val="center"/>
              <w:rPr>
                <w:rFonts w:ascii="Arial Narrow" w:hAnsi="Arial Narrow"/>
                <w:snapToGrid w:val="0"/>
                <w:sz w:val="20"/>
              </w:rPr>
            </w:pPr>
          </w:p>
        </w:tc>
        <w:tc>
          <w:tcPr>
            <w:tcW w:w="4374" w:type="pct"/>
          </w:tcPr>
          <w:p w14:paraId="183E3E03" w14:textId="77777777" w:rsidR="00F36BCA" w:rsidRPr="008019F9" w:rsidRDefault="00F36BCA" w:rsidP="00D63E5B">
            <w:pPr>
              <w:widowControl w:val="0"/>
              <w:rPr>
                <w:rFonts w:ascii="Arial Narrow" w:hAnsi="Arial Narrow"/>
                <w:snapToGrid w:val="0"/>
                <w:sz w:val="20"/>
              </w:rPr>
            </w:pPr>
            <w:r w:rsidRPr="008019F9">
              <w:rPr>
                <w:rFonts w:ascii="Arial Narrow" w:hAnsi="Arial Narrow"/>
                <w:snapToGrid w:val="0"/>
                <w:sz w:val="20"/>
              </w:rPr>
              <w:t>Must be treated by a specialist allergist or clinical immunologist, or in consultation with a specialist allergist or clinical immunologist</w:t>
            </w:r>
          </w:p>
        </w:tc>
      </w:tr>
      <w:tr w:rsidR="00F36BCA" w:rsidRPr="008019F9" w14:paraId="74D5D637" w14:textId="77777777" w:rsidTr="00AE3496">
        <w:tc>
          <w:tcPr>
            <w:tcW w:w="626" w:type="pct"/>
            <w:vAlign w:val="center"/>
          </w:tcPr>
          <w:p w14:paraId="0F52CEBE" w14:textId="028B7C1F" w:rsidR="00F36BCA" w:rsidRPr="008019F9" w:rsidRDefault="00F36BCA" w:rsidP="00D63E5B">
            <w:pPr>
              <w:widowControl w:val="0"/>
              <w:jc w:val="center"/>
              <w:rPr>
                <w:rFonts w:ascii="Arial Narrow" w:hAnsi="Arial Narrow"/>
                <w:snapToGrid w:val="0"/>
                <w:sz w:val="20"/>
              </w:rPr>
            </w:pPr>
          </w:p>
        </w:tc>
        <w:tc>
          <w:tcPr>
            <w:tcW w:w="4374" w:type="pct"/>
          </w:tcPr>
          <w:p w14:paraId="76D21754" w14:textId="77777777" w:rsidR="00F36BCA" w:rsidRPr="008019F9" w:rsidRDefault="00F36BCA" w:rsidP="00D63E5B">
            <w:pPr>
              <w:widowControl w:val="0"/>
              <w:rPr>
                <w:rFonts w:ascii="Arial Narrow" w:hAnsi="Arial Narrow"/>
                <w:snapToGrid w:val="0"/>
                <w:sz w:val="20"/>
              </w:rPr>
            </w:pPr>
            <w:r w:rsidRPr="008019F9">
              <w:rPr>
                <w:rFonts w:ascii="Arial Narrow" w:hAnsi="Arial Narrow"/>
                <w:b/>
                <w:bCs/>
                <w:snapToGrid w:val="0"/>
                <w:sz w:val="20"/>
              </w:rPr>
              <w:t xml:space="preserve">Prescribing instructions: </w:t>
            </w:r>
            <w:r w:rsidRPr="008019F9">
              <w:rPr>
                <w:rFonts w:ascii="Arial Narrow" w:hAnsi="Arial Narrow"/>
                <w:snapToGrid w:val="0"/>
                <w:sz w:val="20"/>
              </w:rPr>
              <w:t>Patients who have successfully transitioned to a lower dosing frequency should be reviewed every 6 months to ensure they continue to demonstrate a sustained response</w:t>
            </w:r>
          </w:p>
        </w:tc>
      </w:tr>
      <w:tr w:rsidR="00F36BCA" w:rsidRPr="008019F9" w14:paraId="637699A6" w14:textId="77777777" w:rsidTr="00AE3496">
        <w:tc>
          <w:tcPr>
            <w:tcW w:w="626" w:type="pct"/>
            <w:vAlign w:val="center"/>
          </w:tcPr>
          <w:p w14:paraId="4A8800FA" w14:textId="3C255959" w:rsidR="00F36BCA" w:rsidRPr="008019F9" w:rsidRDefault="00F36BCA" w:rsidP="00D63E5B">
            <w:pPr>
              <w:widowControl w:val="0"/>
              <w:jc w:val="center"/>
              <w:rPr>
                <w:rFonts w:ascii="Arial Narrow" w:hAnsi="Arial Narrow"/>
                <w:snapToGrid w:val="0"/>
                <w:sz w:val="20"/>
              </w:rPr>
            </w:pPr>
          </w:p>
        </w:tc>
        <w:tc>
          <w:tcPr>
            <w:tcW w:w="4374" w:type="pct"/>
          </w:tcPr>
          <w:p w14:paraId="5E9A608B" w14:textId="77777777" w:rsidR="00F36BCA" w:rsidRPr="008019F9" w:rsidRDefault="00F36BCA" w:rsidP="00D63E5B">
            <w:pPr>
              <w:widowControl w:val="0"/>
              <w:rPr>
                <w:rFonts w:ascii="Arial Narrow" w:hAnsi="Arial Narrow"/>
                <w:snapToGrid w:val="0"/>
                <w:sz w:val="20"/>
              </w:rPr>
            </w:pPr>
            <w:r w:rsidRPr="008019F9">
              <w:rPr>
                <w:rFonts w:ascii="Arial Narrow" w:hAnsi="Arial Narrow"/>
                <w:b/>
                <w:bCs/>
                <w:snapToGrid w:val="0"/>
                <w:sz w:val="20"/>
              </w:rPr>
              <w:t xml:space="preserve">Prescribing instructions: </w:t>
            </w:r>
            <w:r w:rsidRPr="008019F9">
              <w:rPr>
                <w:rFonts w:ascii="Arial Narrow" w:hAnsi="Arial Narrow"/>
                <w:snapToGrid w:val="0"/>
                <w:sz w:val="20"/>
              </w:rPr>
              <w:t>For the purposes of administering this restriction, an adequate response is a reduction of the baseline number of acute attacks of hereditary angioedema of a severity necessitating immediate medical intervention with either (i) icatibant, or (ii) C1-esterase inhibitor concentrate. The details of the reduction must be documented in the patient's medical records for auditing purposes</w:t>
            </w:r>
          </w:p>
        </w:tc>
      </w:tr>
      <w:tr w:rsidR="00F36BCA" w:rsidRPr="008019F9" w:rsidDel="00637AEA" w14:paraId="4B6A597E" w14:textId="77777777" w:rsidTr="00AE3496">
        <w:tc>
          <w:tcPr>
            <w:tcW w:w="626" w:type="pct"/>
            <w:vAlign w:val="center"/>
          </w:tcPr>
          <w:p w14:paraId="60B241E3" w14:textId="4374B458" w:rsidR="00F36BCA" w:rsidRPr="008019F9" w:rsidDel="00637AEA" w:rsidRDefault="00F36BCA" w:rsidP="00D63E5B">
            <w:pPr>
              <w:widowControl w:val="0"/>
              <w:jc w:val="center"/>
              <w:rPr>
                <w:rFonts w:ascii="Arial Narrow" w:hAnsi="Arial Narrow"/>
                <w:snapToGrid w:val="0"/>
                <w:sz w:val="20"/>
              </w:rPr>
            </w:pPr>
          </w:p>
        </w:tc>
        <w:tc>
          <w:tcPr>
            <w:tcW w:w="4374" w:type="pct"/>
          </w:tcPr>
          <w:p w14:paraId="319681E6" w14:textId="77777777" w:rsidR="00F36BCA" w:rsidRPr="008019F9" w:rsidRDefault="00F36BCA" w:rsidP="00D63E5B">
            <w:pPr>
              <w:widowControl w:val="0"/>
              <w:rPr>
                <w:rFonts w:ascii="Arial Narrow" w:hAnsi="Arial Narrow"/>
                <w:snapToGrid w:val="0"/>
                <w:sz w:val="20"/>
              </w:rPr>
            </w:pPr>
            <w:r w:rsidRPr="008019F9">
              <w:rPr>
                <w:rFonts w:ascii="Arial Narrow" w:hAnsi="Arial Narrow"/>
                <w:b/>
                <w:bCs/>
                <w:snapToGrid w:val="0"/>
                <w:sz w:val="20"/>
              </w:rPr>
              <w:t>Administrative advice:</w:t>
            </w:r>
          </w:p>
          <w:p w14:paraId="760225A0" w14:textId="1CAA0ED2" w:rsidR="00F36BCA" w:rsidRPr="008019F9" w:rsidDel="00637AEA" w:rsidRDefault="00F36BCA" w:rsidP="00D63E5B">
            <w:pPr>
              <w:widowControl w:val="0"/>
              <w:rPr>
                <w:rFonts w:ascii="Arial Narrow" w:hAnsi="Arial Narrow"/>
                <w:snapToGrid w:val="0"/>
                <w:sz w:val="20"/>
              </w:rPr>
            </w:pPr>
            <w:r w:rsidRPr="008019F9">
              <w:rPr>
                <w:rFonts w:ascii="Arial Narrow" w:hAnsi="Arial Narrow"/>
                <w:i/>
                <w:iCs/>
                <w:snapToGrid w:val="0"/>
                <w:sz w:val="20"/>
              </w:rPr>
              <w:t xml:space="preserve">Applications for authorisation under this restriction may be made in real time using the Online PBS Authorities system (see </w:t>
            </w:r>
            <w:hyperlink r:id="rId11" w:history="1">
              <w:r w:rsidRPr="008019F9">
                <w:rPr>
                  <w:rFonts w:ascii="Arial Narrow" w:hAnsi="Arial Narrow"/>
                  <w:i/>
                  <w:iCs/>
                  <w:snapToGrid w:val="0"/>
                  <w:color w:val="0563C1"/>
                  <w:sz w:val="20"/>
                  <w:u w:val="single"/>
                </w:rPr>
                <w:t>www.servicesaustralia.gov.au/HPOS</w:t>
              </w:r>
            </w:hyperlink>
            <w:r w:rsidRPr="008019F9">
              <w:rPr>
                <w:rFonts w:ascii="Arial Narrow" w:hAnsi="Arial Narrow"/>
                <w:i/>
                <w:iCs/>
                <w:snapToGrid w:val="0"/>
                <w:sz w:val="20"/>
              </w:rPr>
              <w:t xml:space="preserve">) or by telephone by contacting Services Australia on 1800 700 270 (hours of operation 8 a.m. to 5 p.m. Monday to Friday) </w:t>
            </w:r>
          </w:p>
        </w:tc>
      </w:tr>
    </w:tbl>
    <w:p w14:paraId="49F8260B" w14:textId="77777777" w:rsidR="00F36BCA" w:rsidRDefault="00F36BCA" w:rsidP="00D63E5B">
      <w:pPr>
        <w:rPr>
          <w:rFonts w:ascii="Arial Narrow" w:eastAsia="Calibri" w:hAnsi="Arial Narrow"/>
          <w:b/>
          <w:bCs/>
          <w:sz w:val="20"/>
          <w:szCs w:val="20"/>
        </w:rPr>
      </w:pPr>
    </w:p>
    <w:p w14:paraId="3E164F82" w14:textId="63D8266B" w:rsidR="00CB1F17" w:rsidRPr="00CB1F17" w:rsidRDefault="00CB1F17" w:rsidP="001C0283">
      <w:pPr>
        <w:keepNext/>
        <w:keepLines/>
        <w:spacing w:after="120"/>
        <w:rPr>
          <w:rFonts w:asciiTheme="minorHAnsi" w:eastAsia="Calibri" w:hAnsiTheme="minorHAnsi" w:cstheme="minorHAnsi"/>
          <w:b/>
          <w:bCs/>
        </w:rPr>
      </w:pPr>
      <w:r w:rsidRPr="00CB1F17">
        <w:rPr>
          <w:rFonts w:asciiTheme="minorHAnsi" w:eastAsia="Calibri" w:hAnsiTheme="minorHAnsi" w:cstheme="minorHAnsi"/>
          <w:b/>
          <w:bCs/>
        </w:rPr>
        <w:t>The PBAC recommended</w:t>
      </w:r>
      <w:r w:rsidR="001C0283">
        <w:rPr>
          <w:rFonts w:asciiTheme="minorHAnsi" w:eastAsia="Calibri" w:hAnsiTheme="minorHAnsi" w:cstheme="minorHAnsi"/>
          <w:b/>
          <w:bCs/>
        </w:rPr>
        <w:t xml:space="preserve"> a</w:t>
      </w:r>
      <w:r w:rsidRPr="00CB1F17">
        <w:rPr>
          <w:rFonts w:asciiTheme="minorHAnsi" w:eastAsia="Calibri" w:hAnsiTheme="minorHAnsi" w:cstheme="minorHAnsi"/>
          <w:b/>
          <w:bCs/>
        </w:rPr>
        <w:t xml:space="preserve"> flow on change to</w:t>
      </w:r>
      <w:r w:rsidR="001C0283">
        <w:rPr>
          <w:rFonts w:asciiTheme="minorHAnsi" w:eastAsia="Calibri" w:hAnsiTheme="minorHAnsi" w:cstheme="minorHAnsi"/>
          <w:b/>
          <w:bCs/>
        </w:rPr>
        <w:t xml:space="preserve"> the</w:t>
      </w:r>
      <w:r w:rsidRPr="00CB1F17">
        <w:rPr>
          <w:rFonts w:asciiTheme="minorHAnsi" w:eastAsia="Calibri" w:hAnsiTheme="minorHAnsi" w:cstheme="minorHAnsi"/>
          <w:b/>
          <w:bCs/>
        </w:rPr>
        <w:t xml:space="preserve"> existing restriction for </w:t>
      </w:r>
      <w:r w:rsidRPr="001C0283">
        <w:rPr>
          <w:rFonts w:asciiTheme="minorHAnsi" w:eastAsia="Calibri" w:hAnsiTheme="minorHAnsi" w:cstheme="minorHAnsi"/>
          <w:b/>
          <w:bCs/>
        </w:rPr>
        <w:t>lanadelumab</w:t>
      </w:r>
      <w:r w:rsidR="008C4C2E" w:rsidRPr="001C0283">
        <w:rPr>
          <w:rFonts w:asciiTheme="minorHAnsi" w:eastAsia="Calibri" w:hAnsiTheme="minorHAnsi" w:cstheme="minorHAnsi"/>
          <w:b/>
          <w:bCs/>
        </w:rPr>
        <w:t xml:space="preserve"> 300</w:t>
      </w:r>
      <w:r w:rsidR="001C0283">
        <w:rPr>
          <w:rFonts w:asciiTheme="minorHAnsi" w:eastAsia="Calibri" w:hAnsiTheme="minorHAnsi" w:cstheme="minorHAnsi"/>
          <w:b/>
          <w:bCs/>
        </w:rPr>
        <w:t> </w:t>
      </w:r>
      <w:r w:rsidR="008C4C2E" w:rsidRPr="001C0283">
        <w:rPr>
          <w:rFonts w:asciiTheme="minorHAnsi" w:eastAsia="Calibri" w:hAnsiTheme="minorHAnsi" w:cstheme="minorHAnsi"/>
          <w:b/>
          <w:bCs/>
        </w:rPr>
        <w:t>mg/2</w:t>
      </w:r>
      <w:r w:rsidR="001C0283">
        <w:rPr>
          <w:rFonts w:asciiTheme="minorHAnsi" w:eastAsia="Calibri" w:hAnsiTheme="minorHAnsi" w:cstheme="minorHAnsi"/>
          <w:b/>
          <w:bCs/>
        </w:rPr>
        <w:t> </w:t>
      </w:r>
      <w:r w:rsidR="008C4C2E" w:rsidRPr="001C0283">
        <w:rPr>
          <w:rFonts w:asciiTheme="minorHAnsi" w:eastAsia="Calibri" w:hAnsiTheme="minorHAnsi" w:cstheme="minorHAnsi"/>
          <w:b/>
          <w:bCs/>
        </w:rPr>
        <w:t>mL</w:t>
      </w:r>
      <w:r w:rsidRPr="00CB1F17">
        <w:rPr>
          <w:rFonts w:asciiTheme="minorHAnsi" w:eastAsia="Calibri" w:hAnsiTheme="minorHAnsi" w:cstheme="minorHAnsi"/>
          <w:b/>
          <w:bCs/>
        </w:rPr>
        <w:t xml:space="preserve"> in </w:t>
      </w:r>
      <w:r w:rsidRPr="001C0283">
        <w:rPr>
          <w:rFonts w:asciiTheme="minorHAnsi" w:eastAsia="Calibri" w:hAnsiTheme="minorHAnsi" w:cstheme="minorHAnsi"/>
          <w:b/>
          <w:bCs/>
        </w:rPr>
        <w:t>hereditary angioedema Types 1 or 2</w:t>
      </w:r>
      <w:r w:rsidRPr="00CB1F17">
        <w:rPr>
          <w:rFonts w:asciiTheme="minorHAnsi" w:eastAsia="Calibri" w:hAnsiTheme="minorHAnsi" w:cstheme="minorHAnsi"/>
          <w:b/>
          <w:bCs/>
        </w:rPr>
        <w:t xml:space="preserve"> (PBS item code: 1</w:t>
      </w:r>
      <w:r w:rsidRPr="001C0283">
        <w:rPr>
          <w:rFonts w:asciiTheme="minorHAnsi" w:eastAsia="Calibri" w:hAnsiTheme="minorHAnsi" w:cstheme="minorHAnsi"/>
          <w:b/>
          <w:bCs/>
        </w:rPr>
        <w:t>2790E</w:t>
      </w:r>
      <w:r w:rsidRPr="00CB1F17">
        <w:rPr>
          <w:rFonts w:asciiTheme="minorHAnsi" w:eastAsia="Calibri" w:hAnsiTheme="minorHAnsi" w:cstheme="minorHAnsi"/>
          <w:b/>
          <w:bCs/>
        </w:rPr>
        <w:t>): </w:t>
      </w:r>
    </w:p>
    <w:p w14:paraId="78F5019E" w14:textId="0C7D1247" w:rsidR="00CB1F17" w:rsidRPr="00CB1F17" w:rsidRDefault="00CB1F17" w:rsidP="008C4C2E">
      <w:pPr>
        <w:keepNext/>
        <w:keepLines/>
        <w:numPr>
          <w:ilvl w:val="0"/>
          <w:numId w:val="38"/>
        </w:numPr>
        <w:spacing w:after="120"/>
        <w:ind w:left="714" w:hanging="357"/>
        <w:rPr>
          <w:rFonts w:asciiTheme="minorHAnsi" w:eastAsia="Calibri" w:hAnsiTheme="minorHAnsi" w:cstheme="minorHAnsi"/>
          <w:b/>
          <w:bCs/>
        </w:rPr>
      </w:pPr>
      <w:r w:rsidRPr="00CB1F17">
        <w:rPr>
          <w:rFonts w:asciiTheme="minorHAnsi" w:eastAsia="Calibri" w:hAnsiTheme="minorHAnsi" w:cstheme="minorHAnsi"/>
          <w:b/>
          <w:bCs/>
        </w:rPr>
        <w:t xml:space="preserve">Update to the </w:t>
      </w:r>
      <w:r w:rsidR="008C4C2E" w:rsidRPr="001C0283">
        <w:rPr>
          <w:rFonts w:asciiTheme="minorHAnsi" w:eastAsia="Calibri" w:hAnsiTheme="minorHAnsi" w:cstheme="minorHAnsi"/>
          <w:b/>
          <w:bCs/>
        </w:rPr>
        <w:t>population</w:t>
      </w:r>
      <w:r w:rsidRPr="00CB1F17">
        <w:rPr>
          <w:rFonts w:asciiTheme="minorHAnsi" w:eastAsia="Calibri" w:hAnsiTheme="minorHAnsi" w:cstheme="minorHAnsi"/>
          <w:b/>
          <w:bCs/>
        </w:rPr>
        <w:t xml:space="preserve"> criteria to </w:t>
      </w:r>
      <w:r w:rsidR="008C4C2E" w:rsidRPr="001C0283">
        <w:rPr>
          <w:rFonts w:asciiTheme="minorHAnsi" w:eastAsia="Calibri" w:hAnsiTheme="minorHAnsi" w:cstheme="minorHAnsi"/>
          <w:b/>
          <w:bCs/>
        </w:rPr>
        <w:t>make the listing age agnostic</w:t>
      </w:r>
      <w:r w:rsidRPr="00CB1F17">
        <w:rPr>
          <w:rFonts w:asciiTheme="minorHAnsi" w:eastAsia="Calibri" w:hAnsiTheme="minorHAnsi" w:cstheme="minorHAnsi"/>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1"/>
      </w:tblGrid>
      <w:tr w:rsidR="00CB1F17" w:rsidRPr="00CB1F17" w14:paraId="0333DCA1" w14:textId="77777777" w:rsidTr="00CB1F1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C10F8" w14:textId="7FF5D8B8" w:rsidR="00CB1F17" w:rsidRPr="00CB1F17" w:rsidRDefault="008C4C2E" w:rsidP="008C4C2E">
            <w:pPr>
              <w:keepNext/>
              <w:keepLines/>
              <w:divId w:val="455948094"/>
              <w:rPr>
                <w:rFonts w:ascii="Arial Narrow" w:eastAsia="Calibri" w:hAnsi="Arial Narrow"/>
                <w:b/>
                <w:bCs/>
                <w:sz w:val="20"/>
                <w:szCs w:val="20"/>
              </w:rPr>
            </w:pPr>
            <w:r>
              <w:rPr>
                <w:rFonts w:ascii="Arial Narrow" w:eastAsia="Calibri" w:hAnsi="Arial Narrow"/>
                <w:b/>
                <w:bCs/>
                <w:sz w:val="20"/>
                <w:szCs w:val="20"/>
              </w:rPr>
              <w:t>Population</w:t>
            </w:r>
            <w:r w:rsidR="00CB1F17" w:rsidRPr="00CB1F17">
              <w:rPr>
                <w:rFonts w:ascii="Arial Narrow" w:eastAsia="Calibri" w:hAnsi="Arial Narrow"/>
                <w:b/>
                <w:bCs/>
                <w:sz w:val="20"/>
                <w:szCs w:val="20"/>
              </w:rPr>
              <w:t xml:space="preserve"> criteria: </w:t>
            </w:r>
          </w:p>
        </w:tc>
      </w:tr>
      <w:tr w:rsidR="00CB1F17" w:rsidRPr="00CB1F17" w14:paraId="2C33FAD9" w14:textId="77777777" w:rsidTr="00CB1F1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9D8CEB" w14:textId="49817AD4" w:rsidR="00CB1F17" w:rsidRPr="008C4C2E" w:rsidRDefault="008C4C2E" w:rsidP="008C4C2E">
            <w:pPr>
              <w:pStyle w:val="ListParagraph"/>
              <w:numPr>
                <w:ilvl w:val="0"/>
                <w:numId w:val="39"/>
              </w:numPr>
              <w:rPr>
                <w:rFonts w:ascii="Arial Narrow" w:eastAsia="Calibri" w:hAnsi="Arial Narrow"/>
                <w:strike/>
                <w:snapToGrid/>
                <w:sz w:val="20"/>
                <w:szCs w:val="20"/>
              </w:rPr>
            </w:pPr>
            <w:r w:rsidRPr="008C4C2E">
              <w:rPr>
                <w:rFonts w:ascii="Arial Narrow" w:eastAsia="Calibri" w:hAnsi="Arial Narrow"/>
                <w:strike/>
                <w:snapToGrid/>
                <w:sz w:val="20"/>
                <w:szCs w:val="20"/>
              </w:rPr>
              <w:t>Patient must be aged 12 years or older.</w:t>
            </w:r>
          </w:p>
        </w:tc>
      </w:tr>
    </w:tbl>
    <w:p w14:paraId="24679DC9" w14:textId="40FEB2C6" w:rsidR="00F0447B" w:rsidRPr="00F13A59" w:rsidRDefault="00F0447B" w:rsidP="00F0447B">
      <w:pPr>
        <w:spacing w:before="120"/>
        <w:rPr>
          <w:rFonts w:asciiTheme="minorHAnsi" w:hAnsiTheme="minorHAnsi"/>
          <w:b/>
          <w:snapToGrid w:val="0"/>
          <w:lang w:val="en-GB"/>
        </w:rPr>
      </w:pPr>
      <w:r w:rsidRPr="00E82186">
        <w:rPr>
          <w:rFonts w:asciiTheme="minorHAnsi" w:hAnsiTheme="minorHAnsi"/>
          <w:b/>
          <w:snapToGrid w:val="0"/>
          <w:lang w:val="en-GB"/>
        </w:rPr>
        <w:t>These restrictions may be subject to further review. Should there be any changes made to the restriction the sponsor will be informed.</w:t>
      </w:r>
    </w:p>
    <w:p w14:paraId="2E52F3C7" w14:textId="77777777" w:rsidR="008F5CF5" w:rsidRPr="008F5CF5" w:rsidRDefault="008F5CF5" w:rsidP="008F5CF5">
      <w:pPr>
        <w:pStyle w:val="2-SectionHeading"/>
        <w:ind w:left="720" w:hanging="720"/>
      </w:pPr>
      <w:bookmarkStart w:id="72" w:name="_Hlk175730821"/>
      <w:bookmarkEnd w:id="67"/>
      <w:bookmarkEnd w:id="68"/>
      <w:r w:rsidRPr="008F5CF5">
        <w:t>Context for Decision</w:t>
      </w:r>
    </w:p>
    <w:p w14:paraId="3F5EDF0D" w14:textId="77777777" w:rsidR="008F5CF5" w:rsidRPr="008F5CF5" w:rsidRDefault="008F5CF5" w:rsidP="008F5CF5">
      <w:pPr>
        <w:spacing w:after="120"/>
        <w:ind w:left="720"/>
        <w:jc w:val="left"/>
        <w:rPr>
          <w:rFonts w:asciiTheme="minorHAnsi" w:hAnsiTheme="minorHAnsi" w:cs="Times New Roman"/>
          <w:bCs/>
          <w:lang w:val="en-GB"/>
        </w:rPr>
      </w:pPr>
      <w:r w:rsidRPr="008F5CF5">
        <w:rPr>
          <w:rFonts w:asciiTheme="minorHAnsi" w:hAnsiTheme="minorHAnsi" w:cs="Times New Roman"/>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w:t>
      </w:r>
      <w:r w:rsidRPr="008F5CF5">
        <w:rPr>
          <w:rFonts w:asciiTheme="minorHAnsi" w:hAnsiTheme="minorHAnsi" w:cs="Times New Roman"/>
          <w:bCs/>
          <w:lang w:val="en-GB"/>
        </w:rPr>
        <w:lastRenderedPageBreak/>
        <w:t>relation to PBS listings does not necessarily represent a final PBAC view about the merits of the medicine or the circumstances in which it should be made available through the PBS. The PBAC welcomes applications containing new information at any time.</w:t>
      </w:r>
    </w:p>
    <w:p w14:paraId="359FD3AF" w14:textId="77777777" w:rsidR="008F5CF5" w:rsidRPr="008F5CF5" w:rsidRDefault="008F5CF5" w:rsidP="00A07C50">
      <w:pPr>
        <w:pStyle w:val="2-SectionHeading"/>
        <w:ind w:left="720" w:hanging="720"/>
      </w:pPr>
      <w:r w:rsidRPr="008F5CF5">
        <w:t>Sponsor’s Comment</w:t>
      </w:r>
    </w:p>
    <w:p w14:paraId="4A1C94EC" w14:textId="77777777" w:rsidR="008F5CF5" w:rsidRPr="008F5CF5" w:rsidRDefault="008F5CF5" w:rsidP="008F5CF5">
      <w:pPr>
        <w:spacing w:after="120" w:line="276" w:lineRule="auto"/>
        <w:ind w:left="720"/>
        <w:jc w:val="left"/>
        <w:rPr>
          <w:rFonts w:asciiTheme="minorHAnsi" w:eastAsiaTheme="minorHAnsi" w:hAnsiTheme="minorHAnsi" w:cs="Times New Roman"/>
          <w:bCs/>
          <w:szCs w:val="22"/>
          <w:lang w:eastAsia="en-US"/>
        </w:rPr>
      </w:pPr>
      <w:r w:rsidRPr="008F5CF5">
        <w:rPr>
          <w:rFonts w:asciiTheme="minorHAnsi" w:eastAsiaTheme="minorHAnsi" w:hAnsiTheme="minorHAnsi" w:cs="Times New Roman"/>
          <w:bCs/>
          <w:szCs w:val="22"/>
          <w:lang w:eastAsia="en-US"/>
        </w:rPr>
        <w:t>The sponsor had no comment.</w:t>
      </w:r>
    </w:p>
    <w:bookmarkEnd w:id="72"/>
    <w:p w14:paraId="61E1DDCF" w14:textId="77777777" w:rsidR="009B623E" w:rsidRPr="009B623E" w:rsidRDefault="009B623E" w:rsidP="009B623E">
      <w:pPr>
        <w:rPr>
          <w:rFonts w:eastAsiaTheme="minorHAnsi"/>
        </w:rPr>
      </w:pPr>
    </w:p>
    <w:sectPr w:rsidR="009B623E" w:rsidRPr="009B623E" w:rsidSect="00123BAE">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F9C8" w14:textId="77777777" w:rsidR="00DF55E5" w:rsidRDefault="00DF55E5" w:rsidP="00124A51">
      <w:r>
        <w:separator/>
      </w:r>
    </w:p>
    <w:p w14:paraId="1ECE6000" w14:textId="77777777" w:rsidR="00DF55E5" w:rsidRDefault="00DF55E5"/>
  </w:endnote>
  <w:endnote w:type="continuationSeparator" w:id="0">
    <w:p w14:paraId="7F4B7493" w14:textId="77777777" w:rsidR="00DF55E5" w:rsidRDefault="00DF55E5" w:rsidP="00124A51">
      <w:r>
        <w:continuationSeparator/>
      </w:r>
    </w:p>
    <w:p w14:paraId="0CC41F52" w14:textId="77777777" w:rsidR="00DF55E5" w:rsidRDefault="00DF55E5"/>
  </w:endnote>
  <w:endnote w:type="continuationNotice" w:id="1">
    <w:p w14:paraId="1A984261" w14:textId="77777777" w:rsidR="00DF55E5" w:rsidRDefault="00DF5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imes New Roman"/>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366C" w14:textId="77777777" w:rsidR="000D48FB" w:rsidRDefault="000D4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37484CD3" w14:textId="62FBBADA" w:rsidR="00D843F2" w:rsidRPr="007C1CD9" w:rsidRDefault="00BF55FF" w:rsidP="006028D3">
    <w:pPr>
      <w:pStyle w:val="PageFooter"/>
    </w:pPr>
    <w:r>
      <w:t xml:space="preserve"> </w:t>
    </w: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5988" w14:textId="77777777" w:rsidR="000D48FB" w:rsidRDefault="000D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2E6B" w14:textId="77777777" w:rsidR="00DF55E5" w:rsidRDefault="00DF55E5" w:rsidP="00124A51">
      <w:r>
        <w:separator/>
      </w:r>
    </w:p>
    <w:p w14:paraId="196D6BE8" w14:textId="77777777" w:rsidR="00DF55E5" w:rsidRDefault="00DF55E5"/>
  </w:footnote>
  <w:footnote w:type="continuationSeparator" w:id="0">
    <w:p w14:paraId="1BEE7729" w14:textId="77777777" w:rsidR="00DF55E5" w:rsidRDefault="00DF55E5" w:rsidP="00124A51">
      <w:r>
        <w:continuationSeparator/>
      </w:r>
    </w:p>
    <w:p w14:paraId="265E0DE7" w14:textId="77777777" w:rsidR="00DF55E5" w:rsidRDefault="00DF55E5"/>
  </w:footnote>
  <w:footnote w:type="continuationNotice" w:id="1">
    <w:p w14:paraId="46CBB372" w14:textId="77777777" w:rsidR="00DF55E5" w:rsidRDefault="00DF55E5"/>
  </w:footnote>
  <w:footnote w:id="2">
    <w:p w14:paraId="115D6844" w14:textId="77777777" w:rsidR="00AE5436" w:rsidRDefault="00AE5436" w:rsidP="00AE5436">
      <w:pPr>
        <w:pStyle w:val="FootnoteText"/>
      </w:pPr>
      <w:r>
        <w:rPr>
          <w:rStyle w:val="FootnoteReference"/>
        </w:rPr>
        <w:footnoteRef/>
      </w:r>
      <w:r>
        <w:t xml:space="preserve"> Christiansen et al, Pediatric Hereditary Angioedema: Onset, Diagnostic Delay, and Disease Severity. </w:t>
      </w:r>
      <w:r w:rsidRPr="0016232D">
        <w:rPr>
          <w:i/>
          <w:iCs/>
        </w:rPr>
        <w:t>Clinical Pediatrics</w:t>
      </w:r>
      <w:r>
        <w:t xml:space="preserve"> </w:t>
      </w:r>
      <w:r w:rsidRPr="008B2057">
        <w:t>2016;55(10):935-942</w:t>
      </w:r>
      <w:r>
        <w:t>.</w:t>
      </w:r>
    </w:p>
  </w:footnote>
  <w:footnote w:id="3">
    <w:p w14:paraId="712EE099" w14:textId="2CA41187" w:rsidR="001C7784" w:rsidRPr="001C7784" w:rsidRDefault="001C7784">
      <w:pPr>
        <w:pStyle w:val="FootnoteText"/>
      </w:pPr>
      <w:r>
        <w:rPr>
          <w:rStyle w:val="FootnoteReference"/>
        </w:rPr>
        <w:footnoteRef/>
      </w:r>
      <w:r>
        <w:t xml:space="preserve"> </w:t>
      </w:r>
      <w:hyperlink r:id="rId1" w:history="1">
        <w:r w:rsidRPr="000803C2">
          <w:rPr>
            <w:rStyle w:val="Hyperlink"/>
          </w:rPr>
          <w:t>https://www.allergy.org.au/images/docs/ASCIA_HP_Position_Paper_HAE_2022_Updated_Nov.pdf</w:t>
        </w:r>
      </w:hyperlink>
      <w:r>
        <w:t xml:space="preserve"> </w:t>
      </w:r>
      <w:r w:rsidR="005E3BEE">
        <w:t xml:space="preserve">accessed 24 August 2024. </w:t>
      </w:r>
    </w:p>
  </w:footnote>
  <w:footnote w:id="4">
    <w:p w14:paraId="565539E6" w14:textId="5674100F" w:rsidR="00060A74" w:rsidRDefault="00060A74">
      <w:pPr>
        <w:pStyle w:val="FootnoteText"/>
      </w:pPr>
      <w:r>
        <w:rPr>
          <w:rStyle w:val="FootnoteReference"/>
        </w:rPr>
        <w:footnoteRef/>
      </w:r>
      <w:r>
        <w:t xml:space="preserve"> </w:t>
      </w:r>
      <w:r w:rsidRPr="00060A74">
        <w:t>Bork K, Hardt J, Witzke G</w:t>
      </w:r>
      <w:r>
        <w:t xml:space="preserve">. </w:t>
      </w:r>
      <w:r w:rsidRPr="00060A74">
        <w:t>Fatal laryngeal attacks and mortality in hereditary angioedema due to C1-INH deficiency.</w:t>
      </w:r>
      <w:r>
        <w:t xml:space="preserve"> </w:t>
      </w:r>
      <w:r w:rsidRPr="00060A74">
        <w:rPr>
          <w:i/>
          <w:iCs/>
        </w:rPr>
        <w:t>J Allergy Clin Immunol</w:t>
      </w:r>
      <w:r>
        <w:t xml:space="preserve"> 2012; 130:692-7. </w:t>
      </w:r>
    </w:p>
  </w:footnote>
  <w:footnote w:id="5">
    <w:p w14:paraId="698E88EF" w14:textId="3986AC55" w:rsidR="00E91C64" w:rsidRPr="00E91C64" w:rsidRDefault="00E91C64" w:rsidP="00E91C64">
      <w:pPr>
        <w:pStyle w:val="FootnoteText"/>
        <w:rPr>
          <w:lang w:val="en-GB"/>
        </w:rPr>
      </w:pPr>
      <w:r>
        <w:rPr>
          <w:rStyle w:val="FootnoteReference"/>
        </w:rPr>
        <w:footnoteRef/>
      </w:r>
      <w:r>
        <w:t xml:space="preserve"> Aygoren-Pursun E, Bygum A, Beusterien K, et al. </w:t>
      </w:r>
      <w:r w:rsidRPr="00E91C64">
        <w:rPr>
          <w:lang w:val="en-GB"/>
        </w:rPr>
        <w:t xml:space="preserve">Socioeconomic burden of hereditary angioedema: </w:t>
      </w:r>
      <w:r w:rsidRPr="00E91C64">
        <w:t>results from the hereditary angioedema burden of illness study in Europe</w:t>
      </w:r>
      <w:r>
        <w:t xml:space="preserve">. </w:t>
      </w:r>
      <w:r w:rsidRPr="00E91C64">
        <w:rPr>
          <w:i/>
          <w:iCs/>
        </w:rPr>
        <w:t>Orphanet J Rare Dis</w:t>
      </w:r>
      <w:r>
        <w:t xml:space="preserve"> 2014; 9:99-108. </w:t>
      </w:r>
      <w:r w:rsidRPr="00E91C64">
        <w:t xml:space="preserve"> </w:t>
      </w:r>
    </w:p>
    <w:p w14:paraId="5EE5A7D4" w14:textId="1C281D3B" w:rsidR="00E91C64" w:rsidRDefault="00E91C64">
      <w:pPr>
        <w:pStyle w:val="FootnoteText"/>
      </w:pPr>
    </w:p>
  </w:footnote>
  <w:footnote w:id="6">
    <w:p w14:paraId="6E07FAA4" w14:textId="2FDEA41F" w:rsidR="00A51B93" w:rsidRDefault="00A51B93">
      <w:pPr>
        <w:pStyle w:val="FootnoteText"/>
      </w:pPr>
      <w:r>
        <w:rPr>
          <w:rStyle w:val="FootnoteReference"/>
        </w:rPr>
        <w:footnoteRef/>
      </w:r>
      <w:r>
        <w:t xml:space="preserve"> </w:t>
      </w:r>
      <w:r w:rsidR="00110243">
        <w:t>Riedl M, Farkas H, Aygoren-Pursun E, et al. Oral sebetr</w:t>
      </w:r>
      <w:r w:rsidR="00780403">
        <w:t>a</w:t>
      </w:r>
      <w:r w:rsidR="00110243">
        <w:t>ls</w:t>
      </w:r>
      <w:r w:rsidR="00780403">
        <w:t>t</w:t>
      </w:r>
      <w:r w:rsidR="00110243">
        <w:t xml:space="preserve">at for on-demand treatment of hereditary angioedema attacks. </w:t>
      </w:r>
      <w:r w:rsidR="00110243" w:rsidRPr="00780403">
        <w:rPr>
          <w:i/>
          <w:iCs/>
        </w:rPr>
        <w:t xml:space="preserve">N Engl J </w:t>
      </w:r>
      <w:r w:rsidR="00780403">
        <w:rPr>
          <w:i/>
          <w:iCs/>
        </w:rPr>
        <w:t>M</w:t>
      </w:r>
      <w:r w:rsidR="00110243" w:rsidRPr="00780403">
        <w:rPr>
          <w:i/>
          <w:iCs/>
        </w:rPr>
        <w:t>ed</w:t>
      </w:r>
      <w:r w:rsidR="00110243">
        <w:t xml:space="preserve"> 2024; 391:32-43</w:t>
      </w:r>
      <w:r w:rsidR="005110FB">
        <w:t>;</w:t>
      </w:r>
      <w:r w:rsidR="00110243">
        <w:t xml:space="preserve"> </w:t>
      </w:r>
      <w:r w:rsidR="00780403">
        <w:t>Riedl M, Aygoren-Pursun E, Cohn</w:t>
      </w:r>
      <w:r w:rsidR="005110FB">
        <w:t xml:space="preserve"> </w:t>
      </w:r>
      <w:r w:rsidR="00780403">
        <w:t xml:space="preserve">D, et al. Deucrictibant immediate-release capsule reduces time to end of progression of hereditary angioedema attacks’ manifestations. </w:t>
      </w:r>
      <w:r w:rsidR="00780403" w:rsidRPr="005110FB">
        <w:rPr>
          <w:i/>
          <w:iCs/>
        </w:rPr>
        <w:t>Ann Allergy Asthma Immunol</w:t>
      </w:r>
      <w:r w:rsidR="00780403">
        <w:t xml:space="preserve"> 2023, Supplement 1, p</w:t>
      </w:r>
      <w:r w:rsidR="005110FB">
        <w:t xml:space="preserve">S38. </w:t>
      </w:r>
    </w:p>
  </w:footnote>
  <w:footnote w:id="7">
    <w:p w14:paraId="7AD3AC3E" w14:textId="2AE3272C" w:rsidR="005E3BEE" w:rsidRDefault="005E3BEE">
      <w:pPr>
        <w:pStyle w:val="FootnoteText"/>
      </w:pPr>
      <w:r>
        <w:rPr>
          <w:rStyle w:val="FootnoteReference"/>
        </w:rPr>
        <w:footnoteRef/>
      </w:r>
      <w:r>
        <w:t xml:space="preserve"> </w:t>
      </w:r>
      <w:hyperlink r:id="rId2" w:history="1">
        <w:r w:rsidRPr="000803C2">
          <w:rPr>
            <w:rStyle w:val="Hyperlink"/>
          </w:rPr>
          <w:t>https://www.allergy.org.au/images/docs/ASCIA_HP_Position_Paper_HAE_2022_Updated_Nov.pdf</w:t>
        </w:r>
      </w:hyperlink>
      <w:r>
        <w:t xml:space="preserve"> accessed 24 August 2024. </w:t>
      </w:r>
    </w:p>
  </w:footnote>
  <w:footnote w:id="8">
    <w:p w14:paraId="4A04CF33" w14:textId="7EB85594" w:rsidR="005B7B29" w:rsidRDefault="005B7B29" w:rsidP="005B7B29">
      <w:pPr>
        <w:pStyle w:val="FootnoteText"/>
      </w:pPr>
      <w:r>
        <w:rPr>
          <w:rStyle w:val="FootnoteReference"/>
        </w:rPr>
        <w:footnoteRef/>
      </w:r>
      <w:r>
        <w:t xml:space="preserve"> For example, the UptoDate article on preventative treatment of HAE has two expert authors, of whom one has 70% of their patients on preventative treatment and the other has 20% of their patients on preventative treatment</w:t>
      </w:r>
      <w:r w:rsidR="001E02AB">
        <w:t xml:space="preserve"> </w:t>
      </w:r>
      <w:r>
        <w:t>(</w:t>
      </w:r>
      <w:hyperlink r:id="rId3" w:anchor="H9" w:history="1">
        <w:r w:rsidRPr="000B2C9D">
          <w:rPr>
            <w:rStyle w:val="Hyperlink"/>
          </w:rPr>
          <w:t>https://www.uptodate.com/contents/hereditary-angioedema-due-to-c1-inhibitor-deficiency-general-care-and-long-term-prophylaxis?source=related_link#H9</w:t>
        </w:r>
      </w:hyperlink>
      <w:r>
        <w:t xml:space="preserve"> accessed 15 July, 2024). </w:t>
      </w:r>
    </w:p>
  </w:footnote>
  <w:footnote w:id="9">
    <w:p w14:paraId="1CCAB123" w14:textId="26FA4842" w:rsidR="00C31BC5" w:rsidRDefault="00A10587" w:rsidP="00871ABF">
      <w:pPr>
        <w:pStyle w:val="FootnoteText"/>
        <w:jc w:val="left"/>
      </w:pPr>
      <w:r>
        <w:rPr>
          <w:rStyle w:val="FootnoteReference"/>
        </w:rPr>
        <w:footnoteRef/>
      </w:r>
      <w:r>
        <w:t xml:space="preserve"> </w:t>
      </w:r>
      <w:r w:rsidRPr="00A10587">
        <w:t>Wang</w:t>
      </w:r>
      <w:r>
        <w:t xml:space="preserve"> Y</w:t>
      </w:r>
      <w:r w:rsidRPr="00A10587">
        <w:t>, Marier</w:t>
      </w:r>
      <w:r>
        <w:t xml:space="preserve"> J-F</w:t>
      </w:r>
      <w:r w:rsidRPr="00A10587">
        <w:t>,</w:t>
      </w:r>
      <w:r>
        <w:t xml:space="preserve"> </w:t>
      </w:r>
      <w:r w:rsidRPr="00A10587">
        <w:t>Kassir</w:t>
      </w:r>
      <w:r>
        <w:t xml:space="preserve"> N</w:t>
      </w:r>
      <w:r w:rsidRPr="00A10587">
        <w:t>, Chang</w:t>
      </w:r>
      <w:r>
        <w:t xml:space="preserve"> C</w:t>
      </w:r>
      <w:r w:rsidRPr="00A10587">
        <w:t>, Martin</w:t>
      </w:r>
      <w:r>
        <w:t xml:space="preserve"> P. </w:t>
      </w:r>
      <w:r w:rsidRPr="00A10587">
        <w:t xml:space="preserve">Pharmacokinetics, </w:t>
      </w:r>
      <w:r>
        <w:t>p</w:t>
      </w:r>
      <w:r w:rsidRPr="00A10587">
        <w:t xml:space="preserve">harmacodynamics, and </w:t>
      </w:r>
      <w:r>
        <w:t>e</w:t>
      </w:r>
      <w:r w:rsidRPr="00A10587">
        <w:t>xposure-</w:t>
      </w:r>
      <w:r>
        <w:t>r</w:t>
      </w:r>
      <w:r w:rsidRPr="00A10587">
        <w:t xml:space="preserve">esponse of </w:t>
      </w:r>
      <w:r>
        <w:t>l</w:t>
      </w:r>
      <w:r w:rsidRPr="00A10587">
        <w:t xml:space="preserve">anadelumab for </w:t>
      </w:r>
      <w:r w:rsidR="00930A22">
        <w:t>h</w:t>
      </w:r>
      <w:r w:rsidRPr="00A10587">
        <w:t xml:space="preserve">ereditary </w:t>
      </w:r>
      <w:r w:rsidR="00930A22">
        <w:t>a</w:t>
      </w:r>
      <w:r w:rsidRPr="00A10587">
        <w:t>ngioedema</w:t>
      </w:r>
      <w:r>
        <w:t xml:space="preserve">. </w:t>
      </w:r>
      <w:r w:rsidRPr="003B76C7">
        <w:rPr>
          <w:i/>
          <w:iCs/>
        </w:rPr>
        <w:t>Clinical &amp; Translational Science</w:t>
      </w:r>
      <w:r>
        <w:t xml:space="preserve"> 2020, </w:t>
      </w:r>
      <w:hyperlink r:id="rId4" w:history="1">
        <w:r w:rsidRPr="00A10587">
          <w:rPr>
            <w:rStyle w:val="Hyperlink"/>
          </w:rPr>
          <w:t>https://doi.org/10.1111/cts.12806</w:t>
        </w:r>
      </w:hyperlink>
    </w:p>
  </w:footnote>
  <w:footnote w:id="10">
    <w:p w14:paraId="3282D284" w14:textId="7271A160" w:rsidR="00411610" w:rsidRDefault="00411610" w:rsidP="00411610">
      <w:pPr>
        <w:pStyle w:val="FootnoteText"/>
      </w:pPr>
      <w:r>
        <w:rPr>
          <w:rStyle w:val="FootnoteReference"/>
        </w:rPr>
        <w:footnoteRef/>
      </w:r>
      <w:r>
        <w:t xml:space="preserve"> Craig TJ, Reshef A, Li HH, et al. Efficacy and safety of garadacimab, a Factor XIIa inhibitor for hereditary angioedema prevention (VANGUARD): A global, multicentre, randomised, double-blind, placebo-controlled, phase III trial. </w:t>
      </w:r>
      <w:r w:rsidRPr="00F06BBA">
        <w:rPr>
          <w:i/>
          <w:iCs/>
        </w:rPr>
        <w:t>Lancet</w:t>
      </w:r>
      <w:r>
        <w:t xml:space="preserve"> 2023; 401:1079-1090. </w:t>
      </w:r>
    </w:p>
  </w:footnote>
  <w:footnote w:id="11">
    <w:p w14:paraId="5FD2D28A" w14:textId="77777777" w:rsidR="00411610" w:rsidRDefault="00411610" w:rsidP="00411610">
      <w:pPr>
        <w:pStyle w:val="FootnoteText"/>
      </w:pPr>
      <w:r>
        <w:rPr>
          <w:rStyle w:val="FootnoteReference"/>
        </w:rPr>
        <w:footnoteRef/>
      </w:r>
      <w:r>
        <w:t xml:space="preserve"> </w:t>
      </w:r>
      <w:hyperlink r:id="rId5" w:history="1">
        <w:r w:rsidRPr="009D1AC9">
          <w:rPr>
            <w:rStyle w:val="Hyperlink"/>
          </w:rPr>
          <w:t>https://clinicaltrials.gov/study/NCT05819775?term=garadacimab&amp;rank=3</w:t>
        </w:r>
      </w:hyperlink>
      <w:r>
        <w:t xml:space="preserve"> accessed 6 August, 2024. </w:t>
      </w:r>
    </w:p>
  </w:footnote>
  <w:footnote w:id="12">
    <w:p w14:paraId="57928AD6" w14:textId="12015824" w:rsidR="00473B5E" w:rsidRDefault="00473B5E">
      <w:pPr>
        <w:pStyle w:val="FootnoteText"/>
      </w:pPr>
      <w:r>
        <w:rPr>
          <w:rStyle w:val="FootnoteReference"/>
        </w:rPr>
        <w:footnoteRef/>
      </w:r>
      <w:r>
        <w:t xml:space="preserve"> Banerji A, Riedl MA, Bernstein JA, et al. Effect of lanadelumab compared with placebo on prevention of </w:t>
      </w:r>
      <w:r w:rsidR="00B525C3">
        <w:t>hereditary</w:t>
      </w:r>
      <w:r>
        <w:t xml:space="preserve"> angioedema attacks: A randomized clinical trial. </w:t>
      </w:r>
      <w:r w:rsidRPr="00473B5E">
        <w:rPr>
          <w:i/>
          <w:iCs/>
        </w:rPr>
        <w:t xml:space="preserve">JAMA </w:t>
      </w:r>
      <w:r>
        <w:t xml:space="preserve">2018; 320:2108-2121. </w:t>
      </w:r>
    </w:p>
  </w:footnote>
  <w:footnote w:id="13">
    <w:p w14:paraId="483B4297" w14:textId="22F40D16" w:rsidR="00EF210E" w:rsidRDefault="00EF210E" w:rsidP="00EF210E">
      <w:pPr>
        <w:pStyle w:val="FootnoteText"/>
      </w:pPr>
      <w:r>
        <w:rPr>
          <w:rStyle w:val="FootnoteReference"/>
        </w:rPr>
        <w:footnoteRef/>
      </w:r>
      <w:r>
        <w:t xml:space="preserve"> Maurer M et al. Lanadelumab in Patients 2 to Less Than 12 Years Old With Hereditary Angioedema: Results From the Phase 3 SPRING Study. </w:t>
      </w:r>
      <w:r w:rsidRPr="00EF210E">
        <w:rPr>
          <w:i/>
          <w:iCs/>
        </w:rPr>
        <w:t>J ALLERGY CLIN IMMUNOL PRACT</w:t>
      </w:r>
      <w:r w:rsidRPr="00473B5E">
        <w:rPr>
          <w:i/>
          <w:iCs/>
        </w:rPr>
        <w:t xml:space="preserve"> </w:t>
      </w:r>
      <w:r>
        <w:t>2024; 12(1):201-11.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0FB6" w14:textId="77777777" w:rsidR="000D48FB" w:rsidRDefault="000D4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682FF2B3" w:rsidR="00D843F2" w:rsidRPr="00195452" w:rsidRDefault="003C23E4" w:rsidP="006B0A33">
    <w:pPr>
      <w:pStyle w:val="Header"/>
      <w:rPr>
        <w:rFonts w:asciiTheme="minorHAnsi" w:hAnsiTheme="minorHAnsi"/>
        <w:i w:val="0"/>
        <w:color w:val="808080"/>
      </w:rPr>
    </w:pPr>
    <w:r w:rsidRPr="003C23E4">
      <w:rPr>
        <w:rFonts w:asciiTheme="minorHAnsi" w:hAnsiTheme="minorHAnsi"/>
        <w:color w:val="808080"/>
      </w:rPr>
      <w:t xml:space="preserve">Public Summary Document </w:t>
    </w:r>
    <w:r w:rsidR="00BF55FF">
      <w:rPr>
        <w:rFonts w:asciiTheme="minorHAnsi" w:hAnsiTheme="minorHAnsi"/>
        <w:color w:val="808080"/>
      </w:rPr>
      <w:t xml:space="preserve">- </w:t>
    </w:r>
    <w:r w:rsidR="00FC7491">
      <w:rPr>
        <w:rFonts w:asciiTheme="minorHAnsi" w:hAnsiTheme="minorHAnsi"/>
        <w:color w:val="808080"/>
      </w:rPr>
      <w:t>November</w:t>
    </w:r>
    <w:r w:rsidR="00D843F2">
      <w:rPr>
        <w:rFonts w:asciiTheme="minorHAnsi" w:hAnsiTheme="minorHAnsi"/>
        <w:color w:val="808080"/>
      </w:rPr>
      <w:t xml:space="preserve"> 202</w:t>
    </w:r>
    <w:r w:rsidR="00FC7491">
      <w:rPr>
        <w:rFonts w:asciiTheme="minorHAnsi" w:hAnsiTheme="minorHAnsi"/>
        <w:color w:val="808080"/>
      </w:rPr>
      <w:t>4</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12EFB809" w14:textId="77777777" w:rsidR="006B0A33" w:rsidRPr="008C7ECB" w:rsidRDefault="006B0A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6C81" w14:textId="77777777" w:rsidR="000D48FB" w:rsidRDefault="000D4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B14ECE"/>
    <w:multiLevelType w:val="multilevel"/>
    <w:tmpl w:val="7FF8D120"/>
    <w:lvl w:ilvl="0">
      <w:numFmt w:val="decimal"/>
      <w:lvlText w:val="%1"/>
      <w:lvlJc w:val="left"/>
      <w:pPr>
        <w:ind w:left="380" w:hanging="380"/>
      </w:pPr>
      <w:rPr>
        <w:rFonts w:hint="default"/>
      </w:rPr>
    </w:lvl>
    <w:lvl w:ilvl="1">
      <w:start w:val="1"/>
      <w:numFmt w:val="decimalZero"/>
      <w:lvlText w:val="%1.%2"/>
      <w:lvlJc w:val="left"/>
      <w:pPr>
        <w:ind w:left="380" w:hanging="3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392202"/>
    <w:multiLevelType w:val="multilevel"/>
    <w:tmpl w:val="321843A0"/>
    <w:lvl w:ilvl="0">
      <w:start w:val="1"/>
      <w:numFmt w:val="decimal"/>
      <w:pStyle w:val="2-SectionHeading"/>
      <w:lvlText w:val="%1"/>
      <w:lvlJc w:val="left"/>
      <w:pPr>
        <w:ind w:left="360" w:hanging="360"/>
      </w:pPr>
      <w:rPr>
        <w:rFonts w:hint="default"/>
      </w:rPr>
    </w:lvl>
    <w:lvl w:ilvl="1">
      <w:start w:val="1"/>
      <w:numFmt w:val="decimal"/>
      <w:pStyle w:val="3-BodyText"/>
      <w:lvlText w:val="%1.%2"/>
      <w:lvlJc w:val="left"/>
      <w:pPr>
        <w:ind w:left="720" w:hanging="720"/>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03164C"/>
    <w:multiLevelType w:val="hybridMultilevel"/>
    <w:tmpl w:val="3CAE4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41428B"/>
    <w:multiLevelType w:val="hybridMultilevel"/>
    <w:tmpl w:val="1DD28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161174"/>
    <w:multiLevelType w:val="multilevel"/>
    <w:tmpl w:val="7C7C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E07A47CC"/>
    <w:lvl w:ilvl="0" w:tplc="E1B6BF4A">
      <w:start w:val="1"/>
      <w:numFmt w:val="decimal"/>
      <w:lvlText w:val="%1."/>
      <w:lvlJc w:val="left"/>
      <w:pPr>
        <w:ind w:left="36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F04C32"/>
    <w:multiLevelType w:val="hybridMultilevel"/>
    <w:tmpl w:val="F160999A"/>
    <w:lvl w:ilvl="0" w:tplc="F62A418C">
      <w:start w:val="1"/>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3E92887"/>
    <w:multiLevelType w:val="multilevel"/>
    <w:tmpl w:val="093C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8D67C7"/>
    <w:multiLevelType w:val="multilevel"/>
    <w:tmpl w:val="081C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852AAA"/>
    <w:multiLevelType w:val="multilevel"/>
    <w:tmpl w:val="F7B4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164E17"/>
    <w:multiLevelType w:val="hybridMultilevel"/>
    <w:tmpl w:val="0026F66A"/>
    <w:lvl w:ilvl="0" w:tplc="0C090001">
      <w:start w:val="1"/>
      <w:numFmt w:val="bullet"/>
      <w:lvlText w:val=""/>
      <w:lvlJc w:val="left"/>
      <w:pPr>
        <w:ind w:left="1493" w:hanging="360"/>
      </w:pPr>
      <w:rPr>
        <w:rFonts w:ascii="Symbol" w:hAnsi="Symbol"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A678CA"/>
    <w:multiLevelType w:val="multilevel"/>
    <w:tmpl w:val="76DE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607B08"/>
    <w:multiLevelType w:val="hybridMultilevel"/>
    <w:tmpl w:val="4880A6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9EC272B"/>
    <w:multiLevelType w:val="hybridMultilevel"/>
    <w:tmpl w:val="8A0A25B4"/>
    <w:lvl w:ilvl="0" w:tplc="D60C1E6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7825CB"/>
    <w:multiLevelType w:val="hybridMultilevel"/>
    <w:tmpl w:val="091EFD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917793048">
    <w:abstractNumId w:val="18"/>
  </w:num>
  <w:num w:numId="2" w16cid:durableId="263461728">
    <w:abstractNumId w:val="0"/>
  </w:num>
  <w:num w:numId="3" w16cid:durableId="139346788">
    <w:abstractNumId w:val="28"/>
  </w:num>
  <w:num w:numId="4" w16cid:durableId="1533883230">
    <w:abstractNumId w:val="17"/>
  </w:num>
  <w:num w:numId="5" w16cid:durableId="220360847">
    <w:abstractNumId w:val="23"/>
  </w:num>
  <w:num w:numId="6" w16cid:durableId="268196418">
    <w:abstractNumId w:val="13"/>
  </w:num>
  <w:num w:numId="7" w16cid:durableId="525560622">
    <w:abstractNumId w:val="6"/>
  </w:num>
  <w:num w:numId="8" w16cid:durableId="1820540136">
    <w:abstractNumId w:val="21"/>
  </w:num>
  <w:num w:numId="9" w16cid:durableId="341131552">
    <w:abstractNumId w:val="2"/>
  </w:num>
  <w:num w:numId="10" w16cid:durableId="1229003126">
    <w:abstractNumId w:val="29"/>
  </w:num>
  <w:num w:numId="11" w16cid:durableId="1194658109">
    <w:abstractNumId w:val="9"/>
  </w:num>
  <w:num w:numId="12" w16cid:durableId="1901596179">
    <w:abstractNumId w:val="30"/>
  </w:num>
  <w:num w:numId="13" w16cid:durableId="1551070512">
    <w:abstractNumId w:val="11"/>
  </w:num>
  <w:num w:numId="14" w16cid:durableId="126240624">
    <w:abstractNumId w:val="24"/>
  </w:num>
  <w:num w:numId="15" w16cid:durableId="1228346786">
    <w:abstractNumId w:val="4"/>
  </w:num>
  <w:num w:numId="16" w16cid:durableId="621964798">
    <w:abstractNumId w:val="27"/>
  </w:num>
  <w:num w:numId="17" w16cid:durableId="1573005167">
    <w:abstractNumId w:val="19"/>
  </w:num>
  <w:num w:numId="18" w16cid:durableId="408699874">
    <w:abstractNumId w:val="20"/>
  </w:num>
  <w:num w:numId="19" w16cid:durableId="1569418770">
    <w:abstractNumId w:val="3"/>
  </w:num>
  <w:num w:numId="20" w16cid:durableId="705176722">
    <w:abstractNumId w:val="1"/>
  </w:num>
  <w:num w:numId="21" w16cid:durableId="1926569401">
    <w:abstractNumId w:val="10"/>
  </w:num>
  <w:num w:numId="22" w16cid:durableId="1979457665">
    <w:abstractNumId w:val="12"/>
  </w:num>
  <w:num w:numId="23" w16cid:durableId="2038313566">
    <w:abstractNumId w:val="8"/>
  </w:num>
  <w:num w:numId="24" w16cid:durableId="129744317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997201">
    <w:abstractNumId w:val="26"/>
  </w:num>
  <w:num w:numId="26" w16cid:durableId="1084911214">
    <w:abstractNumId w:val="16"/>
  </w:num>
  <w:num w:numId="27" w16cid:durableId="1427770149">
    <w:abstractNumId w:val="4"/>
  </w:num>
  <w:num w:numId="28" w16cid:durableId="2033844850">
    <w:abstractNumId w:val="4"/>
  </w:num>
  <w:num w:numId="29" w16cid:durableId="418449913">
    <w:abstractNumId w:val="4"/>
  </w:num>
  <w:num w:numId="30" w16cid:durableId="655495198">
    <w:abstractNumId w:val="4"/>
  </w:num>
  <w:num w:numId="31" w16cid:durableId="535042698">
    <w:abstractNumId w:val="4"/>
  </w:num>
  <w:num w:numId="32" w16cid:durableId="1866475732">
    <w:abstractNumId w:val="5"/>
  </w:num>
  <w:num w:numId="33" w16cid:durableId="1360159232">
    <w:abstractNumId w:val="4"/>
  </w:num>
  <w:num w:numId="34" w16cid:durableId="465511662">
    <w:abstractNumId w:val="4"/>
  </w:num>
  <w:num w:numId="35" w16cid:durableId="2117670230">
    <w:abstractNumId w:val="4"/>
  </w:num>
  <w:num w:numId="36" w16cid:durableId="1194266859">
    <w:abstractNumId w:val="4"/>
  </w:num>
  <w:num w:numId="37" w16cid:durableId="846284116">
    <w:abstractNumId w:val="14"/>
  </w:num>
  <w:num w:numId="38" w16cid:durableId="1612276551">
    <w:abstractNumId w:val="25"/>
  </w:num>
  <w:num w:numId="39" w16cid:durableId="1619293051">
    <w:abstractNumId w:val="7"/>
  </w:num>
  <w:num w:numId="40" w16cid:durableId="323165661">
    <w:abstractNumId w:val="15"/>
  </w:num>
  <w:num w:numId="41" w16cid:durableId="1871406676">
    <w:abstractNumId w:val="4"/>
  </w:num>
  <w:num w:numId="42" w16cid:durableId="1062682444">
    <w:abstractNumId w:val="4"/>
  </w:num>
  <w:num w:numId="43" w16cid:durableId="931082086">
    <w:abstractNumId w:val="4"/>
  </w:num>
  <w:num w:numId="44" w16cid:durableId="1778673386">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5EE"/>
    <w:rsid w:val="00000790"/>
    <w:rsid w:val="0000110B"/>
    <w:rsid w:val="000023BC"/>
    <w:rsid w:val="00003499"/>
    <w:rsid w:val="000035A8"/>
    <w:rsid w:val="000039B7"/>
    <w:rsid w:val="00004294"/>
    <w:rsid w:val="00004EF6"/>
    <w:rsid w:val="00005665"/>
    <w:rsid w:val="000056B9"/>
    <w:rsid w:val="0000639A"/>
    <w:rsid w:val="0000697A"/>
    <w:rsid w:val="0000732B"/>
    <w:rsid w:val="00010B68"/>
    <w:rsid w:val="0001193F"/>
    <w:rsid w:val="00011A0D"/>
    <w:rsid w:val="00012E8B"/>
    <w:rsid w:val="00013247"/>
    <w:rsid w:val="00013A55"/>
    <w:rsid w:val="00013B8A"/>
    <w:rsid w:val="0001417D"/>
    <w:rsid w:val="0001424B"/>
    <w:rsid w:val="00014AFD"/>
    <w:rsid w:val="00015886"/>
    <w:rsid w:val="000162EF"/>
    <w:rsid w:val="00017132"/>
    <w:rsid w:val="00017FBF"/>
    <w:rsid w:val="000207C9"/>
    <w:rsid w:val="00021813"/>
    <w:rsid w:val="0002225F"/>
    <w:rsid w:val="00023184"/>
    <w:rsid w:val="00023763"/>
    <w:rsid w:val="00024EB5"/>
    <w:rsid w:val="00025F5F"/>
    <w:rsid w:val="00026410"/>
    <w:rsid w:val="000274B8"/>
    <w:rsid w:val="00027ACC"/>
    <w:rsid w:val="000303C7"/>
    <w:rsid w:val="00030BE8"/>
    <w:rsid w:val="00030E4E"/>
    <w:rsid w:val="00031E2B"/>
    <w:rsid w:val="0003293F"/>
    <w:rsid w:val="00033213"/>
    <w:rsid w:val="000335ED"/>
    <w:rsid w:val="00033863"/>
    <w:rsid w:val="000339F6"/>
    <w:rsid w:val="00034A7A"/>
    <w:rsid w:val="00035D9E"/>
    <w:rsid w:val="00035DC0"/>
    <w:rsid w:val="00035FFA"/>
    <w:rsid w:val="00036829"/>
    <w:rsid w:val="00037357"/>
    <w:rsid w:val="00037A2C"/>
    <w:rsid w:val="00037BF8"/>
    <w:rsid w:val="0004041C"/>
    <w:rsid w:val="00040895"/>
    <w:rsid w:val="000410A0"/>
    <w:rsid w:val="00041416"/>
    <w:rsid w:val="000435EE"/>
    <w:rsid w:val="00043C37"/>
    <w:rsid w:val="00045017"/>
    <w:rsid w:val="00045085"/>
    <w:rsid w:val="00045A2B"/>
    <w:rsid w:val="0004698F"/>
    <w:rsid w:val="00046D64"/>
    <w:rsid w:val="000472A7"/>
    <w:rsid w:val="000501BC"/>
    <w:rsid w:val="000508C2"/>
    <w:rsid w:val="0005338D"/>
    <w:rsid w:val="000539D0"/>
    <w:rsid w:val="000542B3"/>
    <w:rsid w:val="00054621"/>
    <w:rsid w:val="0005467E"/>
    <w:rsid w:val="000546D7"/>
    <w:rsid w:val="00054A8D"/>
    <w:rsid w:val="00056343"/>
    <w:rsid w:val="0005645D"/>
    <w:rsid w:val="00056ECF"/>
    <w:rsid w:val="000571C0"/>
    <w:rsid w:val="000604DF"/>
    <w:rsid w:val="0006077C"/>
    <w:rsid w:val="00060A74"/>
    <w:rsid w:val="00060AEA"/>
    <w:rsid w:val="00060CD7"/>
    <w:rsid w:val="00062324"/>
    <w:rsid w:val="000630C6"/>
    <w:rsid w:val="000653B5"/>
    <w:rsid w:val="000661AF"/>
    <w:rsid w:val="00066360"/>
    <w:rsid w:val="00066AF8"/>
    <w:rsid w:val="00067632"/>
    <w:rsid w:val="00067942"/>
    <w:rsid w:val="00071248"/>
    <w:rsid w:val="00071ED5"/>
    <w:rsid w:val="000720B9"/>
    <w:rsid w:val="000737F7"/>
    <w:rsid w:val="00075508"/>
    <w:rsid w:val="0007672F"/>
    <w:rsid w:val="00076B54"/>
    <w:rsid w:val="000774F0"/>
    <w:rsid w:val="00077ED9"/>
    <w:rsid w:val="00080420"/>
    <w:rsid w:val="00080909"/>
    <w:rsid w:val="00080AC3"/>
    <w:rsid w:val="00080D60"/>
    <w:rsid w:val="000812CA"/>
    <w:rsid w:val="00081E63"/>
    <w:rsid w:val="000824B9"/>
    <w:rsid w:val="0008258D"/>
    <w:rsid w:val="00083E99"/>
    <w:rsid w:val="00083EB1"/>
    <w:rsid w:val="000845F0"/>
    <w:rsid w:val="00084FA8"/>
    <w:rsid w:val="000854DD"/>
    <w:rsid w:val="000856C5"/>
    <w:rsid w:val="00085C31"/>
    <w:rsid w:val="000868AB"/>
    <w:rsid w:val="00086E14"/>
    <w:rsid w:val="00087823"/>
    <w:rsid w:val="000902D9"/>
    <w:rsid w:val="00090C7E"/>
    <w:rsid w:val="0009110A"/>
    <w:rsid w:val="000911AC"/>
    <w:rsid w:val="00091796"/>
    <w:rsid w:val="00092600"/>
    <w:rsid w:val="0009262B"/>
    <w:rsid w:val="00093136"/>
    <w:rsid w:val="00093310"/>
    <w:rsid w:val="000943EE"/>
    <w:rsid w:val="0009445C"/>
    <w:rsid w:val="00095200"/>
    <w:rsid w:val="00095FE5"/>
    <w:rsid w:val="00096284"/>
    <w:rsid w:val="0009640A"/>
    <w:rsid w:val="000970AD"/>
    <w:rsid w:val="0009786A"/>
    <w:rsid w:val="00097FF4"/>
    <w:rsid w:val="000A1BC0"/>
    <w:rsid w:val="000A1E63"/>
    <w:rsid w:val="000A2ED0"/>
    <w:rsid w:val="000A2F9E"/>
    <w:rsid w:val="000A3541"/>
    <w:rsid w:val="000A3E47"/>
    <w:rsid w:val="000A4816"/>
    <w:rsid w:val="000A522B"/>
    <w:rsid w:val="000A5B8C"/>
    <w:rsid w:val="000A5FED"/>
    <w:rsid w:val="000A6039"/>
    <w:rsid w:val="000A61DB"/>
    <w:rsid w:val="000A63EE"/>
    <w:rsid w:val="000A6620"/>
    <w:rsid w:val="000A6CDE"/>
    <w:rsid w:val="000A72BC"/>
    <w:rsid w:val="000A7453"/>
    <w:rsid w:val="000A7D08"/>
    <w:rsid w:val="000B0121"/>
    <w:rsid w:val="000B0670"/>
    <w:rsid w:val="000B0E75"/>
    <w:rsid w:val="000B14E3"/>
    <w:rsid w:val="000B2DCB"/>
    <w:rsid w:val="000B4075"/>
    <w:rsid w:val="000B5CE0"/>
    <w:rsid w:val="000B6505"/>
    <w:rsid w:val="000B6CAC"/>
    <w:rsid w:val="000B7612"/>
    <w:rsid w:val="000B767A"/>
    <w:rsid w:val="000B78AE"/>
    <w:rsid w:val="000C07DE"/>
    <w:rsid w:val="000C0984"/>
    <w:rsid w:val="000C0B60"/>
    <w:rsid w:val="000C0CB7"/>
    <w:rsid w:val="000C3CB5"/>
    <w:rsid w:val="000C3DF9"/>
    <w:rsid w:val="000C428A"/>
    <w:rsid w:val="000C42AC"/>
    <w:rsid w:val="000C4CF2"/>
    <w:rsid w:val="000C6713"/>
    <w:rsid w:val="000C6A6E"/>
    <w:rsid w:val="000C6B4C"/>
    <w:rsid w:val="000C738C"/>
    <w:rsid w:val="000D0516"/>
    <w:rsid w:val="000D0F13"/>
    <w:rsid w:val="000D0FCC"/>
    <w:rsid w:val="000D17EB"/>
    <w:rsid w:val="000D1BFC"/>
    <w:rsid w:val="000D1D5D"/>
    <w:rsid w:val="000D221A"/>
    <w:rsid w:val="000D2646"/>
    <w:rsid w:val="000D281A"/>
    <w:rsid w:val="000D2848"/>
    <w:rsid w:val="000D326A"/>
    <w:rsid w:val="000D48FB"/>
    <w:rsid w:val="000D51FB"/>
    <w:rsid w:val="000D5AE4"/>
    <w:rsid w:val="000D635D"/>
    <w:rsid w:val="000D7E56"/>
    <w:rsid w:val="000E0261"/>
    <w:rsid w:val="000E0640"/>
    <w:rsid w:val="000E135D"/>
    <w:rsid w:val="000E24A9"/>
    <w:rsid w:val="000E25D9"/>
    <w:rsid w:val="000E2F84"/>
    <w:rsid w:val="000E7745"/>
    <w:rsid w:val="000E7E21"/>
    <w:rsid w:val="000F00BA"/>
    <w:rsid w:val="000F316A"/>
    <w:rsid w:val="000F3C74"/>
    <w:rsid w:val="000F48B7"/>
    <w:rsid w:val="000F4BB8"/>
    <w:rsid w:val="000F4FA9"/>
    <w:rsid w:val="000F53CD"/>
    <w:rsid w:val="000F53FB"/>
    <w:rsid w:val="000F6696"/>
    <w:rsid w:val="000F7127"/>
    <w:rsid w:val="000F7B54"/>
    <w:rsid w:val="001000B3"/>
    <w:rsid w:val="00100F8A"/>
    <w:rsid w:val="00101474"/>
    <w:rsid w:val="00101CA5"/>
    <w:rsid w:val="00102BC7"/>
    <w:rsid w:val="00103AD4"/>
    <w:rsid w:val="0010452E"/>
    <w:rsid w:val="001046BC"/>
    <w:rsid w:val="00105AE2"/>
    <w:rsid w:val="001060C6"/>
    <w:rsid w:val="0010654F"/>
    <w:rsid w:val="0010694D"/>
    <w:rsid w:val="00106B80"/>
    <w:rsid w:val="00110243"/>
    <w:rsid w:val="0011032E"/>
    <w:rsid w:val="00110B6A"/>
    <w:rsid w:val="001124B0"/>
    <w:rsid w:val="0011348B"/>
    <w:rsid w:val="00115982"/>
    <w:rsid w:val="00116C53"/>
    <w:rsid w:val="00121799"/>
    <w:rsid w:val="001222FC"/>
    <w:rsid w:val="00122621"/>
    <w:rsid w:val="00123902"/>
    <w:rsid w:val="00123BAE"/>
    <w:rsid w:val="00124622"/>
    <w:rsid w:val="00124A51"/>
    <w:rsid w:val="00126621"/>
    <w:rsid w:val="00126B1D"/>
    <w:rsid w:val="00127495"/>
    <w:rsid w:val="001301E9"/>
    <w:rsid w:val="00130B91"/>
    <w:rsid w:val="00130C88"/>
    <w:rsid w:val="00131A6E"/>
    <w:rsid w:val="00131D82"/>
    <w:rsid w:val="001326D2"/>
    <w:rsid w:val="00132B22"/>
    <w:rsid w:val="00132DD8"/>
    <w:rsid w:val="0013380A"/>
    <w:rsid w:val="00133D36"/>
    <w:rsid w:val="001347C6"/>
    <w:rsid w:val="00137645"/>
    <w:rsid w:val="0014015A"/>
    <w:rsid w:val="00140E99"/>
    <w:rsid w:val="00142C72"/>
    <w:rsid w:val="00143F67"/>
    <w:rsid w:val="00144676"/>
    <w:rsid w:val="00145234"/>
    <w:rsid w:val="00145540"/>
    <w:rsid w:val="001456B0"/>
    <w:rsid w:val="00151CF3"/>
    <w:rsid w:val="001521C0"/>
    <w:rsid w:val="00153629"/>
    <w:rsid w:val="001547AB"/>
    <w:rsid w:val="00155169"/>
    <w:rsid w:val="00155E2A"/>
    <w:rsid w:val="00156229"/>
    <w:rsid w:val="00156F8F"/>
    <w:rsid w:val="00157130"/>
    <w:rsid w:val="001576B1"/>
    <w:rsid w:val="0016047B"/>
    <w:rsid w:val="00160734"/>
    <w:rsid w:val="00160815"/>
    <w:rsid w:val="00160A4C"/>
    <w:rsid w:val="00160E49"/>
    <w:rsid w:val="0016232D"/>
    <w:rsid w:val="00162913"/>
    <w:rsid w:val="00162978"/>
    <w:rsid w:val="00163EFF"/>
    <w:rsid w:val="00163F66"/>
    <w:rsid w:val="0016478E"/>
    <w:rsid w:val="00165EC4"/>
    <w:rsid w:val="001661FB"/>
    <w:rsid w:val="00166500"/>
    <w:rsid w:val="001670FF"/>
    <w:rsid w:val="001671A0"/>
    <w:rsid w:val="0016767F"/>
    <w:rsid w:val="00170565"/>
    <w:rsid w:val="0017319D"/>
    <w:rsid w:val="00173565"/>
    <w:rsid w:val="00173B07"/>
    <w:rsid w:val="00174561"/>
    <w:rsid w:val="001751FA"/>
    <w:rsid w:val="00175AD6"/>
    <w:rsid w:val="00176C60"/>
    <w:rsid w:val="001779E8"/>
    <w:rsid w:val="00180116"/>
    <w:rsid w:val="00181692"/>
    <w:rsid w:val="00181C10"/>
    <w:rsid w:val="00181D9C"/>
    <w:rsid w:val="00181E41"/>
    <w:rsid w:val="0018289A"/>
    <w:rsid w:val="00182B0E"/>
    <w:rsid w:val="001837FF"/>
    <w:rsid w:val="00184B0E"/>
    <w:rsid w:val="001853D9"/>
    <w:rsid w:val="00185EDB"/>
    <w:rsid w:val="00185FAC"/>
    <w:rsid w:val="0018752F"/>
    <w:rsid w:val="00187DD3"/>
    <w:rsid w:val="00193838"/>
    <w:rsid w:val="00194AD8"/>
    <w:rsid w:val="0019505D"/>
    <w:rsid w:val="00195222"/>
    <w:rsid w:val="001953BB"/>
    <w:rsid w:val="00195452"/>
    <w:rsid w:val="00195647"/>
    <w:rsid w:val="001962D1"/>
    <w:rsid w:val="0019727B"/>
    <w:rsid w:val="001975D8"/>
    <w:rsid w:val="0019771D"/>
    <w:rsid w:val="001A178E"/>
    <w:rsid w:val="001A43FA"/>
    <w:rsid w:val="001A47C5"/>
    <w:rsid w:val="001A4AE4"/>
    <w:rsid w:val="001A59FB"/>
    <w:rsid w:val="001A5D19"/>
    <w:rsid w:val="001A5DF2"/>
    <w:rsid w:val="001A5E9E"/>
    <w:rsid w:val="001A6354"/>
    <w:rsid w:val="001A6366"/>
    <w:rsid w:val="001A7AE8"/>
    <w:rsid w:val="001B0AE1"/>
    <w:rsid w:val="001B204E"/>
    <w:rsid w:val="001B210D"/>
    <w:rsid w:val="001B2372"/>
    <w:rsid w:val="001B2D34"/>
    <w:rsid w:val="001B3429"/>
    <w:rsid w:val="001B3443"/>
    <w:rsid w:val="001B4D20"/>
    <w:rsid w:val="001B7580"/>
    <w:rsid w:val="001B7815"/>
    <w:rsid w:val="001B7DF0"/>
    <w:rsid w:val="001B7F84"/>
    <w:rsid w:val="001C0144"/>
    <w:rsid w:val="001C0283"/>
    <w:rsid w:val="001C0481"/>
    <w:rsid w:val="001C0C2C"/>
    <w:rsid w:val="001C1EB6"/>
    <w:rsid w:val="001C2A9B"/>
    <w:rsid w:val="001C304E"/>
    <w:rsid w:val="001C3DD6"/>
    <w:rsid w:val="001C3EBB"/>
    <w:rsid w:val="001C4180"/>
    <w:rsid w:val="001C4299"/>
    <w:rsid w:val="001C4874"/>
    <w:rsid w:val="001C5F94"/>
    <w:rsid w:val="001C6597"/>
    <w:rsid w:val="001C6E66"/>
    <w:rsid w:val="001C7784"/>
    <w:rsid w:val="001D0881"/>
    <w:rsid w:val="001D1100"/>
    <w:rsid w:val="001D115D"/>
    <w:rsid w:val="001D1391"/>
    <w:rsid w:val="001D1826"/>
    <w:rsid w:val="001D2230"/>
    <w:rsid w:val="001D25D7"/>
    <w:rsid w:val="001D2ADB"/>
    <w:rsid w:val="001D34F5"/>
    <w:rsid w:val="001D50B2"/>
    <w:rsid w:val="001D5B09"/>
    <w:rsid w:val="001D6D8A"/>
    <w:rsid w:val="001D6F14"/>
    <w:rsid w:val="001D71F4"/>
    <w:rsid w:val="001D7645"/>
    <w:rsid w:val="001E02AB"/>
    <w:rsid w:val="001E0DE2"/>
    <w:rsid w:val="001E1E86"/>
    <w:rsid w:val="001E238E"/>
    <w:rsid w:val="001E2483"/>
    <w:rsid w:val="001E2B1E"/>
    <w:rsid w:val="001E2CFF"/>
    <w:rsid w:val="001E2F24"/>
    <w:rsid w:val="001E30D4"/>
    <w:rsid w:val="001E34DF"/>
    <w:rsid w:val="001E40AC"/>
    <w:rsid w:val="001E4DB9"/>
    <w:rsid w:val="001E52EB"/>
    <w:rsid w:val="001E61D2"/>
    <w:rsid w:val="001E740C"/>
    <w:rsid w:val="001F0E3B"/>
    <w:rsid w:val="001F1235"/>
    <w:rsid w:val="001F1CB3"/>
    <w:rsid w:val="001F38B5"/>
    <w:rsid w:val="001F3F97"/>
    <w:rsid w:val="001F4081"/>
    <w:rsid w:val="001F41B9"/>
    <w:rsid w:val="001F5E7A"/>
    <w:rsid w:val="001F62B1"/>
    <w:rsid w:val="001F62C0"/>
    <w:rsid w:val="001F6AB7"/>
    <w:rsid w:val="001F6C2F"/>
    <w:rsid w:val="001F72BE"/>
    <w:rsid w:val="001F7361"/>
    <w:rsid w:val="002011B0"/>
    <w:rsid w:val="0020291F"/>
    <w:rsid w:val="00203181"/>
    <w:rsid w:val="00203783"/>
    <w:rsid w:val="0020385F"/>
    <w:rsid w:val="00203A2F"/>
    <w:rsid w:val="002051BE"/>
    <w:rsid w:val="0020590C"/>
    <w:rsid w:val="00206327"/>
    <w:rsid w:val="002068A0"/>
    <w:rsid w:val="00207021"/>
    <w:rsid w:val="0020732F"/>
    <w:rsid w:val="00207D00"/>
    <w:rsid w:val="00207D8B"/>
    <w:rsid w:val="002105C1"/>
    <w:rsid w:val="002116FD"/>
    <w:rsid w:val="00211E25"/>
    <w:rsid w:val="00211E28"/>
    <w:rsid w:val="00213636"/>
    <w:rsid w:val="00213BCF"/>
    <w:rsid w:val="00213EF5"/>
    <w:rsid w:val="0021485E"/>
    <w:rsid w:val="00216BF5"/>
    <w:rsid w:val="00216C7B"/>
    <w:rsid w:val="00217B9C"/>
    <w:rsid w:val="002207AA"/>
    <w:rsid w:val="00220C27"/>
    <w:rsid w:val="00220C48"/>
    <w:rsid w:val="00220C86"/>
    <w:rsid w:val="00221679"/>
    <w:rsid w:val="00223B49"/>
    <w:rsid w:val="00223D5A"/>
    <w:rsid w:val="00224DD4"/>
    <w:rsid w:val="002251C6"/>
    <w:rsid w:val="002261EA"/>
    <w:rsid w:val="00226CA1"/>
    <w:rsid w:val="00227075"/>
    <w:rsid w:val="00227294"/>
    <w:rsid w:val="002278A0"/>
    <w:rsid w:val="002300BB"/>
    <w:rsid w:val="0023035A"/>
    <w:rsid w:val="002309CC"/>
    <w:rsid w:val="0023165C"/>
    <w:rsid w:val="00231BA9"/>
    <w:rsid w:val="00231DFD"/>
    <w:rsid w:val="0023209F"/>
    <w:rsid w:val="002334D2"/>
    <w:rsid w:val="00233C01"/>
    <w:rsid w:val="0023413C"/>
    <w:rsid w:val="002346F0"/>
    <w:rsid w:val="00235B1D"/>
    <w:rsid w:val="00235DDA"/>
    <w:rsid w:val="002361CF"/>
    <w:rsid w:val="0023629D"/>
    <w:rsid w:val="00237255"/>
    <w:rsid w:val="002400E5"/>
    <w:rsid w:val="002417F8"/>
    <w:rsid w:val="0024223A"/>
    <w:rsid w:val="002424AF"/>
    <w:rsid w:val="00242CD2"/>
    <w:rsid w:val="002439DC"/>
    <w:rsid w:val="002441D2"/>
    <w:rsid w:val="0024447D"/>
    <w:rsid w:val="00244DC8"/>
    <w:rsid w:val="00244ED0"/>
    <w:rsid w:val="002458BA"/>
    <w:rsid w:val="00245CE9"/>
    <w:rsid w:val="0024636C"/>
    <w:rsid w:val="00247925"/>
    <w:rsid w:val="00247FDF"/>
    <w:rsid w:val="00250124"/>
    <w:rsid w:val="00251006"/>
    <w:rsid w:val="002524D5"/>
    <w:rsid w:val="00253056"/>
    <w:rsid w:val="002533D9"/>
    <w:rsid w:val="00253447"/>
    <w:rsid w:val="00253B1D"/>
    <w:rsid w:val="00253EE0"/>
    <w:rsid w:val="00254DCF"/>
    <w:rsid w:val="0025534B"/>
    <w:rsid w:val="00255BB7"/>
    <w:rsid w:val="00256399"/>
    <w:rsid w:val="00256AB7"/>
    <w:rsid w:val="00256C36"/>
    <w:rsid w:val="00257541"/>
    <w:rsid w:val="00257A39"/>
    <w:rsid w:val="00257AC4"/>
    <w:rsid w:val="00257BBE"/>
    <w:rsid w:val="00257C03"/>
    <w:rsid w:val="00257C45"/>
    <w:rsid w:val="002600CB"/>
    <w:rsid w:val="00260D22"/>
    <w:rsid w:val="00261560"/>
    <w:rsid w:val="00261EEF"/>
    <w:rsid w:val="002626F8"/>
    <w:rsid w:val="00262A1A"/>
    <w:rsid w:val="00262A87"/>
    <w:rsid w:val="00264817"/>
    <w:rsid w:val="00264D26"/>
    <w:rsid w:val="00264D35"/>
    <w:rsid w:val="00264D47"/>
    <w:rsid w:val="002650C1"/>
    <w:rsid w:val="00266DD8"/>
    <w:rsid w:val="00267642"/>
    <w:rsid w:val="00267AEA"/>
    <w:rsid w:val="002700E6"/>
    <w:rsid w:val="00270D5C"/>
    <w:rsid w:val="0027294B"/>
    <w:rsid w:val="00273EB4"/>
    <w:rsid w:val="00274682"/>
    <w:rsid w:val="00275158"/>
    <w:rsid w:val="002752D1"/>
    <w:rsid w:val="00275C5A"/>
    <w:rsid w:val="00276D93"/>
    <w:rsid w:val="002809F5"/>
    <w:rsid w:val="00281014"/>
    <w:rsid w:val="002812CA"/>
    <w:rsid w:val="00281D8F"/>
    <w:rsid w:val="002848DB"/>
    <w:rsid w:val="00285AD6"/>
    <w:rsid w:val="00285BCE"/>
    <w:rsid w:val="00286150"/>
    <w:rsid w:val="0028665D"/>
    <w:rsid w:val="00287DDD"/>
    <w:rsid w:val="00291ECB"/>
    <w:rsid w:val="00292A6B"/>
    <w:rsid w:val="00292AD3"/>
    <w:rsid w:val="00293360"/>
    <w:rsid w:val="0029378A"/>
    <w:rsid w:val="002A0C26"/>
    <w:rsid w:val="002A14AB"/>
    <w:rsid w:val="002A19BC"/>
    <w:rsid w:val="002A2999"/>
    <w:rsid w:val="002A2ADE"/>
    <w:rsid w:val="002A2F50"/>
    <w:rsid w:val="002A3782"/>
    <w:rsid w:val="002A4177"/>
    <w:rsid w:val="002A4AC2"/>
    <w:rsid w:val="002A4CF7"/>
    <w:rsid w:val="002A62B1"/>
    <w:rsid w:val="002A7943"/>
    <w:rsid w:val="002B05A1"/>
    <w:rsid w:val="002B09A4"/>
    <w:rsid w:val="002B1C1F"/>
    <w:rsid w:val="002B1FEC"/>
    <w:rsid w:val="002B2F51"/>
    <w:rsid w:val="002B432F"/>
    <w:rsid w:val="002B4D63"/>
    <w:rsid w:val="002B57A4"/>
    <w:rsid w:val="002B5A2D"/>
    <w:rsid w:val="002B62B3"/>
    <w:rsid w:val="002B6308"/>
    <w:rsid w:val="002B6730"/>
    <w:rsid w:val="002B6754"/>
    <w:rsid w:val="002B6CCE"/>
    <w:rsid w:val="002B7213"/>
    <w:rsid w:val="002C2510"/>
    <w:rsid w:val="002C2775"/>
    <w:rsid w:val="002C27C1"/>
    <w:rsid w:val="002C36E3"/>
    <w:rsid w:val="002C3DB8"/>
    <w:rsid w:val="002C46C0"/>
    <w:rsid w:val="002C471D"/>
    <w:rsid w:val="002C5099"/>
    <w:rsid w:val="002C5889"/>
    <w:rsid w:val="002C5BA1"/>
    <w:rsid w:val="002C620B"/>
    <w:rsid w:val="002C65B3"/>
    <w:rsid w:val="002C71CE"/>
    <w:rsid w:val="002C73FD"/>
    <w:rsid w:val="002D08F8"/>
    <w:rsid w:val="002D3C2A"/>
    <w:rsid w:val="002D478F"/>
    <w:rsid w:val="002D577C"/>
    <w:rsid w:val="002D6F33"/>
    <w:rsid w:val="002D7832"/>
    <w:rsid w:val="002E0450"/>
    <w:rsid w:val="002E1071"/>
    <w:rsid w:val="002E15B9"/>
    <w:rsid w:val="002E1916"/>
    <w:rsid w:val="002E2158"/>
    <w:rsid w:val="002E2B0A"/>
    <w:rsid w:val="002E4312"/>
    <w:rsid w:val="002E4583"/>
    <w:rsid w:val="002E4E63"/>
    <w:rsid w:val="002E4F02"/>
    <w:rsid w:val="002E6124"/>
    <w:rsid w:val="002E7722"/>
    <w:rsid w:val="002F07BA"/>
    <w:rsid w:val="002F0DA9"/>
    <w:rsid w:val="002F1014"/>
    <w:rsid w:val="002F159B"/>
    <w:rsid w:val="002F1E3B"/>
    <w:rsid w:val="002F4AA0"/>
    <w:rsid w:val="002F643C"/>
    <w:rsid w:val="002F6F30"/>
    <w:rsid w:val="002F71C0"/>
    <w:rsid w:val="002F74F1"/>
    <w:rsid w:val="00300B0A"/>
    <w:rsid w:val="00300F17"/>
    <w:rsid w:val="00301017"/>
    <w:rsid w:val="0030155F"/>
    <w:rsid w:val="00301CF9"/>
    <w:rsid w:val="00303DCF"/>
    <w:rsid w:val="00305437"/>
    <w:rsid w:val="0030587B"/>
    <w:rsid w:val="00306BFA"/>
    <w:rsid w:val="00306D98"/>
    <w:rsid w:val="0030786C"/>
    <w:rsid w:val="0030787B"/>
    <w:rsid w:val="0031031A"/>
    <w:rsid w:val="00310981"/>
    <w:rsid w:val="0031146E"/>
    <w:rsid w:val="00311D9B"/>
    <w:rsid w:val="003124D9"/>
    <w:rsid w:val="00312594"/>
    <w:rsid w:val="00312B16"/>
    <w:rsid w:val="003134B5"/>
    <w:rsid w:val="00315498"/>
    <w:rsid w:val="003156D9"/>
    <w:rsid w:val="00316474"/>
    <w:rsid w:val="0032196D"/>
    <w:rsid w:val="00321BC6"/>
    <w:rsid w:val="00322107"/>
    <w:rsid w:val="00322355"/>
    <w:rsid w:val="003223D7"/>
    <w:rsid w:val="00322846"/>
    <w:rsid w:val="00322FB5"/>
    <w:rsid w:val="00323B06"/>
    <w:rsid w:val="00325CED"/>
    <w:rsid w:val="00326DA7"/>
    <w:rsid w:val="003270E4"/>
    <w:rsid w:val="00330DAA"/>
    <w:rsid w:val="00330F5C"/>
    <w:rsid w:val="00331C1F"/>
    <w:rsid w:val="003366C9"/>
    <w:rsid w:val="00336864"/>
    <w:rsid w:val="003371B0"/>
    <w:rsid w:val="003405B5"/>
    <w:rsid w:val="00340DF1"/>
    <w:rsid w:val="003415CF"/>
    <w:rsid w:val="00342A29"/>
    <w:rsid w:val="003430BA"/>
    <w:rsid w:val="00343573"/>
    <w:rsid w:val="00343654"/>
    <w:rsid w:val="003455F6"/>
    <w:rsid w:val="00345F58"/>
    <w:rsid w:val="003463BA"/>
    <w:rsid w:val="00346559"/>
    <w:rsid w:val="0034681E"/>
    <w:rsid w:val="003517F9"/>
    <w:rsid w:val="00351BA9"/>
    <w:rsid w:val="00351E00"/>
    <w:rsid w:val="00353448"/>
    <w:rsid w:val="00354F64"/>
    <w:rsid w:val="00355D6E"/>
    <w:rsid w:val="0035620E"/>
    <w:rsid w:val="00356652"/>
    <w:rsid w:val="003575BE"/>
    <w:rsid w:val="00357E55"/>
    <w:rsid w:val="00360345"/>
    <w:rsid w:val="0036055F"/>
    <w:rsid w:val="003605C8"/>
    <w:rsid w:val="00361318"/>
    <w:rsid w:val="00361A05"/>
    <w:rsid w:val="00361BD0"/>
    <w:rsid w:val="003624C4"/>
    <w:rsid w:val="00362AE7"/>
    <w:rsid w:val="00363B00"/>
    <w:rsid w:val="003645C7"/>
    <w:rsid w:val="003652BE"/>
    <w:rsid w:val="003653A4"/>
    <w:rsid w:val="003654AC"/>
    <w:rsid w:val="003660C9"/>
    <w:rsid w:val="00366C72"/>
    <w:rsid w:val="00366F84"/>
    <w:rsid w:val="003679A1"/>
    <w:rsid w:val="003710CF"/>
    <w:rsid w:val="00372130"/>
    <w:rsid w:val="00372D43"/>
    <w:rsid w:val="0037358A"/>
    <w:rsid w:val="00373705"/>
    <w:rsid w:val="003750F6"/>
    <w:rsid w:val="003755E4"/>
    <w:rsid w:val="003760FC"/>
    <w:rsid w:val="0037708A"/>
    <w:rsid w:val="00377976"/>
    <w:rsid w:val="003806DF"/>
    <w:rsid w:val="0038155A"/>
    <w:rsid w:val="00382701"/>
    <w:rsid w:val="00383593"/>
    <w:rsid w:val="0038365C"/>
    <w:rsid w:val="0038369B"/>
    <w:rsid w:val="00383B78"/>
    <w:rsid w:val="00384586"/>
    <w:rsid w:val="003848E0"/>
    <w:rsid w:val="00385A9D"/>
    <w:rsid w:val="00385C35"/>
    <w:rsid w:val="00386FB2"/>
    <w:rsid w:val="00387121"/>
    <w:rsid w:val="003902B1"/>
    <w:rsid w:val="0039179C"/>
    <w:rsid w:val="00392B30"/>
    <w:rsid w:val="0039336E"/>
    <w:rsid w:val="00395763"/>
    <w:rsid w:val="00395D1D"/>
    <w:rsid w:val="00396455"/>
    <w:rsid w:val="00396896"/>
    <w:rsid w:val="00396FD0"/>
    <w:rsid w:val="003973EE"/>
    <w:rsid w:val="00397946"/>
    <w:rsid w:val="003A0ACD"/>
    <w:rsid w:val="003A0AEA"/>
    <w:rsid w:val="003A1A7A"/>
    <w:rsid w:val="003A2392"/>
    <w:rsid w:val="003A2831"/>
    <w:rsid w:val="003A3CB6"/>
    <w:rsid w:val="003A3ED1"/>
    <w:rsid w:val="003A4060"/>
    <w:rsid w:val="003A412D"/>
    <w:rsid w:val="003A44DB"/>
    <w:rsid w:val="003A4C14"/>
    <w:rsid w:val="003A516C"/>
    <w:rsid w:val="003A5182"/>
    <w:rsid w:val="003A683D"/>
    <w:rsid w:val="003A6C6C"/>
    <w:rsid w:val="003A6F77"/>
    <w:rsid w:val="003A73BF"/>
    <w:rsid w:val="003B0E95"/>
    <w:rsid w:val="003B2386"/>
    <w:rsid w:val="003B25D2"/>
    <w:rsid w:val="003B3971"/>
    <w:rsid w:val="003B543E"/>
    <w:rsid w:val="003B55D1"/>
    <w:rsid w:val="003B5B1F"/>
    <w:rsid w:val="003B5B61"/>
    <w:rsid w:val="003B5B75"/>
    <w:rsid w:val="003B76C7"/>
    <w:rsid w:val="003B7BC0"/>
    <w:rsid w:val="003B7E9D"/>
    <w:rsid w:val="003C0A27"/>
    <w:rsid w:val="003C158C"/>
    <w:rsid w:val="003C15C7"/>
    <w:rsid w:val="003C1654"/>
    <w:rsid w:val="003C23E4"/>
    <w:rsid w:val="003C259E"/>
    <w:rsid w:val="003C2B31"/>
    <w:rsid w:val="003C45E8"/>
    <w:rsid w:val="003C5542"/>
    <w:rsid w:val="003C7C15"/>
    <w:rsid w:val="003C7D19"/>
    <w:rsid w:val="003C7D2F"/>
    <w:rsid w:val="003D06B2"/>
    <w:rsid w:val="003D0C5A"/>
    <w:rsid w:val="003D1005"/>
    <w:rsid w:val="003D1828"/>
    <w:rsid w:val="003D1DE4"/>
    <w:rsid w:val="003D1E9A"/>
    <w:rsid w:val="003D2422"/>
    <w:rsid w:val="003D39A1"/>
    <w:rsid w:val="003D3B05"/>
    <w:rsid w:val="003D3FBF"/>
    <w:rsid w:val="003D429A"/>
    <w:rsid w:val="003D499D"/>
    <w:rsid w:val="003D4A30"/>
    <w:rsid w:val="003D5097"/>
    <w:rsid w:val="003D6353"/>
    <w:rsid w:val="003D7452"/>
    <w:rsid w:val="003D79BB"/>
    <w:rsid w:val="003D7C98"/>
    <w:rsid w:val="003D7D9D"/>
    <w:rsid w:val="003E00AE"/>
    <w:rsid w:val="003E0543"/>
    <w:rsid w:val="003E1059"/>
    <w:rsid w:val="003E2FE4"/>
    <w:rsid w:val="003E3420"/>
    <w:rsid w:val="003E3C89"/>
    <w:rsid w:val="003E5603"/>
    <w:rsid w:val="003E749E"/>
    <w:rsid w:val="003F1956"/>
    <w:rsid w:val="003F198A"/>
    <w:rsid w:val="003F1C21"/>
    <w:rsid w:val="003F2E2A"/>
    <w:rsid w:val="003F2ED4"/>
    <w:rsid w:val="003F4156"/>
    <w:rsid w:val="003F5ADF"/>
    <w:rsid w:val="003F5BC8"/>
    <w:rsid w:val="003F5C10"/>
    <w:rsid w:val="003F71D4"/>
    <w:rsid w:val="003F75D4"/>
    <w:rsid w:val="00400B29"/>
    <w:rsid w:val="00400B8B"/>
    <w:rsid w:val="00401276"/>
    <w:rsid w:val="00402812"/>
    <w:rsid w:val="00403185"/>
    <w:rsid w:val="00404489"/>
    <w:rsid w:val="00404873"/>
    <w:rsid w:val="00405041"/>
    <w:rsid w:val="0040504B"/>
    <w:rsid w:val="004059F4"/>
    <w:rsid w:val="004076AE"/>
    <w:rsid w:val="00407FE5"/>
    <w:rsid w:val="004101B0"/>
    <w:rsid w:val="00410326"/>
    <w:rsid w:val="00410708"/>
    <w:rsid w:val="004107F7"/>
    <w:rsid w:val="00410981"/>
    <w:rsid w:val="00410D9A"/>
    <w:rsid w:val="00410EC7"/>
    <w:rsid w:val="00411610"/>
    <w:rsid w:val="00411B39"/>
    <w:rsid w:val="004127A7"/>
    <w:rsid w:val="00413781"/>
    <w:rsid w:val="00413A1E"/>
    <w:rsid w:val="00414476"/>
    <w:rsid w:val="00414C2E"/>
    <w:rsid w:val="00414CED"/>
    <w:rsid w:val="004151CF"/>
    <w:rsid w:val="00416364"/>
    <w:rsid w:val="0042047F"/>
    <w:rsid w:val="00420AA6"/>
    <w:rsid w:val="00420B29"/>
    <w:rsid w:val="00420B9F"/>
    <w:rsid w:val="0042107F"/>
    <w:rsid w:val="00421100"/>
    <w:rsid w:val="0042160A"/>
    <w:rsid w:val="0042192C"/>
    <w:rsid w:val="00421F6E"/>
    <w:rsid w:val="00422260"/>
    <w:rsid w:val="00422F8E"/>
    <w:rsid w:val="0042409F"/>
    <w:rsid w:val="0042413F"/>
    <w:rsid w:val="00424500"/>
    <w:rsid w:val="00425C9E"/>
    <w:rsid w:val="00426E86"/>
    <w:rsid w:val="00427312"/>
    <w:rsid w:val="004274D5"/>
    <w:rsid w:val="004276BE"/>
    <w:rsid w:val="004319F8"/>
    <w:rsid w:val="00431E55"/>
    <w:rsid w:val="004321F6"/>
    <w:rsid w:val="00433044"/>
    <w:rsid w:val="00433764"/>
    <w:rsid w:val="00433D10"/>
    <w:rsid w:val="00434088"/>
    <w:rsid w:val="004348A8"/>
    <w:rsid w:val="004374D1"/>
    <w:rsid w:val="004375B9"/>
    <w:rsid w:val="004376DE"/>
    <w:rsid w:val="004428D0"/>
    <w:rsid w:val="00444185"/>
    <w:rsid w:val="004442B4"/>
    <w:rsid w:val="004443A7"/>
    <w:rsid w:val="0044442C"/>
    <w:rsid w:val="00444DE6"/>
    <w:rsid w:val="004456DB"/>
    <w:rsid w:val="00445941"/>
    <w:rsid w:val="004464EB"/>
    <w:rsid w:val="00447D26"/>
    <w:rsid w:val="00447DFC"/>
    <w:rsid w:val="00447F46"/>
    <w:rsid w:val="00450063"/>
    <w:rsid w:val="00450585"/>
    <w:rsid w:val="00450AF7"/>
    <w:rsid w:val="00450B50"/>
    <w:rsid w:val="00452ED8"/>
    <w:rsid w:val="004535D3"/>
    <w:rsid w:val="00453DE0"/>
    <w:rsid w:val="00455D45"/>
    <w:rsid w:val="004573C7"/>
    <w:rsid w:val="004609DD"/>
    <w:rsid w:val="00460DE3"/>
    <w:rsid w:val="00462293"/>
    <w:rsid w:val="00463B8A"/>
    <w:rsid w:val="00464595"/>
    <w:rsid w:val="004658B5"/>
    <w:rsid w:val="00470936"/>
    <w:rsid w:val="00470FA2"/>
    <w:rsid w:val="00471749"/>
    <w:rsid w:val="00471DD4"/>
    <w:rsid w:val="00471E50"/>
    <w:rsid w:val="00471EA5"/>
    <w:rsid w:val="00472A79"/>
    <w:rsid w:val="00473B5E"/>
    <w:rsid w:val="00473F19"/>
    <w:rsid w:val="00475E22"/>
    <w:rsid w:val="00477368"/>
    <w:rsid w:val="004773B9"/>
    <w:rsid w:val="0048088E"/>
    <w:rsid w:val="00480E89"/>
    <w:rsid w:val="00480F2B"/>
    <w:rsid w:val="00482720"/>
    <w:rsid w:val="00482C6F"/>
    <w:rsid w:val="004833E5"/>
    <w:rsid w:val="004835E7"/>
    <w:rsid w:val="004840F6"/>
    <w:rsid w:val="00484187"/>
    <w:rsid w:val="004859E1"/>
    <w:rsid w:val="004867E2"/>
    <w:rsid w:val="00487066"/>
    <w:rsid w:val="00487C8C"/>
    <w:rsid w:val="00490258"/>
    <w:rsid w:val="00490B17"/>
    <w:rsid w:val="00490BBC"/>
    <w:rsid w:val="00490E62"/>
    <w:rsid w:val="00491231"/>
    <w:rsid w:val="0049132D"/>
    <w:rsid w:val="004916F1"/>
    <w:rsid w:val="00491B3A"/>
    <w:rsid w:val="00491B63"/>
    <w:rsid w:val="00492492"/>
    <w:rsid w:val="00492CFD"/>
    <w:rsid w:val="00494207"/>
    <w:rsid w:val="00494DD5"/>
    <w:rsid w:val="00494E5F"/>
    <w:rsid w:val="004962D2"/>
    <w:rsid w:val="00496671"/>
    <w:rsid w:val="004A0DA1"/>
    <w:rsid w:val="004A13D6"/>
    <w:rsid w:val="004A29AB"/>
    <w:rsid w:val="004A52E9"/>
    <w:rsid w:val="004A5947"/>
    <w:rsid w:val="004A6040"/>
    <w:rsid w:val="004A6597"/>
    <w:rsid w:val="004A73F1"/>
    <w:rsid w:val="004A7848"/>
    <w:rsid w:val="004A793B"/>
    <w:rsid w:val="004A7AA4"/>
    <w:rsid w:val="004A7DF4"/>
    <w:rsid w:val="004B1536"/>
    <w:rsid w:val="004B18F9"/>
    <w:rsid w:val="004B1B96"/>
    <w:rsid w:val="004B1CB4"/>
    <w:rsid w:val="004B2E18"/>
    <w:rsid w:val="004B2F18"/>
    <w:rsid w:val="004B36CA"/>
    <w:rsid w:val="004B3DDB"/>
    <w:rsid w:val="004B44FD"/>
    <w:rsid w:val="004B53C6"/>
    <w:rsid w:val="004B5876"/>
    <w:rsid w:val="004B5CFC"/>
    <w:rsid w:val="004B6F79"/>
    <w:rsid w:val="004B774D"/>
    <w:rsid w:val="004C2AC2"/>
    <w:rsid w:val="004C2E16"/>
    <w:rsid w:val="004C38D0"/>
    <w:rsid w:val="004C3B02"/>
    <w:rsid w:val="004C4AED"/>
    <w:rsid w:val="004D0B5B"/>
    <w:rsid w:val="004D23EB"/>
    <w:rsid w:val="004D2C2D"/>
    <w:rsid w:val="004D4BCC"/>
    <w:rsid w:val="004D4E65"/>
    <w:rsid w:val="004D62D5"/>
    <w:rsid w:val="004D69B5"/>
    <w:rsid w:val="004D7227"/>
    <w:rsid w:val="004D7675"/>
    <w:rsid w:val="004D7B5E"/>
    <w:rsid w:val="004E0771"/>
    <w:rsid w:val="004E0E7F"/>
    <w:rsid w:val="004E0EB8"/>
    <w:rsid w:val="004E10CA"/>
    <w:rsid w:val="004E13F5"/>
    <w:rsid w:val="004E18E9"/>
    <w:rsid w:val="004E2ADC"/>
    <w:rsid w:val="004E2C1F"/>
    <w:rsid w:val="004E33E6"/>
    <w:rsid w:val="004E43B2"/>
    <w:rsid w:val="004E44D1"/>
    <w:rsid w:val="004E569B"/>
    <w:rsid w:val="004E7D17"/>
    <w:rsid w:val="004E7FA1"/>
    <w:rsid w:val="004F0FC4"/>
    <w:rsid w:val="004F1D02"/>
    <w:rsid w:val="004F1ECD"/>
    <w:rsid w:val="004F2534"/>
    <w:rsid w:val="004F2679"/>
    <w:rsid w:val="004F2F21"/>
    <w:rsid w:val="004F3A73"/>
    <w:rsid w:val="004F3DE5"/>
    <w:rsid w:val="004F3F40"/>
    <w:rsid w:val="004F5123"/>
    <w:rsid w:val="004F566D"/>
    <w:rsid w:val="004F5AE2"/>
    <w:rsid w:val="004F5D77"/>
    <w:rsid w:val="004F633C"/>
    <w:rsid w:val="004F6913"/>
    <w:rsid w:val="004F764B"/>
    <w:rsid w:val="004F7865"/>
    <w:rsid w:val="004F794C"/>
    <w:rsid w:val="00500ABB"/>
    <w:rsid w:val="0050112A"/>
    <w:rsid w:val="0050174E"/>
    <w:rsid w:val="00501854"/>
    <w:rsid w:val="0050219B"/>
    <w:rsid w:val="005025EF"/>
    <w:rsid w:val="00503F17"/>
    <w:rsid w:val="00503F3A"/>
    <w:rsid w:val="0050541D"/>
    <w:rsid w:val="005062D5"/>
    <w:rsid w:val="00506916"/>
    <w:rsid w:val="00506928"/>
    <w:rsid w:val="005077EF"/>
    <w:rsid w:val="005110FB"/>
    <w:rsid w:val="00511AD5"/>
    <w:rsid w:val="00511DC7"/>
    <w:rsid w:val="005121FA"/>
    <w:rsid w:val="0051235A"/>
    <w:rsid w:val="0051238E"/>
    <w:rsid w:val="00513852"/>
    <w:rsid w:val="005142C5"/>
    <w:rsid w:val="005147BC"/>
    <w:rsid w:val="0051501B"/>
    <w:rsid w:val="0051511F"/>
    <w:rsid w:val="00515120"/>
    <w:rsid w:val="005152B5"/>
    <w:rsid w:val="00515886"/>
    <w:rsid w:val="005175D2"/>
    <w:rsid w:val="00517987"/>
    <w:rsid w:val="00520C8D"/>
    <w:rsid w:val="0052123C"/>
    <w:rsid w:val="00521319"/>
    <w:rsid w:val="00522BC8"/>
    <w:rsid w:val="00523841"/>
    <w:rsid w:val="00523C28"/>
    <w:rsid w:val="00525A7D"/>
    <w:rsid w:val="00526B68"/>
    <w:rsid w:val="005278ED"/>
    <w:rsid w:val="0053176B"/>
    <w:rsid w:val="00532675"/>
    <w:rsid w:val="005341B3"/>
    <w:rsid w:val="005355A5"/>
    <w:rsid w:val="005367A1"/>
    <w:rsid w:val="00536F42"/>
    <w:rsid w:val="00537182"/>
    <w:rsid w:val="00537FA8"/>
    <w:rsid w:val="005411DD"/>
    <w:rsid w:val="00541EDD"/>
    <w:rsid w:val="00542743"/>
    <w:rsid w:val="00542C2D"/>
    <w:rsid w:val="0054314B"/>
    <w:rsid w:val="00545B65"/>
    <w:rsid w:val="0054650C"/>
    <w:rsid w:val="00547619"/>
    <w:rsid w:val="005478BD"/>
    <w:rsid w:val="005479E3"/>
    <w:rsid w:val="00547F24"/>
    <w:rsid w:val="0055138A"/>
    <w:rsid w:val="00551985"/>
    <w:rsid w:val="00551C69"/>
    <w:rsid w:val="005529F4"/>
    <w:rsid w:val="00552BD3"/>
    <w:rsid w:val="005532A0"/>
    <w:rsid w:val="00555109"/>
    <w:rsid w:val="00556B35"/>
    <w:rsid w:val="0055741A"/>
    <w:rsid w:val="005611B7"/>
    <w:rsid w:val="005618D4"/>
    <w:rsid w:val="005622CB"/>
    <w:rsid w:val="00562A96"/>
    <w:rsid w:val="005634B0"/>
    <w:rsid w:val="00564867"/>
    <w:rsid w:val="00564D64"/>
    <w:rsid w:val="00565C79"/>
    <w:rsid w:val="00565DF0"/>
    <w:rsid w:val="0056696F"/>
    <w:rsid w:val="00567703"/>
    <w:rsid w:val="00572269"/>
    <w:rsid w:val="0057229C"/>
    <w:rsid w:val="005723D5"/>
    <w:rsid w:val="0057244A"/>
    <w:rsid w:val="00572F26"/>
    <w:rsid w:val="005742A0"/>
    <w:rsid w:val="00574547"/>
    <w:rsid w:val="005750C5"/>
    <w:rsid w:val="005752DE"/>
    <w:rsid w:val="00575D60"/>
    <w:rsid w:val="00575D8D"/>
    <w:rsid w:val="005764A6"/>
    <w:rsid w:val="00576972"/>
    <w:rsid w:val="00576BF3"/>
    <w:rsid w:val="00576F07"/>
    <w:rsid w:val="00577248"/>
    <w:rsid w:val="00577636"/>
    <w:rsid w:val="00580768"/>
    <w:rsid w:val="00582037"/>
    <w:rsid w:val="00582106"/>
    <w:rsid w:val="0058325A"/>
    <w:rsid w:val="00583699"/>
    <w:rsid w:val="00583E5B"/>
    <w:rsid w:val="00585CDD"/>
    <w:rsid w:val="0058672D"/>
    <w:rsid w:val="00586755"/>
    <w:rsid w:val="00587058"/>
    <w:rsid w:val="005879D3"/>
    <w:rsid w:val="00587A0B"/>
    <w:rsid w:val="00587EB4"/>
    <w:rsid w:val="0059101F"/>
    <w:rsid w:val="00591957"/>
    <w:rsid w:val="00591E20"/>
    <w:rsid w:val="00592DC2"/>
    <w:rsid w:val="005934BE"/>
    <w:rsid w:val="00594EC7"/>
    <w:rsid w:val="00597BF9"/>
    <w:rsid w:val="005A0040"/>
    <w:rsid w:val="005A0C11"/>
    <w:rsid w:val="005A167C"/>
    <w:rsid w:val="005A1A67"/>
    <w:rsid w:val="005A2FB9"/>
    <w:rsid w:val="005A309A"/>
    <w:rsid w:val="005A373D"/>
    <w:rsid w:val="005A374B"/>
    <w:rsid w:val="005A473C"/>
    <w:rsid w:val="005A5E01"/>
    <w:rsid w:val="005A60DF"/>
    <w:rsid w:val="005B0B58"/>
    <w:rsid w:val="005B38DD"/>
    <w:rsid w:val="005B45B1"/>
    <w:rsid w:val="005B4E53"/>
    <w:rsid w:val="005B5244"/>
    <w:rsid w:val="005B5857"/>
    <w:rsid w:val="005B6338"/>
    <w:rsid w:val="005B671D"/>
    <w:rsid w:val="005B75DF"/>
    <w:rsid w:val="005B7816"/>
    <w:rsid w:val="005B7B29"/>
    <w:rsid w:val="005B7B67"/>
    <w:rsid w:val="005C19C4"/>
    <w:rsid w:val="005C1B83"/>
    <w:rsid w:val="005C25FF"/>
    <w:rsid w:val="005C2D55"/>
    <w:rsid w:val="005C2F53"/>
    <w:rsid w:val="005C346B"/>
    <w:rsid w:val="005C3FC5"/>
    <w:rsid w:val="005C5ABC"/>
    <w:rsid w:val="005C7DC1"/>
    <w:rsid w:val="005D044D"/>
    <w:rsid w:val="005D04FD"/>
    <w:rsid w:val="005D0853"/>
    <w:rsid w:val="005D0ABD"/>
    <w:rsid w:val="005D16EA"/>
    <w:rsid w:val="005D18AD"/>
    <w:rsid w:val="005D1EF1"/>
    <w:rsid w:val="005D26B4"/>
    <w:rsid w:val="005D37B1"/>
    <w:rsid w:val="005D4C0F"/>
    <w:rsid w:val="005E1995"/>
    <w:rsid w:val="005E3BEE"/>
    <w:rsid w:val="005E4177"/>
    <w:rsid w:val="005E46D5"/>
    <w:rsid w:val="005E67E6"/>
    <w:rsid w:val="005E6CBC"/>
    <w:rsid w:val="005E6D3A"/>
    <w:rsid w:val="005E72FF"/>
    <w:rsid w:val="005E73C0"/>
    <w:rsid w:val="005E76C5"/>
    <w:rsid w:val="005E77F4"/>
    <w:rsid w:val="005E7C0E"/>
    <w:rsid w:val="005F0084"/>
    <w:rsid w:val="005F0348"/>
    <w:rsid w:val="005F07ED"/>
    <w:rsid w:val="005F0A3F"/>
    <w:rsid w:val="005F11ED"/>
    <w:rsid w:val="005F2706"/>
    <w:rsid w:val="005F2855"/>
    <w:rsid w:val="005F29F9"/>
    <w:rsid w:val="005F6A8F"/>
    <w:rsid w:val="005F6BB7"/>
    <w:rsid w:val="005F7588"/>
    <w:rsid w:val="00600502"/>
    <w:rsid w:val="006028D3"/>
    <w:rsid w:val="00602973"/>
    <w:rsid w:val="00602D27"/>
    <w:rsid w:val="00603801"/>
    <w:rsid w:val="00603821"/>
    <w:rsid w:val="00603959"/>
    <w:rsid w:val="00603ADD"/>
    <w:rsid w:val="00603DB9"/>
    <w:rsid w:val="00605189"/>
    <w:rsid w:val="00606D94"/>
    <w:rsid w:val="00606EFD"/>
    <w:rsid w:val="00606F04"/>
    <w:rsid w:val="00606FBA"/>
    <w:rsid w:val="00607669"/>
    <w:rsid w:val="006076F4"/>
    <w:rsid w:val="00607760"/>
    <w:rsid w:val="00607AFD"/>
    <w:rsid w:val="0061171C"/>
    <w:rsid w:val="00611B12"/>
    <w:rsid w:val="00612F97"/>
    <w:rsid w:val="006132F4"/>
    <w:rsid w:val="0061345D"/>
    <w:rsid w:val="00613FB5"/>
    <w:rsid w:val="006151AD"/>
    <w:rsid w:val="0061549B"/>
    <w:rsid w:val="00615653"/>
    <w:rsid w:val="00616802"/>
    <w:rsid w:val="006179DA"/>
    <w:rsid w:val="00617E12"/>
    <w:rsid w:val="00620C25"/>
    <w:rsid w:val="006212DD"/>
    <w:rsid w:val="00621477"/>
    <w:rsid w:val="00621A89"/>
    <w:rsid w:val="00621ADA"/>
    <w:rsid w:val="006231F5"/>
    <w:rsid w:val="00623F7B"/>
    <w:rsid w:val="00624BD4"/>
    <w:rsid w:val="006275C6"/>
    <w:rsid w:val="00627BBD"/>
    <w:rsid w:val="0063158F"/>
    <w:rsid w:val="00631D6B"/>
    <w:rsid w:val="00632183"/>
    <w:rsid w:val="006330A1"/>
    <w:rsid w:val="0063479F"/>
    <w:rsid w:val="006353F0"/>
    <w:rsid w:val="006357B5"/>
    <w:rsid w:val="0063586E"/>
    <w:rsid w:val="00635B03"/>
    <w:rsid w:val="006364A1"/>
    <w:rsid w:val="0063678E"/>
    <w:rsid w:val="00636B60"/>
    <w:rsid w:val="00636B78"/>
    <w:rsid w:val="0063742E"/>
    <w:rsid w:val="0063774B"/>
    <w:rsid w:val="006377DE"/>
    <w:rsid w:val="00637BFD"/>
    <w:rsid w:val="00637C5C"/>
    <w:rsid w:val="00637F73"/>
    <w:rsid w:val="0064018E"/>
    <w:rsid w:val="00640273"/>
    <w:rsid w:val="00641C4E"/>
    <w:rsid w:val="00641FB3"/>
    <w:rsid w:val="0064434C"/>
    <w:rsid w:val="00645233"/>
    <w:rsid w:val="00645913"/>
    <w:rsid w:val="006471CC"/>
    <w:rsid w:val="006472FE"/>
    <w:rsid w:val="00647A29"/>
    <w:rsid w:val="00647C1B"/>
    <w:rsid w:val="00647F0C"/>
    <w:rsid w:val="0065079F"/>
    <w:rsid w:val="00652A28"/>
    <w:rsid w:val="00652B19"/>
    <w:rsid w:val="006531FC"/>
    <w:rsid w:val="0065379F"/>
    <w:rsid w:val="00653FC7"/>
    <w:rsid w:val="00656188"/>
    <w:rsid w:val="0065715A"/>
    <w:rsid w:val="00660626"/>
    <w:rsid w:val="006610F1"/>
    <w:rsid w:val="00661C6B"/>
    <w:rsid w:val="006624EB"/>
    <w:rsid w:val="006626E6"/>
    <w:rsid w:val="00662775"/>
    <w:rsid w:val="00662927"/>
    <w:rsid w:val="00662D3E"/>
    <w:rsid w:val="006637F0"/>
    <w:rsid w:val="006641F9"/>
    <w:rsid w:val="006664EB"/>
    <w:rsid w:val="006669F2"/>
    <w:rsid w:val="00666FB2"/>
    <w:rsid w:val="00667BE3"/>
    <w:rsid w:val="00667F55"/>
    <w:rsid w:val="00670942"/>
    <w:rsid w:val="00671004"/>
    <w:rsid w:val="00672094"/>
    <w:rsid w:val="00672646"/>
    <w:rsid w:val="006728D8"/>
    <w:rsid w:val="00672D18"/>
    <w:rsid w:val="006737E7"/>
    <w:rsid w:val="00674E42"/>
    <w:rsid w:val="006757BC"/>
    <w:rsid w:val="00676563"/>
    <w:rsid w:val="00677425"/>
    <w:rsid w:val="0067773F"/>
    <w:rsid w:val="0068116A"/>
    <w:rsid w:val="006813F8"/>
    <w:rsid w:val="00682112"/>
    <w:rsid w:val="006826C4"/>
    <w:rsid w:val="00682BA6"/>
    <w:rsid w:val="00683253"/>
    <w:rsid w:val="006848F1"/>
    <w:rsid w:val="00684A72"/>
    <w:rsid w:val="00684DED"/>
    <w:rsid w:val="00686957"/>
    <w:rsid w:val="00686E7A"/>
    <w:rsid w:val="006872BA"/>
    <w:rsid w:val="00687F3E"/>
    <w:rsid w:val="00690795"/>
    <w:rsid w:val="0069158C"/>
    <w:rsid w:val="00691648"/>
    <w:rsid w:val="006917D7"/>
    <w:rsid w:val="006925D4"/>
    <w:rsid w:val="00692B19"/>
    <w:rsid w:val="0069434C"/>
    <w:rsid w:val="00694F44"/>
    <w:rsid w:val="00695011"/>
    <w:rsid w:val="00696B25"/>
    <w:rsid w:val="00696EF9"/>
    <w:rsid w:val="00696F51"/>
    <w:rsid w:val="00697415"/>
    <w:rsid w:val="006979A5"/>
    <w:rsid w:val="00697E95"/>
    <w:rsid w:val="006A016F"/>
    <w:rsid w:val="006A0935"/>
    <w:rsid w:val="006A0DF7"/>
    <w:rsid w:val="006A1D05"/>
    <w:rsid w:val="006A2587"/>
    <w:rsid w:val="006A3177"/>
    <w:rsid w:val="006A388E"/>
    <w:rsid w:val="006A4321"/>
    <w:rsid w:val="006A43D9"/>
    <w:rsid w:val="006A5190"/>
    <w:rsid w:val="006A5E74"/>
    <w:rsid w:val="006A6004"/>
    <w:rsid w:val="006A6116"/>
    <w:rsid w:val="006A6B99"/>
    <w:rsid w:val="006A6F15"/>
    <w:rsid w:val="006A70BC"/>
    <w:rsid w:val="006A7E5F"/>
    <w:rsid w:val="006B0531"/>
    <w:rsid w:val="006B0A33"/>
    <w:rsid w:val="006B153E"/>
    <w:rsid w:val="006B1B1D"/>
    <w:rsid w:val="006B261B"/>
    <w:rsid w:val="006B2C90"/>
    <w:rsid w:val="006B3579"/>
    <w:rsid w:val="006B35E6"/>
    <w:rsid w:val="006B4578"/>
    <w:rsid w:val="006B465A"/>
    <w:rsid w:val="006B4F3B"/>
    <w:rsid w:val="006B602D"/>
    <w:rsid w:val="006B60CA"/>
    <w:rsid w:val="006B68A2"/>
    <w:rsid w:val="006B69B0"/>
    <w:rsid w:val="006B6AC0"/>
    <w:rsid w:val="006B6DD0"/>
    <w:rsid w:val="006C0399"/>
    <w:rsid w:val="006C05A6"/>
    <w:rsid w:val="006C1704"/>
    <w:rsid w:val="006C1D4A"/>
    <w:rsid w:val="006C1F8F"/>
    <w:rsid w:val="006C26C5"/>
    <w:rsid w:val="006C2A8E"/>
    <w:rsid w:val="006C3255"/>
    <w:rsid w:val="006C3B37"/>
    <w:rsid w:val="006C3E0C"/>
    <w:rsid w:val="006C3F26"/>
    <w:rsid w:val="006C4899"/>
    <w:rsid w:val="006C530C"/>
    <w:rsid w:val="006C57CB"/>
    <w:rsid w:val="006C618B"/>
    <w:rsid w:val="006C6F73"/>
    <w:rsid w:val="006D0D17"/>
    <w:rsid w:val="006D2800"/>
    <w:rsid w:val="006D33B4"/>
    <w:rsid w:val="006D3C7D"/>
    <w:rsid w:val="006D4659"/>
    <w:rsid w:val="006D4718"/>
    <w:rsid w:val="006D475A"/>
    <w:rsid w:val="006D54F3"/>
    <w:rsid w:val="006D5A15"/>
    <w:rsid w:val="006D5D5F"/>
    <w:rsid w:val="006D68FB"/>
    <w:rsid w:val="006D6A30"/>
    <w:rsid w:val="006D7603"/>
    <w:rsid w:val="006D7A1B"/>
    <w:rsid w:val="006E09DF"/>
    <w:rsid w:val="006E2609"/>
    <w:rsid w:val="006E2868"/>
    <w:rsid w:val="006E3B5A"/>
    <w:rsid w:val="006E4944"/>
    <w:rsid w:val="006F0D64"/>
    <w:rsid w:val="006F306C"/>
    <w:rsid w:val="006F446D"/>
    <w:rsid w:val="006F518D"/>
    <w:rsid w:val="006F63A5"/>
    <w:rsid w:val="007007C2"/>
    <w:rsid w:val="0070142B"/>
    <w:rsid w:val="007025C9"/>
    <w:rsid w:val="0070276E"/>
    <w:rsid w:val="00702F8F"/>
    <w:rsid w:val="00703B2E"/>
    <w:rsid w:val="007044D1"/>
    <w:rsid w:val="00706F11"/>
    <w:rsid w:val="007079FC"/>
    <w:rsid w:val="00710178"/>
    <w:rsid w:val="00710360"/>
    <w:rsid w:val="00710F65"/>
    <w:rsid w:val="00711497"/>
    <w:rsid w:val="00711A36"/>
    <w:rsid w:val="00711AE7"/>
    <w:rsid w:val="007125D3"/>
    <w:rsid w:val="00714C26"/>
    <w:rsid w:val="0071529C"/>
    <w:rsid w:val="007170DA"/>
    <w:rsid w:val="007172AD"/>
    <w:rsid w:val="00717546"/>
    <w:rsid w:val="007176E5"/>
    <w:rsid w:val="00717DA3"/>
    <w:rsid w:val="00720801"/>
    <w:rsid w:val="0072110D"/>
    <w:rsid w:val="00721A02"/>
    <w:rsid w:val="00722B1B"/>
    <w:rsid w:val="00723217"/>
    <w:rsid w:val="0072416F"/>
    <w:rsid w:val="007272D1"/>
    <w:rsid w:val="00727C94"/>
    <w:rsid w:val="00731B0A"/>
    <w:rsid w:val="00731EAE"/>
    <w:rsid w:val="00733073"/>
    <w:rsid w:val="00735033"/>
    <w:rsid w:val="00735328"/>
    <w:rsid w:val="007359B1"/>
    <w:rsid w:val="00736318"/>
    <w:rsid w:val="00736347"/>
    <w:rsid w:val="00736546"/>
    <w:rsid w:val="0073685B"/>
    <w:rsid w:val="00741CDA"/>
    <w:rsid w:val="007426C8"/>
    <w:rsid w:val="0074443F"/>
    <w:rsid w:val="007449BF"/>
    <w:rsid w:val="00744B51"/>
    <w:rsid w:val="00745685"/>
    <w:rsid w:val="00746352"/>
    <w:rsid w:val="007463FE"/>
    <w:rsid w:val="00746753"/>
    <w:rsid w:val="00746BC0"/>
    <w:rsid w:val="007510B4"/>
    <w:rsid w:val="00752142"/>
    <w:rsid w:val="007523F9"/>
    <w:rsid w:val="0075357E"/>
    <w:rsid w:val="007535C6"/>
    <w:rsid w:val="00753B29"/>
    <w:rsid w:val="007573E8"/>
    <w:rsid w:val="00760C4E"/>
    <w:rsid w:val="00760F9E"/>
    <w:rsid w:val="007616E6"/>
    <w:rsid w:val="00761CA5"/>
    <w:rsid w:val="00762192"/>
    <w:rsid w:val="007627BE"/>
    <w:rsid w:val="007643C5"/>
    <w:rsid w:val="00764938"/>
    <w:rsid w:val="00764F03"/>
    <w:rsid w:val="00765B1A"/>
    <w:rsid w:val="00765DC1"/>
    <w:rsid w:val="00773602"/>
    <w:rsid w:val="00774499"/>
    <w:rsid w:val="00775A36"/>
    <w:rsid w:val="00776A29"/>
    <w:rsid w:val="00776B8C"/>
    <w:rsid w:val="00777335"/>
    <w:rsid w:val="00780403"/>
    <w:rsid w:val="00780501"/>
    <w:rsid w:val="0078178B"/>
    <w:rsid w:val="007817BF"/>
    <w:rsid w:val="007821EB"/>
    <w:rsid w:val="00783D9A"/>
    <w:rsid w:val="007843F2"/>
    <w:rsid w:val="007846FA"/>
    <w:rsid w:val="00785486"/>
    <w:rsid w:val="00785A9F"/>
    <w:rsid w:val="00786527"/>
    <w:rsid w:val="007925DF"/>
    <w:rsid w:val="00792AC3"/>
    <w:rsid w:val="00794398"/>
    <w:rsid w:val="00795451"/>
    <w:rsid w:val="007970D4"/>
    <w:rsid w:val="007A01FD"/>
    <w:rsid w:val="007A08AA"/>
    <w:rsid w:val="007A0A12"/>
    <w:rsid w:val="007A132D"/>
    <w:rsid w:val="007A1345"/>
    <w:rsid w:val="007A2DDB"/>
    <w:rsid w:val="007A4D3E"/>
    <w:rsid w:val="007A593D"/>
    <w:rsid w:val="007A5DB5"/>
    <w:rsid w:val="007A70BA"/>
    <w:rsid w:val="007A741F"/>
    <w:rsid w:val="007B061A"/>
    <w:rsid w:val="007B0D68"/>
    <w:rsid w:val="007B0DDA"/>
    <w:rsid w:val="007B1EC2"/>
    <w:rsid w:val="007B251D"/>
    <w:rsid w:val="007B283E"/>
    <w:rsid w:val="007B3533"/>
    <w:rsid w:val="007B3809"/>
    <w:rsid w:val="007B4261"/>
    <w:rsid w:val="007B45D9"/>
    <w:rsid w:val="007B4F58"/>
    <w:rsid w:val="007B528D"/>
    <w:rsid w:val="007B6258"/>
    <w:rsid w:val="007B63CA"/>
    <w:rsid w:val="007B692A"/>
    <w:rsid w:val="007B77D1"/>
    <w:rsid w:val="007B7B5C"/>
    <w:rsid w:val="007C07C7"/>
    <w:rsid w:val="007C1CD9"/>
    <w:rsid w:val="007C1F8A"/>
    <w:rsid w:val="007C32EF"/>
    <w:rsid w:val="007C361D"/>
    <w:rsid w:val="007C4AD3"/>
    <w:rsid w:val="007C4B84"/>
    <w:rsid w:val="007C4CF9"/>
    <w:rsid w:val="007C57B2"/>
    <w:rsid w:val="007C6D1B"/>
    <w:rsid w:val="007C70FF"/>
    <w:rsid w:val="007C73DA"/>
    <w:rsid w:val="007C7C25"/>
    <w:rsid w:val="007D004F"/>
    <w:rsid w:val="007D035F"/>
    <w:rsid w:val="007D06B2"/>
    <w:rsid w:val="007D0B38"/>
    <w:rsid w:val="007D0CA5"/>
    <w:rsid w:val="007D1E9F"/>
    <w:rsid w:val="007D296F"/>
    <w:rsid w:val="007D468A"/>
    <w:rsid w:val="007D5440"/>
    <w:rsid w:val="007D649B"/>
    <w:rsid w:val="007D69EB"/>
    <w:rsid w:val="007D6D9B"/>
    <w:rsid w:val="007E0894"/>
    <w:rsid w:val="007E128F"/>
    <w:rsid w:val="007E153D"/>
    <w:rsid w:val="007E1AFA"/>
    <w:rsid w:val="007E2132"/>
    <w:rsid w:val="007E358B"/>
    <w:rsid w:val="007E3BE1"/>
    <w:rsid w:val="007F1017"/>
    <w:rsid w:val="007F13A6"/>
    <w:rsid w:val="007F155D"/>
    <w:rsid w:val="007F2B59"/>
    <w:rsid w:val="007F2DE2"/>
    <w:rsid w:val="007F4540"/>
    <w:rsid w:val="007F4A3F"/>
    <w:rsid w:val="007F4A61"/>
    <w:rsid w:val="007F51A4"/>
    <w:rsid w:val="007F5255"/>
    <w:rsid w:val="007F56CC"/>
    <w:rsid w:val="007F5F2D"/>
    <w:rsid w:val="007F5F45"/>
    <w:rsid w:val="007F61C2"/>
    <w:rsid w:val="007F7CDA"/>
    <w:rsid w:val="00800692"/>
    <w:rsid w:val="0080387D"/>
    <w:rsid w:val="00805142"/>
    <w:rsid w:val="00805648"/>
    <w:rsid w:val="0080566B"/>
    <w:rsid w:val="00805EA5"/>
    <w:rsid w:val="00805FCE"/>
    <w:rsid w:val="00807A8B"/>
    <w:rsid w:val="00810837"/>
    <w:rsid w:val="00811383"/>
    <w:rsid w:val="00812149"/>
    <w:rsid w:val="00812CAC"/>
    <w:rsid w:val="00812FC6"/>
    <w:rsid w:val="008140E7"/>
    <w:rsid w:val="008143A5"/>
    <w:rsid w:val="00816361"/>
    <w:rsid w:val="008166EF"/>
    <w:rsid w:val="00816FEF"/>
    <w:rsid w:val="00820A8C"/>
    <w:rsid w:val="008215FB"/>
    <w:rsid w:val="008220CC"/>
    <w:rsid w:val="00823174"/>
    <w:rsid w:val="00823572"/>
    <w:rsid w:val="00824933"/>
    <w:rsid w:val="00825751"/>
    <w:rsid w:val="008264EB"/>
    <w:rsid w:val="008268CE"/>
    <w:rsid w:val="00827C23"/>
    <w:rsid w:val="00830AAC"/>
    <w:rsid w:val="00831666"/>
    <w:rsid w:val="00831971"/>
    <w:rsid w:val="00833676"/>
    <w:rsid w:val="00833B05"/>
    <w:rsid w:val="00834078"/>
    <w:rsid w:val="00834CE8"/>
    <w:rsid w:val="00834F11"/>
    <w:rsid w:val="008362B4"/>
    <w:rsid w:val="008374FB"/>
    <w:rsid w:val="00840CA2"/>
    <w:rsid w:val="00840DAE"/>
    <w:rsid w:val="00842687"/>
    <w:rsid w:val="0084374F"/>
    <w:rsid w:val="00844A22"/>
    <w:rsid w:val="0084504E"/>
    <w:rsid w:val="00846CEF"/>
    <w:rsid w:val="00847564"/>
    <w:rsid w:val="00847703"/>
    <w:rsid w:val="008479BE"/>
    <w:rsid w:val="00847DF5"/>
    <w:rsid w:val="00851372"/>
    <w:rsid w:val="00852265"/>
    <w:rsid w:val="0085309D"/>
    <w:rsid w:val="00854A97"/>
    <w:rsid w:val="00855623"/>
    <w:rsid w:val="00856897"/>
    <w:rsid w:val="00856E9A"/>
    <w:rsid w:val="00857476"/>
    <w:rsid w:val="00857C06"/>
    <w:rsid w:val="00857F13"/>
    <w:rsid w:val="00860275"/>
    <w:rsid w:val="0086075D"/>
    <w:rsid w:val="00862502"/>
    <w:rsid w:val="00862A42"/>
    <w:rsid w:val="00862CC1"/>
    <w:rsid w:val="008642A7"/>
    <w:rsid w:val="008645A3"/>
    <w:rsid w:val="008660D4"/>
    <w:rsid w:val="0086756B"/>
    <w:rsid w:val="00867C83"/>
    <w:rsid w:val="00870C78"/>
    <w:rsid w:val="00870D3F"/>
    <w:rsid w:val="00871ABF"/>
    <w:rsid w:val="00871FA9"/>
    <w:rsid w:val="008728E9"/>
    <w:rsid w:val="008739FA"/>
    <w:rsid w:val="00875048"/>
    <w:rsid w:val="00876AA6"/>
    <w:rsid w:val="00877EA2"/>
    <w:rsid w:val="0088008A"/>
    <w:rsid w:val="00880EC5"/>
    <w:rsid w:val="00882874"/>
    <w:rsid w:val="00882E3C"/>
    <w:rsid w:val="0088308A"/>
    <w:rsid w:val="00883787"/>
    <w:rsid w:val="0088444D"/>
    <w:rsid w:val="008855E4"/>
    <w:rsid w:val="00885DB9"/>
    <w:rsid w:val="00886278"/>
    <w:rsid w:val="00886CD2"/>
    <w:rsid w:val="00891101"/>
    <w:rsid w:val="00891E6F"/>
    <w:rsid w:val="0089275D"/>
    <w:rsid w:val="00892A36"/>
    <w:rsid w:val="00892C75"/>
    <w:rsid w:val="00893239"/>
    <w:rsid w:val="0089340C"/>
    <w:rsid w:val="0089402D"/>
    <w:rsid w:val="0089420E"/>
    <w:rsid w:val="00894489"/>
    <w:rsid w:val="00894AAF"/>
    <w:rsid w:val="00894CD6"/>
    <w:rsid w:val="00894D1F"/>
    <w:rsid w:val="00895195"/>
    <w:rsid w:val="00895E72"/>
    <w:rsid w:val="008963A5"/>
    <w:rsid w:val="00896D5D"/>
    <w:rsid w:val="00897F59"/>
    <w:rsid w:val="008A1B88"/>
    <w:rsid w:val="008A310B"/>
    <w:rsid w:val="008A3158"/>
    <w:rsid w:val="008A3363"/>
    <w:rsid w:val="008A3371"/>
    <w:rsid w:val="008A3C3E"/>
    <w:rsid w:val="008A496B"/>
    <w:rsid w:val="008A79DE"/>
    <w:rsid w:val="008A7E49"/>
    <w:rsid w:val="008B15D6"/>
    <w:rsid w:val="008B1757"/>
    <w:rsid w:val="008B1C33"/>
    <w:rsid w:val="008B31F0"/>
    <w:rsid w:val="008B434F"/>
    <w:rsid w:val="008B4B6F"/>
    <w:rsid w:val="008B7197"/>
    <w:rsid w:val="008B730A"/>
    <w:rsid w:val="008B7992"/>
    <w:rsid w:val="008B7D7E"/>
    <w:rsid w:val="008C3ADE"/>
    <w:rsid w:val="008C4C2E"/>
    <w:rsid w:val="008C4CC7"/>
    <w:rsid w:val="008C5469"/>
    <w:rsid w:val="008C547F"/>
    <w:rsid w:val="008C5610"/>
    <w:rsid w:val="008C5739"/>
    <w:rsid w:val="008C6568"/>
    <w:rsid w:val="008C7282"/>
    <w:rsid w:val="008C79CF"/>
    <w:rsid w:val="008C7ECB"/>
    <w:rsid w:val="008D0A34"/>
    <w:rsid w:val="008D20B5"/>
    <w:rsid w:val="008D2A12"/>
    <w:rsid w:val="008D2D13"/>
    <w:rsid w:val="008D38A5"/>
    <w:rsid w:val="008D3AAF"/>
    <w:rsid w:val="008D3B86"/>
    <w:rsid w:val="008D4245"/>
    <w:rsid w:val="008D43FD"/>
    <w:rsid w:val="008D4755"/>
    <w:rsid w:val="008D4A8A"/>
    <w:rsid w:val="008D4C3D"/>
    <w:rsid w:val="008D6623"/>
    <w:rsid w:val="008D743C"/>
    <w:rsid w:val="008D7AA2"/>
    <w:rsid w:val="008E0168"/>
    <w:rsid w:val="008E0D3C"/>
    <w:rsid w:val="008E1632"/>
    <w:rsid w:val="008E19BD"/>
    <w:rsid w:val="008E1B9E"/>
    <w:rsid w:val="008E1E58"/>
    <w:rsid w:val="008E2D7C"/>
    <w:rsid w:val="008E3B05"/>
    <w:rsid w:val="008E3D4F"/>
    <w:rsid w:val="008E42A6"/>
    <w:rsid w:val="008E42F3"/>
    <w:rsid w:val="008E48C9"/>
    <w:rsid w:val="008E55AB"/>
    <w:rsid w:val="008E6C56"/>
    <w:rsid w:val="008E6C9F"/>
    <w:rsid w:val="008F0CC7"/>
    <w:rsid w:val="008F120A"/>
    <w:rsid w:val="008F27E0"/>
    <w:rsid w:val="008F475D"/>
    <w:rsid w:val="008F48EB"/>
    <w:rsid w:val="008F4F0B"/>
    <w:rsid w:val="008F5CF5"/>
    <w:rsid w:val="008F601C"/>
    <w:rsid w:val="00901128"/>
    <w:rsid w:val="009034B4"/>
    <w:rsid w:val="00903815"/>
    <w:rsid w:val="009043AF"/>
    <w:rsid w:val="009046C4"/>
    <w:rsid w:val="00904B3C"/>
    <w:rsid w:val="009062A5"/>
    <w:rsid w:val="00907699"/>
    <w:rsid w:val="00907E20"/>
    <w:rsid w:val="00910C44"/>
    <w:rsid w:val="00910EE3"/>
    <w:rsid w:val="00910FA7"/>
    <w:rsid w:val="00910FEE"/>
    <w:rsid w:val="00911272"/>
    <w:rsid w:val="00911339"/>
    <w:rsid w:val="00912750"/>
    <w:rsid w:val="009135D6"/>
    <w:rsid w:val="00914C77"/>
    <w:rsid w:val="00914CB7"/>
    <w:rsid w:val="009152BA"/>
    <w:rsid w:val="00915E2B"/>
    <w:rsid w:val="00917F7F"/>
    <w:rsid w:val="00920069"/>
    <w:rsid w:val="00921A41"/>
    <w:rsid w:val="00921ACB"/>
    <w:rsid w:val="0092369B"/>
    <w:rsid w:val="00924D66"/>
    <w:rsid w:val="00925352"/>
    <w:rsid w:val="009254AF"/>
    <w:rsid w:val="00926386"/>
    <w:rsid w:val="00927A45"/>
    <w:rsid w:val="00930A22"/>
    <w:rsid w:val="00931627"/>
    <w:rsid w:val="00934988"/>
    <w:rsid w:val="00934D74"/>
    <w:rsid w:val="0093546D"/>
    <w:rsid w:val="00936672"/>
    <w:rsid w:val="00937089"/>
    <w:rsid w:val="00940E71"/>
    <w:rsid w:val="009423E4"/>
    <w:rsid w:val="00944F8A"/>
    <w:rsid w:val="00950032"/>
    <w:rsid w:val="00950599"/>
    <w:rsid w:val="009510A2"/>
    <w:rsid w:val="0095157E"/>
    <w:rsid w:val="00952F3B"/>
    <w:rsid w:val="00953257"/>
    <w:rsid w:val="009535C1"/>
    <w:rsid w:val="00953A22"/>
    <w:rsid w:val="0095474C"/>
    <w:rsid w:val="00955118"/>
    <w:rsid w:val="00956460"/>
    <w:rsid w:val="00957D92"/>
    <w:rsid w:val="00962CB9"/>
    <w:rsid w:val="00963B90"/>
    <w:rsid w:val="00964312"/>
    <w:rsid w:val="00965423"/>
    <w:rsid w:val="00965751"/>
    <w:rsid w:val="00965B8A"/>
    <w:rsid w:val="00965C60"/>
    <w:rsid w:val="00965D4A"/>
    <w:rsid w:val="00966251"/>
    <w:rsid w:val="009676D2"/>
    <w:rsid w:val="0097071F"/>
    <w:rsid w:val="009716F6"/>
    <w:rsid w:val="009717AC"/>
    <w:rsid w:val="00972E8F"/>
    <w:rsid w:val="0097411C"/>
    <w:rsid w:val="009741FF"/>
    <w:rsid w:val="00975079"/>
    <w:rsid w:val="009751C1"/>
    <w:rsid w:val="00975254"/>
    <w:rsid w:val="009754CC"/>
    <w:rsid w:val="009763AD"/>
    <w:rsid w:val="009774B4"/>
    <w:rsid w:val="009811F1"/>
    <w:rsid w:val="0098174C"/>
    <w:rsid w:val="0098262F"/>
    <w:rsid w:val="00982F03"/>
    <w:rsid w:val="00983CDE"/>
    <w:rsid w:val="00983E57"/>
    <w:rsid w:val="0098425C"/>
    <w:rsid w:val="00985DE2"/>
    <w:rsid w:val="0098675D"/>
    <w:rsid w:val="00986E1F"/>
    <w:rsid w:val="00987BA4"/>
    <w:rsid w:val="009908FB"/>
    <w:rsid w:val="009917FE"/>
    <w:rsid w:val="009926E0"/>
    <w:rsid w:val="00993447"/>
    <w:rsid w:val="0099451E"/>
    <w:rsid w:val="00996B1A"/>
    <w:rsid w:val="009A1255"/>
    <w:rsid w:val="009A1825"/>
    <w:rsid w:val="009A18F6"/>
    <w:rsid w:val="009A190A"/>
    <w:rsid w:val="009A2DCC"/>
    <w:rsid w:val="009A3A54"/>
    <w:rsid w:val="009A5490"/>
    <w:rsid w:val="009A5ABC"/>
    <w:rsid w:val="009A7F10"/>
    <w:rsid w:val="009B04D6"/>
    <w:rsid w:val="009B1B29"/>
    <w:rsid w:val="009B2173"/>
    <w:rsid w:val="009B3E26"/>
    <w:rsid w:val="009B4AB9"/>
    <w:rsid w:val="009B567F"/>
    <w:rsid w:val="009B623E"/>
    <w:rsid w:val="009B7C58"/>
    <w:rsid w:val="009C1271"/>
    <w:rsid w:val="009C2393"/>
    <w:rsid w:val="009C2505"/>
    <w:rsid w:val="009C26AA"/>
    <w:rsid w:val="009C3706"/>
    <w:rsid w:val="009C3A3A"/>
    <w:rsid w:val="009C426B"/>
    <w:rsid w:val="009C5B58"/>
    <w:rsid w:val="009C6CEA"/>
    <w:rsid w:val="009C711C"/>
    <w:rsid w:val="009C7B85"/>
    <w:rsid w:val="009D0254"/>
    <w:rsid w:val="009D0C81"/>
    <w:rsid w:val="009D14EC"/>
    <w:rsid w:val="009D1A64"/>
    <w:rsid w:val="009D1F62"/>
    <w:rsid w:val="009D2623"/>
    <w:rsid w:val="009D496C"/>
    <w:rsid w:val="009D573E"/>
    <w:rsid w:val="009D57AC"/>
    <w:rsid w:val="009D5B0B"/>
    <w:rsid w:val="009D5B91"/>
    <w:rsid w:val="009D5C8C"/>
    <w:rsid w:val="009D5C9B"/>
    <w:rsid w:val="009D7615"/>
    <w:rsid w:val="009D792E"/>
    <w:rsid w:val="009E0DFE"/>
    <w:rsid w:val="009E2E1A"/>
    <w:rsid w:val="009E31F6"/>
    <w:rsid w:val="009E4C07"/>
    <w:rsid w:val="009E4CE9"/>
    <w:rsid w:val="009E68AD"/>
    <w:rsid w:val="009E6E66"/>
    <w:rsid w:val="009E777F"/>
    <w:rsid w:val="009F0037"/>
    <w:rsid w:val="009F0207"/>
    <w:rsid w:val="009F1F6B"/>
    <w:rsid w:val="009F22A0"/>
    <w:rsid w:val="009F601C"/>
    <w:rsid w:val="009F6120"/>
    <w:rsid w:val="009F6A8C"/>
    <w:rsid w:val="009F733A"/>
    <w:rsid w:val="009F7AC4"/>
    <w:rsid w:val="00A00D76"/>
    <w:rsid w:val="00A01184"/>
    <w:rsid w:val="00A01449"/>
    <w:rsid w:val="00A032BE"/>
    <w:rsid w:val="00A037C2"/>
    <w:rsid w:val="00A03D43"/>
    <w:rsid w:val="00A04380"/>
    <w:rsid w:val="00A04786"/>
    <w:rsid w:val="00A05268"/>
    <w:rsid w:val="00A052CC"/>
    <w:rsid w:val="00A05472"/>
    <w:rsid w:val="00A05C32"/>
    <w:rsid w:val="00A0653F"/>
    <w:rsid w:val="00A06E1E"/>
    <w:rsid w:val="00A07070"/>
    <w:rsid w:val="00A07C50"/>
    <w:rsid w:val="00A07E32"/>
    <w:rsid w:val="00A10587"/>
    <w:rsid w:val="00A1069A"/>
    <w:rsid w:val="00A107F0"/>
    <w:rsid w:val="00A10EA2"/>
    <w:rsid w:val="00A11B88"/>
    <w:rsid w:val="00A11CAD"/>
    <w:rsid w:val="00A11CD0"/>
    <w:rsid w:val="00A12782"/>
    <w:rsid w:val="00A12EB6"/>
    <w:rsid w:val="00A12F83"/>
    <w:rsid w:val="00A13948"/>
    <w:rsid w:val="00A13DBD"/>
    <w:rsid w:val="00A14F14"/>
    <w:rsid w:val="00A1555B"/>
    <w:rsid w:val="00A155C5"/>
    <w:rsid w:val="00A159CC"/>
    <w:rsid w:val="00A16AD8"/>
    <w:rsid w:val="00A17207"/>
    <w:rsid w:val="00A17926"/>
    <w:rsid w:val="00A2021E"/>
    <w:rsid w:val="00A216AB"/>
    <w:rsid w:val="00A21C93"/>
    <w:rsid w:val="00A21C95"/>
    <w:rsid w:val="00A21CF3"/>
    <w:rsid w:val="00A228AB"/>
    <w:rsid w:val="00A23619"/>
    <w:rsid w:val="00A23DE1"/>
    <w:rsid w:val="00A241C3"/>
    <w:rsid w:val="00A24813"/>
    <w:rsid w:val="00A24FA7"/>
    <w:rsid w:val="00A2784B"/>
    <w:rsid w:val="00A27AEC"/>
    <w:rsid w:val="00A27F0D"/>
    <w:rsid w:val="00A30BA1"/>
    <w:rsid w:val="00A31687"/>
    <w:rsid w:val="00A31956"/>
    <w:rsid w:val="00A320DB"/>
    <w:rsid w:val="00A330FE"/>
    <w:rsid w:val="00A35ABF"/>
    <w:rsid w:val="00A35D16"/>
    <w:rsid w:val="00A37BCD"/>
    <w:rsid w:val="00A40C89"/>
    <w:rsid w:val="00A41689"/>
    <w:rsid w:val="00A41D7E"/>
    <w:rsid w:val="00A42592"/>
    <w:rsid w:val="00A42BC9"/>
    <w:rsid w:val="00A42CF6"/>
    <w:rsid w:val="00A43C59"/>
    <w:rsid w:val="00A43DF1"/>
    <w:rsid w:val="00A47D55"/>
    <w:rsid w:val="00A47F79"/>
    <w:rsid w:val="00A50ECD"/>
    <w:rsid w:val="00A51750"/>
    <w:rsid w:val="00A518F3"/>
    <w:rsid w:val="00A5196D"/>
    <w:rsid w:val="00A51B93"/>
    <w:rsid w:val="00A5215D"/>
    <w:rsid w:val="00A52729"/>
    <w:rsid w:val="00A52995"/>
    <w:rsid w:val="00A53675"/>
    <w:rsid w:val="00A5583A"/>
    <w:rsid w:val="00A55DC2"/>
    <w:rsid w:val="00A5620E"/>
    <w:rsid w:val="00A564D7"/>
    <w:rsid w:val="00A56997"/>
    <w:rsid w:val="00A56B6A"/>
    <w:rsid w:val="00A578DC"/>
    <w:rsid w:val="00A60445"/>
    <w:rsid w:val="00A609F4"/>
    <w:rsid w:val="00A60EDB"/>
    <w:rsid w:val="00A640E2"/>
    <w:rsid w:val="00A64136"/>
    <w:rsid w:val="00A64AB8"/>
    <w:rsid w:val="00A64D65"/>
    <w:rsid w:val="00A651C4"/>
    <w:rsid w:val="00A652B8"/>
    <w:rsid w:val="00A65D74"/>
    <w:rsid w:val="00A66316"/>
    <w:rsid w:val="00A666C8"/>
    <w:rsid w:val="00A66AD4"/>
    <w:rsid w:val="00A6725B"/>
    <w:rsid w:val="00A6745F"/>
    <w:rsid w:val="00A67931"/>
    <w:rsid w:val="00A7037A"/>
    <w:rsid w:val="00A70605"/>
    <w:rsid w:val="00A71857"/>
    <w:rsid w:val="00A73134"/>
    <w:rsid w:val="00A7365A"/>
    <w:rsid w:val="00A73DE3"/>
    <w:rsid w:val="00A75447"/>
    <w:rsid w:val="00A76001"/>
    <w:rsid w:val="00A76CA7"/>
    <w:rsid w:val="00A76E75"/>
    <w:rsid w:val="00A777B2"/>
    <w:rsid w:val="00A81795"/>
    <w:rsid w:val="00A824D3"/>
    <w:rsid w:val="00A825D4"/>
    <w:rsid w:val="00A828F6"/>
    <w:rsid w:val="00A82B2C"/>
    <w:rsid w:val="00A82B73"/>
    <w:rsid w:val="00A85A1B"/>
    <w:rsid w:val="00A862E7"/>
    <w:rsid w:val="00A8660B"/>
    <w:rsid w:val="00A86E8B"/>
    <w:rsid w:val="00A87164"/>
    <w:rsid w:val="00A871A9"/>
    <w:rsid w:val="00A87680"/>
    <w:rsid w:val="00A91743"/>
    <w:rsid w:val="00A93072"/>
    <w:rsid w:val="00A9333B"/>
    <w:rsid w:val="00A938BD"/>
    <w:rsid w:val="00A93953"/>
    <w:rsid w:val="00A9535C"/>
    <w:rsid w:val="00A95713"/>
    <w:rsid w:val="00A959D8"/>
    <w:rsid w:val="00A96220"/>
    <w:rsid w:val="00A969D6"/>
    <w:rsid w:val="00A972EA"/>
    <w:rsid w:val="00AA0100"/>
    <w:rsid w:val="00AA07FF"/>
    <w:rsid w:val="00AA113D"/>
    <w:rsid w:val="00AA2CB0"/>
    <w:rsid w:val="00AA6BD5"/>
    <w:rsid w:val="00AA6BD8"/>
    <w:rsid w:val="00AA6C7D"/>
    <w:rsid w:val="00AA7073"/>
    <w:rsid w:val="00AA7D8B"/>
    <w:rsid w:val="00AA7FD6"/>
    <w:rsid w:val="00AB042A"/>
    <w:rsid w:val="00AB11AD"/>
    <w:rsid w:val="00AB15C5"/>
    <w:rsid w:val="00AB19EF"/>
    <w:rsid w:val="00AB2495"/>
    <w:rsid w:val="00AB2D34"/>
    <w:rsid w:val="00AB3430"/>
    <w:rsid w:val="00AB37B9"/>
    <w:rsid w:val="00AB3CD6"/>
    <w:rsid w:val="00AB4AD1"/>
    <w:rsid w:val="00AB562F"/>
    <w:rsid w:val="00AB5AF7"/>
    <w:rsid w:val="00AB5E07"/>
    <w:rsid w:val="00AB675B"/>
    <w:rsid w:val="00AB6E8B"/>
    <w:rsid w:val="00AB7CFA"/>
    <w:rsid w:val="00AC2616"/>
    <w:rsid w:val="00AC3140"/>
    <w:rsid w:val="00AC32B7"/>
    <w:rsid w:val="00AC5B42"/>
    <w:rsid w:val="00AC5B48"/>
    <w:rsid w:val="00AC7901"/>
    <w:rsid w:val="00AD118B"/>
    <w:rsid w:val="00AD1450"/>
    <w:rsid w:val="00AD15E8"/>
    <w:rsid w:val="00AD3413"/>
    <w:rsid w:val="00AD356D"/>
    <w:rsid w:val="00AD3842"/>
    <w:rsid w:val="00AD451D"/>
    <w:rsid w:val="00AD4FC4"/>
    <w:rsid w:val="00AD6502"/>
    <w:rsid w:val="00AD7790"/>
    <w:rsid w:val="00AD7B8F"/>
    <w:rsid w:val="00AE0146"/>
    <w:rsid w:val="00AE0695"/>
    <w:rsid w:val="00AE0A79"/>
    <w:rsid w:val="00AE1193"/>
    <w:rsid w:val="00AE1AF2"/>
    <w:rsid w:val="00AE3E7E"/>
    <w:rsid w:val="00AE42D6"/>
    <w:rsid w:val="00AE4405"/>
    <w:rsid w:val="00AE4494"/>
    <w:rsid w:val="00AE5436"/>
    <w:rsid w:val="00AE7E53"/>
    <w:rsid w:val="00AF0D5E"/>
    <w:rsid w:val="00AF1315"/>
    <w:rsid w:val="00AF19BF"/>
    <w:rsid w:val="00AF2DC3"/>
    <w:rsid w:val="00AF5244"/>
    <w:rsid w:val="00AF6BDD"/>
    <w:rsid w:val="00B00D8F"/>
    <w:rsid w:val="00B02895"/>
    <w:rsid w:val="00B02C4D"/>
    <w:rsid w:val="00B03320"/>
    <w:rsid w:val="00B033E5"/>
    <w:rsid w:val="00B03A63"/>
    <w:rsid w:val="00B03F73"/>
    <w:rsid w:val="00B04074"/>
    <w:rsid w:val="00B0626C"/>
    <w:rsid w:val="00B07A85"/>
    <w:rsid w:val="00B07BCE"/>
    <w:rsid w:val="00B10285"/>
    <w:rsid w:val="00B105FD"/>
    <w:rsid w:val="00B107F4"/>
    <w:rsid w:val="00B129A4"/>
    <w:rsid w:val="00B173F3"/>
    <w:rsid w:val="00B201A4"/>
    <w:rsid w:val="00B201D1"/>
    <w:rsid w:val="00B20495"/>
    <w:rsid w:val="00B213A6"/>
    <w:rsid w:val="00B21DEA"/>
    <w:rsid w:val="00B22E59"/>
    <w:rsid w:val="00B2325D"/>
    <w:rsid w:val="00B233A0"/>
    <w:rsid w:val="00B235B0"/>
    <w:rsid w:val="00B24DEA"/>
    <w:rsid w:val="00B24DF6"/>
    <w:rsid w:val="00B2541A"/>
    <w:rsid w:val="00B272F2"/>
    <w:rsid w:val="00B27A61"/>
    <w:rsid w:val="00B27C79"/>
    <w:rsid w:val="00B31F23"/>
    <w:rsid w:val="00B32045"/>
    <w:rsid w:val="00B3207B"/>
    <w:rsid w:val="00B34FE2"/>
    <w:rsid w:val="00B35070"/>
    <w:rsid w:val="00B35166"/>
    <w:rsid w:val="00B357D8"/>
    <w:rsid w:val="00B360F4"/>
    <w:rsid w:val="00B36A00"/>
    <w:rsid w:val="00B36C03"/>
    <w:rsid w:val="00B36F98"/>
    <w:rsid w:val="00B3792B"/>
    <w:rsid w:val="00B37BFC"/>
    <w:rsid w:val="00B37FEF"/>
    <w:rsid w:val="00B40358"/>
    <w:rsid w:val="00B40D48"/>
    <w:rsid w:val="00B41614"/>
    <w:rsid w:val="00B42131"/>
    <w:rsid w:val="00B42851"/>
    <w:rsid w:val="00B42F80"/>
    <w:rsid w:val="00B435CB"/>
    <w:rsid w:val="00B438E5"/>
    <w:rsid w:val="00B449D4"/>
    <w:rsid w:val="00B44ED1"/>
    <w:rsid w:val="00B44F01"/>
    <w:rsid w:val="00B465EC"/>
    <w:rsid w:val="00B46B5C"/>
    <w:rsid w:val="00B46EA6"/>
    <w:rsid w:val="00B505C8"/>
    <w:rsid w:val="00B50DB8"/>
    <w:rsid w:val="00B525C3"/>
    <w:rsid w:val="00B53654"/>
    <w:rsid w:val="00B53905"/>
    <w:rsid w:val="00B53C9F"/>
    <w:rsid w:val="00B54367"/>
    <w:rsid w:val="00B545FC"/>
    <w:rsid w:val="00B546DB"/>
    <w:rsid w:val="00B54B5B"/>
    <w:rsid w:val="00B5562E"/>
    <w:rsid w:val="00B55667"/>
    <w:rsid w:val="00B55862"/>
    <w:rsid w:val="00B55D65"/>
    <w:rsid w:val="00B56305"/>
    <w:rsid w:val="00B57000"/>
    <w:rsid w:val="00B578B5"/>
    <w:rsid w:val="00B60939"/>
    <w:rsid w:val="00B60AFD"/>
    <w:rsid w:val="00B61751"/>
    <w:rsid w:val="00B61FBA"/>
    <w:rsid w:val="00B62715"/>
    <w:rsid w:val="00B63B7A"/>
    <w:rsid w:val="00B65611"/>
    <w:rsid w:val="00B65BF0"/>
    <w:rsid w:val="00B66382"/>
    <w:rsid w:val="00B70E8E"/>
    <w:rsid w:val="00B7134A"/>
    <w:rsid w:val="00B73166"/>
    <w:rsid w:val="00B73DDA"/>
    <w:rsid w:val="00B759A4"/>
    <w:rsid w:val="00B76C92"/>
    <w:rsid w:val="00B76CC4"/>
    <w:rsid w:val="00B80AD5"/>
    <w:rsid w:val="00B80EFD"/>
    <w:rsid w:val="00B80F3B"/>
    <w:rsid w:val="00B817A4"/>
    <w:rsid w:val="00B818A4"/>
    <w:rsid w:val="00B81A36"/>
    <w:rsid w:val="00B820F0"/>
    <w:rsid w:val="00B827ED"/>
    <w:rsid w:val="00B82A11"/>
    <w:rsid w:val="00B83190"/>
    <w:rsid w:val="00B836A4"/>
    <w:rsid w:val="00B83739"/>
    <w:rsid w:val="00B83824"/>
    <w:rsid w:val="00B84117"/>
    <w:rsid w:val="00B84802"/>
    <w:rsid w:val="00B85041"/>
    <w:rsid w:val="00B85401"/>
    <w:rsid w:val="00B858F0"/>
    <w:rsid w:val="00B85AA2"/>
    <w:rsid w:val="00B8649C"/>
    <w:rsid w:val="00B8695D"/>
    <w:rsid w:val="00B87F0A"/>
    <w:rsid w:val="00B9093F"/>
    <w:rsid w:val="00B90C1D"/>
    <w:rsid w:val="00B91AD2"/>
    <w:rsid w:val="00B92D0B"/>
    <w:rsid w:val="00B935E4"/>
    <w:rsid w:val="00B94945"/>
    <w:rsid w:val="00B94DD6"/>
    <w:rsid w:val="00B94E51"/>
    <w:rsid w:val="00B94FD3"/>
    <w:rsid w:val="00B97744"/>
    <w:rsid w:val="00BA25CD"/>
    <w:rsid w:val="00BA2868"/>
    <w:rsid w:val="00BA322D"/>
    <w:rsid w:val="00BA4C29"/>
    <w:rsid w:val="00BA522B"/>
    <w:rsid w:val="00BA5C7B"/>
    <w:rsid w:val="00BA63FA"/>
    <w:rsid w:val="00BA70FE"/>
    <w:rsid w:val="00BB00B3"/>
    <w:rsid w:val="00BB0BDD"/>
    <w:rsid w:val="00BB0D0F"/>
    <w:rsid w:val="00BB176C"/>
    <w:rsid w:val="00BB2101"/>
    <w:rsid w:val="00BB21C1"/>
    <w:rsid w:val="00BB2A73"/>
    <w:rsid w:val="00BB329B"/>
    <w:rsid w:val="00BB34E4"/>
    <w:rsid w:val="00BB3A45"/>
    <w:rsid w:val="00BB3BF9"/>
    <w:rsid w:val="00BB4ACC"/>
    <w:rsid w:val="00BB5012"/>
    <w:rsid w:val="00BB577B"/>
    <w:rsid w:val="00BB5E18"/>
    <w:rsid w:val="00BB703E"/>
    <w:rsid w:val="00BB732D"/>
    <w:rsid w:val="00BB7405"/>
    <w:rsid w:val="00BC0A8A"/>
    <w:rsid w:val="00BC1E20"/>
    <w:rsid w:val="00BC2235"/>
    <w:rsid w:val="00BC2309"/>
    <w:rsid w:val="00BC2E69"/>
    <w:rsid w:val="00BC3629"/>
    <w:rsid w:val="00BC3631"/>
    <w:rsid w:val="00BC47F0"/>
    <w:rsid w:val="00BC591F"/>
    <w:rsid w:val="00BC6102"/>
    <w:rsid w:val="00BC6760"/>
    <w:rsid w:val="00BC6DD1"/>
    <w:rsid w:val="00BC6E23"/>
    <w:rsid w:val="00BC7A1E"/>
    <w:rsid w:val="00BC7D6D"/>
    <w:rsid w:val="00BD2108"/>
    <w:rsid w:val="00BD4370"/>
    <w:rsid w:val="00BD68A3"/>
    <w:rsid w:val="00BD6938"/>
    <w:rsid w:val="00BD6CF3"/>
    <w:rsid w:val="00BD7F72"/>
    <w:rsid w:val="00BE0ECA"/>
    <w:rsid w:val="00BE19ED"/>
    <w:rsid w:val="00BE1F77"/>
    <w:rsid w:val="00BE2180"/>
    <w:rsid w:val="00BE21F2"/>
    <w:rsid w:val="00BE3F97"/>
    <w:rsid w:val="00BE4275"/>
    <w:rsid w:val="00BE560F"/>
    <w:rsid w:val="00BE7042"/>
    <w:rsid w:val="00BF06AE"/>
    <w:rsid w:val="00BF0F95"/>
    <w:rsid w:val="00BF2433"/>
    <w:rsid w:val="00BF2E6E"/>
    <w:rsid w:val="00BF2E95"/>
    <w:rsid w:val="00BF4EA0"/>
    <w:rsid w:val="00BF4EF1"/>
    <w:rsid w:val="00BF55FF"/>
    <w:rsid w:val="00BF61C9"/>
    <w:rsid w:val="00BF6C94"/>
    <w:rsid w:val="00BF7073"/>
    <w:rsid w:val="00C00424"/>
    <w:rsid w:val="00C00BB0"/>
    <w:rsid w:val="00C013A0"/>
    <w:rsid w:val="00C02B8B"/>
    <w:rsid w:val="00C0372D"/>
    <w:rsid w:val="00C04D3D"/>
    <w:rsid w:val="00C05226"/>
    <w:rsid w:val="00C05D71"/>
    <w:rsid w:val="00C062CC"/>
    <w:rsid w:val="00C067FD"/>
    <w:rsid w:val="00C07CD6"/>
    <w:rsid w:val="00C106FD"/>
    <w:rsid w:val="00C1179F"/>
    <w:rsid w:val="00C11A14"/>
    <w:rsid w:val="00C12195"/>
    <w:rsid w:val="00C12388"/>
    <w:rsid w:val="00C127B9"/>
    <w:rsid w:val="00C128FA"/>
    <w:rsid w:val="00C12C14"/>
    <w:rsid w:val="00C15F04"/>
    <w:rsid w:val="00C16090"/>
    <w:rsid w:val="00C1609B"/>
    <w:rsid w:val="00C179B3"/>
    <w:rsid w:val="00C17E3F"/>
    <w:rsid w:val="00C17F38"/>
    <w:rsid w:val="00C200AA"/>
    <w:rsid w:val="00C22ABF"/>
    <w:rsid w:val="00C237ED"/>
    <w:rsid w:val="00C24632"/>
    <w:rsid w:val="00C24A50"/>
    <w:rsid w:val="00C24C14"/>
    <w:rsid w:val="00C25418"/>
    <w:rsid w:val="00C25D9C"/>
    <w:rsid w:val="00C27482"/>
    <w:rsid w:val="00C2778B"/>
    <w:rsid w:val="00C31649"/>
    <w:rsid w:val="00C31BC5"/>
    <w:rsid w:val="00C32446"/>
    <w:rsid w:val="00C33E67"/>
    <w:rsid w:val="00C3434C"/>
    <w:rsid w:val="00C361DB"/>
    <w:rsid w:val="00C368B5"/>
    <w:rsid w:val="00C3691D"/>
    <w:rsid w:val="00C371F0"/>
    <w:rsid w:val="00C3794D"/>
    <w:rsid w:val="00C37CB5"/>
    <w:rsid w:val="00C40327"/>
    <w:rsid w:val="00C40385"/>
    <w:rsid w:val="00C407DA"/>
    <w:rsid w:val="00C41768"/>
    <w:rsid w:val="00C4607C"/>
    <w:rsid w:val="00C460CA"/>
    <w:rsid w:val="00C475AA"/>
    <w:rsid w:val="00C527C7"/>
    <w:rsid w:val="00C53C98"/>
    <w:rsid w:val="00C54C1E"/>
    <w:rsid w:val="00C56FCF"/>
    <w:rsid w:val="00C5712C"/>
    <w:rsid w:val="00C572F6"/>
    <w:rsid w:val="00C57B6C"/>
    <w:rsid w:val="00C60E83"/>
    <w:rsid w:val="00C616AD"/>
    <w:rsid w:val="00C6173D"/>
    <w:rsid w:val="00C6182A"/>
    <w:rsid w:val="00C61A59"/>
    <w:rsid w:val="00C628A6"/>
    <w:rsid w:val="00C64344"/>
    <w:rsid w:val="00C643EF"/>
    <w:rsid w:val="00C65108"/>
    <w:rsid w:val="00C65576"/>
    <w:rsid w:val="00C657B9"/>
    <w:rsid w:val="00C66165"/>
    <w:rsid w:val="00C7054D"/>
    <w:rsid w:val="00C7060A"/>
    <w:rsid w:val="00C7151A"/>
    <w:rsid w:val="00C715D5"/>
    <w:rsid w:val="00C717E3"/>
    <w:rsid w:val="00C71F60"/>
    <w:rsid w:val="00C72241"/>
    <w:rsid w:val="00C72709"/>
    <w:rsid w:val="00C750C8"/>
    <w:rsid w:val="00C7560F"/>
    <w:rsid w:val="00C776B0"/>
    <w:rsid w:val="00C778B8"/>
    <w:rsid w:val="00C80034"/>
    <w:rsid w:val="00C8014E"/>
    <w:rsid w:val="00C80A0E"/>
    <w:rsid w:val="00C8213F"/>
    <w:rsid w:val="00C8303F"/>
    <w:rsid w:val="00C83248"/>
    <w:rsid w:val="00C837B8"/>
    <w:rsid w:val="00C84C10"/>
    <w:rsid w:val="00C85154"/>
    <w:rsid w:val="00C85A70"/>
    <w:rsid w:val="00C85D4A"/>
    <w:rsid w:val="00C861EE"/>
    <w:rsid w:val="00C8797A"/>
    <w:rsid w:val="00C900B8"/>
    <w:rsid w:val="00C90197"/>
    <w:rsid w:val="00C903BD"/>
    <w:rsid w:val="00C90468"/>
    <w:rsid w:val="00C90C71"/>
    <w:rsid w:val="00C91262"/>
    <w:rsid w:val="00C91FD1"/>
    <w:rsid w:val="00C924B8"/>
    <w:rsid w:val="00C92AE6"/>
    <w:rsid w:val="00C931CF"/>
    <w:rsid w:val="00C938CF"/>
    <w:rsid w:val="00C94053"/>
    <w:rsid w:val="00C95020"/>
    <w:rsid w:val="00C9624D"/>
    <w:rsid w:val="00C969DA"/>
    <w:rsid w:val="00C96B8F"/>
    <w:rsid w:val="00C97633"/>
    <w:rsid w:val="00C97EFD"/>
    <w:rsid w:val="00CA04AF"/>
    <w:rsid w:val="00CA0CF6"/>
    <w:rsid w:val="00CA166D"/>
    <w:rsid w:val="00CA2312"/>
    <w:rsid w:val="00CA2C77"/>
    <w:rsid w:val="00CA37D3"/>
    <w:rsid w:val="00CA444F"/>
    <w:rsid w:val="00CA4933"/>
    <w:rsid w:val="00CA5245"/>
    <w:rsid w:val="00CA5957"/>
    <w:rsid w:val="00CA6429"/>
    <w:rsid w:val="00CA71F4"/>
    <w:rsid w:val="00CA7B09"/>
    <w:rsid w:val="00CB0551"/>
    <w:rsid w:val="00CB12A5"/>
    <w:rsid w:val="00CB12CB"/>
    <w:rsid w:val="00CB1CAC"/>
    <w:rsid w:val="00CB1E8A"/>
    <w:rsid w:val="00CB1F17"/>
    <w:rsid w:val="00CB2F2A"/>
    <w:rsid w:val="00CB2FCF"/>
    <w:rsid w:val="00CB3EDC"/>
    <w:rsid w:val="00CB45CE"/>
    <w:rsid w:val="00CB47AF"/>
    <w:rsid w:val="00CB5B1A"/>
    <w:rsid w:val="00CB6B22"/>
    <w:rsid w:val="00CB774C"/>
    <w:rsid w:val="00CB7F5F"/>
    <w:rsid w:val="00CC0013"/>
    <w:rsid w:val="00CC1B39"/>
    <w:rsid w:val="00CC1BFA"/>
    <w:rsid w:val="00CC2E9F"/>
    <w:rsid w:val="00CC35EA"/>
    <w:rsid w:val="00CC3723"/>
    <w:rsid w:val="00CC3762"/>
    <w:rsid w:val="00CC3848"/>
    <w:rsid w:val="00CC4479"/>
    <w:rsid w:val="00CC47F1"/>
    <w:rsid w:val="00CC4B45"/>
    <w:rsid w:val="00CC5FA1"/>
    <w:rsid w:val="00CC60EA"/>
    <w:rsid w:val="00CC6D5E"/>
    <w:rsid w:val="00CC702E"/>
    <w:rsid w:val="00CD0200"/>
    <w:rsid w:val="00CD0A85"/>
    <w:rsid w:val="00CD3968"/>
    <w:rsid w:val="00CD3F77"/>
    <w:rsid w:val="00CD6ADC"/>
    <w:rsid w:val="00CD6E55"/>
    <w:rsid w:val="00CD7193"/>
    <w:rsid w:val="00CE19ED"/>
    <w:rsid w:val="00CE38C8"/>
    <w:rsid w:val="00CE3C4A"/>
    <w:rsid w:val="00CE3F95"/>
    <w:rsid w:val="00CE524F"/>
    <w:rsid w:val="00CE52BC"/>
    <w:rsid w:val="00CE58CC"/>
    <w:rsid w:val="00CE5984"/>
    <w:rsid w:val="00CE6274"/>
    <w:rsid w:val="00CE62AF"/>
    <w:rsid w:val="00CE737A"/>
    <w:rsid w:val="00CE77B6"/>
    <w:rsid w:val="00CE7B57"/>
    <w:rsid w:val="00CF078F"/>
    <w:rsid w:val="00CF1E53"/>
    <w:rsid w:val="00CF2B8D"/>
    <w:rsid w:val="00CF3A1B"/>
    <w:rsid w:val="00CF456B"/>
    <w:rsid w:val="00CF5432"/>
    <w:rsid w:val="00CF5A22"/>
    <w:rsid w:val="00CF5E40"/>
    <w:rsid w:val="00CF625D"/>
    <w:rsid w:val="00D02159"/>
    <w:rsid w:val="00D0262E"/>
    <w:rsid w:val="00D032EF"/>
    <w:rsid w:val="00D03369"/>
    <w:rsid w:val="00D03679"/>
    <w:rsid w:val="00D05E3D"/>
    <w:rsid w:val="00D06139"/>
    <w:rsid w:val="00D06ACD"/>
    <w:rsid w:val="00D10154"/>
    <w:rsid w:val="00D110BD"/>
    <w:rsid w:val="00D1172F"/>
    <w:rsid w:val="00D12711"/>
    <w:rsid w:val="00D12D43"/>
    <w:rsid w:val="00D12E3E"/>
    <w:rsid w:val="00D13664"/>
    <w:rsid w:val="00D13675"/>
    <w:rsid w:val="00D141E1"/>
    <w:rsid w:val="00D14D9B"/>
    <w:rsid w:val="00D15314"/>
    <w:rsid w:val="00D15B48"/>
    <w:rsid w:val="00D17D6C"/>
    <w:rsid w:val="00D2155B"/>
    <w:rsid w:val="00D22BC6"/>
    <w:rsid w:val="00D233BB"/>
    <w:rsid w:val="00D23D11"/>
    <w:rsid w:val="00D244B6"/>
    <w:rsid w:val="00D2754D"/>
    <w:rsid w:val="00D27784"/>
    <w:rsid w:val="00D27B27"/>
    <w:rsid w:val="00D303D0"/>
    <w:rsid w:val="00D3053C"/>
    <w:rsid w:val="00D30D5B"/>
    <w:rsid w:val="00D324A8"/>
    <w:rsid w:val="00D32CA1"/>
    <w:rsid w:val="00D3374B"/>
    <w:rsid w:val="00D33BE9"/>
    <w:rsid w:val="00D33F93"/>
    <w:rsid w:val="00D34767"/>
    <w:rsid w:val="00D357FF"/>
    <w:rsid w:val="00D379D1"/>
    <w:rsid w:val="00D40466"/>
    <w:rsid w:val="00D41170"/>
    <w:rsid w:val="00D424C7"/>
    <w:rsid w:val="00D4368D"/>
    <w:rsid w:val="00D43B2A"/>
    <w:rsid w:val="00D43CF1"/>
    <w:rsid w:val="00D43D83"/>
    <w:rsid w:val="00D44376"/>
    <w:rsid w:val="00D44846"/>
    <w:rsid w:val="00D44A90"/>
    <w:rsid w:val="00D457AD"/>
    <w:rsid w:val="00D465BA"/>
    <w:rsid w:val="00D46FA1"/>
    <w:rsid w:val="00D47575"/>
    <w:rsid w:val="00D47662"/>
    <w:rsid w:val="00D47AFB"/>
    <w:rsid w:val="00D50819"/>
    <w:rsid w:val="00D50BBA"/>
    <w:rsid w:val="00D51F1C"/>
    <w:rsid w:val="00D5243B"/>
    <w:rsid w:val="00D527DC"/>
    <w:rsid w:val="00D533EC"/>
    <w:rsid w:val="00D53BBF"/>
    <w:rsid w:val="00D540CA"/>
    <w:rsid w:val="00D54A3F"/>
    <w:rsid w:val="00D56A95"/>
    <w:rsid w:val="00D56C1E"/>
    <w:rsid w:val="00D6076E"/>
    <w:rsid w:val="00D6247F"/>
    <w:rsid w:val="00D63E5B"/>
    <w:rsid w:val="00D66963"/>
    <w:rsid w:val="00D677B2"/>
    <w:rsid w:val="00D707B8"/>
    <w:rsid w:val="00D70F16"/>
    <w:rsid w:val="00D71B48"/>
    <w:rsid w:val="00D71FC4"/>
    <w:rsid w:val="00D725FD"/>
    <w:rsid w:val="00D72617"/>
    <w:rsid w:val="00D72829"/>
    <w:rsid w:val="00D72EBF"/>
    <w:rsid w:val="00D72F57"/>
    <w:rsid w:val="00D731D3"/>
    <w:rsid w:val="00D74C6F"/>
    <w:rsid w:val="00D7515E"/>
    <w:rsid w:val="00D75781"/>
    <w:rsid w:val="00D75A2B"/>
    <w:rsid w:val="00D75FE5"/>
    <w:rsid w:val="00D7603C"/>
    <w:rsid w:val="00D76A44"/>
    <w:rsid w:val="00D771B2"/>
    <w:rsid w:val="00D815EF"/>
    <w:rsid w:val="00D81949"/>
    <w:rsid w:val="00D81F26"/>
    <w:rsid w:val="00D8207A"/>
    <w:rsid w:val="00D822E2"/>
    <w:rsid w:val="00D83A47"/>
    <w:rsid w:val="00D843F2"/>
    <w:rsid w:val="00D854F0"/>
    <w:rsid w:val="00D85BD8"/>
    <w:rsid w:val="00D86231"/>
    <w:rsid w:val="00D86A21"/>
    <w:rsid w:val="00D87429"/>
    <w:rsid w:val="00D87E48"/>
    <w:rsid w:val="00D912AB"/>
    <w:rsid w:val="00D91923"/>
    <w:rsid w:val="00D92D9D"/>
    <w:rsid w:val="00D93753"/>
    <w:rsid w:val="00D9389A"/>
    <w:rsid w:val="00D946FC"/>
    <w:rsid w:val="00D9571C"/>
    <w:rsid w:val="00D95EA6"/>
    <w:rsid w:val="00D973A2"/>
    <w:rsid w:val="00D97D77"/>
    <w:rsid w:val="00DA164D"/>
    <w:rsid w:val="00DA2396"/>
    <w:rsid w:val="00DA3167"/>
    <w:rsid w:val="00DA4DC3"/>
    <w:rsid w:val="00DA5747"/>
    <w:rsid w:val="00DA62B4"/>
    <w:rsid w:val="00DA64B0"/>
    <w:rsid w:val="00DA77A5"/>
    <w:rsid w:val="00DA7814"/>
    <w:rsid w:val="00DB0304"/>
    <w:rsid w:val="00DB0E36"/>
    <w:rsid w:val="00DB134C"/>
    <w:rsid w:val="00DB2723"/>
    <w:rsid w:val="00DB38E8"/>
    <w:rsid w:val="00DB3D75"/>
    <w:rsid w:val="00DB3DBF"/>
    <w:rsid w:val="00DB484F"/>
    <w:rsid w:val="00DB4F67"/>
    <w:rsid w:val="00DB6DB8"/>
    <w:rsid w:val="00DB7310"/>
    <w:rsid w:val="00DC04F6"/>
    <w:rsid w:val="00DC0690"/>
    <w:rsid w:val="00DC1D65"/>
    <w:rsid w:val="00DC25B3"/>
    <w:rsid w:val="00DC3857"/>
    <w:rsid w:val="00DC3C57"/>
    <w:rsid w:val="00DC5501"/>
    <w:rsid w:val="00DC5DE4"/>
    <w:rsid w:val="00DC6CE0"/>
    <w:rsid w:val="00DC7154"/>
    <w:rsid w:val="00DC7E8A"/>
    <w:rsid w:val="00DD0F78"/>
    <w:rsid w:val="00DD273C"/>
    <w:rsid w:val="00DD3F28"/>
    <w:rsid w:val="00DD3F90"/>
    <w:rsid w:val="00DD4446"/>
    <w:rsid w:val="00DD4537"/>
    <w:rsid w:val="00DD46C0"/>
    <w:rsid w:val="00DD4E15"/>
    <w:rsid w:val="00DD6C91"/>
    <w:rsid w:val="00DD6F2C"/>
    <w:rsid w:val="00DD7BA7"/>
    <w:rsid w:val="00DE09A4"/>
    <w:rsid w:val="00DE12CA"/>
    <w:rsid w:val="00DE1937"/>
    <w:rsid w:val="00DE1CF2"/>
    <w:rsid w:val="00DE2304"/>
    <w:rsid w:val="00DE3138"/>
    <w:rsid w:val="00DE37F8"/>
    <w:rsid w:val="00DE413B"/>
    <w:rsid w:val="00DE4273"/>
    <w:rsid w:val="00DE4FCB"/>
    <w:rsid w:val="00DE51BD"/>
    <w:rsid w:val="00DE5504"/>
    <w:rsid w:val="00DE5D07"/>
    <w:rsid w:val="00DE64CD"/>
    <w:rsid w:val="00DE72A7"/>
    <w:rsid w:val="00DE7832"/>
    <w:rsid w:val="00DF18FC"/>
    <w:rsid w:val="00DF1D9A"/>
    <w:rsid w:val="00DF1FE3"/>
    <w:rsid w:val="00DF22F6"/>
    <w:rsid w:val="00DF23CA"/>
    <w:rsid w:val="00DF2638"/>
    <w:rsid w:val="00DF2C6A"/>
    <w:rsid w:val="00DF3F90"/>
    <w:rsid w:val="00DF55E5"/>
    <w:rsid w:val="00DF5D2B"/>
    <w:rsid w:val="00DF6341"/>
    <w:rsid w:val="00DF7B27"/>
    <w:rsid w:val="00E00422"/>
    <w:rsid w:val="00E00A1E"/>
    <w:rsid w:val="00E00E8E"/>
    <w:rsid w:val="00E015C2"/>
    <w:rsid w:val="00E02502"/>
    <w:rsid w:val="00E0387A"/>
    <w:rsid w:val="00E03FE3"/>
    <w:rsid w:val="00E0440F"/>
    <w:rsid w:val="00E04A9B"/>
    <w:rsid w:val="00E04D59"/>
    <w:rsid w:val="00E05630"/>
    <w:rsid w:val="00E05E71"/>
    <w:rsid w:val="00E06696"/>
    <w:rsid w:val="00E06DBB"/>
    <w:rsid w:val="00E10149"/>
    <w:rsid w:val="00E11340"/>
    <w:rsid w:val="00E120D6"/>
    <w:rsid w:val="00E122A1"/>
    <w:rsid w:val="00E132FE"/>
    <w:rsid w:val="00E13B7B"/>
    <w:rsid w:val="00E13B8F"/>
    <w:rsid w:val="00E140AE"/>
    <w:rsid w:val="00E16372"/>
    <w:rsid w:val="00E16AD8"/>
    <w:rsid w:val="00E17652"/>
    <w:rsid w:val="00E17FFA"/>
    <w:rsid w:val="00E20E4D"/>
    <w:rsid w:val="00E20ED6"/>
    <w:rsid w:val="00E21358"/>
    <w:rsid w:val="00E2249B"/>
    <w:rsid w:val="00E2298C"/>
    <w:rsid w:val="00E22A0D"/>
    <w:rsid w:val="00E22B1E"/>
    <w:rsid w:val="00E2300C"/>
    <w:rsid w:val="00E244F6"/>
    <w:rsid w:val="00E2460E"/>
    <w:rsid w:val="00E2468B"/>
    <w:rsid w:val="00E258DB"/>
    <w:rsid w:val="00E2771E"/>
    <w:rsid w:val="00E311EF"/>
    <w:rsid w:val="00E32180"/>
    <w:rsid w:val="00E325F2"/>
    <w:rsid w:val="00E32A48"/>
    <w:rsid w:val="00E33A42"/>
    <w:rsid w:val="00E34948"/>
    <w:rsid w:val="00E3696E"/>
    <w:rsid w:val="00E36EBA"/>
    <w:rsid w:val="00E37569"/>
    <w:rsid w:val="00E401B2"/>
    <w:rsid w:val="00E405ED"/>
    <w:rsid w:val="00E4113D"/>
    <w:rsid w:val="00E41E30"/>
    <w:rsid w:val="00E41FCF"/>
    <w:rsid w:val="00E425B4"/>
    <w:rsid w:val="00E42692"/>
    <w:rsid w:val="00E42F73"/>
    <w:rsid w:val="00E4353D"/>
    <w:rsid w:val="00E43D70"/>
    <w:rsid w:val="00E463AC"/>
    <w:rsid w:val="00E466F3"/>
    <w:rsid w:val="00E46E97"/>
    <w:rsid w:val="00E47B2C"/>
    <w:rsid w:val="00E51138"/>
    <w:rsid w:val="00E51560"/>
    <w:rsid w:val="00E51821"/>
    <w:rsid w:val="00E51D5A"/>
    <w:rsid w:val="00E53FC8"/>
    <w:rsid w:val="00E5402A"/>
    <w:rsid w:val="00E54347"/>
    <w:rsid w:val="00E54522"/>
    <w:rsid w:val="00E55424"/>
    <w:rsid w:val="00E55915"/>
    <w:rsid w:val="00E55BB5"/>
    <w:rsid w:val="00E56150"/>
    <w:rsid w:val="00E605FF"/>
    <w:rsid w:val="00E60AFC"/>
    <w:rsid w:val="00E611DF"/>
    <w:rsid w:val="00E62BD8"/>
    <w:rsid w:val="00E62DEB"/>
    <w:rsid w:val="00E636B0"/>
    <w:rsid w:val="00E65E79"/>
    <w:rsid w:val="00E66574"/>
    <w:rsid w:val="00E66B9F"/>
    <w:rsid w:val="00E66BA2"/>
    <w:rsid w:val="00E67416"/>
    <w:rsid w:val="00E70C61"/>
    <w:rsid w:val="00E711FD"/>
    <w:rsid w:val="00E718B6"/>
    <w:rsid w:val="00E722AB"/>
    <w:rsid w:val="00E723BA"/>
    <w:rsid w:val="00E73581"/>
    <w:rsid w:val="00E7366A"/>
    <w:rsid w:val="00E73715"/>
    <w:rsid w:val="00E77471"/>
    <w:rsid w:val="00E77E4E"/>
    <w:rsid w:val="00E77F63"/>
    <w:rsid w:val="00E80F55"/>
    <w:rsid w:val="00E81DBB"/>
    <w:rsid w:val="00E82186"/>
    <w:rsid w:val="00E833F7"/>
    <w:rsid w:val="00E83BDF"/>
    <w:rsid w:val="00E86332"/>
    <w:rsid w:val="00E86E81"/>
    <w:rsid w:val="00E86FCC"/>
    <w:rsid w:val="00E87A1D"/>
    <w:rsid w:val="00E9094A"/>
    <w:rsid w:val="00E91658"/>
    <w:rsid w:val="00E91C64"/>
    <w:rsid w:val="00E91D35"/>
    <w:rsid w:val="00E926A5"/>
    <w:rsid w:val="00E93A5B"/>
    <w:rsid w:val="00E9416B"/>
    <w:rsid w:val="00E94274"/>
    <w:rsid w:val="00E9437A"/>
    <w:rsid w:val="00E9483B"/>
    <w:rsid w:val="00E962CC"/>
    <w:rsid w:val="00E97D04"/>
    <w:rsid w:val="00EA091C"/>
    <w:rsid w:val="00EA17C3"/>
    <w:rsid w:val="00EA1BB8"/>
    <w:rsid w:val="00EA2CAA"/>
    <w:rsid w:val="00EA3864"/>
    <w:rsid w:val="00EA3995"/>
    <w:rsid w:val="00EA3D6A"/>
    <w:rsid w:val="00EA4723"/>
    <w:rsid w:val="00EA53B4"/>
    <w:rsid w:val="00EA623C"/>
    <w:rsid w:val="00EA7F1C"/>
    <w:rsid w:val="00EB0B89"/>
    <w:rsid w:val="00EB15B6"/>
    <w:rsid w:val="00EB181F"/>
    <w:rsid w:val="00EB35F0"/>
    <w:rsid w:val="00EB3A63"/>
    <w:rsid w:val="00EB3D06"/>
    <w:rsid w:val="00EB3FA4"/>
    <w:rsid w:val="00EB4916"/>
    <w:rsid w:val="00EB57AE"/>
    <w:rsid w:val="00EB5D9B"/>
    <w:rsid w:val="00EB5DB3"/>
    <w:rsid w:val="00EB7A7A"/>
    <w:rsid w:val="00EC00C9"/>
    <w:rsid w:val="00EC0C30"/>
    <w:rsid w:val="00EC0DD9"/>
    <w:rsid w:val="00EC131E"/>
    <w:rsid w:val="00EC2257"/>
    <w:rsid w:val="00EC2649"/>
    <w:rsid w:val="00EC31ED"/>
    <w:rsid w:val="00EC45E9"/>
    <w:rsid w:val="00EC47CC"/>
    <w:rsid w:val="00EC5836"/>
    <w:rsid w:val="00EC5C45"/>
    <w:rsid w:val="00EC679B"/>
    <w:rsid w:val="00EC688C"/>
    <w:rsid w:val="00ED0CBB"/>
    <w:rsid w:val="00ED12E3"/>
    <w:rsid w:val="00ED1D70"/>
    <w:rsid w:val="00ED245D"/>
    <w:rsid w:val="00ED307B"/>
    <w:rsid w:val="00ED4B04"/>
    <w:rsid w:val="00ED4FCC"/>
    <w:rsid w:val="00ED57EA"/>
    <w:rsid w:val="00ED5BD4"/>
    <w:rsid w:val="00ED5BF0"/>
    <w:rsid w:val="00ED5C93"/>
    <w:rsid w:val="00EE0388"/>
    <w:rsid w:val="00EE07D3"/>
    <w:rsid w:val="00EE0A20"/>
    <w:rsid w:val="00EE15DB"/>
    <w:rsid w:val="00EE1996"/>
    <w:rsid w:val="00EE1C01"/>
    <w:rsid w:val="00EE22AF"/>
    <w:rsid w:val="00EE2F43"/>
    <w:rsid w:val="00EE3A52"/>
    <w:rsid w:val="00EE50FC"/>
    <w:rsid w:val="00EE5A94"/>
    <w:rsid w:val="00EE5C5A"/>
    <w:rsid w:val="00EE62E0"/>
    <w:rsid w:val="00EE6544"/>
    <w:rsid w:val="00EE735E"/>
    <w:rsid w:val="00EE7437"/>
    <w:rsid w:val="00EF0171"/>
    <w:rsid w:val="00EF07E9"/>
    <w:rsid w:val="00EF1B25"/>
    <w:rsid w:val="00EF1DA0"/>
    <w:rsid w:val="00EF20D6"/>
    <w:rsid w:val="00EF210E"/>
    <w:rsid w:val="00EF4025"/>
    <w:rsid w:val="00EF4747"/>
    <w:rsid w:val="00EF4BF8"/>
    <w:rsid w:val="00EF575F"/>
    <w:rsid w:val="00EF5ECE"/>
    <w:rsid w:val="00F013B8"/>
    <w:rsid w:val="00F019F9"/>
    <w:rsid w:val="00F02253"/>
    <w:rsid w:val="00F0283C"/>
    <w:rsid w:val="00F03C2E"/>
    <w:rsid w:val="00F04201"/>
    <w:rsid w:val="00F0433A"/>
    <w:rsid w:val="00F0447B"/>
    <w:rsid w:val="00F04A66"/>
    <w:rsid w:val="00F04B4B"/>
    <w:rsid w:val="00F0516C"/>
    <w:rsid w:val="00F05FD0"/>
    <w:rsid w:val="00F067A2"/>
    <w:rsid w:val="00F06AE9"/>
    <w:rsid w:val="00F06BBA"/>
    <w:rsid w:val="00F07B9E"/>
    <w:rsid w:val="00F1116F"/>
    <w:rsid w:val="00F115BF"/>
    <w:rsid w:val="00F1173E"/>
    <w:rsid w:val="00F1263A"/>
    <w:rsid w:val="00F12F41"/>
    <w:rsid w:val="00F13607"/>
    <w:rsid w:val="00F139C5"/>
    <w:rsid w:val="00F13A59"/>
    <w:rsid w:val="00F14374"/>
    <w:rsid w:val="00F148A6"/>
    <w:rsid w:val="00F14B22"/>
    <w:rsid w:val="00F15B77"/>
    <w:rsid w:val="00F15D7A"/>
    <w:rsid w:val="00F15E6D"/>
    <w:rsid w:val="00F16288"/>
    <w:rsid w:val="00F175B3"/>
    <w:rsid w:val="00F20E29"/>
    <w:rsid w:val="00F21236"/>
    <w:rsid w:val="00F225C6"/>
    <w:rsid w:val="00F227AB"/>
    <w:rsid w:val="00F232A5"/>
    <w:rsid w:val="00F239DF"/>
    <w:rsid w:val="00F24837"/>
    <w:rsid w:val="00F248EF"/>
    <w:rsid w:val="00F2575F"/>
    <w:rsid w:val="00F25A81"/>
    <w:rsid w:val="00F26598"/>
    <w:rsid w:val="00F26D53"/>
    <w:rsid w:val="00F27565"/>
    <w:rsid w:val="00F302A7"/>
    <w:rsid w:val="00F310D4"/>
    <w:rsid w:val="00F314A2"/>
    <w:rsid w:val="00F31D5A"/>
    <w:rsid w:val="00F33975"/>
    <w:rsid w:val="00F33A87"/>
    <w:rsid w:val="00F33DE9"/>
    <w:rsid w:val="00F35E6D"/>
    <w:rsid w:val="00F3619A"/>
    <w:rsid w:val="00F36BCA"/>
    <w:rsid w:val="00F376B5"/>
    <w:rsid w:val="00F37CE7"/>
    <w:rsid w:val="00F40AAA"/>
    <w:rsid w:val="00F40BA7"/>
    <w:rsid w:val="00F40BD3"/>
    <w:rsid w:val="00F40F9D"/>
    <w:rsid w:val="00F41ACD"/>
    <w:rsid w:val="00F42D25"/>
    <w:rsid w:val="00F43044"/>
    <w:rsid w:val="00F4323B"/>
    <w:rsid w:val="00F4374A"/>
    <w:rsid w:val="00F44623"/>
    <w:rsid w:val="00F44B91"/>
    <w:rsid w:val="00F45528"/>
    <w:rsid w:val="00F46CB6"/>
    <w:rsid w:val="00F4756D"/>
    <w:rsid w:val="00F47DE8"/>
    <w:rsid w:val="00F51BE6"/>
    <w:rsid w:val="00F51C69"/>
    <w:rsid w:val="00F54111"/>
    <w:rsid w:val="00F542C1"/>
    <w:rsid w:val="00F550E3"/>
    <w:rsid w:val="00F55E73"/>
    <w:rsid w:val="00F55EDA"/>
    <w:rsid w:val="00F56C80"/>
    <w:rsid w:val="00F60092"/>
    <w:rsid w:val="00F61006"/>
    <w:rsid w:val="00F61888"/>
    <w:rsid w:val="00F61C18"/>
    <w:rsid w:val="00F63165"/>
    <w:rsid w:val="00F640AE"/>
    <w:rsid w:val="00F65307"/>
    <w:rsid w:val="00F65F4B"/>
    <w:rsid w:val="00F67A69"/>
    <w:rsid w:val="00F67E4C"/>
    <w:rsid w:val="00F705CA"/>
    <w:rsid w:val="00F70BFF"/>
    <w:rsid w:val="00F70C9D"/>
    <w:rsid w:val="00F70EAB"/>
    <w:rsid w:val="00F727CA"/>
    <w:rsid w:val="00F73DF9"/>
    <w:rsid w:val="00F73E08"/>
    <w:rsid w:val="00F7473E"/>
    <w:rsid w:val="00F74CD9"/>
    <w:rsid w:val="00F77C86"/>
    <w:rsid w:val="00F807A7"/>
    <w:rsid w:val="00F80A7B"/>
    <w:rsid w:val="00F80E5D"/>
    <w:rsid w:val="00F81695"/>
    <w:rsid w:val="00F818DD"/>
    <w:rsid w:val="00F81E78"/>
    <w:rsid w:val="00F82D81"/>
    <w:rsid w:val="00F83916"/>
    <w:rsid w:val="00F84A5F"/>
    <w:rsid w:val="00F851CE"/>
    <w:rsid w:val="00F85905"/>
    <w:rsid w:val="00F87D1E"/>
    <w:rsid w:val="00F9035B"/>
    <w:rsid w:val="00F90EFE"/>
    <w:rsid w:val="00F91219"/>
    <w:rsid w:val="00F91B72"/>
    <w:rsid w:val="00F92444"/>
    <w:rsid w:val="00F9393E"/>
    <w:rsid w:val="00F9507D"/>
    <w:rsid w:val="00F96FD0"/>
    <w:rsid w:val="00F97A78"/>
    <w:rsid w:val="00FA034A"/>
    <w:rsid w:val="00FA0B20"/>
    <w:rsid w:val="00FA19C2"/>
    <w:rsid w:val="00FA24E7"/>
    <w:rsid w:val="00FA420E"/>
    <w:rsid w:val="00FA454B"/>
    <w:rsid w:val="00FA5EE6"/>
    <w:rsid w:val="00FA7956"/>
    <w:rsid w:val="00FB00E5"/>
    <w:rsid w:val="00FB0824"/>
    <w:rsid w:val="00FB1FB7"/>
    <w:rsid w:val="00FB2FCB"/>
    <w:rsid w:val="00FB370A"/>
    <w:rsid w:val="00FB4C9C"/>
    <w:rsid w:val="00FB4EE9"/>
    <w:rsid w:val="00FB565F"/>
    <w:rsid w:val="00FB7C55"/>
    <w:rsid w:val="00FC0895"/>
    <w:rsid w:val="00FC0EAC"/>
    <w:rsid w:val="00FC1074"/>
    <w:rsid w:val="00FC1884"/>
    <w:rsid w:val="00FC24BD"/>
    <w:rsid w:val="00FC34C8"/>
    <w:rsid w:val="00FC371D"/>
    <w:rsid w:val="00FC4D09"/>
    <w:rsid w:val="00FC5478"/>
    <w:rsid w:val="00FC5549"/>
    <w:rsid w:val="00FC5F0B"/>
    <w:rsid w:val="00FC7491"/>
    <w:rsid w:val="00FD0AFA"/>
    <w:rsid w:val="00FD1293"/>
    <w:rsid w:val="00FD2100"/>
    <w:rsid w:val="00FD436C"/>
    <w:rsid w:val="00FD446D"/>
    <w:rsid w:val="00FD4F2C"/>
    <w:rsid w:val="00FD512F"/>
    <w:rsid w:val="00FD6394"/>
    <w:rsid w:val="00FD7148"/>
    <w:rsid w:val="00FD7B37"/>
    <w:rsid w:val="00FE0E6C"/>
    <w:rsid w:val="00FE1C22"/>
    <w:rsid w:val="00FE1CDC"/>
    <w:rsid w:val="00FE1D02"/>
    <w:rsid w:val="00FE3632"/>
    <w:rsid w:val="00FE38C4"/>
    <w:rsid w:val="00FE3B48"/>
    <w:rsid w:val="00FE3BB6"/>
    <w:rsid w:val="00FE5DBA"/>
    <w:rsid w:val="00FE70C3"/>
    <w:rsid w:val="00FF1A8B"/>
    <w:rsid w:val="00FF2AD9"/>
    <w:rsid w:val="00FF359F"/>
    <w:rsid w:val="00FF3DCF"/>
    <w:rsid w:val="00FF492C"/>
    <w:rsid w:val="00FF4A21"/>
    <w:rsid w:val="00FF5AA3"/>
    <w:rsid w:val="00FF5AD8"/>
    <w:rsid w:val="00FF797A"/>
    <w:rsid w:val="00FF79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165"/>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Conclusion box,Table Grid nm"/>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A47D55"/>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FE3B48"/>
    <w:pPr>
      <w:keepNext/>
      <w:numPr>
        <w:numId w:val="15"/>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FE3B48"/>
    <w:pPr>
      <w:keepNext/>
      <w:spacing w:before="120" w:after="16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FE3B4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F63165"/>
    <w:pPr>
      <w:numPr>
        <w:ilvl w:val="1"/>
        <w:numId w:val="15"/>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F63165"/>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2"/>
      </w:numPr>
      <w:contextualSpacing/>
    </w:pPr>
  </w:style>
  <w:style w:type="character" w:customStyle="1" w:styleId="TableTextChar0">
    <w:name w:val="Table Text Char"/>
    <w:basedOn w:val="DefaultParagraphFont"/>
    <w:link w:val="TableText0"/>
    <w:rsid w:val="00A47D55"/>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D324A8"/>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D324A8"/>
    <w:rPr>
      <w:rFonts w:ascii="Arial Narrow" w:hAnsi="Arial Narrow" w:cs="Arial"/>
      <w:snapToGrid w:val="0"/>
      <w:sz w:val="18"/>
      <w:szCs w:val="22"/>
    </w:rPr>
  </w:style>
  <w:style w:type="paragraph" w:customStyle="1" w:styleId="BodyTextES">
    <w:name w:val="Body Text ES"/>
    <w:basedOn w:val="Normal"/>
    <w:link w:val="BodyTextESChar"/>
    <w:qFormat/>
    <w:rsid w:val="00986E1F"/>
    <w:pPr>
      <w:spacing w:before="60" w:after="160"/>
    </w:pPr>
    <w:rPr>
      <w:rFonts w:ascii="Arial" w:hAnsi="Arial"/>
      <w:sz w:val="22"/>
      <w:lang w:eastAsia="en-GB"/>
    </w:rPr>
  </w:style>
  <w:style w:type="character" w:customStyle="1" w:styleId="BodyTextESChar">
    <w:name w:val="Body Text ES Char"/>
    <w:basedOn w:val="DefaultParagraphFont"/>
    <w:link w:val="BodyTextES"/>
    <w:rsid w:val="00986E1F"/>
    <w:rPr>
      <w:rFonts w:ascii="Arial" w:hAnsi="Arial" w:cs="Arial"/>
      <w:sz w:val="22"/>
      <w:szCs w:val="24"/>
      <w:lang w:eastAsia="en-GB"/>
    </w:rPr>
  </w:style>
  <w:style w:type="paragraph" w:customStyle="1" w:styleId="PBACTblFignote">
    <w:name w:val="PBAC Tbl/Fig note"/>
    <w:qFormat/>
    <w:rsid w:val="00A666C8"/>
    <w:pPr>
      <w:keepNext/>
      <w:keepLines/>
      <w:spacing w:after="360"/>
      <w:contextualSpacing/>
      <w:textboxTightWrap w:val="allLines"/>
    </w:pPr>
    <w:rPr>
      <w:rFonts w:ascii="Arial Narrow" w:hAnsi="Arial Narrow" w:cs="Arial"/>
      <w:sz w:val="18"/>
      <w:szCs w:val="24"/>
      <w:lang w:eastAsia="en-GB"/>
    </w:rPr>
  </w:style>
  <w:style w:type="paragraph" w:customStyle="1" w:styleId="PBACTabletext">
    <w:name w:val="PBAC Table text"/>
    <w:qFormat/>
    <w:rsid w:val="00A666C8"/>
    <w:pPr>
      <w:keepNext/>
      <w:keepLines/>
      <w:suppressLineNumbers/>
      <w:spacing w:after="20"/>
      <w:textboxTightWrap w:val="allLines"/>
    </w:pPr>
    <w:rPr>
      <w:rFonts w:ascii="Arial Narrow" w:hAnsi="Arial Narrow" w:cs="Arial"/>
      <w:szCs w:val="24"/>
      <w:lang w:eastAsia="en-GB"/>
    </w:rPr>
  </w:style>
  <w:style w:type="paragraph" w:styleId="FootnoteText">
    <w:name w:val="footnote text"/>
    <w:basedOn w:val="Normal"/>
    <w:link w:val="FootnoteTextChar"/>
    <w:semiHidden/>
    <w:unhideWhenUsed/>
    <w:rsid w:val="00F14B22"/>
    <w:rPr>
      <w:sz w:val="20"/>
      <w:szCs w:val="20"/>
    </w:rPr>
  </w:style>
  <w:style w:type="character" w:customStyle="1" w:styleId="FootnoteTextChar">
    <w:name w:val="Footnote Text Char"/>
    <w:basedOn w:val="DefaultParagraphFont"/>
    <w:link w:val="FootnoteText"/>
    <w:semiHidden/>
    <w:rsid w:val="00F14B22"/>
    <w:rPr>
      <w:rFonts w:ascii="Calibri" w:hAnsi="Calibri" w:cs="Arial"/>
    </w:rPr>
  </w:style>
  <w:style w:type="character" w:styleId="FootnoteReference">
    <w:name w:val="footnote reference"/>
    <w:basedOn w:val="DefaultParagraphFont"/>
    <w:semiHidden/>
    <w:unhideWhenUsed/>
    <w:rsid w:val="00F14B22"/>
    <w:rPr>
      <w:vertAlign w:val="superscript"/>
    </w:rPr>
  </w:style>
  <w:style w:type="character" w:styleId="UnresolvedMention">
    <w:name w:val="Unresolved Mention"/>
    <w:basedOn w:val="DefaultParagraphFont"/>
    <w:uiPriority w:val="99"/>
    <w:semiHidden/>
    <w:unhideWhenUsed/>
    <w:rsid w:val="00A10587"/>
    <w:rPr>
      <w:color w:val="605E5C"/>
      <w:shd w:val="clear" w:color="auto" w:fill="E1DFDD"/>
    </w:rPr>
  </w:style>
  <w:style w:type="table" w:customStyle="1" w:styleId="ASDTable2">
    <w:name w:val="ASD Table2"/>
    <w:basedOn w:val="TableNormal"/>
    <w:next w:val="TableGrid"/>
    <w:uiPriority w:val="39"/>
    <w:rsid w:val="00E33A42"/>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Normal"/>
    <w:link w:val="TablenotesCharChar"/>
    <w:qFormat/>
    <w:rsid w:val="005D0853"/>
    <w:pPr>
      <w:keepNext/>
      <w:keepLines/>
      <w:spacing w:after="360"/>
      <w:contextualSpacing/>
      <w:jc w:val="left"/>
    </w:pPr>
    <w:rPr>
      <w:rFonts w:ascii="Arial Narrow" w:hAnsi="Arial Narrow" w:cs="Times New Roman"/>
      <w:sz w:val="16"/>
      <w:szCs w:val="22"/>
      <w:lang w:eastAsia="en-US"/>
    </w:rPr>
  </w:style>
  <w:style w:type="character" w:customStyle="1" w:styleId="TablenotesCharChar">
    <w:name w:val="Table notes Char Char"/>
    <w:link w:val="Tablenotes"/>
    <w:locked/>
    <w:rsid w:val="005D0853"/>
    <w:rPr>
      <w:rFonts w:ascii="Arial Narrow" w:hAnsi="Arial Narrow"/>
      <w:sz w:val="16"/>
      <w:szCs w:val="22"/>
      <w:lang w:eastAsia="en-US"/>
    </w:rPr>
  </w:style>
  <w:style w:type="character" w:customStyle="1" w:styleId="apple-converted-space">
    <w:name w:val="apple-converted-space"/>
    <w:basedOn w:val="DefaultParagraphFont"/>
    <w:rsid w:val="00F87D1E"/>
  </w:style>
  <w:style w:type="character" w:customStyle="1" w:styleId="font">
    <w:name w:val="font"/>
    <w:basedOn w:val="DefaultParagraphFont"/>
    <w:rsid w:val="00647F0C"/>
  </w:style>
  <w:style w:type="paragraph" w:customStyle="1" w:styleId="headinganchor">
    <w:name w:val="headinganchor"/>
    <w:basedOn w:val="Normal"/>
    <w:rsid w:val="00080420"/>
    <w:pPr>
      <w:spacing w:before="100" w:beforeAutospacing="1" w:after="100" w:afterAutospacing="1"/>
      <w:jc w:val="left"/>
    </w:pPr>
    <w:rPr>
      <w:rFonts w:ascii="Times New Roman" w:hAnsi="Times New Roman" w:cs="Times New Roman"/>
    </w:rPr>
  </w:style>
  <w:style w:type="character" w:customStyle="1" w:styleId="h2">
    <w:name w:val="h2"/>
    <w:basedOn w:val="DefaultParagraphFont"/>
    <w:rsid w:val="00080420"/>
  </w:style>
  <w:style w:type="character" w:customStyle="1" w:styleId="headingendmark">
    <w:name w:val="headingendmark"/>
    <w:basedOn w:val="DefaultParagraphFont"/>
    <w:rsid w:val="00080420"/>
  </w:style>
  <w:style w:type="paragraph" w:customStyle="1" w:styleId="bulletindent1">
    <w:name w:val="bulletindent1"/>
    <w:basedOn w:val="Normal"/>
    <w:rsid w:val="00080420"/>
    <w:pPr>
      <w:spacing w:before="100" w:beforeAutospacing="1" w:after="100" w:afterAutospacing="1"/>
      <w:jc w:val="left"/>
    </w:pPr>
    <w:rPr>
      <w:rFonts w:ascii="Times New Roman" w:hAnsi="Times New Roman" w:cs="Times New Roman"/>
    </w:rPr>
  </w:style>
  <w:style w:type="character" w:customStyle="1" w:styleId="glyph">
    <w:name w:val="glyph"/>
    <w:basedOn w:val="DefaultParagraphFont"/>
    <w:rsid w:val="00080420"/>
  </w:style>
  <w:style w:type="paragraph" w:customStyle="1" w:styleId="EndNoteBibliographyTitle">
    <w:name w:val="EndNote Bibliography Title"/>
    <w:basedOn w:val="Normal"/>
    <w:link w:val="EndNoteBibliographyTitleChar"/>
    <w:semiHidden/>
    <w:rsid w:val="007D6D9B"/>
    <w:pPr>
      <w:spacing w:after="240" w:line="276" w:lineRule="auto"/>
      <w:jc w:val="center"/>
    </w:pPr>
    <w:rPr>
      <w:noProof/>
      <w:sz w:val="22"/>
      <w:lang w:eastAsia="en-GB"/>
    </w:rPr>
  </w:style>
  <w:style w:type="character" w:customStyle="1" w:styleId="EndNoteBibliographyTitleChar">
    <w:name w:val="EndNote Bibliography Title Char"/>
    <w:basedOn w:val="DefaultParagraphFont"/>
    <w:link w:val="EndNoteBibliographyTitle"/>
    <w:semiHidden/>
    <w:rsid w:val="007D6D9B"/>
    <w:rPr>
      <w:rFonts w:ascii="Calibri" w:hAnsi="Calibri" w:cs="Arial"/>
      <w:noProof/>
      <w:sz w:val="22"/>
      <w:szCs w:val="24"/>
      <w:lang w:eastAsia="en-GB"/>
    </w:rPr>
  </w:style>
  <w:style w:type="character" w:styleId="Mention">
    <w:name w:val="Mention"/>
    <w:basedOn w:val="DefaultParagraphFont"/>
    <w:uiPriority w:val="99"/>
    <w:unhideWhenUsed/>
    <w:rsid w:val="006E4944"/>
    <w:rPr>
      <w:color w:val="2B579A"/>
      <w:shd w:val="clear" w:color="auto" w:fill="E1DFDD"/>
    </w:rPr>
  </w:style>
  <w:style w:type="character" w:customStyle="1" w:styleId="cf01">
    <w:name w:val="cf01"/>
    <w:basedOn w:val="DefaultParagraphFont"/>
    <w:rsid w:val="00594EC7"/>
    <w:rPr>
      <w:rFonts w:ascii="Segoe UI" w:hAnsi="Segoe UI" w:cs="Segoe UI" w:hint="default"/>
      <w:sz w:val="18"/>
      <w:szCs w:val="18"/>
    </w:rPr>
  </w:style>
  <w:style w:type="character" w:customStyle="1" w:styleId="ui-provider">
    <w:name w:val="ui-provider"/>
    <w:basedOn w:val="DefaultParagraphFont"/>
    <w:rsid w:val="00B545FC"/>
  </w:style>
  <w:style w:type="paragraph" w:customStyle="1" w:styleId="3-SubsectionHeading">
    <w:name w:val="3-Subsection Heading"/>
    <w:basedOn w:val="Heading2"/>
    <w:next w:val="Normal"/>
    <w:link w:val="3-SubsectionHeadingChar"/>
    <w:qFormat/>
    <w:rsid w:val="00BF55FF"/>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F55FF"/>
    <w:rPr>
      <w:rFonts w:asciiTheme="minorHAnsi" w:eastAsiaTheme="majorEastAsia" w:hAnsiTheme="minorHAnsi" w:cstheme="majorBidi"/>
      <w:b/>
      <w:i/>
      <w:snapToGrid/>
      <w:spacing w:val="5"/>
      <w:kern w:val="28"/>
      <w:sz w:val="28"/>
      <w:szCs w:val="36"/>
      <w:lang w:eastAsia="en-US"/>
    </w:rPr>
  </w:style>
  <w:style w:type="paragraph" w:customStyle="1" w:styleId="pf0">
    <w:name w:val="pf0"/>
    <w:basedOn w:val="Normal"/>
    <w:rsid w:val="00852265"/>
    <w:pPr>
      <w:spacing w:before="100" w:beforeAutospacing="1" w:after="100" w:afterAutospacing="1"/>
      <w:jc w:val="left"/>
    </w:pPr>
    <w:rPr>
      <w:rFonts w:ascii="Times New Roman" w:hAnsi="Times New Roman" w:cs="Times New Roman"/>
    </w:rPr>
  </w:style>
  <w:style w:type="character" w:customStyle="1" w:styleId="cf11">
    <w:name w:val="cf11"/>
    <w:basedOn w:val="DefaultParagraphFont"/>
    <w:rsid w:val="00852265"/>
    <w:rPr>
      <w:rFonts w:ascii="Segoe UI" w:hAnsi="Segoe UI" w:cs="Segoe UI" w:hint="default"/>
      <w:sz w:val="18"/>
      <w:szCs w:val="18"/>
    </w:rPr>
  </w:style>
  <w:style w:type="table" w:customStyle="1" w:styleId="TableGridnm1">
    <w:name w:val="Table Grid nm1"/>
    <w:basedOn w:val="TableNormal"/>
    <w:next w:val="TableGrid"/>
    <w:uiPriority w:val="39"/>
    <w:rsid w:val="00F36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4217">
      <w:bodyDiv w:val="1"/>
      <w:marLeft w:val="0"/>
      <w:marRight w:val="0"/>
      <w:marTop w:val="0"/>
      <w:marBottom w:val="0"/>
      <w:divBdr>
        <w:top w:val="none" w:sz="0" w:space="0" w:color="auto"/>
        <w:left w:val="none" w:sz="0" w:space="0" w:color="auto"/>
        <w:bottom w:val="none" w:sz="0" w:space="0" w:color="auto"/>
        <w:right w:val="none" w:sz="0" w:space="0" w:color="auto"/>
      </w:divBdr>
    </w:div>
    <w:div w:id="7991052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827999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3868699">
      <w:bodyDiv w:val="1"/>
      <w:marLeft w:val="0"/>
      <w:marRight w:val="0"/>
      <w:marTop w:val="0"/>
      <w:marBottom w:val="0"/>
      <w:divBdr>
        <w:top w:val="none" w:sz="0" w:space="0" w:color="auto"/>
        <w:left w:val="none" w:sz="0" w:space="0" w:color="auto"/>
        <w:bottom w:val="none" w:sz="0" w:space="0" w:color="auto"/>
        <w:right w:val="none" w:sz="0" w:space="0" w:color="auto"/>
      </w:divBdr>
    </w:div>
    <w:div w:id="120853170">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0850141">
      <w:bodyDiv w:val="1"/>
      <w:marLeft w:val="0"/>
      <w:marRight w:val="0"/>
      <w:marTop w:val="0"/>
      <w:marBottom w:val="0"/>
      <w:divBdr>
        <w:top w:val="none" w:sz="0" w:space="0" w:color="auto"/>
        <w:left w:val="none" w:sz="0" w:space="0" w:color="auto"/>
        <w:bottom w:val="none" w:sz="0" w:space="0" w:color="auto"/>
        <w:right w:val="none" w:sz="0" w:space="0" w:color="auto"/>
      </w:divBdr>
    </w:div>
    <w:div w:id="238516030">
      <w:bodyDiv w:val="1"/>
      <w:marLeft w:val="0"/>
      <w:marRight w:val="0"/>
      <w:marTop w:val="0"/>
      <w:marBottom w:val="0"/>
      <w:divBdr>
        <w:top w:val="none" w:sz="0" w:space="0" w:color="auto"/>
        <w:left w:val="none" w:sz="0" w:space="0" w:color="auto"/>
        <w:bottom w:val="none" w:sz="0" w:space="0" w:color="auto"/>
        <w:right w:val="none" w:sz="0" w:space="0" w:color="auto"/>
      </w:divBdr>
    </w:div>
    <w:div w:id="30585961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5952006">
      <w:bodyDiv w:val="1"/>
      <w:marLeft w:val="0"/>
      <w:marRight w:val="0"/>
      <w:marTop w:val="0"/>
      <w:marBottom w:val="0"/>
      <w:divBdr>
        <w:top w:val="none" w:sz="0" w:space="0" w:color="auto"/>
        <w:left w:val="none" w:sz="0" w:space="0" w:color="auto"/>
        <w:bottom w:val="none" w:sz="0" w:space="0" w:color="auto"/>
        <w:right w:val="none" w:sz="0" w:space="0" w:color="auto"/>
      </w:divBdr>
      <w:divsChild>
        <w:div w:id="345061437">
          <w:marLeft w:val="0"/>
          <w:marRight w:val="0"/>
          <w:marTop w:val="0"/>
          <w:marBottom w:val="0"/>
          <w:divBdr>
            <w:top w:val="none" w:sz="0" w:space="0" w:color="auto"/>
            <w:left w:val="none" w:sz="0" w:space="0" w:color="auto"/>
            <w:bottom w:val="none" w:sz="0" w:space="0" w:color="auto"/>
            <w:right w:val="none" w:sz="0" w:space="0" w:color="auto"/>
          </w:divBdr>
        </w:div>
      </w:divsChild>
    </w:div>
    <w:div w:id="489256170">
      <w:bodyDiv w:val="1"/>
      <w:marLeft w:val="0"/>
      <w:marRight w:val="0"/>
      <w:marTop w:val="0"/>
      <w:marBottom w:val="0"/>
      <w:divBdr>
        <w:top w:val="none" w:sz="0" w:space="0" w:color="auto"/>
        <w:left w:val="none" w:sz="0" w:space="0" w:color="auto"/>
        <w:bottom w:val="none" w:sz="0" w:space="0" w:color="auto"/>
        <w:right w:val="none" w:sz="0" w:space="0" w:color="auto"/>
      </w:divBdr>
    </w:div>
    <w:div w:id="588077911">
      <w:bodyDiv w:val="1"/>
      <w:marLeft w:val="0"/>
      <w:marRight w:val="0"/>
      <w:marTop w:val="0"/>
      <w:marBottom w:val="0"/>
      <w:divBdr>
        <w:top w:val="none" w:sz="0" w:space="0" w:color="auto"/>
        <w:left w:val="none" w:sz="0" w:space="0" w:color="auto"/>
        <w:bottom w:val="none" w:sz="0" w:space="0" w:color="auto"/>
        <w:right w:val="none" w:sz="0" w:space="0" w:color="auto"/>
      </w:divBdr>
      <w:divsChild>
        <w:div w:id="1932200514">
          <w:marLeft w:val="0"/>
          <w:marRight w:val="0"/>
          <w:marTop w:val="0"/>
          <w:marBottom w:val="0"/>
          <w:divBdr>
            <w:top w:val="none" w:sz="0" w:space="0" w:color="auto"/>
            <w:left w:val="none" w:sz="0" w:space="0" w:color="auto"/>
            <w:bottom w:val="none" w:sz="0" w:space="0" w:color="auto"/>
            <w:right w:val="none" w:sz="0" w:space="0" w:color="auto"/>
          </w:divBdr>
        </w:div>
      </w:divsChild>
    </w:div>
    <w:div w:id="594090824">
      <w:bodyDiv w:val="1"/>
      <w:marLeft w:val="0"/>
      <w:marRight w:val="0"/>
      <w:marTop w:val="0"/>
      <w:marBottom w:val="0"/>
      <w:divBdr>
        <w:top w:val="none" w:sz="0" w:space="0" w:color="auto"/>
        <w:left w:val="none" w:sz="0" w:space="0" w:color="auto"/>
        <w:bottom w:val="none" w:sz="0" w:space="0" w:color="auto"/>
        <w:right w:val="none" w:sz="0" w:space="0" w:color="auto"/>
      </w:divBdr>
      <w:divsChild>
        <w:div w:id="1573081775">
          <w:marLeft w:val="0"/>
          <w:marRight w:val="0"/>
          <w:marTop w:val="0"/>
          <w:marBottom w:val="0"/>
          <w:divBdr>
            <w:top w:val="none" w:sz="0" w:space="0" w:color="auto"/>
            <w:left w:val="none" w:sz="0" w:space="0" w:color="auto"/>
            <w:bottom w:val="none" w:sz="0" w:space="0" w:color="auto"/>
            <w:right w:val="none" w:sz="0" w:space="0" w:color="auto"/>
          </w:divBdr>
          <w:divsChild>
            <w:div w:id="1019819007">
              <w:marLeft w:val="0"/>
              <w:marRight w:val="0"/>
              <w:marTop w:val="0"/>
              <w:marBottom w:val="0"/>
              <w:divBdr>
                <w:top w:val="none" w:sz="0" w:space="0" w:color="auto"/>
                <w:left w:val="none" w:sz="0" w:space="0" w:color="auto"/>
                <w:bottom w:val="none" w:sz="0" w:space="0" w:color="auto"/>
                <w:right w:val="none" w:sz="0" w:space="0" w:color="auto"/>
              </w:divBdr>
              <w:divsChild>
                <w:div w:id="7944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78550">
      <w:bodyDiv w:val="1"/>
      <w:marLeft w:val="0"/>
      <w:marRight w:val="0"/>
      <w:marTop w:val="0"/>
      <w:marBottom w:val="0"/>
      <w:divBdr>
        <w:top w:val="none" w:sz="0" w:space="0" w:color="auto"/>
        <w:left w:val="none" w:sz="0" w:space="0" w:color="auto"/>
        <w:bottom w:val="none" w:sz="0" w:space="0" w:color="auto"/>
        <w:right w:val="none" w:sz="0" w:space="0" w:color="auto"/>
      </w:divBdr>
    </w:div>
    <w:div w:id="795567489">
      <w:bodyDiv w:val="1"/>
      <w:marLeft w:val="0"/>
      <w:marRight w:val="0"/>
      <w:marTop w:val="0"/>
      <w:marBottom w:val="0"/>
      <w:divBdr>
        <w:top w:val="none" w:sz="0" w:space="0" w:color="auto"/>
        <w:left w:val="none" w:sz="0" w:space="0" w:color="auto"/>
        <w:bottom w:val="none" w:sz="0" w:space="0" w:color="auto"/>
        <w:right w:val="none" w:sz="0" w:space="0" w:color="auto"/>
      </w:divBdr>
    </w:div>
    <w:div w:id="809712935">
      <w:bodyDiv w:val="1"/>
      <w:marLeft w:val="0"/>
      <w:marRight w:val="0"/>
      <w:marTop w:val="0"/>
      <w:marBottom w:val="0"/>
      <w:divBdr>
        <w:top w:val="none" w:sz="0" w:space="0" w:color="auto"/>
        <w:left w:val="none" w:sz="0" w:space="0" w:color="auto"/>
        <w:bottom w:val="none" w:sz="0" w:space="0" w:color="auto"/>
        <w:right w:val="none" w:sz="0" w:space="0" w:color="auto"/>
      </w:divBdr>
    </w:div>
    <w:div w:id="81992581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7280969">
      <w:bodyDiv w:val="1"/>
      <w:marLeft w:val="0"/>
      <w:marRight w:val="0"/>
      <w:marTop w:val="0"/>
      <w:marBottom w:val="0"/>
      <w:divBdr>
        <w:top w:val="none" w:sz="0" w:space="0" w:color="auto"/>
        <w:left w:val="none" w:sz="0" w:space="0" w:color="auto"/>
        <w:bottom w:val="none" w:sz="0" w:space="0" w:color="auto"/>
        <w:right w:val="none" w:sz="0" w:space="0" w:color="auto"/>
      </w:divBdr>
      <w:divsChild>
        <w:div w:id="1015889894">
          <w:marLeft w:val="0"/>
          <w:marRight w:val="0"/>
          <w:marTop w:val="0"/>
          <w:marBottom w:val="0"/>
          <w:divBdr>
            <w:top w:val="none" w:sz="0" w:space="0" w:color="auto"/>
            <w:left w:val="none" w:sz="0" w:space="0" w:color="auto"/>
            <w:bottom w:val="none" w:sz="0" w:space="0" w:color="auto"/>
            <w:right w:val="none" w:sz="0" w:space="0" w:color="auto"/>
          </w:divBdr>
          <w:divsChild>
            <w:div w:id="1831828240">
              <w:marLeft w:val="0"/>
              <w:marRight w:val="0"/>
              <w:marTop w:val="0"/>
              <w:marBottom w:val="0"/>
              <w:divBdr>
                <w:top w:val="none" w:sz="0" w:space="0" w:color="auto"/>
                <w:left w:val="none" w:sz="0" w:space="0" w:color="auto"/>
                <w:bottom w:val="none" w:sz="0" w:space="0" w:color="auto"/>
                <w:right w:val="none" w:sz="0" w:space="0" w:color="auto"/>
              </w:divBdr>
            </w:div>
            <w:div w:id="1323464512">
              <w:marLeft w:val="0"/>
              <w:marRight w:val="0"/>
              <w:marTop w:val="0"/>
              <w:marBottom w:val="0"/>
              <w:divBdr>
                <w:top w:val="none" w:sz="0" w:space="0" w:color="auto"/>
                <w:left w:val="none" w:sz="0" w:space="0" w:color="auto"/>
                <w:bottom w:val="none" w:sz="0" w:space="0" w:color="auto"/>
                <w:right w:val="none" w:sz="0" w:space="0" w:color="auto"/>
              </w:divBdr>
            </w:div>
            <w:div w:id="124084132">
              <w:marLeft w:val="0"/>
              <w:marRight w:val="0"/>
              <w:marTop w:val="0"/>
              <w:marBottom w:val="0"/>
              <w:divBdr>
                <w:top w:val="none" w:sz="0" w:space="0" w:color="auto"/>
                <w:left w:val="none" w:sz="0" w:space="0" w:color="auto"/>
                <w:bottom w:val="none" w:sz="0" w:space="0" w:color="auto"/>
                <w:right w:val="none" w:sz="0" w:space="0" w:color="auto"/>
              </w:divBdr>
            </w:div>
            <w:div w:id="1981962858">
              <w:marLeft w:val="0"/>
              <w:marRight w:val="0"/>
              <w:marTop w:val="0"/>
              <w:marBottom w:val="0"/>
              <w:divBdr>
                <w:top w:val="none" w:sz="0" w:space="0" w:color="auto"/>
                <w:left w:val="none" w:sz="0" w:space="0" w:color="auto"/>
                <w:bottom w:val="none" w:sz="0" w:space="0" w:color="auto"/>
                <w:right w:val="none" w:sz="0" w:space="0" w:color="auto"/>
              </w:divBdr>
            </w:div>
          </w:divsChild>
        </w:div>
        <w:div w:id="846286125">
          <w:marLeft w:val="0"/>
          <w:marRight w:val="0"/>
          <w:marTop w:val="0"/>
          <w:marBottom w:val="0"/>
          <w:divBdr>
            <w:top w:val="none" w:sz="0" w:space="0" w:color="auto"/>
            <w:left w:val="none" w:sz="0" w:space="0" w:color="auto"/>
            <w:bottom w:val="none" w:sz="0" w:space="0" w:color="auto"/>
            <w:right w:val="none" w:sz="0" w:space="0" w:color="auto"/>
          </w:divBdr>
          <w:divsChild>
            <w:div w:id="581182798">
              <w:marLeft w:val="0"/>
              <w:marRight w:val="0"/>
              <w:marTop w:val="30"/>
              <w:marBottom w:val="30"/>
              <w:divBdr>
                <w:top w:val="none" w:sz="0" w:space="0" w:color="auto"/>
                <w:left w:val="none" w:sz="0" w:space="0" w:color="auto"/>
                <w:bottom w:val="none" w:sz="0" w:space="0" w:color="auto"/>
                <w:right w:val="none" w:sz="0" w:space="0" w:color="auto"/>
              </w:divBdr>
              <w:divsChild>
                <w:div w:id="1850946753">
                  <w:marLeft w:val="0"/>
                  <w:marRight w:val="0"/>
                  <w:marTop w:val="0"/>
                  <w:marBottom w:val="0"/>
                  <w:divBdr>
                    <w:top w:val="none" w:sz="0" w:space="0" w:color="auto"/>
                    <w:left w:val="none" w:sz="0" w:space="0" w:color="auto"/>
                    <w:bottom w:val="none" w:sz="0" w:space="0" w:color="auto"/>
                    <w:right w:val="none" w:sz="0" w:space="0" w:color="auto"/>
                  </w:divBdr>
                  <w:divsChild>
                    <w:div w:id="1940721214">
                      <w:marLeft w:val="0"/>
                      <w:marRight w:val="0"/>
                      <w:marTop w:val="0"/>
                      <w:marBottom w:val="0"/>
                      <w:divBdr>
                        <w:top w:val="none" w:sz="0" w:space="0" w:color="auto"/>
                        <w:left w:val="none" w:sz="0" w:space="0" w:color="auto"/>
                        <w:bottom w:val="none" w:sz="0" w:space="0" w:color="auto"/>
                        <w:right w:val="none" w:sz="0" w:space="0" w:color="auto"/>
                      </w:divBdr>
                    </w:div>
                  </w:divsChild>
                </w:div>
                <w:div w:id="446433430">
                  <w:marLeft w:val="0"/>
                  <w:marRight w:val="0"/>
                  <w:marTop w:val="0"/>
                  <w:marBottom w:val="0"/>
                  <w:divBdr>
                    <w:top w:val="none" w:sz="0" w:space="0" w:color="auto"/>
                    <w:left w:val="none" w:sz="0" w:space="0" w:color="auto"/>
                    <w:bottom w:val="none" w:sz="0" w:space="0" w:color="auto"/>
                    <w:right w:val="none" w:sz="0" w:space="0" w:color="auto"/>
                  </w:divBdr>
                  <w:divsChild>
                    <w:div w:id="17139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66136">
          <w:marLeft w:val="0"/>
          <w:marRight w:val="0"/>
          <w:marTop w:val="0"/>
          <w:marBottom w:val="0"/>
          <w:divBdr>
            <w:top w:val="none" w:sz="0" w:space="0" w:color="auto"/>
            <w:left w:val="none" w:sz="0" w:space="0" w:color="auto"/>
            <w:bottom w:val="none" w:sz="0" w:space="0" w:color="auto"/>
            <w:right w:val="none" w:sz="0" w:space="0" w:color="auto"/>
          </w:divBdr>
          <w:divsChild>
            <w:div w:id="1458836638">
              <w:marLeft w:val="0"/>
              <w:marRight w:val="0"/>
              <w:marTop w:val="0"/>
              <w:marBottom w:val="0"/>
              <w:divBdr>
                <w:top w:val="none" w:sz="0" w:space="0" w:color="auto"/>
                <w:left w:val="none" w:sz="0" w:space="0" w:color="auto"/>
                <w:bottom w:val="none" w:sz="0" w:space="0" w:color="auto"/>
                <w:right w:val="none" w:sz="0" w:space="0" w:color="auto"/>
              </w:divBdr>
            </w:div>
            <w:div w:id="1527475709">
              <w:marLeft w:val="0"/>
              <w:marRight w:val="0"/>
              <w:marTop w:val="0"/>
              <w:marBottom w:val="0"/>
              <w:divBdr>
                <w:top w:val="none" w:sz="0" w:space="0" w:color="auto"/>
                <w:left w:val="none" w:sz="0" w:space="0" w:color="auto"/>
                <w:bottom w:val="none" w:sz="0" w:space="0" w:color="auto"/>
                <w:right w:val="none" w:sz="0" w:space="0" w:color="auto"/>
              </w:divBdr>
            </w:div>
          </w:divsChild>
        </w:div>
        <w:div w:id="1069810349">
          <w:marLeft w:val="0"/>
          <w:marRight w:val="0"/>
          <w:marTop w:val="0"/>
          <w:marBottom w:val="0"/>
          <w:divBdr>
            <w:top w:val="none" w:sz="0" w:space="0" w:color="auto"/>
            <w:left w:val="none" w:sz="0" w:space="0" w:color="auto"/>
            <w:bottom w:val="none" w:sz="0" w:space="0" w:color="auto"/>
            <w:right w:val="none" w:sz="0" w:space="0" w:color="auto"/>
          </w:divBdr>
          <w:divsChild>
            <w:div w:id="257830690">
              <w:marLeft w:val="0"/>
              <w:marRight w:val="0"/>
              <w:marTop w:val="30"/>
              <w:marBottom w:val="30"/>
              <w:divBdr>
                <w:top w:val="none" w:sz="0" w:space="0" w:color="auto"/>
                <w:left w:val="none" w:sz="0" w:space="0" w:color="auto"/>
                <w:bottom w:val="none" w:sz="0" w:space="0" w:color="auto"/>
                <w:right w:val="none" w:sz="0" w:space="0" w:color="auto"/>
              </w:divBdr>
              <w:divsChild>
                <w:div w:id="1841196991">
                  <w:marLeft w:val="0"/>
                  <w:marRight w:val="0"/>
                  <w:marTop w:val="0"/>
                  <w:marBottom w:val="0"/>
                  <w:divBdr>
                    <w:top w:val="none" w:sz="0" w:space="0" w:color="auto"/>
                    <w:left w:val="none" w:sz="0" w:space="0" w:color="auto"/>
                    <w:bottom w:val="none" w:sz="0" w:space="0" w:color="auto"/>
                    <w:right w:val="none" w:sz="0" w:space="0" w:color="auto"/>
                  </w:divBdr>
                  <w:divsChild>
                    <w:div w:id="455948094">
                      <w:marLeft w:val="0"/>
                      <w:marRight w:val="0"/>
                      <w:marTop w:val="0"/>
                      <w:marBottom w:val="0"/>
                      <w:divBdr>
                        <w:top w:val="none" w:sz="0" w:space="0" w:color="auto"/>
                        <w:left w:val="none" w:sz="0" w:space="0" w:color="auto"/>
                        <w:bottom w:val="none" w:sz="0" w:space="0" w:color="auto"/>
                        <w:right w:val="none" w:sz="0" w:space="0" w:color="auto"/>
                      </w:divBdr>
                    </w:div>
                  </w:divsChild>
                </w:div>
                <w:div w:id="720373357">
                  <w:marLeft w:val="0"/>
                  <w:marRight w:val="0"/>
                  <w:marTop w:val="0"/>
                  <w:marBottom w:val="0"/>
                  <w:divBdr>
                    <w:top w:val="none" w:sz="0" w:space="0" w:color="auto"/>
                    <w:left w:val="none" w:sz="0" w:space="0" w:color="auto"/>
                    <w:bottom w:val="none" w:sz="0" w:space="0" w:color="auto"/>
                    <w:right w:val="none" w:sz="0" w:space="0" w:color="auto"/>
                  </w:divBdr>
                  <w:divsChild>
                    <w:div w:id="303433456">
                      <w:marLeft w:val="0"/>
                      <w:marRight w:val="0"/>
                      <w:marTop w:val="0"/>
                      <w:marBottom w:val="0"/>
                      <w:divBdr>
                        <w:top w:val="none" w:sz="0" w:space="0" w:color="auto"/>
                        <w:left w:val="none" w:sz="0" w:space="0" w:color="auto"/>
                        <w:bottom w:val="none" w:sz="0" w:space="0" w:color="auto"/>
                        <w:right w:val="none" w:sz="0" w:space="0" w:color="auto"/>
                      </w:divBdr>
                    </w:div>
                    <w:div w:id="1844395864">
                      <w:marLeft w:val="0"/>
                      <w:marRight w:val="0"/>
                      <w:marTop w:val="0"/>
                      <w:marBottom w:val="0"/>
                      <w:divBdr>
                        <w:top w:val="none" w:sz="0" w:space="0" w:color="auto"/>
                        <w:left w:val="none" w:sz="0" w:space="0" w:color="auto"/>
                        <w:bottom w:val="none" w:sz="0" w:space="0" w:color="auto"/>
                        <w:right w:val="none" w:sz="0" w:space="0" w:color="auto"/>
                      </w:divBdr>
                    </w:div>
                    <w:div w:id="787238998">
                      <w:marLeft w:val="0"/>
                      <w:marRight w:val="0"/>
                      <w:marTop w:val="0"/>
                      <w:marBottom w:val="0"/>
                      <w:divBdr>
                        <w:top w:val="none" w:sz="0" w:space="0" w:color="auto"/>
                        <w:left w:val="none" w:sz="0" w:space="0" w:color="auto"/>
                        <w:bottom w:val="none" w:sz="0" w:space="0" w:color="auto"/>
                        <w:right w:val="none" w:sz="0" w:space="0" w:color="auto"/>
                      </w:divBdr>
                    </w:div>
                    <w:div w:id="1744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342388">
      <w:bodyDiv w:val="1"/>
      <w:marLeft w:val="0"/>
      <w:marRight w:val="0"/>
      <w:marTop w:val="0"/>
      <w:marBottom w:val="0"/>
      <w:divBdr>
        <w:top w:val="none" w:sz="0" w:space="0" w:color="auto"/>
        <w:left w:val="none" w:sz="0" w:space="0" w:color="auto"/>
        <w:bottom w:val="none" w:sz="0" w:space="0" w:color="auto"/>
        <w:right w:val="none" w:sz="0" w:space="0" w:color="auto"/>
      </w:divBdr>
    </w:div>
    <w:div w:id="986587760">
      <w:bodyDiv w:val="1"/>
      <w:marLeft w:val="0"/>
      <w:marRight w:val="0"/>
      <w:marTop w:val="0"/>
      <w:marBottom w:val="0"/>
      <w:divBdr>
        <w:top w:val="none" w:sz="0" w:space="0" w:color="auto"/>
        <w:left w:val="none" w:sz="0" w:space="0" w:color="auto"/>
        <w:bottom w:val="none" w:sz="0" w:space="0" w:color="auto"/>
        <w:right w:val="none" w:sz="0" w:space="0" w:color="auto"/>
      </w:divBdr>
      <w:divsChild>
        <w:div w:id="1849295503">
          <w:marLeft w:val="0"/>
          <w:marRight w:val="0"/>
          <w:marTop w:val="0"/>
          <w:marBottom w:val="0"/>
          <w:divBdr>
            <w:top w:val="none" w:sz="0" w:space="0" w:color="auto"/>
            <w:left w:val="none" w:sz="0" w:space="0" w:color="auto"/>
            <w:bottom w:val="none" w:sz="0" w:space="0" w:color="auto"/>
            <w:right w:val="none" w:sz="0" w:space="0" w:color="auto"/>
          </w:divBdr>
          <w:divsChild>
            <w:div w:id="1994261427">
              <w:marLeft w:val="0"/>
              <w:marRight w:val="0"/>
              <w:marTop w:val="0"/>
              <w:marBottom w:val="0"/>
              <w:divBdr>
                <w:top w:val="none" w:sz="0" w:space="0" w:color="auto"/>
                <w:left w:val="none" w:sz="0" w:space="0" w:color="auto"/>
                <w:bottom w:val="none" w:sz="0" w:space="0" w:color="auto"/>
                <w:right w:val="none" w:sz="0" w:space="0" w:color="auto"/>
              </w:divBdr>
              <w:divsChild>
                <w:div w:id="2058165663">
                  <w:marLeft w:val="0"/>
                  <w:marRight w:val="0"/>
                  <w:marTop w:val="0"/>
                  <w:marBottom w:val="0"/>
                  <w:divBdr>
                    <w:top w:val="none" w:sz="0" w:space="0" w:color="auto"/>
                    <w:left w:val="none" w:sz="0" w:space="0" w:color="auto"/>
                    <w:bottom w:val="none" w:sz="0" w:space="0" w:color="auto"/>
                    <w:right w:val="none" w:sz="0" w:space="0" w:color="auto"/>
                  </w:divBdr>
                  <w:divsChild>
                    <w:div w:id="12292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74107">
      <w:bodyDiv w:val="1"/>
      <w:marLeft w:val="0"/>
      <w:marRight w:val="0"/>
      <w:marTop w:val="0"/>
      <w:marBottom w:val="0"/>
      <w:divBdr>
        <w:top w:val="none" w:sz="0" w:space="0" w:color="auto"/>
        <w:left w:val="none" w:sz="0" w:space="0" w:color="auto"/>
        <w:bottom w:val="none" w:sz="0" w:space="0" w:color="auto"/>
        <w:right w:val="none" w:sz="0" w:space="0" w:color="auto"/>
      </w:divBdr>
    </w:div>
    <w:div w:id="1122311507">
      <w:bodyDiv w:val="1"/>
      <w:marLeft w:val="0"/>
      <w:marRight w:val="0"/>
      <w:marTop w:val="0"/>
      <w:marBottom w:val="0"/>
      <w:divBdr>
        <w:top w:val="none" w:sz="0" w:space="0" w:color="auto"/>
        <w:left w:val="none" w:sz="0" w:space="0" w:color="auto"/>
        <w:bottom w:val="none" w:sz="0" w:space="0" w:color="auto"/>
        <w:right w:val="none" w:sz="0" w:space="0" w:color="auto"/>
      </w:divBdr>
      <w:divsChild>
        <w:div w:id="668943350">
          <w:marLeft w:val="0"/>
          <w:marRight w:val="0"/>
          <w:marTop w:val="0"/>
          <w:marBottom w:val="0"/>
          <w:divBdr>
            <w:top w:val="none" w:sz="0" w:space="0" w:color="auto"/>
            <w:left w:val="none" w:sz="0" w:space="0" w:color="auto"/>
            <w:bottom w:val="none" w:sz="0" w:space="0" w:color="auto"/>
            <w:right w:val="none" w:sz="0" w:space="0" w:color="auto"/>
          </w:divBdr>
          <w:divsChild>
            <w:div w:id="186254547">
              <w:marLeft w:val="0"/>
              <w:marRight w:val="0"/>
              <w:marTop w:val="0"/>
              <w:marBottom w:val="0"/>
              <w:divBdr>
                <w:top w:val="none" w:sz="0" w:space="0" w:color="auto"/>
                <w:left w:val="none" w:sz="0" w:space="0" w:color="auto"/>
                <w:bottom w:val="none" w:sz="0" w:space="0" w:color="auto"/>
                <w:right w:val="none" w:sz="0" w:space="0" w:color="auto"/>
              </w:divBdr>
              <w:divsChild>
                <w:div w:id="7124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0245298">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18723445">
      <w:bodyDiv w:val="1"/>
      <w:marLeft w:val="0"/>
      <w:marRight w:val="0"/>
      <w:marTop w:val="0"/>
      <w:marBottom w:val="0"/>
      <w:divBdr>
        <w:top w:val="none" w:sz="0" w:space="0" w:color="auto"/>
        <w:left w:val="none" w:sz="0" w:space="0" w:color="auto"/>
        <w:bottom w:val="none" w:sz="0" w:space="0" w:color="auto"/>
        <w:right w:val="none" w:sz="0" w:space="0" w:color="auto"/>
      </w:divBdr>
      <w:divsChild>
        <w:div w:id="840897192">
          <w:marLeft w:val="0"/>
          <w:marRight w:val="0"/>
          <w:marTop w:val="0"/>
          <w:marBottom w:val="0"/>
          <w:divBdr>
            <w:top w:val="none" w:sz="0" w:space="0" w:color="auto"/>
            <w:left w:val="none" w:sz="0" w:space="0" w:color="auto"/>
            <w:bottom w:val="none" w:sz="0" w:space="0" w:color="auto"/>
            <w:right w:val="none" w:sz="0" w:space="0" w:color="auto"/>
          </w:divBdr>
          <w:divsChild>
            <w:div w:id="613244259">
              <w:marLeft w:val="0"/>
              <w:marRight w:val="0"/>
              <w:marTop w:val="0"/>
              <w:marBottom w:val="0"/>
              <w:divBdr>
                <w:top w:val="none" w:sz="0" w:space="0" w:color="auto"/>
                <w:left w:val="none" w:sz="0" w:space="0" w:color="auto"/>
                <w:bottom w:val="none" w:sz="0" w:space="0" w:color="auto"/>
                <w:right w:val="none" w:sz="0" w:space="0" w:color="auto"/>
              </w:divBdr>
              <w:divsChild>
                <w:div w:id="2673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2434">
      <w:bodyDiv w:val="1"/>
      <w:marLeft w:val="0"/>
      <w:marRight w:val="0"/>
      <w:marTop w:val="0"/>
      <w:marBottom w:val="0"/>
      <w:divBdr>
        <w:top w:val="none" w:sz="0" w:space="0" w:color="auto"/>
        <w:left w:val="none" w:sz="0" w:space="0" w:color="auto"/>
        <w:bottom w:val="none" w:sz="0" w:space="0" w:color="auto"/>
        <w:right w:val="none" w:sz="0" w:space="0" w:color="auto"/>
      </w:divBdr>
    </w:div>
    <w:div w:id="1539471791">
      <w:bodyDiv w:val="1"/>
      <w:marLeft w:val="0"/>
      <w:marRight w:val="0"/>
      <w:marTop w:val="0"/>
      <w:marBottom w:val="0"/>
      <w:divBdr>
        <w:top w:val="none" w:sz="0" w:space="0" w:color="auto"/>
        <w:left w:val="none" w:sz="0" w:space="0" w:color="auto"/>
        <w:bottom w:val="none" w:sz="0" w:space="0" w:color="auto"/>
        <w:right w:val="none" w:sz="0" w:space="0" w:color="auto"/>
      </w:divBdr>
    </w:div>
    <w:div w:id="1710841626">
      <w:bodyDiv w:val="1"/>
      <w:marLeft w:val="0"/>
      <w:marRight w:val="0"/>
      <w:marTop w:val="0"/>
      <w:marBottom w:val="0"/>
      <w:divBdr>
        <w:top w:val="none" w:sz="0" w:space="0" w:color="auto"/>
        <w:left w:val="none" w:sz="0" w:space="0" w:color="auto"/>
        <w:bottom w:val="none" w:sz="0" w:space="0" w:color="auto"/>
        <w:right w:val="none" w:sz="0" w:space="0" w:color="auto"/>
      </w:divBdr>
    </w:div>
    <w:div w:id="1712531603">
      <w:bodyDiv w:val="1"/>
      <w:marLeft w:val="0"/>
      <w:marRight w:val="0"/>
      <w:marTop w:val="0"/>
      <w:marBottom w:val="0"/>
      <w:divBdr>
        <w:top w:val="none" w:sz="0" w:space="0" w:color="auto"/>
        <w:left w:val="none" w:sz="0" w:space="0" w:color="auto"/>
        <w:bottom w:val="none" w:sz="0" w:space="0" w:color="auto"/>
        <w:right w:val="none" w:sz="0" w:space="0" w:color="auto"/>
      </w:divBdr>
    </w:div>
    <w:div w:id="1737505850">
      <w:bodyDiv w:val="1"/>
      <w:marLeft w:val="0"/>
      <w:marRight w:val="0"/>
      <w:marTop w:val="0"/>
      <w:marBottom w:val="0"/>
      <w:divBdr>
        <w:top w:val="none" w:sz="0" w:space="0" w:color="auto"/>
        <w:left w:val="none" w:sz="0" w:space="0" w:color="auto"/>
        <w:bottom w:val="none" w:sz="0" w:space="0" w:color="auto"/>
        <w:right w:val="none" w:sz="0" w:space="0" w:color="auto"/>
      </w:divBdr>
    </w:div>
    <w:div w:id="1756902214">
      <w:bodyDiv w:val="1"/>
      <w:marLeft w:val="0"/>
      <w:marRight w:val="0"/>
      <w:marTop w:val="0"/>
      <w:marBottom w:val="0"/>
      <w:divBdr>
        <w:top w:val="none" w:sz="0" w:space="0" w:color="auto"/>
        <w:left w:val="none" w:sz="0" w:space="0" w:color="auto"/>
        <w:bottom w:val="none" w:sz="0" w:space="0" w:color="auto"/>
        <w:right w:val="none" w:sz="0" w:space="0" w:color="auto"/>
      </w:divBdr>
    </w:div>
    <w:div w:id="1865362811">
      <w:bodyDiv w:val="1"/>
      <w:marLeft w:val="0"/>
      <w:marRight w:val="0"/>
      <w:marTop w:val="0"/>
      <w:marBottom w:val="0"/>
      <w:divBdr>
        <w:top w:val="none" w:sz="0" w:space="0" w:color="auto"/>
        <w:left w:val="none" w:sz="0" w:space="0" w:color="auto"/>
        <w:bottom w:val="none" w:sz="0" w:space="0" w:color="auto"/>
        <w:right w:val="none" w:sz="0" w:space="0" w:color="auto"/>
      </w:divBdr>
    </w:div>
    <w:div w:id="1877741530">
      <w:bodyDiv w:val="1"/>
      <w:marLeft w:val="0"/>
      <w:marRight w:val="0"/>
      <w:marTop w:val="0"/>
      <w:marBottom w:val="0"/>
      <w:divBdr>
        <w:top w:val="none" w:sz="0" w:space="0" w:color="auto"/>
        <w:left w:val="none" w:sz="0" w:space="0" w:color="auto"/>
        <w:bottom w:val="none" w:sz="0" w:space="0" w:color="auto"/>
        <w:right w:val="none" w:sz="0" w:space="0" w:color="auto"/>
      </w:divBdr>
      <w:divsChild>
        <w:div w:id="873663536">
          <w:marLeft w:val="0"/>
          <w:marRight w:val="0"/>
          <w:marTop w:val="0"/>
          <w:marBottom w:val="0"/>
          <w:divBdr>
            <w:top w:val="none" w:sz="0" w:space="0" w:color="auto"/>
            <w:left w:val="none" w:sz="0" w:space="0" w:color="auto"/>
            <w:bottom w:val="none" w:sz="0" w:space="0" w:color="auto"/>
            <w:right w:val="none" w:sz="0" w:space="0" w:color="auto"/>
          </w:divBdr>
          <w:divsChild>
            <w:div w:id="584581895">
              <w:marLeft w:val="0"/>
              <w:marRight w:val="0"/>
              <w:marTop w:val="0"/>
              <w:marBottom w:val="0"/>
              <w:divBdr>
                <w:top w:val="none" w:sz="0" w:space="0" w:color="auto"/>
                <w:left w:val="none" w:sz="0" w:space="0" w:color="auto"/>
                <w:bottom w:val="none" w:sz="0" w:space="0" w:color="auto"/>
                <w:right w:val="none" w:sz="0" w:space="0" w:color="auto"/>
              </w:divBdr>
            </w:div>
            <w:div w:id="767164757">
              <w:marLeft w:val="0"/>
              <w:marRight w:val="0"/>
              <w:marTop w:val="0"/>
              <w:marBottom w:val="0"/>
              <w:divBdr>
                <w:top w:val="none" w:sz="0" w:space="0" w:color="auto"/>
                <w:left w:val="none" w:sz="0" w:space="0" w:color="auto"/>
                <w:bottom w:val="none" w:sz="0" w:space="0" w:color="auto"/>
                <w:right w:val="none" w:sz="0" w:space="0" w:color="auto"/>
              </w:divBdr>
            </w:div>
            <w:div w:id="826281599">
              <w:marLeft w:val="0"/>
              <w:marRight w:val="0"/>
              <w:marTop w:val="0"/>
              <w:marBottom w:val="0"/>
              <w:divBdr>
                <w:top w:val="none" w:sz="0" w:space="0" w:color="auto"/>
                <w:left w:val="none" w:sz="0" w:space="0" w:color="auto"/>
                <w:bottom w:val="none" w:sz="0" w:space="0" w:color="auto"/>
                <w:right w:val="none" w:sz="0" w:space="0" w:color="auto"/>
              </w:divBdr>
            </w:div>
            <w:div w:id="1155878752">
              <w:marLeft w:val="0"/>
              <w:marRight w:val="0"/>
              <w:marTop w:val="0"/>
              <w:marBottom w:val="0"/>
              <w:divBdr>
                <w:top w:val="none" w:sz="0" w:space="0" w:color="auto"/>
                <w:left w:val="none" w:sz="0" w:space="0" w:color="auto"/>
                <w:bottom w:val="none" w:sz="0" w:space="0" w:color="auto"/>
                <w:right w:val="none" w:sz="0" w:space="0" w:color="auto"/>
              </w:divBdr>
            </w:div>
          </w:divsChild>
        </w:div>
        <w:div w:id="545216189">
          <w:marLeft w:val="0"/>
          <w:marRight w:val="0"/>
          <w:marTop w:val="0"/>
          <w:marBottom w:val="0"/>
          <w:divBdr>
            <w:top w:val="none" w:sz="0" w:space="0" w:color="auto"/>
            <w:left w:val="none" w:sz="0" w:space="0" w:color="auto"/>
            <w:bottom w:val="none" w:sz="0" w:space="0" w:color="auto"/>
            <w:right w:val="none" w:sz="0" w:space="0" w:color="auto"/>
          </w:divBdr>
          <w:divsChild>
            <w:div w:id="1519076084">
              <w:marLeft w:val="0"/>
              <w:marRight w:val="0"/>
              <w:marTop w:val="30"/>
              <w:marBottom w:val="30"/>
              <w:divBdr>
                <w:top w:val="none" w:sz="0" w:space="0" w:color="auto"/>
                <w:left w:val="none" w:sz="0" w:space="0" w:color="auto"/>
                <w:bottom w:val="none" w:sz="0" w:space="0" w:color="auto"/>
                <w:right w:val="none" w:sz="0" w:space="0" w:color="auto"/>
              </w:divBdr>
              <w:divsChild>
                <w:div w:id="1987471853">
                  <w:marLeft w:val="0"/>
                  <w:marRight w:val="0"/>
                  <w:marTop w:val="0"/>
                  <w:marBottom w:val="0"/>
                  <w:divBdr>
                    <w:top w:val="none" w:sz="0" w:space="0" w:color="auto"/>
                    <w:left w:val="none" w:sz="0" w:space="0" w:color="auto"/>
                    <w:bottom w:val="none" w:sz="0" w:space="0" w:color="auto"/>
                    <w:right w:val="none" w:sz="0" w:space="0" w:color="auto"/>
                  </w:divBdr>
                  <w:divsChild>
                    <w:div w:id="348221744">
                      <w:marLeft w:val="0"/>
                      <w:marRight w:val="0"/>
                      <w:marTop w:val="0"/>
                      <w:marBottom w:val="0"/>
                      <w:divBdr>
                        <w:top w:val="none" w:sz="0" w:space="0" w:color="auto"/>
                        <w:left w:val="none" w:sz="0" w:space="0" w:color="auto"/>
                        <w:bottom w:val="none" w:sz="0" w:space="0" w:color="auto"/>
                        <w:right w:val="none" w:sz="0" w:space="0" w:color="auto"/>
                      </w:divBdr>
                    </w:div>
                  </w:divsChild>
                </w:div>
                <w:div w:id="1179346363">
                  <w:marLeft w:val="0"/>
                  <w:marRight w:val="0"/>
                  <w:marTop w:val="0"/>
                  <w:marBottom w:val="0"/>
                  <w:divBdr>
                    <w:top w:val="none" w:sz="0" w:space="0" w:color="auto"/>
                    <w:left w:val="none" w:sz="0" w:space="0" w:color="auto"/>
                    <w:bottom w:val="none" w:sz="0" w:space="0" w:color="auto"/>
                    <w:right w:val="none" w:sz="0" w:space="0" w:color="auto"/>
                  </w:divBdr>
                  <w:divsChild>
                    <w:div w:id="16650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09979">
          <w:marLeft w:val="0"/>
          <w:marRight w:val="0"/>
          <w:marTop w:val="0"/>
          <w:marBottom w:val="0"/>
          <w:divBdr>
            <w:top w:val="none" w:sz="0" w:space="0" w:color="auto"/>
            <w:left w:val="none" w:sz="0" w:space="0" w:color="auto"/>
            <w:bottom w:val="none" w:sz="0" w:space="0" w:color="auto"/>
            <w:right w:val="none" w:sz="0" w:space="0" w:color="auto"/>
          </w:divBdr>
          <w:divsChild>
            <w:div w:id="609163152">
              <w:marLeft w:val="0"/>
              <w:marRight w:val="0"/>
              <w:marTop w:val="0"/>
              <w:marBottom w:val="0"/>
              <w:divBdr>
                <w:top w:val="none" w:sz="0" w:space="0" w:color="auto"/>
                <w:left w:val="none" w:sz="0" w:space="0" w:color="auto"/>
                <w:bottom w:val="none" w:sz="0" w:space="0" w:color="auto"/>
                <w:right w:val="none" w:sz="0" w:space="0" w:color="auto"/>
              </w:divBdr>
            </w:div>
            <w:div w:id="334459965">
              <w:marLeft w:val="0"/>
              <w:marRight w:val="0"/>
              <w:marTop w:val="0"/>
              <w:marBottom w:val="0"/>
              <w:divBdr>
                <w:top w:val="none" w:sz="0" w:space="0" w:color="auto"/>
                <w:left w:val="none" w:sz="0" w:space="0" w:color="auto"/>
                <w:bottom w:val="none" w:sz="0" w:space="0" w:color="auto"/>
                <w:right w:val="none" w:sz="0" w:space="0" w:color="auto"/>
              </w:divBdr>
            </w:div>
          </w:divsChild>
        </w:div>
        <w:div w:id="820511420">
          <w:marLeft w:val="0"/>
          <w:marRight w:val="0"/>
          <w:marTop w:val="0"/>
          <w:marBottom w:val="0"/>
          <w:divBdr>
            <w:top w:val="none" w:sz="0" w:space="0" w:color="auto"/>
            <w:left w:val="none" w:sz="0" w:space="0" w:color="auto"/>
            <w:bottom w:val="none" w:sz="0" w:space="0" w:color="auto"/>
            <w:right w:val="none" w:sz="0" w:space="0" w:color="auto"/>
          </w:divBdr>
          <w:divsChild>
            <w:div w:id="162402583">
              <w:marLeft w:val="0"/>
              <w:marRight w:val="0"/>
              <w:marTop w:val="30"/>
              <w:marBottom w:val="30"/>
              <w:divBdr>
                <w:top w:val="none" w:sz="0" w:space="0" w:color="auto"/>
                <w:left w:val="none" w:sz="0" w:space="0" w:color="auto"/>
                <w:bottom w:val="none" w:sz="0" w:space="0" w:color="auto"/>
                <w:right w:val="none" w:sz="0" w:space="0" w:color="auto"/>
              </w:divBdr>
              <w:divsChild>
                <w:div w:id="1406799784">
                  <w:marLeft w:val="0"/>
                  <w:marRight w:val="0"/>
                  <w:marTop w:val="0"/>
                  <w:marBottom w:val="0"/>
                  <w:divBdr>
                    <w:top w:val="none" w:sz="0" w:space="0" w:color="auto"/>
                    <w:left w:val="none" w:sz="0" w:space="0" w:color="auto"/>
                    <w:bottom w:val="none" w:sz="0" w:space="0" w:color="auto"/>
                    <w:right w:val="none" w:sz="0" w:space="0" w:color="auto"/>
                  </w:divBdr>
                  <w:divsChild>
                    <w:div w:id="799344132">
                      <w:marLeft w:val="0"/>
                      <w:marRight w:val="0"/>
                      <w:marTop w:val="0"/>
                      <w:marBottom w:val="0"/>
                      <w:divBdr>
                        <w:top w:val="none" w:sz="0" w:space="0" w:color="auto"/>
                        <w:left w:val="none" w:sz="0" w:space="0" w:color="auto"/>
                        <w:bottom w:val="none" w:sz="0" w:space="0" w:color="auto"/>
                        <w:right w:val="none" w:sz="0" w:space="0" w:color="auto"/>
                      </w:divBdr>
                    </w:div>
                  </w:divsChild>
                </w:div>
                <w:div w:id="1342506383">
                  <w:marLeft w:val="0"/>
                  <w:marRight w:val="0"/>
                  <w:marTop w:val="0"/>
                  <w:marBottom w:val="0"/>
                  <w:divBdr>
                    <w:top w:val="none" w:sz="0" w:space="0" w:color="auto"/>
                    <w:left w:val="none" w:sz="0" w:space="0" w:color="auto"/>
                    <w:bottom w:val="none" w:sz="0" w:space="0" w:color="auto"/>
                    <w:right w:val="none" w:sz="0" w:space="0" w:color="auto"/>
                  </w:divBdr>
                  <w:divsChild>
                    <w:div w:id="1451977341">
                      <w:marLeft w:val="0"/>
                      <w:marRight w:val="0"/>
                      <w:marTop w:val="0"/>
                      <w:marBottom w:val="0"/>
                      <w:divBdr>
                        <w:top w:val="none" w:sz="0" w:space="0" w:color="auto"/>
                        <w:left w:val="none" w:sz="0" w:space="0" w:color="auto"/>
                        <w:bottom w:val="none" w:sz="0" w:space="0" w:color="auto"/>
                        <w:right w:val="none" w:sz="0" w:space="0" w:color="auto"/>
                      </w:divBdr>
                    </w:div>
                    <w:div w:id="1309166178">
                      <w:marLeft w:val="0"/>
                      <w:marRight w:val="0"/>
                      <w:marTop w:val="0"/>
                      <w:marBottom w:val="0"/>
                      <w:divBdr>
                        <w:top w:val="none" w:sz="0" w:space="0" w:color="auto"/>
                        <w:left w:val="none" w:sz="0" w:space="0" w:color="auto"/>
                        <w:bottom w:val="none" w:sz="0" w:space="0" w:color="auto"/>
                        <w:right w:val="none" w:sz="0" w:space="0" w:color="auto"/>
                      </w:divBdr>
                    </w:div>
                    <w:div w:id="1006439967">
                      <w:marLeft w:val="0"/>
                      <w:marRight w:val="0"/>
                      <w:marTop w:val="0"/>
                      <w:marBottom w:val="0"/>
                      <w:divBdr>
                        <w:top w:val="none" w:sz="0" w:space="0" w:color="auto"/>
                        <w:left w:val="none" w:sz="0" w:space="0" w:color="auto"/>
                        <w:bottom w:val="none" w:sz="0" w:space="0" w:color="auto"/>
                        <w:right w:val="none" w:sz="0" w:space="0" w:color="auto"/>
                      </w:divBdr>
                    </w:div>
                    <w:div w:id="12410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94307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3312935">
      <w:bodyDiv w:val="1"/>
      <w:marLeft w:val="0"/>
      <w:marRight w:val="0"/>
      <w:marTop w:val="0"/>
      <w:marBottom w:val="0"/>
      <w:divBdr>
        <w:top w:val="none" w:sz="0" w:space="0" w:color="auto"/>
        <w:left w:val="none" w:sz="0" w:space="0" w:color="auto"/>
        <w:bottom w:val="none" w:sz="0" w:space="0" w:color="auto"/>
        <w:right w:val="none" w:sz="0" w:space="0" w:color="auto"/>
      </w:divBdr>
    </w:div>
    <w:div w:id="203865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HPO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HPO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direct.com/topics/medicine-and-dentistry/drug-dose-regimen"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uptodate.com/contents/hereditary-angioedema-due-to-c1-inhibitor-deficiency-general-care-and-long-term-prophylaxis?source=related_link" TargetMode="External"/><Relationship Id="rId2" Type="http://schemas.openxmlformats.org/officeDocument/2006/relationships/hyperlink" Target="https://www.allergy.org.au/images/docs/ASCIA_HP_Position_Paper_HAE_2022_Updated_Nov.pdf" TargetMode="External"/><Relationship Id="rId1" Type="http://schemas.openxmlformats.org/officeDocument/2006/relationships/hyperlink" Target="https://www.allergy.org.au/images/docs/ASCIA_HP_Position_Paper_HAE_2022_Updated_Nov.pdf" TargetMode="External"/><Relationship Id="rId5" Type="http://schemas.openxmlformats.org/officeDocument/2006/relationships/hyperlink" Target="https://clinicaltrials.gov/study/NCT05819775?term=garadacimab&amp;rank=3" TargetMode="External"/><Relationship Id="rId4" Type="http://schemas.openxmlformats.org/officeDocument/2006/relationships/hyperlink" Target="https://doi.org/10.1111/cts.12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7469940B-B194-4EA0-A578-881B35AEE698}"/>
</file>

<file path=customXml/itemProps3.xml><?xml version="1.0" encoding="utf-8"?>
<ds:datastoreItem xmlns:ds="http://schemas.openxmlformats.org/officeDocument/2006/customXml" ds:itemID="{8FBFC8B3-FD67-4559-92FE-54DAFE785A6D}"/>
</file>

<file path=customXml/itemProps4.xml><?xml version="1.0" encoding="utf-8"?>
<ds:datastoreItem xmlns:ds="http://schemas.openxmlformats.org/officeDocument/2006/customXml" ds:itemID="{A10AA475-0252-481C-AB37-A522340A0182}"/>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10961</Words>
  <Characters>62480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73295</CharactersWithSpaces>
  <SharedDoc>false</SharedDoc>
  <HLinks>
    <vt:vector size="276" baseType="variant">
      <vt:variant>
        <vt:i4>5242954</vt:i4>
      </vt:variant>
      <vt:variant>
        <vt:i4>315</vt:i4>
      </vt:variant>
      <vt:variant>
        <vt:i4>0</vt:i4>
      </vt:variant>
      <vt:variant>
        <vt:i4>5</vt:i4>
      </vt:variant>
      <vt:variant>
        <vt:lpwstr>https://www.sciencedirect.com/topics/medicine-and-dentistry/drug-dose-regimen</vt:lpwstr>
      </vt:variant>
      <vt:variant>
        <vt:lpwstr/>
      </vt:variant>
      <vt:variant>
        <vt:i4>1376304</vt:i4>
      </vt:variant>
      <vt:variant>
        <vt:i4>200</vt:i4>
      </vt:variant>
      <vt:variant>
        <vt:i4>0</vt:i4>
      </vt:variant>
      <vt:variant>
        <vt:i4>5</vt:i4>
      </vt:variant>
      <vt:variant>
        <vt:lpwstr/>
      </vt:variant>
      <vt:variant>
        <vt:lpwstr>_Toc175653103</vt:lpwstr>
      </vt:variant>
      <vt:variant>
        <vt:i4>1376304</vt:i4>
      </vt:variant>
      <vt:variant>
        <vt:i4>194</vt:i4>
      </vt:variant>
      <vt:variant>
        <vt:i4>0</vt:i4>
      </vt:variant>
      <vt:variant>
        <vt:i4>5</vt:i4>
      </vt:variant>
      <vt:variant>
        <vt:lpwstr/>
      </vt:variant>
      <vt:variant>
        <vt:lpwstr>_Toc175653102</vt:lpwstr>
      </vt:variant>
      <vt:variant>
        <vt:i4>1376304</vt:i4>
      </vt:variant>
      <vt:variant>
        <vt:i4>188</vt:i4>
      </vt:variant>
      <vt:variant>
        <vt:i4>0</vt:i4>
      </vt:variant>
      <vt:variant>
        <vt:i4>5</vt:i4>
      </vt:variant>
      <vt:variant>
        <vt:lpwstr/>
      </vt:variant>
      <vt:variant>
        <vt:lpwstr>_Toc175653101</vt:lpwstr>
      </vt:variant>
      <vt:variant>
        <vt:i4>1376304</vt:i4>
      </vt:variant>
      <vt:variant>
        <vt:i4>182</vt:i4>
      </vt:variant>
      <vt:variant>
        <vt:i4>0</vt:i4>
      </vt:variant>
      <vt:variant>
        <vt:i4>5</vt:i4>
      </vt:variant>
      <vt:variant>
        <vt:lpwstr/>
      </vt:variant>
      <vt:variant>
        <vt:lpwstr>_Toc175653100</vt:lpwstr>
      </vt:variant>
      <vt:variant>
        <vt:i4>1835057</vt:i4>
      </vt:variant>
      <vt:variant>
        <vt:i4>176</vt:i4>
      </vt:variant>
      <vt:variant>
        <vt:i4>0</vt:i4>
      </vt:variant>
      <vt:variant>
        <vt:i4>5</vt:i4>
      </vt:variant>
      <vt:variant>
        <vt:lpwstr/>
      </vt:variant>
      <vt:variant>
        <vt:lpwstr>_Toc175653099</vt:lpwstr>
      </vt:variant>
      <vt:variant>
        <vt:i4>1835057</vt:i4>
      </vt:variant>
      <vt:variant>
        <vt:i4>170</vt:i4>
      </vt:variant>
      <vt:variant>
        <vt:i4>0</vt:i4>
      </vt:variant>
      <vt:variant>
        <vt:i4>5</vt:i4>
      </vt:variant>
      <vt:variant>
        <vt:lpwstr/>
      </vt:variant>
      <vt:variant>
        <vt:lpwstr>_Toc175653098</vt:lpwstr>
      </vt:variant>
      <vt:variant>
        <vt:i4>1835057</vt:i4>
      </vt:variant>
      <vt:variant>
        <vt:i4>164</vt:i4>
      </vt:variant>
      <vt:variant>
        <vt:i4>0</vt:i4>
      </vt:variant>
      <vt:variant>
        <vt:i4>5</vt:i4>
      </vt:variant>
      <vt:variant>
        <vt:lpwstr/>
      </vt:variant>
      <vt:variant>
        <vt:lpwstr>_Toc175653097</vt:lpwstr>
      </vt:variant>
      <vt:variant>
        <vt:i4>1835057</vt:i4>
      </vt:variant>
      <vt:variant>
        <vt:i4>158</vt:i4>
      </vt:variant>
      <vt:variant>
        <vt:i4>0</vt:i4>
      </vt:variant>
      <vt:variant>
        <vt:i4>5</vt:i4>
      </vt:variant>
      <vt:variant>
        <vt:lpwstr/>
      </vt:variant>
      <vt:variant>
        <vt:lpwstr>_Toc175653096</vt:lpwstr>
      </vt:variant>
      <vt:variant>
        <vt:i4>1835057</vt:i4>
      </vt:variant>
      <vt:variant>
        <vt:i4>152</vt:i4>
      </vt:variant>
      <vt:variant>
        <vt:i4>0</vt:i4>
      </vt:variant>
      <vt:variant>
        <vt:i4>5</vt:i4>
      </vt:variant>
      <vt:variant>
        <vt:lpwstr/>
      </vt:variant>
      <vt:variant>
        <vt:lpwstr>_Toc175653095</vt:lpwstr>
      </vt:variant>
      <vt:variant>
        <vt:i4>1835057</vt:i4>
      </vt:variant>
      <vt:variant>
        <vt:i4>146</vt:i4>
      </vt:variant>
      <vt:variant>
        <vt:i4>0</vt:i4>
      </vt:variant>
      <vt:variant>
        <vt:i4>5</vt:i4>
      </vt:variant>
      <vt:variant>
        <vt:lpwstr/>
      </vt:variant>
      <vt:variant>
        <vt:lpwstr>_Toc175653094</vt:lpwstr>
      </vt:variant>
      <vt:variant>
        <vt:i4>1835057</vt:i4>
      </vt:variant>
      <vt:variant>
        <vt:i4>140</vt:i4>
      </vt:variant>
      <vt:variant>
        <vt:i4>0</vt:i4>
      </vt:variant>
      <vt:variant>
        <vt:i4>5</vt:i4>
      </vt:variant>
      <vt:variant>
        <vt:lpwstr/>
      </vt:variant>
      <vt:variant>
        <vt:lpwstr>_Toc175653093</vt:lpwstr>
      </vt:variant>
      <vt:variant>
        <vt:i4>1835057</vt:i4>
      </vt:variant>
      <vt:variant>
        <vt:i4>134</vt:i4>
      </vt:variant>
      <vt:variant>
        <vt:i4>0</vt:i4>
      </vt:variant>
      <vt:variant>
        <vt:i4>5</vt:i4>
      </vt:variant>
      <vt:variant>
        <vt:lpwstr/>
      </vt:variant>
      <vt:variant>
        <vt:lpwstr>_Toc175653092</vt:lpwstr>
      </vt:variant>
      <vt:variant>
        <vt:i4>1835057</vt:i4>
      </vt:variant>
      <vt:variant>
        <vt:i4>128</vt:i4>
      </vt:variant>
      <vt:variant>
        <vt:i4>0</vt:i4>
      </vt:variant>
      <vt:variant>
        <vt:i4>5</vt:i4>
      </vt:variant>
      <vt:variant>
        <vt:lpwstr/>
      </vt:variant>
      <vt:variant>
        <vt:lpwstr>_Toc175653091</vt:lpwstr>
      </vt:variant>
      <vt:variant>
        <vt:i4>1835057</vt:i4>
      </vt:variant>
      <vt:variant>
        <vt:i4>122</vt:i4>
      </vt:variant>
      <vt:variant>
        <vt:i4>0</vt:i4>
      </vt:variant>
      <vt:variant>
        <vt:i4>5</vt:i4>
      </vt:variant>
      <vt:variant>
        <vt:lpwstr/>
      </vt:variant>
      <vt:variant>
        <vt:lpwstr>_Toc175653090</vt:lpwstr>
      </vt:variant>
      <vt:variant>
        <vt:i4>1900593</vt:i4>
      </vt:variant>
      <vt:variant>
        <vt:i4>116</vt:i4>
      </vt:variant>
      <vt:variant>
        <vt:i4>0</vt:i4>
      </vt:variant>
      <vt:variant>
        <vt:i4>5</vt:i4>
      </vt:variant>
      <vt:variant>
        <vt:lpwstr/>
      </vt:variant>
      <vt:variant>
        <vt:lpwstr>_Toc175653089</vt:lpwstr>
      </vt:variant>
      <vt:variant>
        <vt:i4>1900593</vt:i4>
      </vt:variant>
      <vt:variant>
        <vt:i4>110</vt:i4>
      </vt:variant>
      <vt:variant>
        <vt:i4>0</vt:i4>
      </vt:variant>
      <vt:variant>
        <vt:i4>5</vt:i4>
      </vt:variant>
      <vt:variant>
        <vt:lpwstr/>
      </vt:variant>
      <vt:variant>
        <vt:lpwstr>_Toc175653088</vt:lpwstr>
      </vt:variant>
      <vt:variant>
        <vt:i4>1900593</vt:i4>
      </vt:variant>
      <vt:variant>
        <vt:i4>104</vt:i4>
      </vt:variant>
      <vt:variant>
        <vt:i4>0</vt:i4>
      </vt:variant>
      <vt:variant>
        <vt:i4>5</vt:i4>
      </vt:variant>
      <vt:variant>
        <vt:lpwstr/>
      </vt:variant>
      <vt:variant>
        <vt:lpwstr>_Toc175653087</vt:lpwstr>
      </vt:variant>
      <vt:variant>
        <vt:i4>1900593</vt:i4>
      </vt:variant>
      <vt:variant>
        <vt:i4>98</vt:i4>
      </vt:variant>
      <vt:variant>
        <vt:i4>0</vt:i4>
      </vt:variant>
      <vt:variant>
        <vt:i4>5</vt:i4>
      </vt:variant>
      <vt:variant>
        <vt:lpwstr/>
      </vt:variant>
      <vt:variant>
        <vt:lpwstr>_Toc175653086</vt:lpwstr>
      </vt:variant>
      <vt:variant>
        <vt:i4>1900593</vt:i4>
      </vt:variant>
      <vt:variant>
        <vt:i4>92</vt:i4>
      </vt:variant>
      <vt:variant>
        <vt:i4>0</vt:i4>
      </vt:variant>
      <vt:variant>
        <vt:i4>5</vt:i4>
      </vt:variant>
      <vt:variant>
        <vt:lpwstr/>
      </vt:variant>
      <vt:variant>
        <vt:lpwstr>_Toc175653085</vt:lpwstr>
      </vt:variant>
      <vt:variant>
        <vt:i4>1900593</vt:i4>
      </vt:variant>
      <vt:variant>
        <vt:i4>86</vt:i4>
      </vt:variant>
      <vt:variant>
        <vt:i4>0</vt:i4>
      </vt:variant>
      <vt:variant>
        <vt:i4>5</vt:i4>
      </vt:variant>
      <vt:variant>
        <vt:lpwstr/>
      </vt:variant>
      <vt:variant>
        <vt:lpwstr>_Toc175653084</vt:lpwstr>
      </vt:variant>
      <vt:variant>
        <vt:i4>1900593</vt:i4>
      </vt:variant>
      <vt:variant>
        <vt:i4>80</vt:i4>
      </vt:variant>
      <vt:variant>
        <vt:i4>0</vt:i4>
      </vt:variant>
      <vt:variant>
        <vt:i4>5</vt:i4>
      </vt:variant>
      <vt:variant>
        <vt:lpwstr/>
      </vt:variant>
      <vt:variant>
        <vt:lpwstr>_Toc175653083</vt:lpwstr>
      </vt:variant>
      <vt:variant>
        <vt:i4>1900593</vt:i4>
      </vt:variant>
      <vt:variant>
        <vt:i4>74</vt:i4>
      </vt:variant>
      <vt:variant>
        <vt:i4>0</vt:i4>
      </vt:variant>
      <vt:variant>
        <vt:i4>5</vt:i4>
      </vt:variant>
      <vt:variant>
        <vt:lpwstr/>
      </vt:variant>
      <vt:variant>
        <vt:lpwstr>_Toc175653082</vt:lpwstr>
      </vt:variant>
      <vt:variant>
        <vt:i4>1900593</vt:i4>
      </vt:variant>
      <vt:variant>
        <vt:i4>68</vt:i4>
      </vt:variant>
      <vt:variant>
        <vt:i4>0</vt:i4>
      </vt:variant>
      <vt:variant>
        <vt:i4>5</vt:i4>
      </vt:variant>
      <vt:variant>
        <vt:lpwstr/>
      </vt:variant>
      <vt:variant>
        <vt:lpwstr>_Toc175653081</vt:lpwstr>
      </vt:variant>
      <vt:variant>
        <vt:i4>1900593</vt:i4>
      </vt:variant>
      <vt:variant>
        <vt:i4>62</vt:i4>
      </vt:variant>
      <vt:variant>
        <vt:i4>0</vt:i4>
      </vt:variant>
      <vt:variant>
        <vt:i4>5</vt:i4>
      </vt:variant>
      <vt:variant>
        <vt:lpwstr/>
      </vt:variant>
      <vt:variant>
        <vt:lpwstr>_Toc175653080</vt:lpwstr>
      </vt:variant>
      <vt:variant>
        <vt:i4>1179697</vt:i4>
      </vt:variant>
      <vt:variant>
        <vt:i4>56</vt:i4>
      </vt:variant>
      <vt:variant>
        <vt:i4>0</vt:i4>
      </vt:variant>
      <vt:variant>
        <vt:i4>5</vt:i4>
      </vt:variant>
      <vt:variant>
        <vt:lpwstr/>
      </vt:variant>
      <vt:variant>
        <vt:lpwstr>_Toc175653079</vt:lpwstr>
      </vt:variant>
      <vt:variant>
        <vt:i4>1179697</vt:i4>
      </vt:variant>
      <vt:variant>
        <vt:i4>50</vt:i4>
      </vt:variant>
      <vt:variant>
        <vt:i4>0</vt:i4>
      </vt:variant>
      <vt:variant>
        <vt:i4>5</vt:i4>
      </vt:variant>
      <vt:variant>
        <vt:lpwstr/>
      </vt:variant>
      <vt:variant>
        <vt:lpwstr>_Toc175653078</vt:lpwstr>
      </vt:variant>
      <vt:variant>
        <vt:i4>1179697</vt:i4>
      </vt:variant>
      <vt:variant>
        <vt:i4>44</vt:i4>
      </vt:variant>
      <vt:variant>
        <vt:i4>0</vt:i4>
      </vt:variant>
      <vt:variant>
        <vt:i4>5</vt:i4>
      </vt:variant>
      <vt:variant>
        <vt:lpwstr/>
      </vt:variant>
      <vt:variant>
        <vt:lpwstr>_Toc175653077</vt:lpwstr>
      </vt:variant>
      <vt:variant>
        <vt:i4>1179697</vt:i4>
      </vt:variant>
      <vt:variant>
        <vt:i4>38</vt:i4>
      </vt:variant>
      <vt:variant>
        <vt:i4>0</vt:i4>
      </vt:variant>
      <vt:variant>
        <vt:i4>5</vt:i4>
      </vt:variant>
      <vt:variant>
        <vt:lpwstr/>
      </vt:variant>
      <vt:variant>
        <vt:lpwstr>_Toc175653076</vt:lpwstr>
      </vt:variant>
      <vt:variant>
        <vt:i4>1179697</vt:i4>
      </vt:variant>
      <vt:variant>
        <vt:i4>32</vt:i4>
      </vt:variant>
      <vt:variant>
        <vt:i4>0</vt:i4>
      </vt:variant>
      <vt:variant>
        <vt:i4>5</vt:i4>
      </vt:variant>
      <vt:variant>
        <vt:lpwstr/>
      </vt:variant>
      <vt:variant>
        <vt:lpwstr>_Toc175653075</vt:lpwstr>
      </vt:variant>
      <vt:variant>
        <vt:i4>1179697</vt:i4>
      </vt:variant>
      <vt:variant>
        <vt:i4>26</vt:i4>
      </vt:variant>
      <vt:variant>
        <vt:i4>0</vt:i4>
      </vt:variant>
      <vt:variant>
        <vt:i4>5</vt:i4>
      </vt:variant>
      <vt:variant>
        <vt:lpwstr/>
      </vt:variant>
      <vt:variant>
        <vt:lpwstr>_Toc175653074</vt:lpwstr>
      </vt:variant>
      <vt:variant>
        <vt:i4>1179697</vt:i4>
      </vt:variant>
      <vt:variant>
        <vt:i4>20</vt:i4>
      </vt:variant>
      <vt:variant>
        <vt:i4>0</vt:i4>
      </vt:variant>
      <vt:variant>
        <vt:i4>5</vt:i4>
      </vt:variant>
      <vt:variant>
        <vt:lpwstr/>
      </vt:variant>
      <vt:variant>
        <vt:lpwstr>_Toc175653073</vt:lpwstr>
      </vt:variant>
      <vt:variant>
        <vt:i4>1179697</vt:i4>
      </vt:variant>
      <vt:variant>
        <vt:i4>14</vt:i4>
      </vt:variant>
      <vt:variant>
        <vt:i4>0</vt:i4>
      </vt:variant>
      <vt:variant>
        <vt:i4>5</vt:i4>
      </vt:variant>
      <vt:variant>
        <vt:lpwstr/>
      </vt:variant>
      <vt:variant>
        <vt:lpwstr>_Toc175653072</vt:lpwstr>
      </vt:variant>
      <vt:variant>
        <vt:i4>1179697</vt:i4>
      </vt:variant>
      <vt:variant>
        <vt:i4>8</vt:i4>
      </vt:variant>
      <vt:variant>
        <vt:i4>0</vt:i4>
      </vt:variant>
      <vt:variant>
        <vt:i4>5</vt:i4>
      </vt:variant>
      <vt:variant>
        <vt:lpwstr/>
      </vt:variant>
      <vt:variant>
        <vt:lpwstr>_Toc175653071</vt:lpwstr>
      </vt:variant>
      <vt:variant>
        <vt:i4>1179697</vt:i4>
      </vt:variant>
      <vt:variant>
        <vt:i4>2</vt:i4>
      </vt:variant>
      <vt:variant>
        <vt:i4>0</vt:i4>
      </vt:variant>
      <vt:variant>
        <vt:i4>5</vt:i4>
      </vt:variant>
      <vt:variant>
        <vt:lpwstr/>
      </vt:variant>
      <vt:variant>
        <vt:lpwstr>_Toc175653070</vt:lpwstr>
      </vt:variant>
      <vt:variant>
        <vt:i4>4390924</vt:i4>
      </vt:variant>
      <vt:variant>
        <vt:i4>12</vt:i4>
      </vt:variant>
      <vt:variant>
        <vt:i4>0</vt:i4>
      </vt:variant>
      <vt:variant>
        <vt:i4>5</vt:i4>
      </vt:variant>
      <vt:variant>
        <vt:lpwstr>https://clinicaltrials.gov/study/NCT05819775?term=garadacimab&amp;rank=3</vt:lpwstr>
      </vt:variant>
      <vt:variant>
        <vt:lpwstr/>
      </vt:variant>
      <vt:variant>
        <vt:i4>4849731</vt:i4>
      </vt:variant>
      <vt:variant>
        <vt:i4>9</vt:i4>
      </vt:variant>
      <vt:variant>
        <vt:i4>0</vt:i4>
      </vt:variant>
      <vt:variant>
        <vt:i4>5</vt:i4>
      </vt:variant>
      <vt:variant>
        <vt:lpwstr>https://doi.org/10.1111/cts.12806</vt:lpwstr>
      </vt:variant>
      <vt:variant>
        <vt:lpwstr/>
      </vt:variant>
      <vt:variant>
        <vt:i4>4128849</vt:i4>
      </vt:variant>
      <vt:variant>
        <vt:i4>6</vt:i4>
      </vt:variant>
      <vt:variant>
        <vt:i4>0</vt:i4>
      </vt:variant>
      <vt:variant>
        <vt:i4>5</vt:i4>
      </vt:variant>
      <vt:variant>
        <vt:lpwstr>https://www.uptodate.com/contents/hereditary-angioedema-due-to-c1-inhibitor-deficiency-general-care-and-long-term-prophylaxis?source=related_link</vt:lpwstr>
      </vt:variant>
      <vt:variant>
        <vt:lpwstr>H9</vt:lpwstr>
      </vt:variant>
      <vt:variant>
        <vt:i4>262189</vt:i4>
      </vt:variant>
      <vt:variant>
        <vt:i4>3</vt:i4>
      </vt:variant>
      <vt:variant>
        <vt:i4>0</vt:i4>
      </vt:variant>
      <vt:variant>
        <vt:i4>5</vt:i4>
      </vt:variant>
      <vt:variant>
        <vt:lpwstr>https://www.allergy.org.au/images/docs/ASCIA_HP_Position_Paper_HAE_2022_Updated_Nov.pdf</vt:lpwstr>
      </vt:variant>
      <vt:variant>
        <vt:lpwstr/>
      </vt:variant>
      <vt:variant>
        <vt:i4>262189</vt:i4>
      </vt:variant>
      <vt:variant>
        <vt:i4>0</vt:i4>
      </vt:variant>
      <vt:variant>
        <vt:i4>0</vt:i4>
      </vt:variant>
      <vt:variant>
        <vt:i4>5</vt:i4>
      </vt:variant>
      <vt:variant>
        <vt:lpwstr>https://www.allergy.org.au/images/docs/ASCIA_HP_Position_Paper_HAE_2022_Updated_Nov.pdf</vt:lpwstr>
      </vt:variant>
      <vt:variant>
        <vt:lpwstr/>
      </vt:variant>
      <vt:variant>
        <vt:i4>8126536</vt:i4>
      </vt:variant>
      <vt:variant>
        <vt:i4>15</vt:i4>
      </vt:variant>
      <vt:variant>
        <vt:i4>0</vt:i4>
      </vt:variant>
      <vt:variant>
        <vt:i4>5</vt:i4>
      </vt:variant>
      <vt:variant>
        <vt:lpwstr>mailto:Maria.Donohue@health.gov.au</vt:lpwstr>
      </vt:variant>
      <vt:variant>
        <vt:lpwstr/>
      </vt:variant>
      <vt:variant>
        <vt:i4>8126536</vt:i4>
      </vt:variant>
      <vt:variant>
        <vt:i4>12</vt:i4>
      </vt:variant>
      <vt:variant>
        <vt:i4>0</vt:i4>
      </vt:variant>
      <vt:variant>
        <vt:i4>5</vt:i4>
      </vt:variant>
      <vt:variant>
        <vt:lpwstr>mailto:Maria.Donohue@health.gov.au</vt:lpwstr>
      </vt:variant>
      <vt:variant>
        <vt:lpwstr/>
      </vt:variant>
      <vt:variant>
        <vt:i4>8126536</vt:i4>
      </vt:variant>
      <vt:variant>
        <vt:i4>9</vt:i4>
      </vt:variant>
      <vt:variant>
        <vt:i4>0</vt:i4>
      </vt:variant>
      <vt:variant>
        <vt:i4>5</vt:i4>
      </vt:variant>
      <vt:variant>
        <vt:lpwstr>mailto:Maria.Donohue@health.gov.au</vt:lpwstr>
      </vt:variant>
      <vt:variant>
        <vt:lpwstr/>
      </vt:variant>
      <vt:variant>
        <vt:i4>7340066</vt:i4>
      </vt:variant>
      <vt:variant>
        <vt:i4>6</vt:i4>
      </vt:variant>
      <vt:variant>
        <vt:i4>0</vt:i4>
      </vt:variant>
      <vt:variant>
        <vt:i4>5</vt:i4>
      </vt:variant>
      <vt:variant>
        <vt:lpwstr>https://www.ebs.tga.gov.au/servlet/xmlmillr6?dbid=ebs/PublicHTML/pdfStore.nsf&amp;docid=292319&amp;agid=%28PrintDetailsPublic%29&amp;actionid=1</vt:lpwstr>
      </vt:variant>
      <vt:variant>
        <vt:lpwstr/>
      </vt:variant>
      <vt:variant>
        <vt:i4>6226047</vt:i4>
      </vt:variant>
      <vt:variant>
        <vt:i4>3</vt:i4>
      </vt:variant>
      <vt:variant>
        <vt:i4>0</vt:i4>
      </vt:variant>
      <vt:variant>
        <vt:i4>5</vt:i4>
      </vt:variant>
      <vt:variant>
        <vt:lpwstr>https://www.ajmc.com/view/ace010_13jun_lumry1_s103to10</vt:lpwstr>
      </vt:variant>
      <vt:variant>
        <vt:lpwstr/>
      </vt:variant>
      <vt:variant>
        <vt:i4>6226047</vt:i4>
      </vt:variant>
      <vt:variant>
        <vt:i4>0</vt:i4>
      </vt:variant>
      <vt:variant>
        <vt:i4>0</vt:i4>
      </vt:variant>
      <vt:variant>
        <vt:i4>5</vt:i4>
      </vt:variant>
      <vt:variant>
        <vt:lpwstr>https://www.ajmc.com/view/ace010_13jun_lumry1_s103to10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2025-03-05T03:32:00Z</dcterms:created>
  <dcterms:modified xsi:type="dcterms:W3CDTF">2025-03-05T03:32:00Z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0x0101007FED174C5281F747A8037A05221D6DBD</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