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1F305" w14:textId="36D8A8E6" w:rsidR="00397C79" w:rsidRPr="0015004F" w:rsidRDefault="725CE808" w:rsidP="00397C79">
      <w:pPr>
        <w:pStyle w:val="1-MainHeading"/>
      </w:pPr>
      <w:bookmarkStart w:id="0" w:name="_Toc177480613"/>
      <w:r w:rsidRPr="0015004F">
        <w:t>5</w:t>
      </w:r>
      <w:r w:rsidR="00433044" w:rsidRPr="0015004F">
        <w:t>.</w:t>
      </w:r>
      <w:r w:rsidR="56A8FB46" w:rsidRPr="0015004F">
        <w:t>12</w:t>
      </w:r>
      <w:r w:rsidR="00163F66" w:rsidRPr="0015004F">
        <w:tab/>
      </w:r>
      <w:bookmarkStart w:id="1" w:name="_Toc22897637"/>
      <w:r w:rsidR="00397C79" w:rsidRPr="0015004F">
        <w:t>GARADACIMAB,</w:t>
      </w:r>
      <w:r w:rsidR="00397C79" w:rsidRPr="0015004F">
        <w:br/>
        <w:t>Injection 200 mg in 1.2 mL pre-filled pen,</w:t>
      </w:r>
      <w:r w:rsidR="00397C79" w:rsidRPr="0015004F">
        <w:br/>
        <w:t>TBD,</w:t>
      </w:r>
      <w:r w:rsidR="00397C79" w:rsidRPr="0015004F">
        <w:br/>
        <w:t xml:space="preserve">CSL </w:t>
      </w:r>
      <w:r w:rsidR="009F5503" w:rsidRPr="0015004F">
        <w:t>Behring (Australia) Pty Ltd.</w:t>
      </w:r>
      <w:bookmarkEnd w:id="0"/>
      <w:r w:rsidR="009F5503" w:rsidRPr="0015004F">
        <w:t xml:space="preserve"> </w:t>
      </w:r>
    </w:p>
    <w:p w14:paraId="11C00795" w14:textId="3DFB6D23" w:rsidR="00B50DB8" w:rsidRPr="0015004F" w:rsidRDefault="00B50DB8" w:rsidP="004A6040">
      <w:pPr>
        <w:pStyle w:val="2-SectionHeading"/>
      </w:pPr>
      <w:bookmarkStart w:id="2" w:name="_Toc177480615"/>
      <w:bookmarkEnd w:id="1"/>
      <w:r w:rsidRPr="0015004F">
        <w:t xml:space="preserve">Purpose of </w:t>
      </w:r>
      <w:r w:rsidR="00CD7193" w:rsidRPr="0015004F">
        <w:t>s</w:t>
      </w:r>
      <w:r w:rsidR="00BB3A45" w:rsidRPr="0015004F">
        <w:t>ubmission</w:t>
      </w:r>
      <w:bookmarkEnd w:id="2"/>
    </w:p>
    <w:p w14:paraId="5FACD050" w14:textId="5BD133D8" w:rsidR="00830A18" w:rsidRPr="009B6299" w:rsidRDefault="00830A18" w:rsidP="009B6299">
      <w:pPr>
        <w:pStyle w:val="3-BodyText"/>
      </w:pPr>
      <w:r w:rsidRPr="009B6299">
        <w:t xml:space="preserve">The </w:t>
      </w:r>
      <w:r w:rsidR="00565DB0" w:rsidRPr="009B6299">
        <w:t xml:space="preserve">Category </w:t>
      </w:r>
      <w:r w:rsidR="005C1D6E" w:rsidRPr="009B6299">
        <w:t>1</w:t>
      </w:r>
      <w:r w:rsidR="00EB7B1C" w:rsidRPr="009B6299">
        <w:t xml:space="preserve"> </w:t>
      </w:r>
      <w:r w:rsidRPr="009B6299">
        <w:t xml:space="preserve">submission requested a </w:t>
      </w:r>
      <w:r w:rsidR="0083287A" w:rsidRPr="009B6299">
        <w:t xml:space="preserve">General Schedule Authority Required (Written) listing for the initial treatment and an Authority Required (Telephone/Online) listing for the continuing treatment of </w:t>
      </w:r>
      <w:r w:rsidR="00B32339" w:rsidRPr="009B6299">
        <w:t>hereditary angioedema (</w:t>
      </w:r>
      <w:r w:rsidR="0083287A" w:rsidRPr="009B6299">
        <w:t>HAE</w:t>
      </w:r>
      <w:r w:rsidR="00B32339" w:rsidRPr="009B6299">
        <w:t>)</w:t>
      </w:r>
      <w:r w:rsidR="00EB7B1C" w:rsidRPr="009B6299">
        <w:t xml:space="preserve">. </w:t>
      </w:r>
      <w:r w:rsidR="004D1601" w:rsidRPr="009B6299">
        <w:t>G</w:t>
      </w:r>
      <w:r w:rsidRPr="009B6299">
        <w:t xml:space="preserve">aradacimab </w:t>
      </w:r>
      <w:r w:rsidR="004D1601" w:rsidRPr="009B6299">
        <w:t>was requested for listing for</w:t>
      </w:r>
      <w:r w:rsidRPr="009B6299">
        <w:t xml:space="preserve"> the routine prevention of HAE attacks in adult and </w:t>
      </w:r>
      <w:r w:rsidR="004D1601" w:rsidRPr="009B6299">
        <w:t xml:space="preserve">adolescent </w:t>
      </w:r>
      <w:r w:rsidRPr="009B6299">
        <w:t>patients (aged 12 years and older) with HAE Types I and II.</w:t>
      </w:r>
    </w:p>
    <w:p w14:paraId="03C087E0" w14:textId="77777777" w:rsidR="00830A18" w:rsidRPr="009B6299" w:rsidRDefault="00830A18" w:rsidP="009B6299">
      <w:pPr>
        <w:pStyle w:val="3-BodyText"/>
      </w:pPr>
      <w:r w:rsidRPr="009B6299">
        <w:t xml:space="preserve">Listing was requested on the basis of a cost-minimisation approach (CMA) versus lanadelumab as long term prophylaxis (LTP) to prevent HAE attacks in the PBS target population. </w:t>
      </w:r>
    </w:p>
    <w:p w14:paraId="40E7E79F" w14:textId="76F40EEF" w:rsidR="003171AF" w:rsidRPr="0015004F" w:rsidRDefault="008C4027" w:rsidP="00CD3542">
      <w:pPr>
        <w:pStyle w:val="Caption"/>
      </w:pPr>
      <w:r w:rsidRPr="0015004F">
        <w:t xml:space="preserve">Table </w:t>
      </w:r>
      <w:r w:rsidR="00106090">
        <w:fldChar w:fldCharType="begin" w:fldLock="1"/>
      </w:r>
      <w:r w:rsidR="00106090">
        <w:instrText xml:space="preserve"> SEQ Table \* ARABIC </w:instrText>
      </w:r>
      <w:r w:rsidR="00106090">
        <w:fldChar w:fldCharType="separate"/>
      </w:r>
      <w:r w:rsidR="00106090">
        <w:rPr>
          <w:noProof/>
        </w:rPr>
        <w:t>1</w:t>
      </w:r>
      <w:r w:rsidR="00106090">
        <w:rPr>
          <w:noProof/>
        </w:rPr>
        <w:fldChar w:fldCharType="end"/>
      </w:r>
      <w:r w:rsidRPr="0015004F">
        <w:t xml:space="preserve">: </w:t>
      </w:r>
      <w:r w:rsidR="003171AF" w:rsidRPr="0015004F">
        <w:rPr>
          <w:rStyle w:val="CommentReference"/>
          <w:b/>
          <w:szCs w:val="24"/>
        </w:rPr>
        <w:t>Key components of the clinical issue addressed by the submission</w:t>
      </w:r>
    </w:p>
    <w:tbl>
      <w:tblPr>
        <w:tblW w:w="91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7488"/>
      </w:tblGrid>
      <w:tr w:rsidR="00EA6FDA" w:rsidRPr="0015004F" w14:paraId="4C7F7446" w14:textId="77777777" w:rsidTr="003134EF">
        <w:tc>
          <w:tcPr>
            <w:tcW w:w="1673" w:type="dxa"/>
            <w:vAlign w:val="center"/>
          </w:tcPr>
          <w:p w14:paraId="45BBC95E" w14:textId="77777777" w:rsidR="00830A18" w:rsidRPr="0015004F" w:rsidRDefault="00830A18" w:rsidP="00CD3542">
            <w:pPr>
              <w:keepNext/>
              <w:keepLines/>
              <w:jc w:val="center"/>
              <w:rPr>
                <w:rFonts w:ascii="Arial Narrow" w:eastAsiaTheme="majorEastAsia" w:hAnsi="Arial Narrow" w:cs="Times New Roman"/>
                <w:b/>
                <w:sz w:val="20"/>
                <w:lang w:val="en-US"/>
              </w:rPr>
            </w:pPr>
            <w:r w:rsidRPr="0015004F">
              <w:rPr>
                <w:rFonts w:ascii="Arial Narrow" w:eastAsiaTheme="majorEastAsia" w:hAnsi="Arial Narrow" w:cs="Times New Roman"/>
                <w:b/>
                <w:sz w:val="20"/>
                <w:lang w:val="en-US"/>
              </w:rPr>
              <w:t>Component</w:t>
            </w:r>
          </w:p>
        </w:tc>
        <w:tc>
          <w:tcPr>
            <w:tcW w:w="7488" w:type="dxa"/>
            <w:vAlign w:val="center"/>
          </w:tcPr>
          <w:p w14:paraId="5028E900" w14:textId="77777777" w:rsidR="00830A18" w:rsidRPr="0015004F" w:rsidRDefault="00830A18" w:rsidP="00CD3542">
            <w:pPr>
              <w:keepNext/>
              <w:keepLines/>
              <w:jc w:val="center"/>
              <w:rPr>
                <w:rFonts w:ascii="Arial Narrow" w:eastAsiaTheme="majorEastAsia" w:hAnsi="Arial Narrow" w:cs="Times New Roman"/>
                <w:b/>
                <w:sz w:val="20"/>
                <w:lang w:val="en-US"/>
              </w:rPr>
            </w:pPr>
            <w:r w:rsidRPr="0015004F">
              <w:rPr>
                <w:rFonts w:ascii="Arial Narrow" w:eastAsiaTheme="majorEastAsia" w:hAnsi="Arial Narrow" w:cs="Times New Roman"/>
                <w:b/>
                <w:sz w:val="20"/>
                <w:lang w:val="en-US"/>
              </w:rPr>
              <w:t>Description</w:t>
            </w:r>
          </w:p>
        </w:tc>
      </w:tr>
      <w:tr w:rsidR="00EA6FDA" w:rsidRPr="0015004F" w14:paraId="3DEF8136" w14:textId="77777777" w:rsidTr="003134EF">
        <w:tc>
          <w:tcPr>
            <w:tcW w:w="1673" w:type="dxa"/>
            <w:vAlign w:val="center"/>
          </w:tcPr>
          <w:p w14:paraId="509C8203" w14:textId="77777777" w:rsidR="00830A18" w:rsidRPr="0015004F" w:rsidRDefault="00830A18" w:rsidP="00CD3542">
            <w:pPr>
              <w:keepNext/>
              <w:widowControl w:val="0"/>
              <w:jc w:val="left"/>
              <w:rPr>
                <w:rFonts w:ascii="Arial Narrow" w:eastAsiaTheme="majorEastAsia" w:hAnsi="Arial Narrow" w:cstheme="majorBidi"/>
                <w:sz w:val="20"/>
              </w:rPr>
            </w:pPr>
            <w:r w:rsidRPr="0015004F">
              <w:rPr>
                <w:rFonts w:ascii="Arial Narrow" w:eastAsiaTheme="majorEastAsia" w:hAnsi="Arial Narrow" w:cstheme="majorBidi"/>
                <w:sz w:val="20"/>
              </w:rPr>
              <w:t>Population</w:t>
            </w:r>
          </w:p>
        </w:tc>
        <w:tc>
          <w:tcPr>
            <w:tcW w:w="7488" w:type="dxa"/>
          </w:tcPr>
          <w:p w14:paraId="1F348C1A" w14:textId="77777777" w:rsidR="00830A18" w:rsidRPr="0015004F" w:rsidRDefault="00830A18" w:rsidP="00CD3542">
            <w:pPr>
              <w:keepNext/>
              <w:widowControl w:val="0"/>
              <w:jc w:val="left"/>
              <w:rPr>
                <w:rFonts w:ascii="Arial Narrow" w:eastAsiaTheme="majorEastAsia" w:hAnsi="Arial Narrow" w:cstheme="majorBidi"/>
                <w:sz w:val="20"/>
              </w:rPr>
            </w:pPr>
            <w:r w:rsidRPr="0015004F">
              <w:rPr>
                <w:rFonts w:ascii="Arial Narrow" w:eastAsiaTheme="majorEastAsia" w:hAnsi="Arial Narrow" w:cstheme="majorBidi"/>
                <w:sz w:val="20"/>
              </w:rPr>
              <w:t>Patients with hereditary angioedema Types I and II</w:t>
            </w:r>
          </w:p>
        </w:tc>
      </w:tr>
      <w:tr w:rsidR="00EA6FDA" w:rsidRPr="0015004F" w14:paraId="2A9A4577" w14:textId="77777777" w:rsidTr="003134EF">
        <w:tc>
          <w:tcPr>
            <w:tcW w:w="1673" w:type="dxa"/>
            <w:vAlign w:val="center"/>
          </w:tcPr>
          <w:p w14:paraId="283CBE33" w14:textId="77777777" w:rsidR="00830A18" w:rsidRPr="0015004F" w:rsidRDefault="00830A18" w:rsidP="00CD3542">
            <w:pPr>
              <w:keepNext/>
              <w:widowControl w:val="0"/>
              <w:jc w:val="left"/>
              <w:rPr>
                <w:rFonts w:ascii="Arial Narrow" w:eastAsiaTheme="majorEastAsia" w:hAnsi="Arial Narrow" w:cstheme="majorBidi"/>
                <w:sz w:val="20"/>
              </w:rPr>
            </w:pPr>
            <w:r w:rsidRPr="0015004F">
              <w:rPr>
                <w:rFonts w:ascii="Arial Narrow" w:eastAsiaTheme="majorEastAsia" w:hAnsi="Arial Narrow" w:cstheme="majorBidi"/>
                <w:sz w:val="20"/>
              </w:rPr>
              <w:t>Intervention</w:t>
            </w:r>
          </w:p>
        </w:tc>
        <w:tc>
          <w:tcPr>
            <w:tcW w:w="7488" w:type="dxa"/>
          </w:tcPr>
          <w:p w14:paraId="3D596C3D" w14:textId="77777777" w:rsidR="00830A18" w:rsidRPr="0015004F" w:rsidRDefault="00830A18" w:rsidP="00CD3542">
            <w:pPr>
              <w:keepNext/>
              <w:widowControl w:val="0"/>
              <w:jc w:val="left"/>
              <w:rPr>
                <w:rFonts w:ascii="Arial Narrow" w:eastAsiaTheme="majorEastAsia" w:hAnsi="Arial Narrow" w:cstheme="majorBidi"/>
                <w:sz w:val="20"/>
              </w:rPr>
            </w:pPr>
            <w:r w:rsidRPr="0015004F">
              <w:rPr>
                <w:rFonts w:ascii="Arial Narrow" w:eastAsiaTheme="majorEastAsia" w:hAnsi="Arial Narrow" w:cstheme="majorBidi"/>
                <w:sz w:val="20"/>
              </w:rPr>
              <w:t>Garadacimab 200 mg in 1.2 mL subcutaneous injection</w:t>
            </w:r>
          </w:p>
        </w:tc>
      </w:tr>
      <w:tr w:rsidR="00EA6FDA" w:rsidRPr="0015004F" w14:paraId="6F1C4CC5" w14:textId="77777777" w:rsidTr="003134EF">
        <w:tc>
          <w:tcPr>
            <w:tcW w:w="1673" w:type="dxa"/>
            <w:vAlign w:val="center"/>
          </w:tcPr>
          <w:p w14:paraId="7B67AFE2" w14:textId="77777777" w:rsidR="00830A18" w:rsidRPr="0015004F" w:rsidRDefault="00830A18" w:rsidP="00CD3542">
            <w:pPr>
              <w:keepNext/>
              <w:widowControl w:val="0"/>
              <w:jc w:val="left"/>
              <w:rPr>
                <w:rFonts w:ascii="Arial Narrow" w:eastAsiaTheme="majorEastAsia" w:hAnsi="Arial Narrow" w:cstheme="majorBidi"/>
                <w:sz w:val="20"/>
              </w:rPr>
            </w:pPr>
            <w:r w:rsidRPr="0015004F">
              <w:rPr>
                <w:rFonts w:ascii="Arial Narrow" w:eastAsiaTheme="majorEastAsia" w:hAnsi="Arial Narrow" w:cstheme="majorBidi"/>
                <w:sz w:val="20"/>
              </w:rPr>
              <w:t>Comparator</w:t>
            </w:r>
          </w:p>
        </w:tc>
        <w:tc>
          <w:tcPr>
            <w:tcW w:w="7488" w:type="dxa"/>
          </w:tcPr>
          <w:p w14:paraId="53D36025" w14:textId="77777777" w:rsidR="00830A18" w:rsidRPr="0015004F" w:rsidRDefault="00830A18" w:rsidP="00CD3542">
            <w:pPr>
              <w:keepNext/>
              <w:widowControl w:val="0"/>
              <w:jc w:val="left"/>
              <w:rPr>
                <w:rFonts w:ascii="Arial Narrow" w:eastAsiaTheme="majorEastAsia" w:hAnsi="Arial Narrow" w:cstheme="majorBidi"/>
                <w:sz w:val="20"/>
              </w:rPr>
            </w:pPr>
            <w:r w:rsidRPr="0015004F">
              <w:rPr>
                <w:rFonts w:ascii="Arial Narrow" w:eastAsiaTheme="majorEastAsia" w:hAnsi="Arial Narrow" w:cstheme="majorBidi"/>
                <w:sz w:val="20"/>
              </w:rPr>
              <w:t>Lanadelumab 300 mg in 2 mL subcutaneous injection</w:t>
            </w:r>
          </w:p>
        </w:tc>
      </w:tr>
      <w:tr w:rsidR="00EA6FDA" w:rsidRPr="0015004F" w14:paraId="7E514108" w14:textId="77777777" w:rsidTr="003134EF">
        <w:tc>
          <w:tcPr>
            <w:tcW w:w="1673" w:type="dxa"/>
            <w:vAlign w:val="center"/>
          </w:tcPr>
          <w:p w14:paraId="2BBA1FE6" w14:textId="77777777" w:rsidR="00830A18" w:rsidRPr="0015004F" w:rsidRDefault="00830A18" w:rsidP="00CD3542">
            <w:pPr>
              <w:keepNext/>
              <w:widowControl w:val="0"/>
              <w:jc w:val="left"/>
              <w:rPr>
                <w:rFonts w:ascii="Arial Narrow" w:eastAsiaTheme="majorEastAsia" w:hAnsi="Arial Narrow" w:cstheme="majorBidi"/>
                <w:sz w:val="20"/>
              </w:rPr>
            </w:pPr>
            <w:r w:rsidRPr="0015004F">
              <w:rPr>
                <w:rFonts w:ascii="Arial Narrow" w:eastAsiaTheme="majorEastAsia" w:hAnsi="Arial Narrow" w:cstheme="majorBidi"/>
                <w:sz w:val="20"/>
              </w:rPr>
              <w:t>Outcomes</w:t>
            </w:r>
          </w:p>
        </w:tc>
        <w:tc>
          <w:tcPr>
            <w:tcW w:w="7488" w:type="dxa"/>
            <w:vAlign w:val="center"/>
          </w:tcPr>
          <w:p w14:paraId="1E6677A0" w14:textId="77777777" w:rsidR="00830A18" w:rsidRPr="0015004F" w:rsidRDefault="00830A18" w:rsidP="00CD3542">
            <w:pPr>
              <w:keepNext/>
              <w:widowControl w:val="0"/>
              <w:jc w:val="left"/>
              <w:rPr>
                <w:rFonts w:ascii="Arial Narrow" w:eastAsiaTheme="majorEastAsia" w:hAnsi="Arial Narrow" w:cstheme="majorBidi"/>
                <w:sz w:val="20"/>
              </w:rPr>
            </w:pPr>
            <w:r w:rsidRPr="0015004F">
              <w:rPr>
                <w:rFonts w:ascii="Arial Narrow" w:eastAsiaTheme="majorEastAsia" w:hAnsi="Arial Narrow" w:cstheme="majorBidi"/>
                <w:sz w:val="20"/>
              </w:rPr>
              <w:t>Efficacy outcomes</w:t>
            </w:r>
          </w:p>
          <w:p w14:paraId="5C07EA06" w14:textId="77777777" w:rsidR="00830A18" w:rsidRPr="0015004F" w:rsidRDefault="00830A18" w:rsidP="00CD3542">
            <w:pPr>
              <w:keepNext/>
              <w:widowControl w:val="0"/>
              <w:ind w:left="345"/>
              <w:jc w:val="left"/>
              <w:rPr>
                <w:rFonts w:ascii="Arial Narrow" w:eastAsiaTheme="majorEastAsia" w:hAnsi="Arial Narrow" w:cstheme="majorBidi"/>
                <w:sz w:val="20"/>
              </w:rPr>
            </w:pPr>
            <w:r w:rsidRPr="0015004F">
              <w:rPr>
                <w:rFonts w:ascii="Arial Narrow" w:eastAsiaTheme="majorEastAsia" w:hAnsi="Arial Narrow" w:cstheme="majorBidi"/>
                <w:sz w:val="20"/>
              </w:rPr>
              <w:t>•</w:t>
            </w:r>
            <w:r w:rsidRPr="0015004F">
              <w:rPr>
                <w:rFonts w:ascii="Arial Narrow" w:eastAsiaTheme="majorEastAsia" w:hAnsi="Arial Narrow" w:cstheme="majorBidi"/>
                <w:sz w:val="20"/>
              </w:rPr>
              <w:tab/>
              <w:t>Time-normalised number of attacks</w:t>
            </w:r>
          </w:p>
          <w:p w14:paraId="36A9CB29" w14:textId="77777777" w:rsidR="00830A18" w:rsidRPr="0015004F" w:rsidRDefault="00830A18" w:rsidP="00CD3542">
            <w:pPr>
              <w:keepNext/>
              <w:widowControl w:val="0"/>
              <w:ind w:left="345"/>
              <w:jc w:val="left"/>
              <w:rPr>
                <w:rFonts w:ascii="Arial Narrow" w:eastAsiaTheme="majorEastAsia" w:hAnsi="Arial Narrow" w:cstheme="majorBidi"/>
                <w:sz w:val="20"/>
              </w:rPr>
            </w:pPr>
            <w:r w:rsidRPr="0015004F">
              <w:rPr>
                <w:rFonts w:ascii="Arial Narrow" w:eastAsiaTheme="majorEastAsia" w:hAnsi="Arial Narrow" w:cstheme="majorBidi"/>
                <w:sz w:val="20"/>
              </w:rPr>
              <w:t>•</w:t>
            </w:r>
            <w:r w:rsidRPr="0015004F">
              <w:rPr>
                <w:rFonts w:ascii="Arial Narrow" w:eastAsiaTheme="majorEastAsia" w:hAnsi="Arial Narrow" w:cstheme="majorBidi"/>
                <w:sz w:val="20"/>
              </w:rPr>
              <w:tab/>
              <w:t>Reduction in attack rate</w:t>
            </w:r>
          </w:p>
          <w:p w14:paraId="2AE3BBB6" w14:textId="77777777" w:rsidR="00830A18" w:rsidRPr="0015004F" w:rsidRDefault="00830A18" w:rsidP="00CD3542">
            <w:pPr>
              <w:keepNext/>
              <w:widowControl w:val="0"/>
              <w:ind w:left="345"/>
              <w:jc w:val="left"/>
              <w:rPr>
                <w:rFonts w:ascii="Arial Narrow" w:eastAsiaTheme="majorEastAsia" w:hAnsi="Arial Narrow" w:cstheme="majorBidi"/>
                <w:sz w:val="20"/>
              </w:rPr>
            </w:pPr>
            <w:r w:rsidRPr="0015004F">
              <w:rPr>
                <w:rFonts w:ascii="Arial Narrow" w:eastAsiaTheme="majorEastAsia" w:hAnsi="Arial Narrow" w:cstheme="majorBidi"/>
                <w:sz w:val="20"/>
              </w:rPr>
              <w:t>•</w:t>
            </w:r>
            <w:r w:rsidRPr="0015004F">
              <w:rPr>
                <w:rFonts w:ascii="Arial Narrow" w:eastAsiaTheme="majorEastAsia" w:hAnsi="Arial Narrow" w:cstheme="majorBidi"/>
                <w:sz w:val="20"/>
              </w:rPr>
              <w:tab/>
              <w:t>Responder analysis (% of responders with specified % reductions in attacks)</w:t>
            </w:r>
          </w:p>
          <w:p w14:paraId="7DA50A75" w14:textId="77777777" w:rsidR="00830A18" w:rsidRPr="0015004F" w:rsidRDefault="00830A18" w:rsidP="00CD3542">
            <w:pPr>
              <w:keepNext/>
              <w:widowControl w:val="0"/>
              <w:ind w:left="345"/>
              <w:jc w:val="left"/>
              <w:rPr>
                <w:rFonts w:ascii="Arial Narrow" w:eastAsiaTheme="majorEastAsia" w:hAnsi="Arial Narrow" w:cstheme="majorBidi"/>
                <w:sz w:val="20"/>
              </w:rPr>
            </w:pPr>
            <w:r w:rsidRPr="0015004F">
              <w:rPr>
                <w:rFonts w:ascii="Arial Narrow" w:eastAsiaTheme="majorEastAsia" w:hAnsi="Arial Narrow" w:cstheme="majorBidi"/>
                <w:sz w:val="20"/>
              </w:rPr>
              <w:t>•</w:t>
            </w:r>
            <w:r w:rsidRPr="0015004F">
              <w:rPr>
                <w:rFonts w:ascii="Arial Narrow" w:eastAsiaTheme="majorEastAsia" w:hAnsi="Arial Narrow" w:cstheme="majorBidi"/>
                <w:sz w:val="20"/>
              </w:rPr>
              <w:tab/>
              <w:t>Time-normalised number of attacks requiring on-demand treatment</w:t>
            </w:r>
          </w:p>
          <w:p w14:paraId="3F8F2670" w14:textId="77777777" w:rsidR="00830A18" w:rsidRPr="0015004F" w:rsidRDefault="00830A18" w:rsidP="00CD3542">
            <w:pPr>
              <w:keepNext/>
              <w:widowControl w:val="0"/>
              <w:ind w:left="345"/>
              <w:jc w:val="left"/>
              <w:rPr>
                <w:rFonts w:ascii="Arial Narrow" w:eastAsiaTheme="majorEastAsia" w:hAnsi="Arial Narrow" w:cstheme="majorBidi"/>
                <w:sz w:val="20"/>
              </w:rPr>
            </w:pPr>
            <w:r w:rsidRPr="0015004F">
              <w:rPr>
                <w:rFonts w:ascii="Arial Narrow" w:eastAsiaTheme="majorEastAsia" w:hAnsi="Arial Narrow" w:cstheme="majorBidi"/>
                <w:sz w:val="20"/>
              </w:rPr>
              <w:t>•</w:t>
            </w:r>
            <w:r w:rsidRPr="0015004F">
              <w:rPr>
                <w:rFonts w:ascii="Arial Narrow" w:eastAsiaTheme="majorEastAsia" w:hAnsi="Arial Narrow" w:cstheme="majorBidi"/>
                <w:sz w:val="20"/>
              </w:rPr>
              <w:tab/>
              <w:t xml:space="preserve">Time-normalised number of moderate or severe attacks </w:t>
            </w:r>
          </w:p>
          <w:p w14:paraId="71C25AF2" w14:textId="77777777" w:rsidR="00830A18" w:rsidRPr="0015004F" w:rsidRDefault="00830A18" w:rsidP="00CD3542">
            <w:pPr>
              <w:keepNext/>
              <w:widowControl w:val="0"/>
              <w:ind w:left="345"/>
              <w:jc w:val="left"/>
              <w:rPr>
                <w:rFonts w:ascii="Arial Narrow" w:eastAsiaTheme="majorEastAsia" w:hAnsi="Arial Narrow" w:cstheme="majorBidi"/>
                <w:sz w:val="20"/>
              </w:rPr>
            </w:pPr>
            <w:r w:rsidRPr="0015004F">
              <w:rPr>
                <w:rFonts w:ascii="Arial Narrow" w:eastAsiaTheme="majorEastAsia" w:hAnsi="Arial Narrow" w:cstheme="majorBidi"/>
                <w:sz w:val="20"/>
              </w:rPr>
              <w:t>•</w:t>
            </w:r>
            <w:r w:rsidRPr="0015004F">
              <w:rPr>
                <w:rFonts w:ascii="Arial Narrow" w:eastAsiaTheme="majorEastAsia" w:hAnsi="Arial Narrow" w:cstheme="majorBidi"/>
                <w:sz w:val="20"/>
              </w:rPr>
              <w:tab/>
              <w:t>Subject’s Global Assessment of Response to Therapy</w:t>
            </w:r>
          </w:p>
          <w:p w14:paraId="4827E1F6" w14:textId="77777777" w:rsidR="00830A18" w:rsidRPr="0015004F" w:rsidRDefault="00830A18" w:rsidP="00CD3542">
            <w:pPr>
              <w:keepNext/>
              <w:widowControl w:val="0"/>
              <w:jc w:val="left"/>
              <w:rPr>
                <w:rFonts w:ascii="Arial Narrow" w:eastAsiaTheme="majorEastAsia" w:hAnsi="Arial Narrow" w:cstheme="majorBidi"/>
                <w:sz w:val="20"/>
              </w:rPr>
            </w:pPr>
            <w:r w:rsidRPr="0015004F">
              <w:rPr>
                <w:rFonts w:ascii="Arial Narrow" w:eastAsiaTheme="majorEastAsia" w:hAnsi="Arial Narrow" w:cstheme="majorBidi"/>
                <w:sz w:val="20"/>
              </w:rPr>
              <w:t>Safety outcomes</w:t>
            </w:r>
          </w:p>
          <w:p w14:paraId="3D147182" w14:textId="77777777" w:rsidR="00830A18" w:rsidRPr="0015004F" w:rsidRDefault="00830A18" w:rsidP="00CD3542">
            <w:pPr>
              <w:keepNext/>
              <w:widowControl w:val="0"/>
              <w:ind w:left="345"/>
              <w:jc w:val="left"/>
              <w:rPr>
                <w:rFonts w:ascii="Arial Narrow" w:eastAsiaTheme="majorEastAsia" w:hAnsi="Arial Narrow" w:cstheme="majorBidi"/>
                <w:sz w:val="20"/>
              </w:rPr>
            </w:pPr>
            <w:r w:rsidRPr="0015004F">
              <w:rPr>
                <w:rFonts w:ascii="Arial Narrow" w:eastAsiaTheme="majorEastAsia" w:hAnsi="Arial Narrow" w:cstheme="majorBidi"/>
                <w:sz w:val="20"/>
              </w:rPr>
              <w:t>•</w:t>
            </w:r>
            <w:r w:rsidRPr="0015004F">
              <w:rPr>
                <w:rFonts w:ascii="Arial Narrow" w:eastAsiaTheme="majorEastAsia" w:hAnsi="Arial Narrow" w:cstheme="majorBidi"/>
                <w:sz w:val="20"/>
              </w:rPr>
              <w:tab/>
              <w:t>Safety and tolerability profile (including adverse events)</w:t>
            </w:r>
          </w:p>
          <w:p w14:paraId="54536B95" w14:textId="77777777" w:rsidR="00830A18" w:rsidRPr="0015004F" w:rsidRDefault="00830A18" w:rsidP="00CD3542">
            <w:pPr>
              <w:keepNext/>
              <w:widowControl w:val="0"/>
              <w:jc w:val="left"/>
              <w:rPr>
                <w:rFonts w:ascii="Arial Narrow" w:eastAsiaTheme="majorEastAsia" w:hAnsi="Arial Narrow" w:cstheme="majorBidi"/>
                <w:sz w:val="20"/>
              </w:rPr>
            </w:pPr>
            <w:r w:rsidRPr="0015004F">
              <w:rPr>
                <w:rFonts w:ascii="Arial Narrow" w:eastAsiaTheme="majorEastAsia" w:hAnsi="Arial Narrow" w:cstheme="majorBidi"/>
                <w:sz w:val="20"/>
              </w:rPr>
              <w:t>Exploratory outcomes</w:t>
            </w:r>
          </w:p>
          <w:p w14:paraId="1F53076D" w14:textId="77777777" w:rsidR="00830A18" w:rsidRPr="0015004F" w:rsidRDefault="00830A18" w:rsidP="00CD3542">
            <w:pPr>
              <w:keepNext/>
              <w:widowControl w:val="0"/>
              <w:ind w:left="345"/>
              <w:jc w:val="left"/>
              <w:rPr>
                <w:rFonts w:ascii="Arial Narrow" w:eastAsiaTheme="majorEastAsia" w:hAnsi="Arial Narrow" w:cstheme="majorBidi"/>
                <w:sz w:val="20"/>
              </w:rPr>
            </w:pPr>
            <w:r w:rsidRPr="0015004F">
              <w:rPr>
                <w:rFonts w:ascii="Arial Narrow" w:eastAsiaTheme="majorEastAsia" w:hAnsi="Arial Narrow" w:cstheme="majorBidi"/>
                <w:sz w:val="20"/>
              </w:rPr>
              <w:t>•</w:t>
            </w:r>
            <w:r w:rsidRPr="0015004F">
              <w:rPr>
                <w:rFonts w:ascii="Arial Narrow" w:eastAsiaTheme="majorEastAsia" w:hAnsi="Arial Narrow" w:cstheme="majorBidi"/>
                <w:sz w:val="20"/>
              </w:rPr>
              <w:tab/>
              <w:t>Angioedema Quality of Life</w:t>
            </w:r>
          </w:p>
          <w:p w14:paraId="4F50A156" w14:textId="77777777" w:rsidR="00830A18" w:rsidRPr="0015004F" w:rsidRDefault="00830A18" w:rsidP="00CD3542">
            <w:pPr>
              <w:keepNext/>
              <w:widowControl w:val="0"/>
              <w:ind w:left="345"/>
              <w:jc w:val="left"/>
              <w:rPr>
                <w:rFonts w:ascii="Arial Narrow" w:eastAsiaTheme="majorEastAsia" w:hAnsi="Arial Narrow" w:cstheme="majorBidi"/>
                <w:sz w:val="20"/>
              </w:rPr>
            </w:pPr>
            <w:r w:rsidRPr="0015004F">
              <w:rPr>
                <w:rFonts w:ascii="Arial Narrow" w:eastAsiaTheme="majorEastAsia" w:hAnsi="Arial Narrow" w:cstheme="majorBidi"/>
                <w:sz w:val="20"/>
              </w:rPr>
              <w:t>•</w:t>
            </w:r>
            <w:r w:rsidRPr="0015004F">
              <w:rPr>
                <w:rFonts w:ascii="Arial Narrow" w:eastAsiaTheme="majorEastAsia" w:hAnsi="Arial Narrow" w:cstheme="majorBidi"/>
                <w:sz w:val="20"/>
              </w:rPr>
              <w:tab/>
              <w:t>EQ-5D-5L</w:t>
            </w:r>
          </w:p>
          <w:p w14:paraId="634A37AF" w14:textId="77777777" w:rsidR="00830A18" w:rsidRPr="0015004F" w:rsidRDefault="00830A18" w:rsidP="00CD3542">
            <w:pPr>
              <w:keepNext/>
              <w:widowControl w:val="0"/>
              <w:ind w:left="345"/>
              <w:jc w:val="left"/>
              <w:rPr>
                <w:rFonts w:ascii="Arial Narrow" w:eastAsiaTheme="majorEastAsia" w:hAnsi="Arial Narrow" w:cstheme="majorBidi"/>
                <w:sz w:val="20"/>
              </w:rPr>
            </w:pPr>
            <w:r w:rsidRPr="0015004F">
              <w:rPr>
                <w:rFonts w:ascii="Arial Narrow" w:eastAsiaTheme="majorEastAsia" w:hAnsi="Arial Narrow" w:cstheme="majorBidi"/>
                <w:sz w:val="20"/>
              </w:rPr>
              <w:t>•</w:t>
            </w:r>
            <w:r w:rsidRPr="0015004F">
              <w:rPr>
                <w:rFonts w:ascii="Arial Narrow" w:eastAsiaTheme="majorEastAsia" w:hAnsi="Arial Narrow" w:cstheme="majorBidi"/>
                <w:sz w:val="20"/>
              </w:rPr>
              <w:tab/>
              <w:t>Work Productivity and Activity Impairment: General Health</w:t>
            </w:r>
          </w:p>
          <w:p w14:paraId="31470D71" w14:textId="77777777" w:rsidR="00830A18" w:rsidRPr="0015004F" w:rsidRDefault="00830A18" w:rsidP="00CD3542">
            <w:pPr>
              <w:keepNext/>
              <w:widowControl w:val="0"/>
              <w:ind w:left="345"/>
              <w:jc w:val="left"/>
              <w:rPr>
                <w:rFonts w:ascii="Arial Narrow" w:eastAsiaTheme="majorEastAsia" w:hAnsi="Arial Narrow" w:cstheme="majorBidi"/>
                <w:sz w:val="20"/>
              </w:rPr>
            </w:pPr>
            <w:r w:rsidRPr="0015004F">
              <w:rPr>
                <w:rFonts w:ascii="Arial Narrow" w:eastAsiaTheme="majorEastAsia" w:hAnsi="Arial Narrow" w:cstheme="majorBidi"/>
                <w:sz w:val="20"/>
              </w:rPr>
              <w:t>•</w:t>
            </w:r>
            <w:r w:rsidRPr="0015004F">
              <w:rPr>
                <w:rFonts w:ascii="Arial Narrow" w:eastAsiaTheme="majorEastAsia" w:hAnsi="Arial Narrow" w:cstheme="majorBidi"/>
                <w:sz w:val="20"/>
              </w:rPr>
              <w:tab/>
              <w:t>Investigator’s Global Assessment of Response to Therapy</w:t>
            </w:r>
          </w:p>
          <w:p w14:paraId="0DDB6BDD" w14:textId="77777777" w:rsidR="00830A18" w:rsidRPr="0015004F" w:rsidRDefault="00830A18" w:rsidP="00CD3542">
            <w:pPr>
              <w:keepNext/>
              <w:widowControl w:val="0"/>
              <w:ind w:left="345"/>
              <w:jc w:val="left"/>
              <w:rPr>
                <w:rFonts w:ascii="Arial Narrow" w:eastAsiaTheme="majorEastAsia" w:hAnsi="Arial Narrow" w:cstheme="majorBidi"/>
                <w:sz w:val="20"/>
              </w:rPr>
            </w:pPr>
            <w:r w:rsidRPr="0015004F">
              <w:rPr>
                <w:rFonts w:ascii="Arial Narrow" w:eastAsiaTheme="majorEastAsia" w:hAnsi="Arial Narrow" w:cstheme="majorBidi"/>
                <w:sz w:val="20"/>
              </w:rPr>
              <w:t>•</w:t>
            </w:r>
            <w:r w:rsidRPr="0015004F">
              <w:rPr>
                <w:rFonts w:ascii="Arial Narrow" w:eastAsiaTheme="majorEastAsia" w:hAnsi="Arial Narrow" w:cstheme="majorBidi"/>
                <w:sz w:val="20"/>
              </w:rPr>
              <w:tab/>
              <w:t>Time to first attack</w:t>
            </w:r>
          </w:p>
          <w:p w14:paraId="35C5BF86" w14:textId="77777777" w:rsidR="00830A18" w:rsidRPr="0015004F" w:rsidRDefault="00830A18" w:rsidP="00CD3542">
            <w:pPr>
              <w:keepNext/>
              <w:widowControl w:val="0"/>
              <w:ind w:left="345"/>
              <w:jc w:val="left"/>
              <w:rPr>
                <w:rFonts w:ascii="Arial Narrow" w:eastAsiaTheme="majorEastAsia" w:hAnsi="Arial Narrow" w:cstheme="majorBidi"/>
                <w:sz w:val="20"/>
              </w:rPr>
            </w:pPr>
            <w:r w:rsidRPr="0015004F">
              <w:rPr>
                <w:rFonts w:ascii="Arial Narrow" w:eastAsiaTheme="majorEastAsia" w:hAnsi="Arial Narrow" w:cstheme="majorBidi"/>
                <w:sz w:val="20"/>
              </w:rPr>
              <w:t>•</w:t>
            </w:r>
            <w:r w:rsidRPr="0015004F">
              <w:rPr>
                <w:rFonts w:ascii="Arial Narrow" w:eastAsiaTheme="majorEastAsia" w:hAnsi="Arial Narrow" w:cstheme="majorBidi"/>
                <w:sz w:val="20"/>
              </w:rPr>
              <w:tab/>
              <w:t>Attack severity</w:t>
            </w:r>
          </w:p>
        </w:tc>
      </w:tr>
      <w:tr w:rsidR="00EA6FDA" w:rsidRPr="0015004F" w14:paraId="6C838E54" w14:textId="77777777" w:rsidTr="003134EF">
        <w:tc>
          <w:tcPr>
            <w:tcW w:w="1673" w:type="dxa"/>
            <w:vAlign w:val="center"/>
          </w:tcPr>
          <w:p w14:paraId="0E38C971" w14:textId="77777777" w:rsidR="00830A18" w:rsidRPr="0015004F" w:rsidRDefault="00830A18" w:rsidP="00CD3542">
            <w:pPr>
              <w:keepNext/>
              <w:widowControl w:val="0"/>
              <w:jc w:val="left"/>
              <w:rPr>
                <w:rFonts w:ascii="Arial Narrow" w:eastAsiaTheme="majorEastAsia" w:hAnsi="Arial Narrow" w:cstheme="majorBidi"/>
                <w:sz w:val="20"/>
              </w:rPr>
            </w:pPr>
            <w:r w:rsidRPr="0015004F">
              <w:rPr>
                <w:rFonts w:ascii="Arial Narrow" w:eastAsiaTheme="majorEastAsia" w:hAnsi="Arial Narrow" w:cstheme="majorBidi"/>
                <w:sz w:val="20"/>
              </w:rPr>
              <w:t>Clinical claim</w:t>
            </w:r>
          </w:p>
        </w:tc>
        <w:tc>
          <w:tcPr>
            <w:tcW w:w="7488" w:type="dxa"/>
            <w:vAlign w:val="center"/>
          </w:tcPr>
          <w:p w14:paraId="3394BF81" w14:textId="77777777" w:rsidR="00830A18" w:rsidRPr="0015004F" w:rsidRDefault="00830A18" w:rsidP="00CD3542">
            <w:pPr>
              <w:keepNext/>
              <w:widowControl w:val="0"/>
              <w:jc w:val="left"/>
              <w:rPr>
                <w:rFonts w:ascii="Arial Narrow" w:eastAsiaTheme="majorEastAsia" w:hAnsi="Arial Narrow" w:cstheme="majorBidi"/>
                <w:sz w:val="20"/>
              </w:rPr>
            </w:pPr>
            <w:r w:rsidRPr="0015004F">
              <w:rPr>
                <w:rFonts w:ascii="Arial Narrow" w:eastAsiaTheme="majorEastAsia" w:hAnsi="Arial Narrow" w:cstheme="majorBidi"/>
                <w:sz w:val="20"/>
              </w:rPr>
              <w:t>Non-inferior efficacy and safety to lanadelumab</w:t>
            </w:r>
          </w:p>
        </w:tc>
      </w:tr>
    </w:tbl>
    <w:p w14:paraId="0567848F" w14:textId="679E2308" w:rsidR="003171AF" w:rsidRPr="0015004F" w:rsidRDefault="003171AF" w:rsidP="00CD3542">
      <w:pPr>
        <w:pStyle w:val="FooterTableFigure"/>
        <w:keepNext/>
      </w:pPr>
      <w:r w:rsidRPr="0015004F">
        <w:t>Source: Table 1.1, p13 of the submission.</w:t>
      </w:r>
    </w:p>
    <w:p w14:paraId="6F552143" w14:textId="77777777" w:rsidR="003171AF" w:rsidRPr="0015004F" w:rsidRDefault="003171AF" w:rsidP="003171AF">
      <w:pPr>
        <w:pStyle w:val="FooterTableFigure"/>
      </w:pPr>
      <w:r w:rsidRPr="0015004F">
        <w:t>EQ-5D-5L = EuroQoL-5 Dimension 5 Level</w:t>
      </w:r>
    </w:p>
    <w:p w14:paraId="6B4AB6C2" w14:textId="7F01D731" w:rsidR="005C25FF" w:rsidRPr="0015004F" w:rsidRDefault="005C25FF" w:rsidP="004A6040">
      <w:pPr>
        <w:pStyle w:val="2-SectionHeading"/>
      </w:pPr>
      <w:bookmarkStart w:id="3" w:name="_Toc177480616"/>
      <w:r w:rsidRPr="0015004F">
        <w:lastRenderedPageBreak/>
        <w:t>Background</w:t>
      </w:r>
      <w:bookmarkEnd w:id="3"/>
    </w:p>
    <w:p w14:paraId="2C521D6D" w14:textId="78CF03EE" w:rsidR="005C25FF" w:rsidRPr="0015004F" w:rsidRDefault="005C25FF" w:rsidP="004A6040">
      <w:pPr>
        <w:pStyle w:val="4-SubsectionHeading"/>
        <w:rPr>
          <w:i w:val="0"/>
        </w:rPr>
      </w:pPr>
      <w:bookmarkStart w:id="4" w:name="_Toc22897638"/>
      <w:bookmarkStart w:id="5" w:name="_Toc177480617"/>
      <w:r w:rsidRPr="0015004F">
        <w:rPr>
          <w:i w:val="0"/>
        </w:rPr>
        <w:t>Registration status</w:t>
      </w:r>
      <w:bookmarkEnd w:id="4"/>
      <w:bookmarkEnd w:id="5"/>
    </w:p>
    <w:p w14:paraId="2533F0DF" w14:textId="1728D6FB" w:rsidR="0062014C" w:rsidRPr="009B6299" w:rsidRDefault="00EA1692" w:rsidP="009B6299">
      <w:pPr>
        <w:pStyle w:val="3-BodyText"/>
      </w:pPr>
      <w:r w:rsidRPr="009B6299">
        <w:t xml:space="preserve">TGA status at time of </w:t>
      </w:r>
      <w:r w:rsidR="00025733" w:rsidRPr="009B6299">
        <w:t>PBAC consideration</w:t>
      </w:r>
      <w:r w:rsidRPr="009B6299">
        <w:t xml:space="preserve">: </w:t>
      </w:r>
      <w:r w:rsidR="003A2C51" w:rsidRPr="009B6299">
        <w:t xml:space="preserve">The </w:t>
      </w:r>
      <w:r w:rsidR="008D1A8A" w:rsidRPr="009B6299">
        <w:t>Clinical Evaluation Report</w:t>
      </w:r>
      <w:r w:rsidR="00025733" w:rsidRPr="009B6299">
        <w:t>s</w:t>
      </w:r>
      <w:r w:rsidR="008D1A8A" w:rsidRPr="009B6299">
        <w:t xml:space="preserve"> (</w:t>
      </w:r>
      <w:r w:rsidR="003B26A2" w:rsidRPr="009B6299">
        <w:t xml:space="preserve">CERs, </w:t>
      </w:r>
      <w:r w:rsidR="008D1A8A" w:rsidRPr="009B6299">
        <w:t>Round 1</w:t>
      </w:r>
      <w:r w:rsidR="00025733" w:rsidRPr="009B6299">
        <w:t xml:space="preserve"> and Round 2</w:t>
      </w:r>
      <w:r w:rsidR="008D1A8A" w:rsidRPr="009B6299">
        <w:t>)</w:t>
      </w:r>
      <w:r w:rsidR="00025733" w:rsidRPr="009B6299">
        <w:t xml:space="preserve">, and the Delegate’s Overview </w:t>
      </w:r>
      <w:r w:rsidR="003B26A2" w:rsidRPr="009B6299">
        <w:t xml:space="preserve">(DO) </w:t>
      </w:r>
      <w:r w:rsidR="00025733" w:rsidRPr="009B6299">
        <w:t>were</w:t>
      </w:r>
      <w:r w:rsidR="008D1A8A" w:rsidRPr="009B6299">
        <w:t xml:space="preserve"> available. The </w:t>
      </w:r>
      <w:r w:rsidR="003B26A2" w:rsidRPr="009B6299">
        <w:t>CERs and DO</w:t>
      </w:r>
      <w:r w:rsidR="00956577" w:rsidRPr="009B6299">
        <w:t xml:space="preserve"> noted</w:t>
      </w:r>
      <w:r w:rsidR="00F72F69" w:rsidRPr="009B6299">
        <w:t xml:space="preserve"> </w:t>
      </w:r>
      <w:r w:rsidR="003A2C51" w:rsidRPr="009B6299">
        <w:t xml:space="preserve">that </w:t>
      </w:r>
      <w:r w:rsidR="00956577" w:rsidRPr="009B6299">
        <w:t xml:space="preserve">the proposed indication </w:t>
      </w:r>
      <w:r w:rsidR="003A2C51" w:rsidRPr="009B6299">
        <w:t xml:space="preserve">was </w:t>
      </w:r>
      <w:r w:rsidR="00956577" w:rsidRPr="009B6299">
        <w:t>‘</w:t>
      </w:r>
      <w:r w:rsidR="0062014C" w:rsidRPr="009B6299">
        <w:t xml:space="preserve">for </w:t>
      </w:r>
      <w:r w:rsidR="00956577" w:rsidRPr="009B6299">
        <w:t xml:space="preserve">routine prevention of hereditary angioedema (HAE) attacks in adult and paediatric patients (aged 12 years and older)’ and raised uncertainties around use in adolescents and in patients with non C1-INH HAE. The </w:t>
      </w:r>
      <w:r w:rsidR="0062014C" w:rsidRPr="009B6299">
        <w:t xml:space="preserve">PBAC noted the latter was not relevant to its consideration as the </w:t>
      </w:r>
      <w:r w:rsidR="00956577" w:rsidRPr="009B6299">
        <w:t xml:space="preserve">proposed PBS-listing </w:t>
      </w:r>
      <w:r w:rsidR="003A2C51" w:rsidRPr="009B6299">
        <w:t xml:space="preserve">would </w:t>
      </w:r>
      <w:r w:rsidR="00956577" w:rsidRPr="009B6299">
        <w:t>exclude non C1-INH HAE (i.e.</w:t>
      </w:r>
      <w:r w:rsidR="00921C89" w:rsidRPr="009B6299">
        <w:t xml:space="preserve"> listing was only requested for </w:t>
      </w:r>
      <w:r w:rsidR="00956577" w:rsidRPr="009B6299">
        <w:t>HAE Types I and II</w:t>
      </w:r>
      <w:r w:rsidR="003A2C51" w:rsidRPr="009B6299">
        <w:t>)</w:t>
      </w:r>
      <w:r w:rsidR="00956577" w:rsidRPr="009B6299">
        <w:t>.</w:t>
      </w:r>
      <w:r w:rsidR="00025733" w:rsidRPr="009B6299">
        <w:t xml:space="preserve"> </w:t>
      </w:r>
    </w:p>
    <w:p w14:paraId="003B9D1B" w14:textId="1BD98983" w:rsidR="008D1A8A" w:rsidRPr="009B6299" w:rsidRDefault="00921C89" w:rsidP="009B6299">
      <w:pPr>
        <w:pStyle w:val="3-BodyText"/>
      </w:pPr>
      <w:r w:rsidRPr="009B6299">
        <w:t>The Delegate’s Overview concluded “The efficacy of garadacimab for the claimed indication [with C1-INH HAE (C1-esterase inhibitor deficiency or dysfunction)] has been demonstrated, showing superiority over placebo. Treatment significantly reduced the rate of hereditary angioedema (HAE) attacks and increased the number of attack-free patients, indicating a clinically meaningful benefit. The safety profile appears generally favourable; however, there are important considerations regarding the target population and specific safety concerns, particularly related to its impact on the coagulation system</w:t>
      </w:r>
      <w:r w:rsidR="0020417B" w:rsidRPr="009B6299">
        <w:t>.</w:t>
      </w:r>
      <w:r w:rsidRPr="009B6299">
        <w:t xml:space="preserve">” </w:t>
      </w:r>
      <w:r w:rsidR="0062014C" w:rsidRPr="009B6299">
        <w:t xml:space="preserve">The PBAC noted that </w:t>
      </w:r>
      <w:r w:rsidR="00427926" w:rsidRPr="009B6299">
        <w:t xml:space="preserve">any potential </w:t>
      </w:r>
      <w:r w:rsidR="0062014C" w:rsidRPr="009B6299">
        <w:t xml:space="preserve">PBS </w:t>
      </w:r>
      <w:r w:rsidR="00427926" w:rsidRPr="009B6299">
        <w:t xml:space="preserve">listing </w:t>
      </w:r>
      <w:r w:rsidR="0062014C" w:rsidRPr="009B6299">
        <w:t xml:space="preserve">of garadacimab </w:t>
      </w:r>
      <w:r w:rsidR="00427926" w:rsidRPr="009B6299">
        <w:t>cannot proceed until registration has been finalised.</w:t>
      </w:r>
    </w:p>
    <w:p w14:paraId="7B723519" w14:textId="7785AB15" w:rsidR="00830A18" w:rsidRPr="009B6299" w:rsidRDefault="00830A18" w:rsidP="009B6299">
      <w:pPr>
        <w:pStyle w:val="3-BodyText"/>
      </w:pPr>
      <w:r w:rsidRPr="009B6299">
        <w:t xml:space="preserve">Garadacimab was designated an orphan drug by </w:t>
      </w:r>
      <w:r w:rsidR="00166E1C" w:rsidRPr="009B6299">
        <w:t>the</w:t>
      </w:r>
      <w:r w:rsidR="00A45930" w:rsidRPr="009B6299">
        <w:t xml:space="preserve"> </w:t>
      </w:r>
      <w:r w:rsidRPr="009B6299">
        <w:t xml:space="preserve">TGA for the routine prevention of recurrent HAE attacks. A filing to include garadacimab on the ARTG was accepted by the TGA on 2 January 2024 under the ACCESS Consortium Work-sharing Pathway. The TGA indication </w:t>
      </w:r>
      <w:r w:rsidR="0062014C" w:rsidRPr="009B6299">
        <w:t>proposed by the sponsor wa</w:t>
      </w:r>
      <w:r w:rsidRPr="009B6299">
        <w:t>s:</w:t>
      </w:r>
    </w:p>
    <w:p w14:paraId="676BE888" w14:textId="77777777" w:rsidR="00830A18" w:rsidRPr="0015004F" w:rsidRDefault="00830A18" w:rsidP="00830A18">
      <w:pPr>
        <w:pStyle w:val="3-BodyText"/>
        <w:numPr>
          <w:ilvl w:val="0"/>
          <w:numId w:val="0"/>
        </w:numPr>
        <w:ind w:left="1134"/>
      </w:pPr>
      <w:r w:rsidRPr="0015004F">
        <w:t>ANDEMBRY® is indicated for routine prevention of recurrent hereditary angioedema (HAE) attacks in adult and paediatric patients (aged 12 years and older).</w:t>
      </w:r>
    </w:p>
    <w:p w14:paraId="14D19176" w14:textId="1649E947" w:rsidR="305A4D1A" w:rsidRPr="009B6299" w:rsidRDefault="00956577" w:rsidP="009B6299">
      <w:pPr>
        <w:pStyle w:val="3-BodyText"/>
      </w:pPr>
      <w:r w:rsidRPr="009B6299">
        <w:t>A</w:t>
      </w:r>
      <w:r w:rsidR="77CEBDA5" w:rsidRPr="009B6299">
        <w:t xml:space="preserve"> new form of</w:t>
      </w:r>
      <w:r w:rsidR="305A4D1A" w:rsidRPr="009B6299">
        <w:t xml:space="preserve"> lanadelumab </w:t>
      </w:r>
      <w:r w:rsidR="003B26A2" w:rsidRPr="009B6299">
        <w:t xml:space="preserve">was </w:t>
      </w:r>
      <w:r w:rsidRPr="009B6299">
        <w:t>also considered at the</w:t>
      </w:r>
      <w:r w:rsidR="305A4D1A" w:rsidRPr="009B6299">
        <w:t xml:space="preserve"> November 2024 PBAC meeting </w:t>
      </w:r>
      <w:r w:rsidR="0C63957F" w:rsidRPr="009B6299">
        <w:t xml:space="preserve">for </w:t>
      </w:r>
      <w:r w:rsidR="426EF3A5" w:rsidRPr="009B6299">
        <w:t xml:space="preserve">the treatment of HAE Types 1 or 2 in patients aged 2 to 11 years (November 2024 PBAC agenda). </w:t>
      </w:r>
      <w:r w:rsidR="00A435CD" w:rsidRPr="009B6299">
        <w:t>L</w:t>
      </w:r>
      <w:r w:rsidR="00E247F4" w:rsidRPr="009B6299">
        <w:t xml:space="preserve">anadelumab </w:t>
      </w:r>
      <w:r w:rsidR="002523B0" w:rsidRPr="009B6299">
        <w:t xml:space="preserve">150mg/1mL solution for injection </w:t>
      </w:r>
      <w:r w:rsidR="00713853" w:rsidRPr="009B6299">
        <w:t>was</w:t>
      </w:r>
      <w:r w:rsidR="002523B0" w:rsidRPr="009B6299">
        <w:t xml:space="preserve"> TGA-appr</w:t>
      </w:r>
      <w:r w:rsidR="001255CC" w:rsidRPr="009B6299">
        <w:t>o</w:t>
      </w:r>
      <w:r w:rsidR="002523B0" w:rsidRPr="009B6299">
        <w:t>ved</w:t>
      </w:r>
      <w:r w:rsidR="00713853" w:rsidRPr="009B6299">
        <w:t xml:space="preserve"> on 25 July 2024 for the</w:t>
      </w:r>
      <w:r w:rsidR="002523B0" w:rsidRPr="009B6299">
        <w:t xml:space="preserve"> </w:t>
      </w:r>
      <w:r w:rsidR="00713853" w:rsidRPr="009B6299">
        <w:t>routine prevention of recurrent attacks of hereditary angioedema (C1-esterase-inhibitor deficiency or dysfunction) in patients aged 2 years and older.</w:t>
      </w:r>
      <w:r w:rsidR="00282C49" w:rsidRPr="009B6299">
        <w:t xml:space="preserve"> </w:t>
      </w:r>
    </w:p>
    <w:p w14:paraId="153054BC" w14:textId="6B739E62" w:rsidR="00282C49" w:rsidRPr="00282C49" w:rsidRDefault="00282C49" w:rsidP="00282C49">
      <w:pPr>
        <w:pStyle w:val="3-BodyText"/>
        <w:numPr>
          <w:ilvl w:val="0"/>
          <w:numId w:val="0"/>
        </w:numPr>
        <w:ind w:left="720"/>
        <w:rPr>
          <w:i/>
          <w:iCs/>
        </w:rPr>
      </w:pPr>
      <w:r w:rsidRPr="00282C49">
        <w:rPr>
          <w:i/>
          <w:iCs/>
        </w:rPr>
        <w:t>For more detail on PBAC’s view, see section 7 PBAC outcome.</w:t>
      </w:r>
    </w:p>
    <w:p w14:paraId="76E4EF3C" w14:textId="13040F70" w:rsidR="00B60939" w:rsidRPr="00AD3E88" w:rsidRDefault="00B50DB8" w:rsidP="004E18E9">
      <w:pPr>
        <w:pStyle w:val="2-SectionHeading"/>
      </w:pPr>
      <w:bookmarkStart w:id="6" w:name="_Toc107902078"/>
      <w:bookmarkStart w:id="7" w:name="_Toc177480618"/>
      <w:bookmarkEnd w:id="6"/>
      <w:r w:rsidRPr="00AD3E88">
        <w:t>Requested listing</w:t>
      </w:r>
      <w:bookmarkEnd w:id="7"/>
    </w:p>
    <w:p w14:paraId="4A8A0096" w14:textId="0B1C05BB" w:rsidR="009B6C59" w:rsidRPr="00AD3E88" w:rsidRDefault="009B6C59" w:rsidP="009B6C59">
      <w:pPr>
        <w:pStyle w:val="3-BodyText"/>
        <w:rPr>
          <w:rFonts w:cstheme="minorHAnsi"/>
        </w:rPr>
      </w:pPr>
      <w:bookmarkStart w:id="8" w:name="_Hlk104809082"/>
      <w:r>
        <w:rPr>
          <w:rFonts w:cstheme="minorHAnsi"/>
        </w:rPr>
        <w:t>The restriction requested in the submission is outline</w:t>
      </w:r>
      <w:r w:rsidR="00624219">
        <w:rPr>
          <w:rFonts w:cstheme="minorHAnsi"/>
        </w:rPr>
        <w:t>d</w:t>
      </w:r>
      <w:r>
        <w:rPr>
          <w:rFonts w:cstheme="minorHAnsi"/>
        </w:rPr>
        <w:t xml:space="preserve"> below. </w:t>
      </w:r>
    </w:p>
    <w:p w14:paraId="325AA64F" w14:textId="61CEF8BF" w:rsidR="009B6C59" w:rsidRPr="00341A71" w:rsidRDefault="009B6C59" w:rsidP="009B6C59">
      <w:pPr>
        <w:pStyle w:val="3-BodyText"/>
        <w:numPr>
          <w:ilvl w:val="0"/>
          <w:numId w:val="0"/>
        </w:numPr>
        <w:spacing w:after="0"/>
        <w:rPr>
          <w:rFonts w:ascii="Arial Narrow" w:hAnsi="Arial Narrow"/>
          <w:bCs/>
          <w:sz w:val="20"/>
          <w:szCs w:val="20"/>
        </w:rPr>
      </w:pPr>
      <w:r w:rsidRPr="00341A71">
        <w:rPr>
          <w:rFonts w:ascii="Arial Narrow" w:hAnsi="Arial Narrow"/>
          <w:b/>
          <w:bCs/>
          <w:sz w:val="20"/>
          <w:szCs w:val="20"/>
        </w:rPr>
        <w:t>Requested listing - initiating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559"/>
        <w:gridCol w:w="1276"/>
        <w:gridCol w:w="939"/>
        <w:gridCol w:w="831"/>
        <w:gridCol w:w="1718"/>
      </w:tblGrid>
      <w:tr w:rsidR="009B6C59" w:rsidRPr="0098262F" w14:paraId="082D2F38" w14:textId="77777777" w:rsidTr="00A47F5C">
        <w:trPr>
          <w:cantSplit/>
          <w:trHeight w:val="20"/>
        </w:trPr>
        <w:tc>
          <w:tcPr>
            <w:tcW w:w="2694" w:type="dxa"/>
            <w:vAlign w:val="center"/>
          </w:tcPr>
          <w:p w14:paraId="5AAAE18A" w14:textId="77777777" w:rsidR="009B6C59" w:rsidRPr="0098262F" w:rsidRDefault="009B6C59" w:rsidP="00A47F5C">
            <w:pPr>
              <w:keepLines/>
              <w:ind w:left="-113"/>
              <w:rPr>
                <w:rFonts w:ascii="Arial Narrow" w:hAnsi="Arial Narrow"/>
                <w:b/>
                <w:bCs/>
                <w:sz w:val="20"/>
                <w:szCs w:val="20"/>
              </w:rPr>
            </w:pPr>
            <w:bookmarkStart w:id="9" w:name="_Hlk104809055"/>
            <w:r w:rsidRPr="0098262F">
              <w:rPr>
                <w:rFonts w:ascii="Arial Narrow" w:hAnsi="Arial Narrow"/>
                <w:b/>
                <w:bCs/>
                <w:sz w:val="20"/>
                <w:szCs w:val="20"/>
              </w:rPr>
              <w:t>MEDICINAL PRODUCT</w:t>
            </w:r>
          </w:p>
          <w:p w14:paraId="689B57DA" w14:textId="77777777" w:rsidR="009B6C59" w:rsidRPr="0098262F" w:rsidRDefault="009B6C59" w:rsidP="00A47F5C">
            <w:pPr>
              <w:keepLines/>
              <w:ind w:left="-113"/>
              <w:rPr>
                <w:rFonts w:ascii="Arial Narrow" w:hAnsi="Arial Narrow"/>
                <w:b/>
                <w:sz w:val="20"/>
                <w:szCs w:val="20"/>
              </w:rPr>
            </w:pPr>
            <w:r w:rsidRPr="0098262F">
              <w:rPr>
                <w:rFonts w:ascii="Arial Narrow" w:hAnsi="Arial Narrow"/>
                <w:b/>
                <w:bCs/>
                <w:sz w:val="20"/>
                <w:szCs w:val="20"/>
              </w:rPr>
              <w:t>medicinal product pack</w:t>
            </w:r>
          </w:p>
        </w:tc>
        <w:tc>
          <w:tcPr>
            <w:tcW w:w="1559" w:type="dxa"/>
            <w:vAlign w:val="center"/>
          </w:tcPr>
          <w:p w14:paraId="2A86358A" w14:textId="77777777" w:rsidR="009B6C59" w:rsidRPr="009B0252" w:rsidRDefault="009B6C59" w:rsidP="00A47F5C">
            <w:pPr>
              <w:pStyle w:val="TableText0"/>
              <w:rPr>
                <w:b/>
                <w:bCs/>
                <w:szCs w:val="20"/>
              </w:rPr>
            </w:pPr>
            <w:r w:rsidRPr="009B0252">
              <w:rPr>
                <w:b/>
                <w:bCs/>
                <w:snapToGrid w:val="0"/>
              </w:rPr>
              <w:t xml:space="preserve">Dispensed Price for Max. Qty </w:t>
            </w:r>
          </w:p>
        </w:tc>
        <w:tc>
          <w:tcPr>
            <w:tcW w:w="1276" w:type="dxa"/>
            <w:vAlign w:val="center"/>
          </w:tcPr>
          <w:p w14:paraId="79C0C5D2" w14:textId="77777777" w:rsidR="009B6C59" w:rsidRPr="0098262F" w:rsidRDefault="009B6C59" w:rsidP="00A47F5C">
            <w:pPr>
              <w:keepLines/>
              <w:jc w:val="center"/>
              <w:rPr>
                <w:rFonts w:ascii="Arial Narrow" w:hAnsi="Arial Narrow"/>
                <w:b/>
                <w:sz w:val="20"/>
                <w:szCs w:val="20"/>
              </w:rPr>
            </w:pPr>
            <w:r w:rsidRPr="0098262F">
              <w:rPr>
                <w:rFonts w:ascii="Arial Narrow" w:hAnsi="Arial Narrow"/>
                <w:b/>
                <w:sz w:val="20"/>
                <w:szCs w:val="20"/>
              </w:rPr>
              <w:t>Max. qty packs</w:t>
            </w:r>
          </w:p>
        </w:tc>
        <w:tc>
          <w:tcPr>
            <w:tcW w:w="939" w:type="dxa"/>
            <w:vAlign w:val="center"/>
          </w:tcPr>
          <w:p w14:paraId="73720F8F" w14:textId="77777777" w:rsidR="009B6C59" w:rsidRPr="0098262F" w:rsidRDefault="009B6C59" w:rsidP="00A47F5C">
            <w:pPr>
              <w:keepLines/>
              <w:jc w:val="center"/>
              <w:rPr>
                <w:rFonts w:ascii="Arial Narrow" w:hAnsi="Arial Narrow"/>
                <w:b/>
                <w:sz w:val="20"/>
                <w:szCs w:val="20"/>
              </w:rPr>
            </w:pPr>
            <w:r w:rsidRPr="0098262F">
              <w:rPr>
                <w:rFonts w:ascii="Arial Narrow" w:hAnsi="Arial Narrow"/>
                <w:b/>
                <w:sz w:val="20"/>
                <w:szCs w:val="20"/>
              </w:rPr>
              <w:t>Max. qty units</w:t>
            </w:r>
          </w:p>
        </w:tc>
        <w:tc>
          <w:tcPr>
            <w:tcW w:w="831" w:type="dxa"/>
            <w:vAlign w:val="center"/>
          </w:tcPr>
          <w:p w14:paraId="79CBCDF7" w14:textId="77777777" w:rsidR="009B6C59" w:rsidRPr="0098262F" w:rsidRDefault="009B6C59" w:rsidP="00A47F5C">
            <w:pPr>
              <w:keepLines/>
              <w:jc w:val="center"/>
              <w:rPr>
                <w:rFonts w:ascii="Arial Narrow" w:hAnsi="Arial Narrow"/>
                <w:b/>
                <w:sz w:val="20"/>
                <w:szCs w:val="20"/>
              </w:rPr>
            </w:pPr>
            <w:r w:rsidRPr="0098262F">
              <w:rPr>
                <w:rFonts w:ascii="Arial Narrow" w:hAnsi="Arial Narrow"/>
                <w:b/>
                <w:sz w:val="20"/>
                <w:szCs w:val="20"/>
              </w:rPr>
              <w:t>№.of</w:t>
            </w:r>
          </w:p>
          <w:p w14:paraId="1AA98806" w14:textId="77777777" w:rsidR="009B6C59" w:rsidRPr="0098262F" w:rsidRDefault="009B6C59" w:rsidP="00A47F5C">
            <w:pPr>
              <w:keepLines/>
              <w:jc w:val="center"/>
              <w:rPr>
                <w:rFonts w:ascii="Arial Narrow" w:hAnsi="Arial Narrow"/>
                <w:b/>
                <w:sz w:val="20"/>
                <w:szCs w:val="20"/>
              </w:rPr>
            </w:pPr>
            <w:r w:rsidRPr="0098262F">
              <w:rPr>
                <w:rFonts w:ascii="Arial Narrow" w:hAnsi="Arial Narrow"/>
                <w:b/>
                <w:sz w:val="20"/>
                <w:szCs w:val="20"/>
              </w:rPr>
              <w:t>Rpts</w:t>
            </w:r>
          </w:p>
        </w:tc>
        <w:tc>
          <w:tcPr>
            <w:tcW w:w="1718" w:type="dxa"/>
            <w:vAlign w:val="center"/>
          </w:tcPr>
          <w:p w14:paraId="74D41B6E" w14:textId="77777777" w:rsidR="009B6C59" w:rsidRPr="0098262F" w:rsidRDefault="009B6C59" w:rsidP="00A47F5C">
            <w:pPr>
              <w:keepLines/>
              <w:rPr>
                <w:rFonts w:ascii="Arial Narrow" w:hAnsi="Arial Narrow"/>
                <w:b/>
                <w:sz w:val="20"/>
                <w:szCs w:val="20"/>
              </w:rPr>
            </w:pPr>
            <w:r w:rsidRPr="0098262F">
              <w:rPr>
                <w:rFonts w:ascii="Arial Narrow" w:hAnsi="Arial Narrow"/>
                <w:b/>
                <w:sz w:val="20"/>
                <w:szCs w:val="20"/>
              </w:rPr>
              <w:t>Available brands</w:t>
            </w:r>
          </w:p>
        </w:tc>
      </w:tr>
      <w:tr w:rsidR="009B6C59" w:rsidRPr="0098262F" w14:paraId="427F7187" w14:textId="77777777" w:rsidTr="00A47F5C">
        <w:trPr>
          <w:cantSplit/>
          <w:trHeight w:val="435"/>
        </w:trPr>
        <w:tc>
          <w:tcPr>
            <w:tcW w:w="2694" w:type="dxa"/>
            <w:vAlign w:val="center"/>
          </w:tcPr>
          <w:p w14:paraId="48792C51" w14:textId="77777777" w:rsidR="009B6C59" w:rsidRDefault="009B6C59" w:rsidP="00A47F5C">
            <w:pPr>
              <w:keepLines/>
              <w:ind w:left="-113"/>
              <w:rPr>
                <w:rFonts w:ascii="Arial Narrow" w:hAnsi="Arial Narrow"/>
                <w:color w:val="000000" w:themeColor="text1"/>
                <w:sz w:val="20"/>
                <w:szCs w:val="20"/>
              </w:rPr>
            </w:pPr>
            <w:r w:rsidRPr="009B0252">
              <w:rPr>
                <w:rFonts w:ascii="Arial Narrow" w:hAnsi="Arial Narrow"/>
                <w:color w:val="000000" w:themeColor="text1"/>
                <w:sz w:val="20"/>
                <w:szCs w:val="20"/>
              </w:rPr>
              <w:t xml:space="preserve">Garadacimab injection 200 mg in </w:t>
            </w:r>
          </w:p>
          <w:p w14:paraId="6BA6095F" w14:textId="77777777" w:rsidR="009B6C59" w:rsidRPr="0098262F" w:rsidRDefault="009B6C59" w:rsidP="00A47F5C">
            <w:pPr>
              <w:keepLines/>
              <w:ind w:left="-113"/>
              <w:rPr>
                <w:rFonts w:ascii="Arial Narrow" w:hAnsi="Arial Narrow"/>
                <w:color w:val="0066FF"/>
                <w:sz w:val="20"/>
                <w:szCs w:val="20"/>
              </w:rPr>
            </w:pPr>
            <w:r w:rsidRPr="009B0252">
              <w:rPr>
                <w:rFonts w:ascii="Arial Narrow" w:hAnsi="Arial Narrow"/>
                <w:color w:val="000000" w:themeColor="text1"/>
                <w:sz w:val="20"/>
                <w:szCs w:val="20"/>
              </w:rPr>
              <w:t>1.2 mL pre-filled pen</w:t>
            </w:r>
          </w:p>
        </w:tc>
        <w:tc>
          <w:tcPr>
            <w:tcW w:w="1559" w:type="dxa"/>
          </w:tcPr>
          <w:p w14:paraId="5BC27B92" w14:textId="18FE6F9A" w:rsidR="009B6C59" w:rsidRPr="009B0252" w:rsidRDefault="009B6C59" w:rsidP="00A47F5C">
            <w:pPr>
              <w:pStyle w:val="TableText0"/>
              <w:jc w:val="center"/>
              <w:rPr>
                <w:szCs w:val="20"/>
              </w:rPr>
            </w:pPr>
            <w:r w:rsidRPr="009B0252">
              <w:rPr>
                <w:szCs w:val="20"/>
              </w:rPr>
              <w:t xml:space="preserve">Published: </w:t>
            </w:r>
            <w:r w:rsidRPr="004478AD">
              <w:rPr>
                <w:szCs w:val="20"/>
              </w:rPr>
              <w:t>$</w:t>
            </w:r>
            <w:r w:rsidR="0056079A" w:rsidRPr="00621F66">
              <w:rPr>
                <w:color w:val="000000"/>
                <w:spacing w:val="49"/>
                <w:szCs w:val="20"/>
                <w:shd w:val="solid" w:color="000000" w:fill="000000"/>
                <w:fitText w:val="320" w:id="-762091776"/>
                <w14:textFill>
                  <w14:solidFill>
                    <w14:srgbClr w14:val="000000">
                      <w14:alpha w14:val="100000"/>
                    </w14:srgbClr>
                  </w14:solidFill>
                </w14:textFill>
              </w:rPr>
              <w:t>|||</w:t>
            </w:r>
            <w:r w:rsidR="0056079A" w:rsidRPr="00621F66">
              <w:rPr>
                <w:color w:val="000000"/>
                <w:spacing w:val="3"/>
                <w:szCs w:val="20"/>
                <w:shd w:val="solid" w:color="000000" w:fill="000000"/>
                <w:fitText w:val="320" w:id="-762091776"/>
                <w14:textFill>
                  <w14:solidFill>
                    <w14:srgbClr w14:val="000000">
                      <w14:alpha w14:val="100000"/>
                    </w14:srgbClr>
                  </w14:solidFill>
                </w14:textFill>
              </w:rPr>
              <w:t>|</w:t>
            </w:r>
          </w:p>
          <w:p w14:paraId="4F0B65D5" w14:textId="77777777" w:rsidR="009B6C59" w:rsidRPr="0098262F" w:rsidRDefault="009B6C59" w:rsidP="00A47F5C">
            <w:pPr>
              <w:pStyle w:val="TableText0"/>
              <w:jc w:val="center"/>
              <w:rPr>
                <w:szCs w:val="20"/>
              </w:rPr>
            </w:pPr>
            <w:r w:rsidRPr="009B0252">
              <w:rPr>
                <w:szCs w:val="20"/>
              </w:rPr>
              <w:t>Effective: TBD</w:t>
            </w:r>
          </w:p>
        </w:tc>
        <w:tc>
          <w:tcPr>
            <w:tcW w:w="1276" w:type="dxa"/>
            <w:vAlign w:val="center"/>
          </w:tcPr>
          <w:p w14:paraId="034E7566" w14:textId="77777777" w:rsidR="009B6C59" w:rsidRPr="009B0252" w:rsidRDefault="009B6C59" w:rsidP="00A47F5C">
            <w:pPr>
              <w:keepLines/>
              <w:jc w:val="center"/>
              <w:rPr>
                <w:rFonts w:ascii="Arial Narrow" w:hAnsi="Arial Narrow"/>
                <w:sz w:val="20"/>
                <w:szCs w:val="20"/>
              </w:rPr>
            </w:pPr>
            <w:r w:rsidRPr="009B0252">
              <w:rPr>
                <w:rFonts w:ascii="Arial Narrow" w:hAnsi="Arial Narrow"/>
                <w:sz w:val="20"/>
                <w:szCs w:val="20"/>
              </w:rPr>
              <w:t>2</w:t>
            </w:r>
          </w:p>
        </w:tc>
        <w:tc>
          <w:tcPr>
            <w:tcW w:w="939" w:type="dxa"/>
            <w:vAlign w:val="center"/>
          </w:tcPr>
          <w:p w14:paraId="73FA756F" w14:textId="77777777" w:rsidR="009B6C59" w:rsidRPr="009B0252" w:rsidRDefault="009B6C59" w:rsidP="00A47F5C">
            <w:pPr>
              <w:keepLines/>
              <w:jc w:val="center"/>
              <w:rPr>
                <w:rFonts w:ascii="Arial Narrow" w:hAnsi="Arial Narrow"/>
                <w:sz w:val="20"/>
                <w:szCs w:val="20"/>
              </w:rPr>
            </w:pPr>
            <w:r w:rsidRPr="009B0252">
              <w:rPr>
                <w:rFonts w:ascii="Arial Narrow" w:hAnsi="Arial Narrow"/>
                <w:sz w:val="20"/>
                <w:szCs w:val="20"/>
              </w:rPr>
              <w:t>2</w:t>
            </w:r>
          </w:p>
        </w:tc>
        <w:tc>
          <w:tcPr>
            <w:tcW w:w="831" w:type="dxa"/>
            <w:vAlign w:val="center"/>
          </w:tcPr>
          <w:p w14:paraId="6A782A0C" w14:textId="77777777" w:rsidR="009B6C59" w:rsidRPr="009B0252" w:rsidRDefault="009B6C59" w:rsidP="00A47F5C">
            <w:pPr>
              <w:keepLines/>
              <w:jc w:val="center"/>
              <w:rPr>
                <w:rFonts w:ascii="Arial Narrow" w:hAnsi="Arial Narrow"/>
                <w:sz w:val="20"/>
                <w:szCs w:val="20"/>
              </w:rPr>
            </w:pPr>
            <w:r w:rsidRPr="009B0252">
              <w:rPr>
                <w:rFonts w:ascii="Arial Narrow" w:hAnsi="Arial Narrow"/>
                <w:sz w:val="20"/>
                <w:szCs w:val="20"/>
              </w:rPr>
              <w:t>0</w:t>
            </w:r>
          </w:p>
        </w:tc>
        <w:tc>
          <w:tcPr>
            <w:tcW w:w="1718" w:type="dxa"/>
            <w:vAlign w:val="center"/>
          </w:tcPr>
          <w:p w14:paraId="1EF1EF8B" w14:textId="77777777" w:rsidR="009B6C59" w:rsidRPr="009B0252" w:rsidRDefault="009B6C59" w:rsidP="00A47F5C">
            <w:pPr>
              <w:keepLines/>
              <w:rPr>
                <w:rFonts w:ascii="Arial Narrow" w:hAnsi="Arial Narrow"/>
                <w:color w:val="0066FF"/>
                <w:sz w:val="20"/>
                <w:szCs w:val="20"/>
              </w:rPr>
            </w:pPr>
            <w:r w:rsidRPr="009B0252">
              <w:rPr>
                <w:rFonts w:ascii="Arial Narrow" w:hAnsi="Arial Narrow"/>
                <w:sz w:val="20"/>
                <w:szCs w:val="20"/>
              </w:rPr>
              <w:t>ANDEMBRY</w:t>
            </w:r>
          </w:p>
        </w:tc>
      </w:tr>
      <w:bookmarkEnd w:id="9"/>
    </w:tbl>
    <w:p w14:paraId="2E330D34" w14:textId="77777777" w:rsidR="009B6C59" w:rsidRDefault="009B6C59" w:rsidP="009B6C59"/>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9B6C59" w:rsidRPr="0098262F" w14:paraId="29B1D77F" w14:textId="77777777" w:rsidTr="00A47F5C">
        <w:trPr>
          <w:cantSplit/>
          <w:trHeight w:val="20"/>
        </w:trPr>
        <w:tc>
          <w:tcPr>
            <w:tcW w:w="5000" w:type="pct"/>
          </w:tcPr>
          <w:p w14:paraId="778E5077" w14:textId="77777777" w:rsidR="009B6C59" w:rsidRPr="0098262F" w:rsidRDefault="009B6C59" w:rsidP="009B6299">
            <w:pPr>
              <w:pStyle w:val="TableText0"/>
              <w:keepLines/>
              <w:widowControl/>
              <w:ind w:left="-113"/>
            </w:pPr>
            <w:r w:rsidRPr="0098262F">
              <w:rPr>
                <w:b/>
              </w:rPr>
              <w:t xml:space="preserve">Category / Program: </w:t>
            </w:r>
            <w:r w:rsidRPr="0098262F">
              <w:t>General Schedule</w:t>
            </w:r>
            <w:r>
              <w:t xml:space="preserve"> (Code GE)</w:t>
            </w:r>
          </w:p>
        </w:tc>
      </w:tr>
      <w:tr w:rsidR="009B6C59" w:rsidRPr="0098262F" w14:paraId="228F943C" w14:textId="77777777" w:rsidTr="00A47F5C">
        <w:trPr>
          <w:cantSplit/>
          <w:trHeight w:val="20"/>
        </w:trPr>
        <w:tc>
          <w:tcPr>
            <w:tcW w:w="5000" w:type="pct"/>
          </w:tcPr>
          <w:p w14:paraId="26A4FD21" w14:textId="77777777" w:rsidR="009B6C59" w:rsidRPr="0098262F" w:rsidRDefault="009B6C59" w:rsidP="009B6299">
            <w:pPr>
              <w:pStyle w:val="TableText0"/>
              <w:keepLines/>
              <w:widowControl/>
              <w:ind w:left="-113"/>
              <w:rPr>
                <w:b/>
              </w:rPr>
            </w:pPr>
            <w:r w:rsidRPr="0098262F">
              <w:rPr>
                <w:b/>
              </w:rPr>
              <w:t xml:space="preserve">Prescriber type: </w:t>
            </w:r>
            <w:r w:rsidRPr="0098262F">
              <w:fldChar w:fldCharType="begin" w:fldLock="1">
                <w:ffData>
                  <w:name w:val="Check1"/>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Dental </w:t>
            </w:r>
            <w:r w:rsidRPr="003C2B89">
              <w:rPr>
                <w:rFonts w:ascii="Calibri" w:eastAsia="Calibri" w:hAnsi="Calibri" w:cs="Calibri"/>
                <w:sz w:val="18"/>
                <w:szCs w:val="18"/>
                <w:lang w:eastAsia="en-US"/>
              </w:rPr>
              <w:fldChar w:fldCharType="begin" w:fldLock="1">
                <w:ffData>
                  <w:name w:val=""/>
                  <w:enabled/>
                  <w:calcOnExit w:val="0"/>
                  <w:checkBox>
                    <w:sizeAuto/>
                    <w:default w:val="1"/>
                  </w:checkBox>
                </w:ffData>
              </w:fldChar>
            </w:r>
            <w:r w:rsidRPr="003C2B89">
              <w:rPr>
                <w:rFonts w:ascii="Calibri" w:eastAsia="Calibri" w:hAnsi="Calibri" w:cs="Calibri"/>
                <w:sz w:val="18"/>
                <w:szCs w:val="18"/>
                <w:lang w:eastAsia="en-US"/>
              </w:rPr>
              <w:instrText xml:space="preserve"> FORMCHECKBOX </w:instrText>
            </w:r>
            <w:r w:rsidRPr="003C2B89">
              <w:rPr>
                <w:rFonts w:ascii="Calibri" w:eastAsia="Calibri" w:hAnsi="Calibri" w:cs="Calibri"/>
                <w:sz w:val="18"/>
                <w:szCs w:val="18"/>
                <w:lang w:eastAsia="en-US"/>
              </w:rPr>
            </w:r>
            <w:r w:rsidRPr="003C2B89">
              <w:rPr>
                <w:rFonts w:ascii="Calibri" w:eastAsia="Calibri" w:hAnsi="Calibri" w:cs="Calibri"/>
                <w:sz w:val="18"/>
                <w:szCs w:val="18"/>
                <w:lang w:eastAsia="en-US"/>
              </w:rPr>
              <w:fldChar w:fldCharType="separate"/>
            </w:r>
            <w:r w:rsidRPr="003C2B89">
              <w:rPr>
                <w:rFonts w:ascii="Calibri" w:eastAsia="Calibri" w:hAnsi="Calibri" w:cs="Calibri"/>
                <w:sz w:val="18"/>
                <w:szCs w:val="18"/>
                <w:lang w:eastAsia="en-US"/>
              </w:rPr>
              <w:fldChar w:fldCharType="end"/>
            </w:r>
            <w:r w:rsidRPr="0098262F">
              <w:t xml:space="preserve">Medical Practitioners </w:t>
            </w:r>
            <w:r w:rsidRPr="0098262F">
              <w:fldChar w:fldCharType="begin" w:fldLock="1">
                <w:ffData>
                  <w:name w:val="Check3"/>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Nurse practitioners </w:t>
            </w:r>
            <w:r w:rsidRPr="0098262F">
              <w:fldChar w:fldCharType="begin" w:fldLock="1">
                <w:ffData>
                  <w:name w:val=""/>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Optometrists </w:t>
            </w:r>
            <w:r w:rsidRPr="0098262F">
              <w:fldChar w:fldCharType="begin" w:fldLock="1">
                <w:ffData>
                  <w:name w:val="Check5"/>
                  <w:enabled/>
                  <w:calcOnExit w:val="0"/>
                  <w:checkBox>
                    <w:sizeAuto/>
                    <w:default w:val="0"/>
                  </w:checkBox>
                </w:ffData>
              </w:fldChar>
            </w:r>
            <w:r w:rsidRPr="0098262F">
              <w:instrText xml:space="preserve"> FORMCHECKBOX </w:instrText>
            </w:r>
            <w:r w:rsidRPr="0098262F">
              <w:fldChar w:fldCharType="separate"/>
            </w:r>
            <w:r w:rsidRPr="0098262F">
              <w:fldChar w:fldCharType="end"/>
            </w:r>
          </w:p>
        </w:tc>
      </w:tr>
      <w:tr w:rsidR="009B6C59" w:rsidRPr="0098262F" w14:paraId="3DB01CE4" w14:textId="77777777" w:rsidTr="00A47F5C">
        <w:trPr>
          <w:cantSplit/>
          <w:trHeight w:val="20"/>
        </w:trPr>
        <w:tc>
          <w:tcPr>
            <w:tcW w:w="5000" w:type="pct"/>
          </w:tcPr>
          <w:p w14:paraId="793692F1" w14:textId="77777777" w:rsidR="009B6C59" w:rsidRPr="0098262F" w:rsidRDefault="009B6C59" w:rsidP="009B6299">
            <w:pPr>
              <w:pStyle w:val="TableText0"/>
              <w:keepLines/>
              <w:widowControl/>
              <w:ind w:left="-113"/>
            </w:pPr>
            <w:r w:rsidRPr="0098262F">
              <w:rPr>
                <w:b/>
              </w:rPr>
              <w:t xml:space="preserve">Restriction type: </w:t>
            </w:r>
            <w:r w:rsidRPr="003C2B89">
              <w:rPr>
                <w:rFonts w:ascii="Calibri" w:hAnsi="Calibri"/>
                <w:sz w:val="18"/>
                <w:szCs w:val="18"/>
                <w:lang w:eastAsia="en-US"/>
              </w:rPr>
              <w:fldChar w:fldCharType="begin" w:fldLock="1">
                <w:ffData>
                  <w:name w:val=""/>
                  <w:enabled/>
                  <w:calcOnExit w:val="0"/>
                  <w:checkBox>
                    <w:sizeAuto/>
                    <w:default w:val="1"/>
                  </w:checkBox>
                </w:ffData>
              </w:fldChar>
            </w:r>
            <w:r w:rsidRPr="003C2B89">
              <w:rPr>
                <w:rFonts w:ascii="Calibri" w:hAnsi="Calibri"/>
                <w:sz w:val="18"/>
                <w:szCs w:val="18"/>
                <w:lang w:eastAsia="en-US"/>
              </w:rPr>
              <w:instrText xml:space="preserve"> FORMCHECKBOX </w:instrText>
            </w:r>
            <w:r w:rsidRPr="003C2B89">
              <w:rPr>
                <w:rFonts w:ascii="Calibri" w:hAnsi="Calibri"/>
                <w:sz w:val="18"/>
                <w:szCs w:val="18"/>
                <w:lang w:eastAsia="en-US"/>
              </w:rPr>
            </w:r>
            <w:r w:rsidRPr="003C2B89">
              <w:rPr>
                <w:rFonts w:ascii="Calibri" w:hAnsi="Calibri"/>
                <w:sz w:val="18"/>
                <w:szCs w:val="18"/>
                <w:lang w:eastAsia="en-US"/>
              </w:rPr>
              <w:fldChar w:fldCharType="separate"/>
            </w:r>
            <w:r w:rsidRPr="003C2B89">
              <w:rPr>
                <w:rFonts w:ascii="Calibri" w:hAnsi="Calibri"/>
                <w:sz w:val="18"/>
                <w:szCs w:val="18"/>
                <w:lang w:eastAsia="en-US"/>
              </w:rPr>
              <w:fldChar w:fldCharType="end"/>
            </w:r>
            <w:r w:rsidRPr="003C2B89">
              <w:rPr>
                <w:rFonts w:ascii="Calibri" w:hAnsi="Calibri"/>
                <w:sz w:val="22"/>
                <w:szCs w:val="22"/>
                <w:lang w:eastAsia="en-US"/>
              </w:rPr>
              <w:t xml:space="preserve"> </w:t>
            </w:r>
            <w:r w:rsidRPr="003C2B89">
              <w:rPr>
                <w:lang w:eastAsia="en-US"/>
              </w:rPr>
              <w:t>Authority Required (in writing)– Postal/HPOS Upload</w:t>
            </w:r>
            <w:r w:rsidRPr="0098262F">
              <w:rPr>
                <w:color w:val="0066FF"/>
              </w:rPr>
              <w:t xml:space="preserve"> </w:t>
            </w:r>
          </w:p>
        </w:tc>
      </w:tr>
      <w:tr w:rsidR="009B6C59" w:rsidRPr="0098262F" w14:paraId="4AA00601" w14:textId="77777777" w:rsidTr="00A47F5C">
        <w:trPr>
          <w:cantSplit/>
          <w:trHeight w:val="20"/>
        </w:trPr>
        <w:tc>
          <w:tcPr>
            <w:tcW w:w="5000" w:type="pct"/>
            <w:vAlign w:val="center"/>
          </w:tcPr>
          <w:p w14:paraId="28511BB0" w14:textId="77777777" w:rsidR="009B6C59" w:rsidRPr="0093296B" w:rsidRDefault="009B6C59" w:rsidP="009B6299">
            <w:pPr>
              <w:pStyle w:val="TableText0"/>
              <w:keepLines/>
              <w:widowControl/>
              <w:ind w:left="-113"/>
            </w:pPr>
            <w:r w:rsidRPr="0098262F">
              <w:rPr>
                <w:b/>
              </w:rPr>
              <w:t xml:space="preserve">Episodicity: </w:t>
            </w:r>
            <w:r>
              <w:t>Chronic treatment</w:t>
            </w:r>
          </w:p>
        </w:tc>
      </w:tr>
      <w:tr w:rsidR="009B6C59" w:rsidRPr="0098262F" w14:paraId="13420E2B" w14:textId="77777777" w:rsidTr="00A47F5C">
        <w:trPr>
          <w:cantSplit/>
          <w:trHeight w:val="20"/>
        </w:trPr>
        <w:tc>
          <w:tcPr>
            <w:tcW w:w="5000" w:type="pct"/>
            <w:vAlign w:val="center"/>
          </w:tcPr>
          <w:p w14:paraId="781330BF" w14:textId="77777777" w:rsidR="009B6C59" w:rsidRPr="0098262F" w:rsidRDefault="009B6C59" w:rsidP="009B6299">
            <w:pPr>
              <w:pStyle w:val="TableText0"/>
              <w:keepLines/>
              <w:widowControl/>
              <w:ind w:left="-113"/>
              <w:rPr>
                <w:b/>
              </w:rPr>
            </w:pPr>
            <w:r w:rsidRPr="0098262F">
              <w:rPr>
                <w:b/>
              </w:rPr>
              <w:t xml:space="preserve">Condition: </w:t>
            </w:r>
            <w:r w:rsidRPr="0093296B">
              <w:t xml:space="preserve">Hereditary angioedema </w:t>
            </w:r>
            <w:r>
              <w:t>T</w:t>
            </w:r>
            <w:r w:rsidRPr="0093296B">
              <w:t>ype</w:t>
            </w:r>
            <w:r>
              <w:t>s</w:t>
            </w:r>
            <w:r w:rsidRPr="0093296B">
              <w:t xml:space="preserve"> I and II</w:t>
            </w:r>
          </w:p>
        </w:tc>
      </w:tr>
      <w:tr w:rsidR="009B6C59" w:rsidRPr="0098262F" w14:paraId="1FA46983" w14:textId="77777777" w:rsidTr="00A47F5C">
        <w:trPr>
          <w:cantSplit/>
          <w:trHeight w:val="20"/>
        </w:trPr>
        <w:tc>
          <w:tcPr>
            <w:tcW w:w="5000" w:type="pct"/>
            <w:vAlign w:val="center"/>
            <w:hideMark/>
          </w:tcPr>
          <w:p w14:paraId="682647FB" w14:textId="77777777" w:rsidR="009B6C59" w:rsidRPr="0098262F" w:rsidRDefault="009B6C59" w:rsidP="009B6299">
            <w:pPr>
              <w:pStyle w:val="TableText0"/>
              <w:keepLines/>
              <w:widowControl/>
              <w:ind w:left="-113"/>
            </w:pPr>
            <w:r>
              <w:rPr>
                <w:b/>
              </w:rPr>
              <w:t>PBS i</w:t>
            </w:r>
            <w:r w:rsidRPr="0098262F">
              <w:rPr>
                <w:b/>
              </w:rPr>
              <w:t>ndication:</w:t>
            </w:r>
            <w:r w:rsidRPr="0098262F">
              <w:t xml:space="preserve"> </w:t>
            </w:r>
            <w:r>
              <w:t>Chronic treatment of hereditary angioedema Types I and II</w:t>
            </w:r>
          </w:p>
        </w:tc>
      </w:tr>
      <w:tr w:rsidR="009B6C59" w:rsidRPr="0098262F" w14:paraId="55F8CDF7" w14:textId="77777777" w:rsidTr="00A47F5C">
        <w:trPr>
          <w:cantSplit/>
          <w:trHeight w:val="20"/>
        </w:trPr>
        <w:tc>
          <w:tcPr>
            <w:tcW w:w="5000" w:type="pct"/>
            <w:vAlign w:val="center"/>
            <w:hideMark/>
          </w:tcPr>
          <w:p w14:paraId="01708DB3" w14:textId="77777777" w:rsidR="009B6C59" w:rsidRPr="0098262F" w:rsidRDefault="009B6C59" w:rsidP="009B6299">
            <w:pPr>
              <w:pStyle w:val="TableText0"/>
              <w:keepLines/>
              <w:widowControl/>
              <w:ind w:left="-113"/>
            </w:pPr>
            <w:r w:rsidRPr="0098262F">
              <w:rPr>
                <w:b/>
              </w:rPr>
              <w:t>Treatment Phase:</w:t>
            </w:r>
            <w:r w:rsidRPr="0098262F">
              <w:t xml:space="preserve"> </w:t>
            </w:r>
            <w:r>
              <w:t>Initial 1: New patient (</w:t>
            </w:r>
            <w:r w:rsidRPr="0093296B">
              <w:t>commencing with no previous treatment with C1-INH or lanadelumab for routine prophylaxis)</w:t>
            </w:r>
          </w:p>
        </w:tc>
      </w:tr>
      <w:tr w:rsidR="009B6C59" w:rsidRPr="0098262F" w14:paraId="6FE00CD4" w14:textId="77777777" w:rsidTr="00A47F5C">
        <w:trPr>
          <w:cantSplit/>
          <w:trHeight w:val="20"/>
        </w:trPr>
        <w:tc>
          <w:tcPr>
            <w:tcW w:w="5000" w:type="pct"/>
            <w:vAlign w:val="center"/>
            <w:hideMark/>
          </w:tcPr>
          <w:p w14:paraId="45025094" w14:textId="77777777" w:rsidR="009B6C59" w:rsidRPr="00C507FB" w:rsidRDefault="009B6C59" w:rsidP="009B6299">
            <w:pPr>
              <w:pStyle w:val="TableText0"/>
              <w:keepLines/>
              <w:widowControl/>
              <w:ind w:left="-113"/>
              <w:rPr>
                <w:b/>
                <w:bCs/>
              </w:rPr>
            </w:pPr>
            <w:r w:rsidRPr="00C507FB">
              <w:rPr>
                <w:b/>
                <w:bCs/>
              </w:rPr>
              <w:t>Clinical criteria:</w:t>
            </w:r>
          </w:p>
          <w:p w14:paraId="04DA0686" w14:textId="77777777" w:rsidR="009B6C59" w:rsidRDefault="009B6C59" w:rsidP="009B6299">
            <w:pPr>
              <w:pStyle w:val="TableText0"/>
              <w:keepLines/>
              <w:widowControl/>
              <w:ind w:left="-113"/>
            </w:pPr>
            <w:r w:rsidRPr="0093296B">
              <w:t>Patient must have experienced at least 12 treated acute attacks of hereditary angioedema within the 6</w:t>
            </w:r>
            <w:r>
              <w:t>-</w:t>
            </w:r>
            <w:r w:rsidRPr="0093296B">
              <w:t>month period prior to commencing treatment with this drug</w:t>
            </w:r>
            <w:r>
              <w:t>.</w:t>
            </w:r>
          </w:p>
          <w:p w14:paraId="3B390478" w14:textId="77777777" w:rsidR="009B6C59" w:rsidRDefault="009B6C59" w:rsidP="009B6299">
            <w:pPr>
              <w:pStyle w:val="TableText0"/>
              <w:keepLines/>
              <w:widowControl/>
              <w:ind w:left="-113"/>
            </w:pPr>
            <w:r w:rsidRPr="0098262F">
              <w:t>AND</w:t>
            </w:r>
          </w:p>
          <w:p w14:paraId="156D3581" w14:textId="77777777" w:rsidR="009B6C59" w:rsidRDefault="009B6C59" w:rsidP="009B6299">
            <w:pPr>
              <w:pStyle w:val="TableText0"/>
              <w:keepLines/>
              <w:widowControl/>
              <w:ind w:left="-113"/>
            </w:pPr>
            <w:r w:rsidRPr="0093296B">
              <w:t>Patient must not have been receiving a C1-esterase inhibitor through the National Blood Authority or lanadelumab through the Pharmaceutical Benefits Scheme as routine prophylaxis for hereditary angioedema at the time of application</w:t>
            </w:r>
            <w:r>
              <w:t>.</w:t>
            </w:r>
          </w:p>
          <w:p w14:paraId="19AA5B66" w14:textId="77777777" w:rsidR="009B6C59" w:rsidRDefault="009B6C59" w:rsidP="009B6299">
            <w:pPr>
              <w:pStyle w:val="TableText0"/>
              <w:keepLines/>
              <w:widowControl/>
              <w:ind w:left="-113"/>
            </w:pPr>
            <w:r>
              <w:t>AND</w:t>
            </w:r>
          </w:p>
          <w:p w14:paraId="3781211C" w14:textId="77777777" w:rsidR="009B6C59" w:rsidRPr="0093296B" w:rsidRDefault="009B6C59" w:rsidP="009B6299">
            <w:pPr>
              <w:pStyle w:val="TableText0"/>
              <w:keepLines/>
              <w:widowControl/>
              <w:ind w:left="-113"/>
              <w:rPr>
                <w:b/>
              </w:rPr>
            </w:pPr>
            <w:r w:rsidRPr="0093296B">
              <w:t>The treatment must not be used in combination with a C1-esterase inhibitor concentrate or lanadelumab</w:t>
            </w:r>
            <w:r>
              <w:t>.</w:t>
            </w:r>
          </w:p>
        </w:tc>
      </w:tr>
      <w:tr w:rsidR="009B6C59" w:rsidRPr="0098262F" w14:paraId="53A6EFBA" w14:textId="77777777" w:rsidTr="00A47F5C">
        <w:trPr>
          <w:cantSplit/>
          <w:trHeight w:val="20"/>
        </w:trPr>
        <w:tc>
          <w:tcPr>
            <w:tcW w:w="5000" w:type="pct"/>
            <w:vAlign w:val="center"/>
            <w:hideMark/>
          </w:tcPr>
          <w:p w14:paraId="0159232C" w14:textId="77777777" w:rsidR="009B6C59" w:rsidRPr="00077A98" w:rsidRDefault="009B6C59" w:rsidP="009B6299">
            <w:pPr>
              <w:pStyle w:val="TableText0"/>
              <w:keepLines/>
              <w:widowControl/>
              <w:ind w:left="-113"/>
              <w:rPr>
                <w:b/>
              </w:rPr>
            </w:pPr>
            <w:r w:rsidRPr="00077A98">
              <w:rPr>
                <w:b/>
              </w:rPr>
              <w:t>Treatment criteria:</w:t>
            </w:r>
            <w:r w:rsidRPr="002D600F">
              <w:t xml:space="preserve"> Must be treated by a clinical immunologist or a specialist allergist</w:t>
            </w:r>
          </w:p>
        </w:tc>
      </w:tr>
      <w:tr w:rsidR="009B6C59" w:rsidRPr="0098262F" w14:paraId="440D3C52" w14:textId="77777777" w:rsidTr="00A47F5C">
        <w:trPr>
          <w:cantSplit/>
          <w:trHeight w:val="20"/>
        </w:trPr>
        <w:tc>
          <w:tcPr>
            <w:tcW w:w="5000" w:type="pct"/>
            <w:vAlign w:val="center"/>
            <w:hideMark/>
          </w:tcPr>
          <w:p w14:paraId="46479ADF" w14:textId="77777777" w:rsidR="009B6C59" w:rsidRPr="002D600F" w:rsidRDefault="009B6C59" w:rsidP="009B6299">
            <w:pPr>
              <w:pStyle w:val="TableText0"/>
              <w:keepLines/>
              <w:widowControl/>
              <w:ind w:left="-113"/>
              <w:rPr>
                <w:b/>
              </w:rPr>
            </w:pPr>
            <w:r w:rsidRPr="002D600F">
              <w:rPr>
                <w:b/>
              </w:rPr>
              <w:t>Population criteria:</w:t>
            </w:r>
            <w:r w:rsidRPr="002D600F">
              <w:t xml:space="preserve"> Patient must be aged 12 years or older</w:t>
            </w:r>
          </w:p>
        </w:tc>
      </w:tr>
      <w:tr w:rsidR="009B6C59" w:rsidRPr="0098262F" w14:paraId="5934E8FE" w14:textId="77777777" w:rsidTr="00A47F5C">
        <w:trPr>
          <w:cantSplit/>
          <w:trHeight w:val="20"/>
        </w:trPr>
        <w:tc>
          <w:tcPr>
            <w:tcW w:w="5000" w:type="pct"/>
            <w:vAlign w:val="center"/>
            <w:hideMark/>
          </w:tcPr>
          <w:p w14:paraId="4ACFF16D" w14:textId="77777777" w:rsidR="009B6C59" w:rsidRPr="00C704B5" w:rsidRDefault="009B6C59" w:rsidP="009B6299">
            <w:pPr>
              <w:pStyle w:val="TableText0"/>
              <w:keepLines/>
              <w:widowControl/>
              <w:ind w:left="-113"/>
              <w:rPr>
                <w:b/>
                <w:bCs/>
              </w:rPr>
            </w:pPr>
            <w:r w:rsidRPr="00C704B5">
              <w:rPr>
                <w:b/>
                <w:bCs/>
              </w:rPr>
              <w:t xml:space="preserve">Prescribing Instructions: </w:t>
            </w:r>
          </w:p>
          <w:p w14:paraId="266DC20F" w14:textId="77777777" w:rsidR="009B6C59" w:rsidRDefault="009B6C59" w:rsidP="009B6299">
            <w:pPr>
              <w:pStyle w:val="TableText0"/>
              <w:keepLines/>
              <w:widowControl/>
              <w:ind w:left="-113"/>
            </w:pPr>
            <w:r>
              <w:t>For the purposes of administering this restriction, acute attacks of hereditary angioedema are those of a severity necessitating immediate medical intervention with either (i) icatibant, or (ii) C1-esterase inhibitor concentrate.</w:t>
            </w:r>
          </w:p>
          <w:p w14:paraId="5BBA7CA9" w14:textId="77777777" w:rsidR="009B6C59" w:rsidRDefault="009B6C59" w:rsidP="009B6299">
            <w:pPr>
              <w:pStyle w:val="TableText0"/>
              <w:keepLines/>
              <w:widowControl/>
              <w:ind w:left="-113"/>
            </w:pPr>
          </w:p>
          <w:p w14:paraId="1C4D369D" w14:textId="77777777" w:rsidR="009B6C59" w:rsidRPr="0098262F" w:rsidRDefault="009B6C59" w:rsidP="009B6299">
            <w:pPr>
              <w:pStyle w:val="TableText0"/>
              <w:keepLines/>
              <w:widowControl/>
              <w:ind w:left="-113"/>
            </w:pPr>
            <w:r>
              <w:t>The baseline measurement of the number of treated acute attacks of hereditary angioedema within the 6 months prior to initiating treatment must be provided at the time of submitting this application.</w:t>
            </w:r>
          </w:p>
        </w:tc>
      </w:tr>
    </w:tbl>
    <w:p w14:paraId="416B42AD" w14:textId="77777777" w:rsidR="009B6C59" w:rsidRDefault="009B6C59" w:rsidP="009B6299">
      <w:pPr>
        <w:keepLines/>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9B6C59" w:rsidRPr="0098262F" w14:paraId="03AEDBD5" w14:textId="77777777" w:rsidTr="00A47F5C">
        <w:trPr>
          <w:cantSplit/>
          <w:trHeight w:val="20"/>
        </w:trPr>
        <w:tc>
          <w:tcPr>
            <w:tcW w:w="5000" w:type="pct"/>
          </w:tcPr>
          <w:p w14:paraId="4AE9BAC4" w14:textId="77777777" w:rsidR="009B6C59" w:rsidRPr="0098262F" w:rsidRDefault="009B6C59" w:rsidP="009B6299">
            <w:pPr>
              <w:pStyle w:val="TableText0"/>
              <w:keepLines/>
              <w:widowControl/>
              <w:ind w:left="-113"/>
            </w:pPr>
            <w:r w:rsidRPr="0098262F">
              <w:rPr>
                <w:b/>
              </w:rPr>
              <w:t xml:space="preserve">Category / Program: </w:t>
            </w:r>
            <w:r w:rsidRPr="0098262F">
              <w:t>General Schedule</w:t>
            </w:r>
            <w:r>
              <w:t xml:space="preserve"> (Code GE)</w:t>
            </w:r>
          </w:p>
        </w:tc>
      </w:tr>
      <w:tr w:rsidR="009B6C59" w:rsidRPr="0098262F" w14:paraId="77CABF04" w14:textId="77777777" w:rsidTr="00A47F5C">
        <w:trPr>
          <w:cantSplit/>
          <w:trHeight w:val="20"/>
        </w:trPr>
        <w:tc>
          <w:tcPr>
            <w:tcW w:w="5000" w:type="pct"/>
          </w:tcPr>
          <w:p w14:paraId="663419B2" w14:textId="77777777" w:rsidR="009B6C59" w:rsidRPr="0098262F" w:rsidRDefault="009B6C59" w:rsidP="009B6299">
            <w:pPr>
              <w:pStyle w:val="TableText0"/>
              <w:keepLines/>
              <w:widowControl/>
              <w:ind w:left="-113"/>
              <w:rPr>
                <w:b/>
              </w:rPr>
            </w:pPr>
            <w:r w:rsidRPr="0098262F">
              <w:rPr>
                <w:b/>
              </w:rPr>
              <w:t xml:space="preserve">Prescriber type: </w:t>
            </w:r>
            <w:r w:rsidRPr="0098262F">
              <w:fldChar w:fldCharType="begin" w:fldLock="1">
                <w:ffData>
                  <w:name w:val="Check1"/>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Dental </w:t>
            </w:r>
            <w:r w:rsidRPr="003C2B89">
              <w:rPr>
                <w:rFonts w:ascii="Calibri" w:eastAsia="Calibri" w:hAnsi="Calibri" w:cs="Calibri"/>
                <w:sz w:val="18"/>
                <w:szCs w:val="18"/>
                <w:lang w:eastAsia="en-US"/>
              </w:rPr>
              <w:fldChar w:fldCharType="begin" w:fldLock="1">
                <w:ffData>
                  <w:name w:val=""/>
                  <w:enabled/>
                  <w:calcOnExit w:val="0"/>
                  <w:checkBox>
                    <w:sizeAuto/>
                    <w:default w:val="1"/>
                  </w:checkBox>
                </w:ffData>
              </w:fldChar>
            </w:r>
            <w:r w:rsidRPr="003C2B89">
              <w:rPr>
                <w:rFonts w:ascii="Calibri" w:eastAsia="Calibri" w:hAnsi="Calibri" w:cs="Calibri"/>
                <w:sz w:val="18"/>
                <w:szCs w:val="18"/>
                <w:lang w:eastAsia="en-US"/>
              </w:rPr>
              <w:instrText xml:space="preserve"> FORMCHECKBOX </w:instrText>
            </w:r>
            <w:r w:rsidRPr="003C2B89">
              <w:rPr>
                <w:rFonts w:ascii="Calibri" w:eastAsia="Calibri" w:hAnsi="Calibri" w:cs="Calibri"/>
                <w:sz w:val="18"/>
                <w:szCs w:val="18"/>
                <w:lang w:eastAsia="en-US"/>
              </w:rPr>
            </w:r>
            <w:r w:rsidRPr="003C2B89">
              <w:rPr>
                <w:rFonts w:ascii="Calibri" w:eastAsia="Calibri" w:hAnsi="Calibri" w:cs="Calibri"/>
                <w:sz w:val="18"/>
                <w:szCs w:val="18"/>
                <w:lang w:eastAsia="en-US"/>
              </w:rPr>
              <w:fldChar w:fldCharType="separate"/>
            </w:r>
            <w:r w:rsidRPr="003C2B89">
              <w:rPr>
                <w:rFonts w:ascii="Calibri" w:eastAsia="Calibri" w:hAnsi="Calibri" w:cs="Calibri"/>
                <w:sz w:val="18"/>
                <w:szCs w:val="18"/>
                <w:lang w:eastAsia="en-US"/>
              </w:rPr>
              <w:fldChar w:fldCharType="end"/>
            </w:r>
            <w:r w:rsidRPr="0098262F">
              <w:t xml:space="preserve">Medical Practitioners </w:t>
            </w:r>
            <w:r w:rsidRPr="0098262F">
              <w:fldChar w:fldCharType="begin" w:fldLock="1">
                <w:ffData>
                  <w:name w:val="Check3"/>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Nurse practitioners </w:t>
            </w:r>
            <w:r w:rsidRPr="0098262F">
              <w:fldChar w:fldCharType="begin" w:fldLock="1">
                <w:ffData>
                  <w:name w:val=""/>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Optometrists </w:t>
            </w:r>
            <w:r w:rsidRPr="0098262F">
              <w:fldChar w:fldCharType="begin" w:fldLock="1">
                <w:ffData>
                  <w:name w:val="Check5"/>
                  <w:enabled/>
                  <w:calcOnExit w:val="0"/>
                  <w:checkBox>
                    <w:sizeAuto/>
                    <w:default w:val="0"/>
                  </w:checkBox>
                </w:ffData>
              </w:fldChar>
            </w:r>
            <w:r w:rsidRPr="0098262F">
              <w:instrText xml:space="preserve"> FORMCHECKBOX </w:instrText>
            </w:r>
            <w:r w:rsidRPr="0098262F">
              <w:fldChar w:fldCharType="separate"/>
            </w:r>
            <w:r w:rsidRPr="0098262F">
              <w:fldChar w:fldCharType="end"/>
            </w:r>
          </w:p>
        </w:tc>
      </w:tr>
      <w:tr w:rsidR="009B6C59" w:rsidRPr="0098262F" w14:paraId="3155F256" w14:textId="77777777" w:rsidTr="00A47F5C">
        <w:trPr>
          <w:cantSplit/>
          <w:trHeight w:val="20"/>
        </w:trPr>
        <w:tc>
          <w:tcPr>
            <w:tcW w:w="5000" w:type="pct"/>
          </w:tcPr>
          <w:p w14:paraId="380EF83C" w14:textId="77777777" w:rsidR="009B6C59" w:rsidRPr="0098262F" w:rsidRDefault="009B6C59" w:rsidP="009B6299">
            <w:pPr>
              <w:pStyle w:val="TableText0"/>
              <w:keepLines/>
              <w:widowControl/>
              <w:ind w:left="-113"/>
            </w:pPr>
            <w:r w:rsidRPr="0098262F">
              <w:rPr>
                <w:b/>
              </w:rPr>
              <w:t xml:space="preserve">Restriction type: </w:t>
            </w:r>
            <w:r w:rsidRPr="003C2B89">
              <w:rPr>
                <w:rFonts w:ascii="Calibri" w:hAnsi="Calibri"/>
                <w:sz w:val="18"/>
                <w:szCs w:val="18"/>
                <w:lang w:eastAsia="en-US"/>
              </w:rPr>
              <w:fldChar w:fldCharType="begin" w:fldLock="1">
                <w:ffData>
                  <w:name w:val=""/>
                  <w:enabled/>
                  <w:calcOnExit w:val="0"/>
                  <w:checkBox>
                    <w:sizeAuto/>
                    <w:default w:val="1"/>
                  </w:checkBox>
                </w:ffData>
              </w:fldChar>
            </w:r>
            <w:r w:rsidRPr="003C2B89">
              <w:rPr>
                <w:rFonts w:ascii="Calibri" w:hAnsi="Calibri"/>
                <w:sz w:val="18"/>
                <w:szCs w:val="18"/>
                <w:lang w:eastAsia="en-US"/>
              </w:rPr>
              <w:instrText xml:space="preserve"> FORMCHECKBOX </w:instrText>
            </w:r>
            <w:r w:rsidRPr="003C2B89">
              <w:rPr>
                <w:rFonts w:ascii="Calibri" w:hAnsi="Calibri"/>
                <w:sz w:val="18"/>
                <w:szCs w:val="18"/>
                <w:lang w:eastAsia="en-US"/>
              </w:rPr>
            </w:r>
            <w:r w:rsidRPr="003C2B89">
              <w:rPr>
                <w:rFonts w:ascii="Calibri" w:hAnsi="Calibri"/>
                <w:sz w:val="18"/>
                <w:szCs w:val="18"/>
                <w:lang w:eastAsia="en-US"/>
              </w:rPr>
              <w:fldChar w:fldCharType="separate"/>
            </w:r>
            <w:r w:rsidRPr="003C2B89">
              <w:rPr>
                <w:rFonts w:ascii="Calibri" w:hAnsi="Calibri"/>
                <w:sz w:val="18"/>
                <w:szCs w:val="18"/>
                <w:lang w:eastAsia="en-US"/>
              </w:rPr>
              <w:fldChar w:fldCharType="end"/>
            </w:r>
            <w:r w:rsidRPr="003C2B89">
              <w:rPr>
                <w:rFonts w:ascii="Calibri" w:hAnsi="Calibri"/>
                <w:sz w:val="22"/>
                <w:szCs w:val="22"/>
                <w:lang w:eastAsia="en-US"/>
              </w:rPr>
              <w:t xml:space="preserve"> </w:t>
            </w:r>
            <w:r w:rsidRPr="003C2B89">
              <w:rPr>
                <w:lang w:eastAsia="en-US"/>
              </w:rPr>
              <w:t>Authority Required (in writing)– Postal/HPOS Upload</w:t>
            </w:r>
            <w:r w:rsidRPr="0098262F">
              <w:rPr>
                <w:color w:val="0066FF"/>
              </w:rPr>
              <w:t xml:space="preserve"> </w:t>
            </w:r>
          </w:p>
        </w:tc>
      </w:tr>
      <w:tr w:rsidR="009B6C59" w:rsidRPr="0098262F" w14:paraId="7FBCEEEA" w14:textId="77777777" w:rsidTr="00A47F5C">
        <w:trPr>
          <w:cantSplit/>
          <w:trHeight w:val="20"/>
        </w:trPr>
        <w:tc>
          <w:tcPr>
            <w:tcW w:w="5000" w:type="pct"/>
            <w:vAlign w:val="center"/>
          </w:tcPr>
          <w:p w14:paraId="493E8D3B" w14:textId="77777777" w:rsidR="009B6C59" w:rsidRPr="0093296B" w:rsidRDefault="009B6C59" w:rsidP="009B6299">
            <w:pPr>
              <w:pStyle w:val="TableText0"/>
              <w:keepLines/>
              <w:widowControl/>
              <w:ind w:left="-113"/>
            </w:pPr>
            <w:r w:rsidRPr="0098262F">
              <w:rPr>
                <w:b/>
              </w:rPr>
              <w:t xml:space="preserve">Episodicity: </w:t>
            </w:r>
            <w:r>
              <w:t>Chronic treatment</w:t>
            </w:r>
          </w:p>
        </w:tc>
      </w:tr>
      <w:tr w:rsidR="009B6C59" w:rsidRPr="0098262F" w14:paraId="7765D10E" w14:textId="77777777" w:rsidTr="00A47F5C">
        <w:trPr>
          <w:cantSplit/>
          <w:trHeight w:val="20"/>
        </w:trPr>
        <w:tc>
          <w:tcPr>
            <w:tcW w:w="5000" w:type="pct"/>
            <w:vAlign w:val="center"/>
          </w:tcPr>
          <w:p w14:paraId="0E268916" w14:textId="77777777" w:rsidR="009B6C59" w:rsidRPr="0098262F" w:rsidRDefault="009B6C59" w:rsidP="009B6299">
            <w:pPr>
              <w:pStyle w:val="TableText0"/>
              <w:keepLines/>
              <w:widowControl/>
              <w:ind w:left="-113"/>
              <w:rPr>
                <w:b/>
              </w:rPr>
            </w:pPr>
            <w:r w:rsidRPr="0098262F">
              <w:rPr>
                <w:b/>
              </w:rPr>
              <w:t xml:space="preserve">Condition: </w:t>
            </w:r>
            <w:r w:rsidRPr="0093296B">
              <w:t xml:space="preserve">Hereditary angioedema </w:t>
            </w:r>
            <w:r>
              <w:t>T</w:t>
            </w:r>
            <w:r w:rsidRPr="0093296B">
              <w:t>ype</w:t>
            </w:r>
            <w:r>
              <w:t>s</w:t>
            </w:r>
            <w:r w:rsidRPr="0093296B">
              <w:t xml:space="preserve"> I and II</w:t>
            </w:r>
          </w:p>
        </w:tc>
      </w:tr>
      <w:tr w:rsidR="009B6C59" w:rsidRPr="0098262F" w14:paraId="0285E4E1" w14:textId="77777777" w:rsidTr="00A47F5C">
        <w:trPr>
          <w:cantSplit/>
          <w:trHeight w:val="20"/>
        </w:trPr>
        <w:tc>
          <w:tcPr>
            <w:tcW w:w="5000" w:type="pct"/>
            <w:vAlign w:val="center"/>
            <w:hideMark/>
          </w:tcPr>
          <w:p w14:paraId="1811EB8B" w14:textId="77777777" w:rsidR="009B6C59" w:rsidRPr="0098262F" w:rsidRDefault="009B6C59" w:rsidP="009B6299">
            <w:pPr>
              <w:pStyle w:val="TableText0"/>
              <w:keepLines/>
              <w:widowControl/>
              <w:ind w:left="-113"/>
            </w:pPr>
            <w:r>
              <w:rPr>
                <w:b/>
              </w:rPr>
              <w:t>PBS i</w:t>
            </w:r>
            <w:r w:rsidRPr="0098262F">
              <w:rPr>
                <w:b/>
              </w:rPr>
              <w:t>ndication:</w:t>
            </w:r>
            <w:r w:rsidRPr="0098262F">
              <w:t xml:space="preserve"> </w:t>
            </w:r>
            <w:r>
              <w:t>Chronic treatment of hereditary angioedema T</w:t>
            </w:r>
            <w:r w:rsidRPr="0093296B">
              <w:t>ype</w:t>
            </w:r>
            <w:r>
              <w:t>s</w:t>
            </w:r>
            <w:r w:rsidRPr="0093296B">
              <w:t xml:space="preserve"> I and II</w:t>
            </w:r>
          </w:p>
        </w:tc>
      </w:tr>
      <w:tr w:rsidR="009B6C59" w:rsidRPr="0098262F" w14:paraId="4D902671" w14:textId="77777777" w:rsidTr="00A47F5C">
        <w:trPr>
          <w:cantSplit/>
          <w:trHeight w:val="20"/>
        </w:trPr>
        <w:tc>
          <w:tcPr>
            <w:tcW w:w="5000" w:type="pct"/>
            <w:vAlign w:val="center"/>
            <w:hideMark/>
          </w:tcPr>
          <w:p w14:paraId="65AA33BF" w14:textId="77777777" w:rsidR="009B6C59" w:rsidRPr="0098262F" w:rsidRDefault="009B6C59" w:rsidP="009B6299">
            <w:pPr>
              <w:pStyle w:val="TableText0"/>
              <w:keepLines/>
              <w:widowControl/>
              <w:ind w:left="-113"/>
            </w:pPr>
            <w:r w:rsidRPr="0098262F">
              <w:rPr>
                <w:b/>
              </w:rPr>
              <w:t>Treatment Phase:</w:t>
            </w:r>
            <w:r w:rsidRPr="0098262F">
              <w:t xml:space="preserve"> </w:t>
            </w:r>
            <w:r>
              <w:t>Initial 2: New patient (</w:t>
            </w:r>
            <w:r w:rsidRPr="0093296B">
              <w:t xml:space="preserve">commencing with </w:t>
            </w:r>
            <w:r>
              <w:t>National Blood Authority-funded C1-INH)</w:t>
            </w:r>
          </w:p>
        </w:tc>
      </w:tr>
      <w:tr w:rsidR="009B6C59" w:rsidRPr="0098262F" w14:paraId="7BDE5343" w14:textId="77777777" w:rsidTr="00A47F5C">
        <w:trPr>
          <w:cantSplit/>
          <w:trHeight w:val="20"/>
        </w:trPr>
        <w:tc>
          <w:tcPr>
            <w:tcW w:w="5000" w:type="pct"/>
            <w:vAlign w:val="center"/>
            <w:hideMark/>
          </w:tcPr>
          <w:p w14:paraId="2E1F97CA" w14:textId="77777777" w:rsidR="009B6C59" w:rsidRPr="00C507FB" w:rsidRDefault="009B6C59" w:rsidP="009B6299">
            <w:pPr>
              <w:pStyle w:val="TableText0"/>
              <w:keepLines/>
              <w:widowControl/>
              <w:ind w:left="-113"/>
              <w:rPr>
                <w:b/>
                <w:bCs/>
              </w:rPr>
            </w:pPr>
            <w:r w:rsidRPr="00C507FB">
              <w:rPr>
                <w:b/>
                <w:bCs/>
              </w:rPr>
              <w:t>Clinical criteria:</w:t>
            </w:r>
          </w:p>
          <w:p w14:paraId="0D0EF8F4" w14:textId="77777777" w:rsidR="009B6C59" w:rsidRPr="00C70E22" w:rsidRDefault="009B6C59" w:rsidP="009B6299">
            <w:pPr>
              <w:pStyle w:val="TableText0"/>
              <w:keepLines/>
              <w:widowControl/>
              <w:ind w:left="-113"/>
              <w:rPr>
                <w:b/>
              </w:rPr>
            </w:pPr>
            <w:r w:rsidRPr="0093296B">
              <w:t xml:space="preserve">Patient must have been receiving a C1-esterase inhibitor through the National Blood Authority as routine prophylaxis for hereditary angioedema </w:t>
            </w:r>
            <w:r>
              <w:t>immediately prior to receiving garadacimab.</w:t>
            </w:r>
          </w:p>
          <w:p w14:paraId="12715095" w14:textId="77777777" w:rsidR="009B6C59" w:rsidRDefault="009B6C59" w:rsidP="009B6299">
            <w:pPr>
              <w:pStyle w:val="TableText0"/>
              <w:keepLines/>
              <w:widowControl/>
              <w:ind w:left="-113"/>
            </w:pPr>
            <w:r>
              <w:t>AND</w:t>
            </w:r>
          </w:p>
          <w:p w14:paraId="202D107D" w14:textId="77777777" w:rsidR="009B6C59" w:rsidRPr="0093296B" w:rsidRDefault="009B6C59" w:rsidP="009B6299">
            <w:pPr>
              <w:pStyle w:val="TableText0"/>
              <w:keepLines/>
              <w:widowControl/>
              <w:ind w:left="-113"/>
              <w:rPr>
                <w:b/>
              </w:rPr>
            </w:pPr>
            <w:r w:rsidRPr="0093296B">
              <w:t>The treatment must not be used in combination with a C1-esterase inhibitor concentrate or lanadelumab</w:t>
            </w:r>
            <w:r>
              <w:t>.</w:t>
            </w:r>
          </w:p>
        </w:tc>
      </w:tr>
      <w:tr w:rsidR="009B6C59" w:rsidRPr="0098262F" w14:paraId="30EF0684" w14:textId="77777777" w:rsidTr="00A47F5C">
        <w:trPr>
          <w:cantSplit/>
          <w:trHeight w:val="20"/>
        </w:trPr>
        <w:tc>
          <w:tcPr>
            <w:tcW w:w="5000" w:type="pct"/>
            <w:vAlign w:val="center"/>
            <w:hideMark/>
          </w:tcPr>
          <w:p w14:paraId="1B2D38F6" w14:textId="77777777" w:rsidR="009B6C59" w:rsidRPr="00077A98" w:rsidRDefault="009B6C59" w:rsidP="009B6299">
            <w:pPr>
              <w:pStyle w:val="TableText0"/>
              <w:keepLines/>
              <w:widowControl/>
              <w:ind w:left="-113"/>
              <w:rPr>
                <w:b/>
              </w:rPr>
            </w:pPr>
            <w:r w:rsidRPr="00077A98">
              <w:rPr>
                <w:b/>
              </w:rPr>
              <w:t>Treatment criteria:</w:t>
            </w:r>
            <w:r w:rsidRPr="002D600F">
              <w:t xml:space="preserve"> Must be treated by a clinical immunologist or a specialist allergist</w:t>
            </w:r>
          </w:p>
        </w:tc>
      </w:tr>
      <w:tr w:rsidR="009B6C59" w:rsidRPr="0098262F" w14:paraId="2964A32C" w14:textId="77777777" w:rsidTr="00A47F5C">
        <w:trPr>
          <w:cantSplit/>
          <w:trHeight w:val="20"/>
        </w:trPr>
        <w:tc>
          <w:tcPr>
            <w:tcW w:w="5000" w:type="pct"/>
            <w:vAlign w:val="center"/>
            <w:hideMark/>
          </w:tcPr>
          <w:p w14:paraId="5CD9C4ED" w14:textId="77777777" w:rsidR="009B6C59" w:rsidRPr="002D600F" w:rsidRDefault="009B6C59" w:rsidP="009B6299">
            <w:pPr>
              <w:pStyle w:val="TableText0"/>
              <w:keepLines/>
              <w:widowControl/>
              <w:ind w:left="-113"/>
              <w:rPr>
                <w:b/>
              </w:rPr>
            </w:pPr>
            <w:r w:rsidRPr="002D600F">
              <w:rPr>
                <w:b/>
              </w:rPr>
              <w:t>Population criteria:</w:t>
            </w:r>
            <w:r w:rsidRPr="002D600F">
              <w:t xml:space="preserve"> Patient must be aged 12 years or older</w:t>
            </w:r>
          </w:p>
        </w:tc>
      </w:tr>
    </w:tbl>
    <w:p w14:paraId="3ADC752A" w14:textId="77777777" w:rsidR="009B6C59" w:rsidRDefault="009B6C59" w:rsidP="009B6299">
      <w:pPr>
        <w:keepLines/>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9B6C59" w:rsidRPr="0098262F" w14:paraId="0CA88282" w14:textId="77777777" w:rsidTr="00A47F5C">
        <w:trPr>
          <w:cantSplit/>
          <w:trHeight w:val="20"/>
        </w:trPr>
        <w:tc>
          <w:tcPr>
            <w:tcW w:w="5000" w:type="pct"/>
          </w:tcPr>
          <w:p w14:paraId="3687A3ED" w14:textId="77777777" w:rsidR="009B6C59" w:rsidRPr="0098262F" w:rsidRDefault="009B6C59" w:rsidP="009B6299">
            <w:pPr>
              <w:pStyle w:val="TableText0"/>
              <w:keepLines/>
              <w:widowControl/>
              <w:ind w:left="-102"/>
            </w:pPr>
            <w:r w:rsidRPr="0098262F">
              <w:rPr>
                <w:b/>
              </w:rPr>
              <w:t xml:space="preserve">Category / Program: </w:t>
            </w:r>
            <w:r w:rsidRPr="0098262F">
              <w:t>General Schedule</w:t>
            </w:r>
            <w:r>
              <w:t xml:space="preserve"> (Code GE)</w:t>
            </w:r>
          </w:p>
        </w:tc>
      </w:tr>
      <w:tr w:rsidR="009B6C59" w:rsidRPr="0098262F" w14:paraId="138CEC36" w14:textId="77777777" w:rsidTr="00A47F5C">
        <w:trPr>
          <w:cantSplit/>
          <w:trHeight w:val="20"/>
        </w:trPr>
        <w:tc>
          <w:tcPr>
            <w:tcW w:w="5000" w:type="pct"/>
          </w:tcPr>
          <w:p w14:paraId="37A36CAD" w14:textId="77777777" w:rsidR="009B6C59" w:rsidRPr="0098262F" w:rsidRDefault="009B6C59" w:rsidP="009B6299">
            <w:pPr>
              <w:pStyle w:val="TableText0"/>
              <w:keepLines/>
              <w:widowControl/>
              <w:ind w:left="-102"/>
              <w:rPr>
                <w:b/>
              </w:rPr>
            </w:pPr>
            <w:r w:rsidRPr="0098262F">
              <w:rPr>
                <w:b/>
              </w:rPr>
              <w:t xml:space="preserve">Prescriber type: </w:t>
            </w:r>
            <w:r w:rsidRPr="0098262F">
              <w:fldChar w:fldCharType="begin" w:fldLock="1">
                <w:ffData>
                  <w:name w:val="Check1"/>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Dental </w:t>
            </w:r>
            <w:r w:rsidRPr="003C2B89">
              <w:rPr>
                <w:rFonts w:ascii="Calibri" w:eastAsia="Calibri" w:hAnsi="Calibri" w:cs="Calibri"/>
                <w:sz w:val="18"/>
                <w:szCs w:val="18"/>
                <w:lang w:eastAsia="en-US"/>
              </w:rPr>
              <w:fldChar w:fldCharType="begin" w:fldLock="1">
                <w:ffData>
                  <w:name w:val=""/>
                  <w:enabled/>
                  <w:calcOnExit w:val="0"/>
                  <w:checkBox>
                    <w:sizeAuto/>
                    <w:default w:val="1"/>
                  </w:checkBox>
                </w:ffData>
              </w:fldChar>
            </w:r>
            <w:r w:rsidRPr="003C2B89">
              <w:rPr>
                <w:rFonts w:ascii="Calibri" w:eastAsia="Calibri" w:hAnsi="Calibri" w:cs="Calibri"/>
                <w:sz w:val="18"/>
                <w:szCs w:val="18"/>
                <w:lang w:eastAsia="en-US"/>
              </w:rPr>
              <w:instrText xml:space="preserve"> FORMCHECKBOX </w:instrText>
            </w:r>
            <w:r w:rsidRPr="003C2B89">
              <w:rPr>
                <w:rFonts w:ascii="Calibri" w:eastAsia="Calibri" w:hAnsi="Calibri" w:cs="Calibri"/>
                <w:sz w:val="18"/>
                <w:szCs w:val="18"/>
                <w:lang w:eastAsia="en-US"/>
              </w:rPr>
            </w:r>
            <w:r w:rsidRPr="003C2B89">
              <w:rPr>
                <w:rFonts w:ascii="Calibri" w:eastAsia="Calibri" w:hAnsi="Calibri" w:cs="Calibri"/>
                <w:sz w:val="18"/>
                <w:szCs w:val="18"/>
                <w:lang w:eastAsia="en-US"/>
              </w:rPr>
              <w:fldChar w:fldCharType="separate"/>
            </w:r>
            <w:r w:rsidRPr="003C2B89">
              <w:rPr>
                <w:rFonts w:ascii="Calibri" w:eastAsia="Calibri" w:hAnsi="Calibri" w:cs="Calibri"/>
                <w:sz w:val="18"/>
                <w:szCs w:val="18"/>
                <w:lang w:eastAsia="en-US"/>
              </w:rPr>
              <w:fldChar w:fldCharType="end"/>
            </w:r>
            <w:r w:rsidRPr="0098262F">
              <w:t xml:space="preserve">Medical Practitioners </w:t>
            </w:r>
            <w:r w:rsidRPr="0098262F">
              <w:fldChar w:fldCharType="begin" w:fldLock="1">
                <w:ffData>
                  <w:name w:val="Check3"/>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Nurse practitioners </w:t>
            </w:r>
            <w:r w:rsidRPr="0098262F">
              <w:fldChar w:fldCharType="begin" w:fldLock="1">
                <w:ffData>
                  <w:name w:val=""/>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Optometrists </w:t>
            </w:r>
            <w:r w:rsidRPr="0098262F">
              <w:fldChar w:fldCharType="begin" w:fldLock="1">
                <w:ffData>
                  <w:name w:val="Check5"/>
                  <w:enabled/>
                  <w:calcOnExit w:val="0"/>
                  <w:checkBox>
                    <w:sizeAuto/>
                    <w:default w:val="0"/>
                  </w:checkBox>
                </w:ffData>
              </w:fldChar>
            </w:r>
            <w:r w:rsidRPr="0098262F">
              <w:instrText xml:space="preserve"> FORMCHECKBOX </w:instrText>
            </w:r>
            <w:r w:rsidRPr="0098262F">
              <w:fldChar w:fldCharType="separate"/>
            </w:r>
            <w:r w:rsidRPr="0098262F">
              <w:fldChar w:fldCharType="end"/>
            </w:r>
          </w:p>
        </w:tc>
      </w:tr>
      <w:tr w:rsidR="009B6C59" w:rsidRPr="0098262F" w14:paraId="015381DE" w14:textId="77777777" w:rsidTr="00A47F5C">
        <w:trPr>
          <w:cantSplit/>
          <w:trHeight w:val="20"/>
        </w:trPr>
        <w:tc>
          <w:tcPr>
            <w:tcW w:w="5000" w:type="pct"/>
          </w:tcPr>
          <w:p w14:paraId="204E9269" w14:textId="77777777" w:rsidR="009B6C59" w:rsidRPr="0098262F" w:rsidRDefault="009B6C59" w:rsidP="009B6299">
            <w:pPr>
              <w:pStyle w:val="TableText0"/>
              <w:keepLines/>
              <w:widowControl/>
              <w:ind w:left="-102"/>
            </w:pPr>
            <w:r w:rsidRPr="0098262F">
              <w:rPr>
                <w:b/>
              </w:rPr>
              <w:t xml:space="preserve">Restriction type: </w:t>
            </w:r>
            <w:r w:rsidRPr="003C2B89">
              <w:rPr>
                <w:rFonts w:ascii="Calibri" w:hAnsi="Calibri"/>
                <w:sz w:val="18"/>
                <w:szCs w:val="18"/>
                <w:lang w:eastAsia="en-US"/>
              </w:rPr>
              <w:fldChar w:fldCharType="begin" w:fldLock="1">
                <w:ffData>
                  <w:name w:val=""/>
                  <w:enabled/>
                  <w:calcOnExit w:val="0"/>
                  <w:checkBox>
                    <w:sizeAuto/>
                    <w:default w:val="1"/>
                  </w:checkBox>
                </w:ffData>
              </w:fldChar>
            </w:r>
            <w:r w:rsidRPr="003C2B89">
              <w:rPr>
                <w:rFonts w:ascii="Calibri" w:hAnsi="Calibri"/>
                <w:sz w:val="18"/>
                <w:szCs w:val="18"/>
                <w:lang w:eastAsia="en-US"/>
              </w:rPr>
              <w:instrText xml:space="preserve"> FORMCHECKBOX </w:instrText>
            </w:r>
            <w:r w:rsidRPr="003C2B89">
              <w:rPr>
                <w:rFonts w:ascii="Calibri" w:hAnsi="Calibri"/>
                <w:sz w:val="18"/>
                <w:szCs w:val="18"/>
                <w:lang w:eastAsia="en-US"/>
              </w:rPr>
            </w:r>
            <w:r w:rsidRPr="003C2B89">
              <w:rPr>
                <w:rFonts w:ascii="Calibri" w:hAnsi="Calibri"/>
                <w:sz w:val="18"/>
                <w:szCs w:val="18"/>
                <w:lang w:eastAsia="en-US"/>
              </w:rPr>
              <w:fldChar w:fldCharType="separate"/>
            </w:r>
            <w:r w:rsidRPr="003C2B89">
              <w:rPr>
                <w:rFonts w:ascii="Calibri" w:hAnsi="Calibri"/>
                <w:sz w:val="18"/>
                <w:szCs w:val="18"/>
                <w:lang w:eastAsia="en-US"/>
              </w:rPr>
              <w:fldChar w:fldCharType="end"/>
            </w:r>
            <w:r w:rsidRPr="003C2B89">
              <w:rPr>
                <w:rFonts w:ascii="Calibri" w:hAnsi="Calibri"/>
                <w:sz w:val="22"/>
                <w:szCs w:val="22"/>
                <w:lang w:eastAsia="en-US"/>
              </w:rPr>
              <w:t xml:space="preserve"> </w:t>
            </w:r>
            <w:r w:rsidRPr="003C2B89">
              <w:rPr>
                <w:lang w:eastAsia="en-US"/>
              </w:rPr>
              <w:t>Authority Required (in writing)– Postal/HPOS Upload</w:t>
            </w:r>
            <w:r w:rsidRPr="0098262F">
              <w:rPr>
                <w:color w:val="0066FF"/>
              </w:rPr>
              <w:t xml:space="preserve"> </w:t>
            </w:r>
          </w:p>
        </w:tc>
      </w:tr>
      <w:tr w:rsidR="009B6C59" w:rsidRPr="0098262F" w14:paraId="3C0BEDB0" w14:textId="77777777" w:rsidTr="00A47F5C">
        <w:trPr>
          <w:cantSplit/>
          <w:trHeight w:val="20"/>
        </w:trPr>
        <w:tc>
          <w:tcPr>
            <w:tcW w:w="5000" w:type="pct"/>
            <w:vAlign w:val="center"/>
          </w:tcPr>
          <w:p w14:paraId="7BA9CC34" w14:textId="77777777" w:rsidR="009B6C59" w:rsidRPr="0093296B" w:rsidRDefault="009B6C59" w:rsidP="009B6299">
            <w:pPr>
              <w:pStyle w:val="TableText0"/>
              <w:keepLines/>
              <w:widowControl/>
              <w:ind w:left="-102"/>
            </w:pPr>
            <w:r w:rsidRPr="0098262F">
              <w:rPr>
                <w:b/>
              </w:rPr>
              <w:t xml:space="preserve">Episodicity: </w:t>
            </w:r>
            <w:r>
              <w:t>Chronic treatment</w:t>
            </w:r>
          </w:p>
        </w:tc>
      </w:tr>
      <w:tr w:rsidR="009B6C59" w:rsidRPr="0098262F" w14:paraId="11A3A90E" w14:textId="77777777" w:rsidTr="00A47F5C">
        <w:trPr>
          <w:cantSplit/>
          <w:trHeight w:val="20"/>
        </w:trPr>
        <w:tc>
          <w:tcPr>
            <w:tcW w:w="5000" w:type="pct"/>
            <w:vAlign w:val="center"/>
          </w:tcPr>
          <w:p w14:paraId="30AA55A0" w14:textId="77777777" w:rsidR="009B6C59" w:rsidRPr="0098262F" w:rsidRDefault="009B6C59" w:rsidP="009B6299">
            <w:pPr>
              <w:pStyle w:val="TableText0"/>
              <w:keepLines/>
              <w:widowControl/>
              <w:ind w:left="-102"/>
              <w:rPr>
                <w:b/>
              </w:rPr>
            </w:pPr>
            <w:r w:rsidRPr="0098262F">
              <w:rPr>
                <w:b/>
              </w:rPr>
              <w:t xml:space="preserve">Condition: </w:t>
            </w:r>
            <w:r w:rsidRPr="0093296B">
              <w:t xml:space="preserve">Hereditary angioedema </w:t>
            </w:r>
            <w:r>
              <w:t>T</w:t>
            </w:r>
            <w:r w:rsidRPr="0093296B">
              <w:t>ype</w:t>
            </w:r>
            <w:r>
              <w:t>s</w:t>
            </w:r>
            <w:r w:rsidRPr="0093296B">
              <w:t xml:space="preserve"> I and II</w:t>
            </w:r>
          </w:p>
        </w:tc>
      </w:tr>
      <w:tr w:rsidR="009B6C59" w:rsidRPr="0098262F" w14:paraId="65853931" w14:textId="77777777" w:rsidTr="00A47F5C">
        <w:trPr>
          <w:cantSplit/>
          <w:trHeight w:val="20"/>
        </w:trPr>
        <w:tc>
          <w:tcPr>
            <w:tcW w:w="5000" w:type="pct"/>
            <w:vAlign w:val="center"/>
            <w:hideMark/>
          </w:tcPr>
          <w:p w14:paraId="4E992DF7" w14:textId="77777777" w:rsidR="009B6C59" w:rsidRPr="0098262F" w:rsidRDefault="009B6C59" w:rsidP="009B6299">
            <w:pPr>
              <w:pStyle w:val="TableText0"/>
              <w:keepLines/>
              <w:widowControl/>
              <w:ind w:left="-102"/>
            </w:pPr>
            <w:r>
              <w:rPr>
                <w:b/>
              </w:rPr>
              <w:t>PBS i</w:t>
            </w:r>
            <w:r w:rsidRPr="0098262F">
              <w:rPr>
                <w:b/>
              </w:rPr>
              <w:t>ndication:</w:t>
            </w:r>
            <w:r w:rsidRPr="0098262F">
              <w:t xml:space="preserve"> </w:t>
            </w:r>
            <w:r>
              <w:t>Chronic treatment of hereditary angioedema T</w:t>
            </w:r>
            <w:r w:rsidRPr="0093296B">
              <w:t>ype</w:t>
            </w:r>
            <w:r>
              <w:t>s</w:t>
            </w:r>
            <w:r w:rsidRPr="0093296B">
              <w:t xml:space="preserve"> I and II</w:t>
            </w:r>
          </w:p>
        </w:tc>
      </w:tr>
      <w:tr w:rsidR="009B6C59" w:rsidRPr="0098262F" w14:paraId="0944A9AF" w14:textId="77777777" w:rsidTr="00A47F5C">
        <w:trPr>
          <w:cantSplit/>
          <w:trHeight w:val="20"/>
        </w:trPr>
        <w:tc>
          <w:tcPr>
            <w:tcW w:w="5000" w:type="pct"/>
            <w:vAlign w:val="center"/>
            <w:hideMark/>
          </w:tcPr>
          <w:p w14:paraId="42EFEC2F" w14:textId="77777777" w:rsidR="009B6C59" w:rsidRPr="0098262F" w:rsidRDefault="009B6C59" w:rsidP="009B6299">
            <w:pPr>
              <w:pStyle w:val="TableText0"/>
              <w:keepLines/>
              <w:widowControl/>
              <w:ind w:left="-102"/>
            </w:pPr>
            <w:r w:rsidRPr="0098262F">
              <w:rPr>
                <w:b/>
              </w:rPr>
              <w:t>Treatment Phase:</w:t>
            </w:r>
            <w:r w:rsidRPr="0098262F">
              <w:t xml:space="preserve"> </w:t>
            </w:r>
            <w:r>
              <w:t>Initial 3: New patient (</w:t>
            </w:r>
            <w:r w:rsidRPr="0093296B">
              <w:t xml:space="preserve">commencing with </w:t>
            </w:r>
            <w:r>
              <w:t>PBS-funded</w:t>
            </w:r>
            <w:r w:rsidRPr="0093296B">
              <w:t xml:space="preserve"> lanadelumab)</w:t>
            </w:r>
          </w:p>
        </w:tc>
      </w:tr>
      <w:tr w:rsidR="009B6C59" w:rsidRPr="0098262F" w14:paraId="37D959B1" w14:textId="77777777" w:rsidTr="00A47F5C">
        <w:trPr>
          <w:cantSplit/>
          <w:trHeight w:val="20"/>
        </w:trPr>
        <w:tc>
          <w:tcPr>
            <w:tcW w:w="5000" w:type="pct"/>
            <w:vAlign w:val="center"/>
            <w:hideMark/>
          </w:tcPr>
          <w:p w14:paraId="2A2E538D" w14:textId="77777777" w:rsidR="009B6C59" w:rsidRPr="00C507FB" w:rsidRDefault="009B6C59" w:rsidP="009B6299">
            <w:pPr>
              <w:pStyle w:val="TableText0"/>
              <w:keepLines/>
              <w:widowControl/>
              <w:ind w:left="-102"/>
              <w:rPr>
                <w:b/>
                <w:bCs/>
              </w:rPr>
            </w:pPr>
            <w:r w:rsidRPr="00C507FB">
              <w:rPr>
                <w:b/>
                <w:bCs/>
              </w:rPr>
              <w:lastRenderedPageBreak/>
              <w:t>Clinical criteria:</w:t>
            </w:r>
          </w:p>
          <w:p w14:paraId="4E480BCF" w14:textId="77777777" w:rsidR="009B6C59" w:rsidRPr="00C70E22" w:rsidRDefault="009B6C59" w:rsidP="009B6299">
            <w:pPr>
              <w:pStyle w:val="TableText0"/>
              <w:keepLines/>
              <w:widowControl/>
              <w:ind w:left="-102"/>
              <w:rPr>
                <w:b/>
              </w:rPr>
            </w:pPr>
            <w:r w:rsidRPr="0093296B">
              <w:t xml:space="preserve">Patient must have been receiving </w:t>
            </w:r>
            <w:r>
              <w:t>lanadelumab</w:t>
            </w:r>
            <w:r w:rsidRPr="0093296B">
              <w:t xml:space="preserve"> through </w:t>
            </w:r>
            <w:r>
              <w:t>PBS</w:t>
            </w:r>
            <w:r w:rsidRPr="0093296B">
              <w:t xml:space="preserve"> as routine prophylaxis for hereditary angioedema </w:t>
            </w:r>
            <w:r>
              <w:t>immediately prior to receiving garadacimab</w:t>
            </w:r>
            <w:r w:rsidRPr="0093296B">
              <w:t>,</w:t>
            </w:r>
          </w:p>
          <w:p w14:paraId="3CF9D7E5" w14:textId="77777777" w:rsidR="009B6C59" w:rsidRDefault="009B6C59" w:rsidP="009B6299">
            <w:pPr>
              <w:pStyle w:val="TableText0"/>
              <w:keepLines/>
              <w:widowControl/>
              <w:ind w:left="-102"/>
            </w:pPr>
            <w:r>
              <w:t>AND</w:t>
            </w:r>
          </w:p>
          <w:p w14:paraId="57DC41E9" w14:textId="77777777" w:rsidR="009B6C59" w:rsidRPr="0093296B" w:rsidRDefault="009B6C59" w:rsidP="009B6299">
            <w:pPr>
              <w:pStyle w:val="TableText0"/>
              <w:keepLines/>
              <w:widowControl/>
              <w:ind w:left="-102"/>
              <w:rPr>
                <w:b/>
              </w:rPr>
            </w:pPr>
            <w:r w:rsidRPr="0093296B">
              <w:t>The treatment must not be used in combination with a C1-esterase inhibitor concentrate or lanadelumab</w:t>
            </w:r>
            <w:r>
              <w:t>.</w:t>
            </w:r>
          </w:p>
        </w:tc>
      </w:tr>
      <w:tr w:rsidR="009B6C59" w:rsidRPr="0098262F" w14:paraId="07639E9C" w14:textId="77777777" w:rsidTr="00A47F5C">
        <w:trPr>
          <w:cantSplit/>
          <w:trHeight w:val="20"/>
        </w:trPr>
        <w:tc>
          <w:tcPr>
            <w:tcW w:w="5000" w:type="pct"/>
            <w:vAlign w:val="center"/>
            <w:hideMark/>
          </w:tcPr>
          <w:p w14:paraId="2852B12C" w14:textId="77777777" w:rsidR="009B6C59" w:rsidRPr="00077A98" w:rsidRDefault="009B6C59" w:rsidP="009B6299">
            <w:pPr>
              <w:pStyle w:val="TableText0"/>
              <w:keepLines/>
              <w:widowControl/>
              <w:ind w:left="-102"/>
              <w:rPr>
                <w:b/>
              </w:rPr>
            </w:pPr>
            <w:r w:rsidRPr="00077A98">
              <w:rPr>
                <w:b/>
              </w:rPr>
              <w:t>Treatment criteria:</w:t>
            </w:r>
            <w:r w:rsidRPr="002D600F">
              <w:t xml:space="preserve"> Must be treated by a clinical immunologist or a specialist allergist</w:t>
            </w:r>
          </w:p>
        </w:tc>
      </w:tr>
      <w:tr w:rsidR="009B6C59" w:rsidRPr="0098262F" w14:paraId="0B2E4A8F" w14:textId="77777777" w:rsidTr="00A47F5C">
        <w:trPr>
          <w:cantSplit/>
          <w:trHeight w:val="20"/>
        </w:trPr>
        <w:tc>
          <w:tcPr>
            <w:tcW w:w="5000" w:type="pct"/>
            <w:vAlign w:val="center"/>
            <w:hideMark/>
          </w:tcPr>
          <w:p w14:paraId="13C86DF0" w14:textId="77777777" w:rsidR="009B6C59" w:rsidRPr="002D600F" w:rsidRDefault="009B6C59" w:rsidP="009B6299">
            <w:pPr>
              <w:pStyle w:val="TableText0"/>
              <w:keepLines/>
              <w:widowControl/>
              <w:ind w:left="-102"/>
              <w:rPr>
                <w:b/>
              </w:rPr>
            </w:pPr>
            <w:r w:rsidRPr="002D600F">
              <w:rPr>
                <w:b/>
              </w:rPr>
              <w:t>Population criteria:</w:t>
            </w:r>
            <w:r w:rsidRPr="002D600F">
              <w:t xml:space="preserve"> Patient must be aged 12 years or older</w:t>
            </w:r>
          </w:p>
        </w:tc>
      </w:tr>
    </w:tbl>
    <w:p w14:paraId="1F7C3094" w14:textId="77777777" w:rsidR="009B6C59" w:rsidRPr="002912E0" w:rsidRDefault="009B6C59" w:rsidP="009B6299">
      <w:pPr>
        <w:pStyle w:val="3-BodyText"/>
        <w:keepLines/>
        <w:numPr>
          <w:ilvl w:val="0"/>
          <w:numId w:val="0"/>
        </w:numPr>
        <w:spacing w:after="0"/>
        <w:ind w:left="720" w:hanging="720"/>
      </w:pPr>
    </w:p>
    <w:p w14:paraId="7A60586E" w14:textId="77777777" w:rsidR="009B6C59" w:rsidRDefault="009B6C59" w:rsidP="009B6299">
      <w:pPr>
        <w:pStyle w:val="Caption"/>
        <w:keepNext w:val="0"/>
      </w:pPr>
      <w:r w:rsidRPr="0043140D">
        <w:t xml:space="preserve">Requested restriction – </w:t>
      </w:r>
      <w:r>
        <w:t>continuing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559"/>
        <w:gridCol w:w="1276"/>
        <w:gridCol w:w="939"/>
        <w:gridCol w:w="831"/>
        <w:gridCol w:w="1718"/>
      </w:tblGrid>
      <w:tr w:rsidR="009B6C59" w:rsidRPr="0098262F" w14:paraId="6218D76F" w14:textId="77777777" w:rsidTr="00A47F5C">
        <w:trPr>
          <w:cantSplit/>
          <w:trHeight w:val="20"/>
        </w:trPr>
        <w:tc>
          <w:tcPr>
            <w:tcW w:w="2694" w:type="dxa"/>
            <w:vAlign w:val="center"/>
          </w:tcPr>
          <w:p w14:paraId="5D2D7CC7" w14:textId="77777777" w:rsidR="009B6C59" w:rsidRPr="0098262F" w:rsidRDefault="009B6C59" w:rsidP="009B6299">
            <w:pPr>
              <w:keepLines/>
              <w:ind w:left="-113"/>
              <w:rPr>
                <w:rFonts w:ascii="Arial Narrow" w:hAnsi="Arial Narrow"/>
                <w:b/>
                <w:bCs/>
                <w:sz w:val="20"/>
                <w:szCs w:val="20"/>
              </w:rPr>
            </w:pPr>
            <w:r w:rsidRPr="0098262F">
              <w:rPr>
                <w:rFonts w:ascii="Arial Narrow" w:hAnsi="Arial Narrow"/>
                <w:b/>
                <w:bCs/>
                <w:sz w:val="20"/>
                <w:szCs w:val="20"/>
              </w:rPr>
              <w:t>MEDICINAL PRODUCT</w:t>
            </w:r>
          </w:p>
          <w:p w14:paraId="3518D235" w14:textId="77777777" w:rsidR="009B6C59" w:rsidRPr="0098262F" w:rsidRDefault="009B6C59" w:rsidP="009B6299">
            <w:pPr>
              <w:keepLines/>
              <w:ind w:left="-113"/>
              <w:rPr>
                <w:rFonts w:ascii="Arial Narrow" w:hAnsi="Arial Narrow"/>
                <w:b/>
                <w:sz w:val="20"/>
                <w:szCs w:val="20"/>
              </w:rPr>
            </w:pPr>
            <w:r w:rsidRPr="0098262F">
              <w:rPr>
                <w:rFonts w:ascii="Arial Narrow" w:hAnsi="Arial Narrow"/>
                <w:b/>
                <w:bCs/>
                <w:sz w:val="20"/>
                <w:szCs w:val="20"/>
              </w:rPr>
              <w:t>medicinal product pack</w:t>
            </w:r>
          </w:p>
        </w:tc>
        <w:tc>
          <w:tcPr>
            <w:tcW w:w="1559" w:type="dxa"/>
            <w:vAlign w:val="center"/>
          </w:tcPr>
          <w:p w14:paraId="14451505" w14:textId="77777777" w:rsidR="009B6C59" w:rsidRPr="009B0252" w:rsidRDefault="009B6C59" w:rsidP="009B6299">
            <w:pPr>
              <w:pStyle w:val="TableText0"/>
              <w:keepLines/>
              <w:widowControl/>
              <w:rPr>
                <w:b/>
                <w:bCs/>
                <w:szCs w:val="20"/>
              </w:rPr>
            </w:pPr>
            <w:r w:rsidRPr="009B0252">
              <w:rPr>
                <w:b/>
                <w:bCs/>
                <w:snapToGrid w:val="0"/>
              </w:rPr>
              <w:t xml:space="preserve">Dispensed Price for Max. Qty </w:t>
            </w:r>
          </w:p>
        </w:tc>
        <w:tc>
          <w:tcPr>
            <w:tcW w:w="1276" w:type="dxa"/>
            <w:vAlign w:val="center"/>
          </w:tcPr>
          <w:p w14:paraId="39442B85" w14:textId="77777777" w:rsidR="009B6C59" w:rsidRPr="0098262F" w:rsidRDefault="009B6C59" w:rsidP="009B6299">
            <w:pPr>
              <w:keepLines/>
              <w:jc w:val="center"/>
              <w:rPr>
                <w:rFonts w:ascii="Arial Narrow" w:hAnsi="Arial Narrow"/>
                <w:b/>
                <w:sz w:val="20"/>
                <w:szCs w:val="20"/>
              </w:rPr>
            </w:pPr>
            <w:r w:rsidRPr="0098262F">
              <w:rPr>
                <w:rFonts w:ascii="Arial Narrow" w:hAnsi="Arial Narrow"/>
                <w:b/>
                <w:sz w:val="20"/>
                <w:szCs w:val="20"/>
              </w:rPr>
              <w:t>Max. qty packs</w:t>
            </w:r>
          </w:p>
        </w:tc>
        <w:tc>
          <w:tcPr>
            <w:tcW w:w="939" w:type="dxa"/>
            <w:vAlign w:val="center"/>
          </w:tcPr>
          <w:p w14:paraId="07466AD5" w14:textId="77777777" w:rsidR="009B6C59" w:rsidRPr="0098262F" w:rsidRDefault="009B6C59" w:rsidP="009B6299">
            <w:pPr>
              <w:keepLines/>
              <w:jc w:val="center"/>
              <w:rPr>
                <w:rFonts w:ascii="Arial Narrow" w:hAnsi="Arial Narrow"/>
                <w:b/>
                <w:sz w:val="20"/>
                <w:szCs w:val="20"/>
              </w:rPr>
            </w:pPr>
            <w:r w:rsidRPr="0098262F">
              <w:rPr>
                <w:rFonts w:ascii="Arial Narrow" w:hAnsi="Arial Narrow"/>
                <w:b/>
                <w:sz w:val="20"/>
                <w:szCs w:val="20"/>
              </w:rPr>
              <w:t>Max. qty units</w:t>
            </w:r>
          </w:p>
        </w:tc>
        <w:tc>
          <w:tcPr>
            <w:tcW w:w="831" w:type="dxa"/>
            <w:vAlign w:val="center"/>
          </w:tcPr>
          <w:p w14:paraId="337D14DE" w14:textId="77777777" w:rsidR="009B6C59" w:rsidRPr="0098262F" w:rsidRDefault="009B6C59" w:rsidP="009B6299">
            <w:pPr>
              <w:keepLines/>
              <w:jc w:val="center"/>
              <w:rPr>
                <w:rFonts w:ascii="Arial Narrow" w:hAnsi="Arial Narrow"/>
                <w:b/>
                <w:sz w:val="20"/>
                <w:szCs w:val="20"/>
              </w:rPr>
            </w:pPr>
            <w:r w:rsidRPr="0098262F">
              <w:rPr>
                <w:rFonts w:ascii="Arial Narrow" w:hAnsi="Arial Narrow"/>
                <w:b/>
                <w:sz w:val="20"/>
                <w:szCs w:val="20"/>
              </w:rPr>
              <w:t>№.of</w:t>
            </w:r>
          </w:p>
          <w:p w14:paraId="609657EC" w14:textId="77777777" w:rsidR="009B6C59" w:rsidRPr="0098262F" w:rsidRDefault="009B6C59" w:rsidP="009B6299">
            <w:pPr>
              <w:keepLines/>
              <w:jc w:val="center"/>
              <w:rPr>
                <w:rFonts w:ascii="Arial Narrow" w:hAnsi="Arial Narrow"/>
                <w:b/>
                <w:sz w:val="20"/>
                <w:szCs w:val="20"/>
              </w:rPr>
            </w:pPr>
            <w:r w:rsidRPr="0098262F">
              <w:rPr>
                <w:rFonts w:ascii="Arial Narrow" w:hAnsi="Arial Narrow"/>
                <w:b/>
                <w:sz w:val="20"/>
                <w:szCs w:val="20"/>
              </w:rPr>
              <w:t>Rpts</w:t>
            </w:r>
          </w:p>
        </w:tc>
        <w:tc>
          <w:tcPr>
            <w:tcW w:w="1718" w:type="dxa"/>
            <w:vAlign w:val="center"/>
          </w:tcPr>
          <w:p w14:paraId="02B7D952" w14:textId="77777777" w:rsidR="009B6C59" w:rsidRPr="0098262F" w:rsidRDefault="009B6C59" w:rsidP="009B6299">
            <w:pPr>
              <w:keepLines/>
              <w:rPr>
                <w:rFonts w:ascii="Arial Narrow" w:hAnsi="Arial Narrow"/>
                <w:b/>
                <w:sz w:val="20"/>
                <w:szCs w:val="20"/>
              </w:rPr>
            </w:pPr>
            <w:r w:rsidRPr="0098262F">
              <w:rPr>
                <w:rFonts w:ascii="Arial Narrow" w:hAnsi="Arial Narrow"/>
                <w:b/>
                <w:sz w:val="20"/>
                <w:szCs w:val="20"/>
              </w:rPr>
              <w:t>Available brands</w:t>
            </w:r>
          </w:p>
        </w:tc>
      </w:tr>
      <w:tr w:rsidR="009B6C59" w:rsidRPr="0098262F" w14:paraId="5A0CC361" w14:textId="77777777" w:rsidTr="00A47F5C">
        <w:trPr>
          <w:cantSplit/>
          <w:trHeight w:val="708"/>
        </w:trPr>
        <w:tc>
          <w:tcPr>
            <w:tcW w:w="2694" w:type="dxa"/>
            <w:vAlign w:val="center"/>
          </w:tcPr>
          <w:p w14:paraId="6E0DA374" w14:textId="77777777" w:rsidR="009B6C59" w:rsidRPr="0098262F" w:rsidRDefault="009B6C59" w:rsidP="009B6299">
            <w:pPr>
              <w:keepLines/>
              <w:ind w:left="-113"/>
              <w:rPr>
                <w:rFonts w:ascii="Arial Narrow" w:hAnsi="Arial Narrow"/>
                <w:color w:val="0066FF"/>
                <w:sz w:val="20"/>
                <w:szCs w:val="20"/>
              </w:rPr>
            </w:pPr>
            <w:r w:rsidRPr="009B0252">
              <w:rPr>
                <w:rFonts w:ascii="Arial Narrow" w:hAnsi="Arial Narrow"/>
                <w:color w:val="000000" w:themeColor="text1"/>
                <w:sz w:val="20"/>
                <w:szCs w:val="20"/>
              </w:rPr>
              <w:t>Garadacimab injection 200 mg in 1.2 mL pre-filled pen</w:t>
            </w:r>
          </w:p>
        </w:tc>
        <w:tc>
          <w:tcPr>
            <w:tcW w:w="1559" w:type="dxa"/>
          </w:tcPr>
          <w:p w14:paraId="1C4479BA" w14:textId="219A6FD6" w:rsidR="009B6C59" w:rsidRPr="009B0252" w:rsidRDefault="009B6C59" w:rsidP="009B6299">
            <w:pPr>
              <w:pStyle w:val="TableText0"/>
              <w:keepLines/>
              <w:widowControl/>
              <w:jc w:val="center"/>
              <w:rPr>
                <w:szCs w:val="20"/>
              </w:rPr>
            </w:pPr>
            <w:r w:rsidRPr="009B0252">
              <w:rPr>
                <w:szCs w:val="20"/>
              </w:rPr>
              <w:t xml:space="preserve">Published: </w:t>
            </w:r>
            <w:r w:rsidRPr="00552882">
              <w:rPr>
                <w:szCs w:val="20"/>
              </w:rPr>
              <w:t>$</w:t>
            </w:r>
            <w:r w:rsidR="0056079A" w:rsidRPr="00621F66">
              <w:rPr>
                <w:color w:val="000000"/>
                <w:spacing w:val="49"/>
                <w:szCs w:val="20"/>
                <w:shd w:val="solid" w:color="000000" w:fill="000000"/>
                <w:fitText w:val="320" w:id="-762091775"/>
                <w14:textFill>
                  <w14:solidFill>
                    <w14:srgbClr w14:val="000000">
                      <w14:alpha w14:val="100000"/>
                    </w14:srgbClr>
                  </w14:solidFill>
                </w14:textFill>
              </w:rPr>
              <w:t>|||</w:t>
            </w:r>
            <w:r w:rsidR="0056079A" w:rsidRPr="00621F66">
              <w:rPr>
                <w:color w:val="000000"/>
                <w:spacing w:val="3"/>
                <w:szCs w:val="20"/>
                <w:shd w:val="solid" w:color="000000" w:fill="000000"/>
                <w:fitText w:val="320" w:id="-762091775"/>
                <w14:textFill>
                  <w14:solidFill>
                    <w14:srgbClr w14:val="000000">
                      <w14:alpha w14:val="100000"/>
                    </w14:srgbClr>
                  </w14:solidFill>
                </w14:textFill>
              </w:rPr>
              <w:t>|</w:t>
            </w:r>
          </w:p>
          <w:p w14:paraId="09FE8D4B" w14:textId="77777777" w:rsidR="009B6C59" w:rsidRPr="0098262F" w:rsidRDefault="009B6C59" w:rsidP="009B6299">
            <w:pPr>
              <w:pStyle w:val="TableText0"/>
              <w:keepLines/>
              <w:widowControl/>
              <w:jc w:val="center"/>
              <w:rPr>
                <w:szCs w:val="20"/>
              </w:rPr>
            </w:pPr>
            <w:r w:rsidRPr="009B0252">
              <w:rPr>
                <w:szCs w:val="20"/>
              </w:rPr>
              <w:t>Effective: TBD</w:t>
            </w:r>
          </w:p>
        </w:tc>
        <w:tc>
          <w:tcPr>
            <w:tcW w:w="1276" w:type="dxa"/>
            <w:vAlign w:val="center"/>
          </w:tcPr>
          <w:p w14:paraId="057F3CFB" w14:textId="77777777" w:rsidR="009B6C59" w:rsidRPr="009B0252" w:rsidRDefault="009B6C59" w:rsidP="009B6299">
            <w:pPr>
              <w:keepLines/>
              <w:jc w:val="center"/>
              <w:rPr>
                <w:rFonts w:ascii="Arial Narrow" w:hAnsi="Arial Narrow"/>
                <w:sz w:val="20"/>
                <w:szCs w:val="20"/>
              </w:rPr>
            </w:pPr>
            <w:r>
              <w:rPr>
                <w:rFonts w:ascii="Arial Narrow" w:hAnsi="Arial Narrow"/>
                <w:sz w:val="20"/>
                <w:szCs w:val="20"/>
              </w:rPr>
              <w:t>1</w:t>
            </w:r>
          </w:p>
        </w:tc>
        <w:tc>
          <w:tcPr>
            <w:tcW w:w="939" w:type="dxa"/>
            <w:vAlign w:val="center"/>
          </w:tcPr>
          <w:p w14:paraId="7D532EA4" w14:textId="77777777" w:rsidR="009B6C59" w:rsidRPr="009B0252" w:rsidRDefault="009B6C59" w:rsidP="009B6299">
            <w:pPr>
              <w:keepLines/>
              <w:jc w:val="center"/>
              <w:rPr>
                <w:rFonts w:ascii="Arial Narrow" w:hAnsi="Arial Narrow"/>
                <w:sz w:val="20"/>
                <w:szCs w:val="20"/>
              </w:rPr>
            </w:pPr>
            <w:r>
              <w:rPr>
                <w:rFonts w:ascii="Arial Narrow" w:hAnsi="Arial Narrow"/>
                <w:sz w:val="20"/>
                <w:szCs w:val="20"/>
              </w:rPr>
              <w:t>1</w:t>
            </w:r>
          </w:p>
        </w:tc>
        <w:tc>
          <w:tcPr>
            <w:tcW w:w="831" w:type="dxa"/>
            <w:vAlign w:val="center"/>
          </w:tcPr>
          <w:p w14:paraId="7B313206" w14:textId="77777777" w:rsidR="009B6C59" w:rsidRPr="009B0252" w:rsidRDefault="009B6C59" w:rsidP="009B6299">
            <w:pPr>
              <w:keepLines/>
              <w:jc w:val="center"/>
              <w:rPr>
                <w:rFonts w:ascii="Arial Narrow" w:hAnsi="Arial Narrow"/>
                <w:sz w:val="20"/>
                <w:szCs w:val="20"/>
              </w:rPr>
            </w:pPr>
            <w:r>
              <w:rPr>
                <w:rFonts w:ascii="Arial Narrow" w:hAnsi="Arial Narrow"/>
                <w:sz w:val="20"/>
                <w:szCs w:val="20"/>
              </w:rPr>
              <w:t>5</w:t>
            </w:r>
          </w:p>
        </w:tc>
        <w:tc>
          <w:tcPr>
            <w:tcW w:w="1718" w:type="dxa"/>
            <w:vAlign w:val="center"/>
          </w:tcPr>
          <w:p w14:paraId="2959187A" w14:textId="77777777" w:rsidR="009B6C59" w:rsidRPr="009B0252" w:rsidRDefault="009B6C59" w:rsidP="009B6299">
            <w:pPr>
              <w:keepLines/>
              <w:rPr>
                <w:rFonts w:ascii="Arial Narrow" w:hAnsi="Arial Narrow"/>
                <w:color w:val="0066FF"/>
                <w:sz w:val="20"/>
                <w:szCs w:val="20"/>
              </w:rPr>
            </w:pPr>
            <w:r w:rsidRPr="009B0252">
              <w:rPr>
                <w:rFonts w:ascii="Arial Narrow" w:hAnsi="Arial Narrow"/>
                <w:sz w:val="20"/>
                <w:szCs w:val="20"/>
              </w:rPr>
              <w:t>ANDEMBRY</w:t>
            </w:r>
          </w:p>
        </w:tc>
      </w:tr>
    </w:tbl>
    <w:p w14:paraId="36B04FE2" w14:textId="77777777" w:rsidR="009B6C59" w:rsidRDefault="009B6C59" w:rsidP="009B6299">
      <w:pPr>
        <w:keepLines/>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9B6C59" w:rsidRPr="0098262F" w14:paraId="740948C2" w14:textId="77777777" w:rsidTr="00A47F5C">
        <w:trPr>
          <w:cantSplit/>
          <w:trHeight w:val="20"/>
        </w:trPr>
        <w:tc>
          <w:tcPr>
            <w:tcW w:w="5000" w:type="pct"/>
          </w:tcPr>
          <w:p w14:paraId="24F55D4E" w14:textId="77777777" w:rsidR="009B6C59" w:rsidRPr="0098262F" w:rsidRDefault="009B6C59" w:rsidP="009B6299">
            <w:pPr>
              <w:pStyle w:val="TableText0"/>
              <w:keepLines/>
              <w:widowControl/>
              <w:ind w:left="-104"/>
            </w:pPr>
            <w:r w:rsidRPr="0098262F">
              <w:rPr>
                <w:b/>
              </w:rPr>
              <w:t xml:space="preserve">Category / Program: </w:t>
            </w:r>
            <w:r w:rsidRPr="0098262F">
              <w:t>General Schedule</w:t>
            </w:r>
            <w:r>
              <w:t xml:space="preserve"> (Code GE)</w:t>
            </w:r>
          </w:p>
        </w:tc>
      </w:tr>
      <w:tr w:rsidR="009B6C59" w:rsidRPr="0098262F" w14:paraId="62E6957A" w14:textId="77777777" w:rsidTr="00A47F5C">
        <w:trPr>
          <w:cantSplit/>
          <w:trHeight w:val="20"/>
        </w:trPr>
        <w:tc>
          <w:tcPr>
            <w:tcW w:w="5000" w:type="pct"/>
          </w:tcPr>
          <w:p w14:paraId="233928FF" w14:textId="77777777" w:rsidR="009B6C59" w:rsidRPr="0098262F" w:rsidRDefault="009B6C59" w:rsidP="009B6299">
            <w:pPr>
              <w:pStyle w:val="TableText0"/>
              <w:keepLines/>
              <w:widowControl/>
              <w:ind w:left="-104"/>
              <w:rPr>
                <w:b/>
              </w:rPr>
            </w:pPr>
            <w:r w:rsidRPr="0098262F">
              <w:rPr>
                <w:b/>
              </w:rPr>
              <w:t xml:space="preserve">Prescriber type: </w:t>
            </w:r>
            <w:r w:rsidRPr="0098262F">
              <w:fldChar w:fldCharType="begin" w:fldLock="1">
                <w:ffData>
                  <w:name w:val="Check1"/>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Dental </w:t>
            </w:r>
            <w:r w:rsidRPr="003C2B89">
              <w:rPr>
                <w:rFonts w:ascii="Calibri" w:eastAsia="Calibri" w:hAnsi="Calibri" w:cs="Calibri"/>
                <w:sz w:val="18"/>
                <w:szCs w:val="18"/>
                <w:lang w:eastAsia="en-US"/>
              </w:rPr>
              <w:fldChar w:fldCharType="begin" w:fldLock="1">
                <w:ffData>
                  <w:name w:val=""/>
                  <w:enabled/>
                  <w:calcOnExit w:val="0"/>
                  <w:checkBox>
                    <w:sizeAuto/>
                    <w:default w:val="1"/>
                  </w:checkBox>
                </w:ffData>
              </w:fldChar>
            </w:r>
            <w:r w:rsidRPr="003C2B89">
              <w:rPr>
                <w:rFonts w:ascii="Calibri" w:eastAsia="Calibri" w:hAnsi="Calibri" w:cs="Calibri"/>
                <w:sz w:val="18"/>
                <w:szCs w:val="18"/>
                <w:lang w:eastAsia="en-US"/>
              </w:rPr>
              <w:instrText xml:space="preserve"> FORMCHECKBOX </w:instrText>
            </w:r>
            <w:r w:rsidRPr="003C2B89">
              <w:rPr>
                <w:rFonts w:ascii="Calibri" w:eastAsia="Calibri" w:hAnsi="Calibri" w:cs="Calibri"/>
                <w:sz w:val="18"/>
                <w:szCs w:val="18"/>
                <w:lang w:eastAsia="en-US"/>
              </w:rPr>
            </w:r>
            <w:r w:rsidRPr="003C2B89">
              <w:rPr>
                <w:rFonts w:ascii="Calibri" w:eastAsia="Calibri" w:hAnsi="Calibri" w:cs="Calibri"/>
                <w:sz w:val="18"/>
                <w:szCs w:val="18"/>
                <w:lang w:eastAsia="en-US"/>
              </w:rPr>
              <w:fldChar w:fldCharType="separate"/>
            </w:r>
            <w:r w:rsidRPr="003C2B89">
              <w:rPr>
                <w:rFonts w:ascii="Calibri" w:eastAsia="Calibri" w:hAnsi="Calibri" w:cs="Calibri"/>
                <w:sz w:val="18"/>
                <w:szCs w:val="18"/>
                <w:lang w:eastAsia="en-US"/>
              </w:rPr>
              <w:fldChar w:fldCharType="end"/>
            </w:r>
            <w:r w:rsidRPr="0098262F">
              <w:t xml:space="preserve">Medical Practitioners </w:t>
            </w:r>
            <w:r w:rsidRPr="0098262F">
              <w:fldChar w:fldCharType="begin" w:fldLock="1">
                <w:ffData>
                  <w:name w:val="Check3"/>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Nurse practitioners </w:t>
            </w:r>
            <w:r w:rsidRPr="0098262F">
              <w:fldChar w:fldCharType="begin" w:fldLock="1">
                <w:ffData>
                  <w:name w:val=""/>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Optometrists </w:t>
            </w:r>
            <w:r w:rsidRPr="0098262F">
              <w:fldChar w:fldCharType="begin" w:fldLock="1">
                <w:ffData>
                  <w:name w:val="Check5"/>
                  <w:enabled/>
                  <w:calcOnExit w:val="0"/>
                  <w:checkBox>
                    <w:sizeAuto/>
                    <w:default w:val="0"/>
                  </w:checkBox>
                </w:ffData>
              </w:fldChar>
            </w:r>
            <w:r w:rsidRPr="0098262F">
              <w:instrText xml:space="preserve"> FORMCHECKBOX </w:instrText>
            </w:r>
            <w:r w:rsidRPr="0098262F">
              <w:fldChar w:fldCharType="separate"/>
            </w:r>
            <w:r w:rsidRPr="0098262F">
              <w:fldChar w:fldCharType="end"/>
            </w:r>
          </w:p>
        </w:tc>
      </w:tr>
      <w:tr w:rsidR="009B6C59" w:rsidRPr="0098262F" w14:paraId="2579CB0A" w14:textId="77777777" w:rsidTr="00A47F5C">
        <w:trPr>
          <w:cantSplit/>
          <w:trHeight w:val="20"/>
        </w:trPr>
        <w:tc>
          <w:tcPr>
            <w:tcW w:w="5000" w:type="pct"/>
          </w:tcPr>
          <w:p w14:paraId="4301572A" w14:textId="77777777" w:rsidR="009B6C59" w:rsidRPr="0098262F" w:rsidRDefault="009B6C59" w:rsidP="009B6299">
            <w:pPr>
              <w:pStyle w:val="TableText0"/>
              <w:keepLines/>
              <w:widowControl/>
              <w:ind w:left="-104"/>
            </w:pPr>
            <w:r w:rsidRPr="0098262F">
              <w:rPr>
                <w:b/>
              </w:rPr>
              <w:t xml:space="preserve">Restriction type: </w:t>
            </w:r>
            <w:r w:rsidRPr="003C2B89">
              <w:rPr>
                <w:rFonts w:ascii="Calibri" w:hAnsi="Calibri"/>
                <w:sz w:val="18"/>
                <w:szCs w:val="18"/>
                <w:lang w:eastAsia="en-US"/>
              </w:rPr>
              <w:fldChar w:fldCharType="begin" w:fldLock="1">
                <w:ffData>
                  <w:name w:val=""/>
                  <w:enabled/>
                  <w:calcOnExit w:val="0"/>
                  <w:checkBox>
                    <w:sizeAuto/>
                    <w:default w:val="1"/>
                  </w:checkBox>
                </w:ffData>
              </w:fldChar>
            </w:r>
            <w:r w:rsidRPr="003C2B89">
              <w:rPr>
                <w:rFonts w:ascii="Calibri" w:hAnsi="Calibri"/>
                <w:sz w:val="18"/>
                <w:szCs w:val="18"/>
                <w:lang w:eastAsia="en-US"/>
              </w:rPr>
              <w:instrText xml:space="preserve"> FORMCHECKBOX </w:instrText>
            </w:r>
            <w:r w:rsidRPr="003C2B89">
              <w:rPr>
                <w:rFonts w:ascii="Calibri" w:hAnsi="Calibri"/>
                <w:sz w:val="18"/>
                <w:szCs w:val="18"/>
                <w:lang w:eastAsia="en-US"/>
              </w:rPr>
            </w:r>
            <w:r w:rsidRPr="003C2B89">
              <w:rPr>
                <w:rFonts w:ascii="Calibri" w:hAnsi="Calibri"/>
                <w:sz w:val="18"/>
                <w:szCs w:val="18"/>
                <w:lang w:eastAsia="en-US"/>
              </w:rPr>
              <w:fldChar w:fldCharType="separate"/>
            </w:r>
            <w:r w:rsidRPr="003C2B89">
              <w:rPr>
                <w:rFonts w:ascii="Calibri" w:hAnsi="Calibri"/>
                <w:sz w:val="18"/>
                <w:szCs w:val="18"/>
                <w:lang w:eastAsia="en-US"/>
              </w:rPr>
              <w:fldChar w:fldCharType="end"/>
            </w:r>
            <w:r w:rsidRPr="003C2B89">
              <w:rPr>
                <w:rFonts w:ascii="Calibri" w:hAnsi="Calibri"/>
                <w:sz w:val="22"/>
                <w:szCs w:val="22"/>
                <w:lang w:eastAsia="en-US"/>
              </w:rPr>
              <w:t xml:space="preserve"> </w:t>
            </w:r>
            <w:r w:rsidRPr="003C2B89">
              <w:rPr>
                <w:szCs w:val="20"/>
                <w:lang w:eastAsia="en-US"/>
              </w:rPr>
              <w:t xml:space="preserve">Authority Required </w:t>
            </w:r>
            <w:r>
              <w:rPr>
                <w:szCs w:val="20"/>
                <w:lang w:eastAsia="en-US"/>
              </w:rPr>
              <w:t xml:space="preserve">(telephone or OPA </w:t>
            </w:r>
            <w:r>
              <w:rPr>
                <w:lang w:eastAsia="en-US"/>
              </w:rPr>
              <w:t>immediate assessment)</w:t>
            </w:r>
          </w:p>
        </w:tc>
      </w:tr>
      <w:tr w:rsidR="009B6C59" w:rsidRPr="0098262F" w14:paraId="590E398A" w14:textId="77777777" w:rsidTr="00A47F5C">
        <w:trPr>
          <w:cantSplit/>
          <w:trHeight w:val="20"/>
        </w:trPr>
        <w:tc>
          <w:tcPr>
            <w:tcW w:w="5000" w:type="pct"/>
            <w:vAlign w:val="center"/>
          </w:tcPr>
          <w:p w14:paraId="4C6EFDDF" w14:textId="77777777" w:rsidR="009B6C59" w:rsidRPr="0093296B" w:rsidRDefault="009B6C59" w:rsidP="009B6299">
            <w:pPr>
              <w:pStyle w:val="TableText0"/>
              <w:keepLines/>
              <w:widowControl/>
              <w:ind w:left="-104"/>
            </w:pPr>
            <w:r w:rsidRPr="0098262F">
              <w:rPr>
                <w:b/>
              </w:rPr>
              <w:t xml:space="preserve">Episodicity: </w:t>
            </w:r>
            <w:r>
              <w:t>Chronic treatment</w:t>
            </w:r>
          </w:p>
        </w:tc>
      </w:tr>
      <w:tr w:rsidR="009B6C59" w:rsidRPr="0098262F" w14:paraId="645F05FB" w14:textId="77777777" w:rsidTr="00A47F5C">
        <w:trPr>
          <w:cantSplit/>
          <w:trHeight w:val="20"/>
        </w:trPr>
        <w:tc>
          <w:tcPr>
            <w:tcW w:w="5000" w:type="pct"/>
            <w:vAlign w:val="center"/>
          </w:tcPr>
          <w:p w14:paraId="11C241B2" w14:textId="77777777" w:rsidR="009B6C59" w:rsidRPr="0098262F" w:rsidRDefault="009B6C59" w:rsidP="009B6299">
            <w:pPr>
              <w:pStyle w:val="TableText0"/>
              <w:keepLines/>
              <w:widowControl/>
              <w:ind w:left="-104"/>
              <w:rPr>
                <w:b/>
              </w:rPr>
            </w:pPr>
            <w:r w:rsidRPr="0098262F">
              <w:rPr>
                <w:b/>
              </w:rPr>
              <w:t xml:space="preserve">Condition: </w:t>
            </w:r>
            <w:r w:rsidRPr="0093296B">
              <w:t xml:space="preserve">Hereditary angioedema </w:t>
            </w:r>
            <w:r>
              <w:t>T</w:t>
            </w:r>
            <w:r w:rsidRPr="0093296B">
              <w:t>ype</w:t>
            </w:r>
            <w:r>
              <w:t>s</w:t>
            </w:r>
            <w:r w:rsidRPr="0093296B">
              <w:t xml:space="preserve"> I and II</w:t>
            </w:r>
          </w:p>
        </w:tc>
      </w:tr>
      <w:tr w:rsidR="009B6C59" w:rsidRPr="0098262F" w14:paraId="2B9DB13D" w14:textId="77777777" w:rsidTr="00A47F5C">
        <w:trPr>
          <w:cantSplit/>
          <w:trHeight w:val="20"/>
        </w:trPr>
        <w:tc>
          <w:tcPr>
            <w:tcW w:w="5000" w:type="pct"/>
            <w:vAlign w:val="center"/>
            <w:hideMark/>
          </w:tcPr>
          <w:p w14:paraId="2C75507E" w14:textId="77777777" w:rsidR="009B6C59" w:rsidRPr="0098262F" w:rsidRDefault="009B6C59" w:rsidP="009B6299">
            <w:pPr>
              <w:pStyle w:val="TableText0"/>
              <w:keepLines/>
              <w:widowControl/>
              <w:ind w:left="-104"/>
            </w:pPr>
            <w:r>
              <w:rPr>
                <w:b/>
              </w:rPr>
              <w:t>PBS i</w:t>
            </w:r>
            <w:r w:rsidRPr="0098262F">
              <w:rPr>
                <w:b/>
              </w:rPr>
              <w:t>ndication:</w:t>
            </w:r>
            <w:r w:rsidRPr="0098262F">
              <w:t xml:space="preserve"> </w:t>
            </w:r>
            <w:r>
              <w:t>Chronic treatment of hereditary angioedema T</w:t>
            </w:r>
            <w:r w:rsidRPr="0093296B">
              <w:t>ype</w:t>
            </w:r>
            <w:r>
              <w:t>s</w:t>
            </w:r>
            <w:r w:rsidRPr="0093296B">
              <w:t xml:space="preserve"> I and II</w:t>
            </w:r>
          </w:p>
        </w:tc>
      </w:tr>
      <w:tr w:rsidR="009B6C59" w:rsidRPr="0098262F" w14:paraId="6E5DBAA1" w14:textId="77777777" w:rsidTr="00A47F5C">
        <w:trPr>
          <w:cantSplit/>
          <w:trHeight w:val="20"/>
        </w:trPr>
        <w:tc>
          <w:tcPr>
            <w:tcW w:w="5000" w:type="pct"/>
            <w:vAlign w:val="center"/>
            <w:hideMark/>
          </w:tcPr>
          <w:p w14:paraId="5BA5453A" w14:textId="77777777" w:rsidR="009B6C59" w:rsidRPr="0098262F" w:rsidRDefault="009B6C59" w:rsidP="009B6299">
            <w:pPr>
              <w:pStyle w:val="TableText0"/>
              <w:keepLines/>
              <w:widowControl/>
              <w:ind w:left="-104"/>
            </w:pPr>
            <w:r w:rsidRPr="0098262F">
              <w:rPr>
                <w:b/>
              </w:rPr>
              <w:t>Treatment Phase:</w:t>
            </w:r>
            <w:r w:rsidRPr="0098262F">
              <w:t xml:space="preserve"> </w:t>
            </w:r>
            <w:r>
              <w:t>Continuing preventative treatment</w:t>
            </w:r>
          </w:p>
        </w:tc>
      </w:tr>
      <w:tr w:rsidR="009B6C59" w:rsidRPr="0098262F" w14:paraId="4755D0FE" w14:textId="77777777" w:rsidTr="00A47F5C">
        <w:trPr>
          <w:cantSplit/>
          <w:trHeight w:val="20"/>
        </w:trPr>
        <w:tc>
          <w:tcPr>
            <w:tcW w:w="5000" w:type="pct"/>
            <w:vAlign w:val="center"/>
            <w:hideMark/>
          </w:tcPr>
          <w:p w14:paraId="1CCD964C" w14:textId="77777777" w:rsidR="009B6C59" w:rsidRPr="00C507FB" w:rsidRDefault="009B6C59" w:rsidP="009B6299">
            <w:pPr>
              <w:pStyle w:val="TableText0"/>
              <w:keepLines/>
              <w:widowControl/>
              <w:ind w:left="-104"/>
              <w:rPr>
                <w:b/>
                <w:bCs/>
              </w:rPr>
            </w:pPr>
            <w:r w:rsidRPr="00C507FB">
              <w:rPr>
                <w:b/>
                <w:bCs/>
              </w:rPr>
              <w:t>Clinical criteria:</w:t>
            </w:r>
          </w:p>
          <w:p w14:paraId="160B92FD" w14:textId="77777777" w:rsidR="009B6C59" w:rsidRDefault="009B6C59" w:rsidP="009B6299">
            <w:pPr>
              <w:pStyle w:val="TableText0"/>
              <w:keepLines/>
              <w:widowControl/>
              <w:ind w:left="-104"/>
            </w:pPr>
            <w:r w:rsidRPr="003F58FE">
              <w:t>Patient must have previously received PBS-subsidised treatment with this drug for this condition</w:t>
            </w:r>
            <w:r>
              <w:t>.</w:t>
            </w:r>
          </w:p>
          <w:p w14:paraId="5512C249" w14:textId="77777777" w:rsidR="009B6C59" w:rsidRDefault="009B6C59" w:rsidP="009B6299">
            <w:pPr>
              <w:pStyle w:val="TableText0"/>
              <w:keepLines/>
              <w:widowControl/>
              <w:ind w:left="-104"/>
            </w:pPr>
            <w:r w:rsidRPr="0098262F">
              <w:t>AND</w:t>
            </w:r>
          </w:p>
          <w:p w14:paraId="4BB44435" w14:textId="77777777" w:rsidR="009B6C59" w:rsidRDefault="009B6C59" w:rsidP="009B6299">
            <w:pPr>
              <w:pStyle w:val="TableText0"/>
              <w:keepLines/>
              <w:widowControl/>
              <w:ind w:left="-104"/>
            </w:pPr>
            <w:r w:rsidRPr="003F58FE">
              <w:t>Patient must have demonstrated or sustained an adequate response to PBS-subsidised treatment with this drug for this condition</w:t>
            </w:r>
            <w:r>
              <w:t>.</w:t>
            </w:r>
          </w:p>
          <w:p w14:paraId="5DA98F5A" w14:textId="77777777" w:rsidR="009B6C59" w:rsidRDefault="009B6C59" w:rsidP="009B6299">
            <w:pPr>
              <w:pStyle w:val="TableText0"/>
              <w:keepLines/>
              <w:widowControl/>
              <w:ind w:left="-104"/>
            </w:pPr>
            <w:r>
              <w:t>AND</w:t>
            </w:r>
          </w:p>
          <w:p w14:paraId="4CED5154" w14:textId="77777777" w:rsidR="009B6C59" w:rsidRPr="0093296B" w:rsidRDefault="009B6C59" w:rsidP="009B6299">
            <w:pPr>
              <w:pStyle w:val="TableText0"/>
              <w:keepLines/>
              <w:widowControl/>
              <w:ind w:left="-104"/>
              <w:rPr>
                <w:b/>
              </w:rPr>
            </w:pPr>
            <w:r w:rsidRPr="003F58FE">
              <w:t>The treatment must not be PBS-subsidised in combination with a C1-esterase inhibitor concentrate or lanadelumab.</w:t>
            </w:r>
          </w:p>
        </w:tc>
      </w:tr>
      <w:tr w:rsidR="009B6C59" w:rsidRPr="0098262F" w14:paraId="172E485E" w14:textId="77777777" w:rsidTr="00A47F5C">
        <w:trPr>
          <w:cantSplit/>
          <w:trHeight w:val="20"/>
        </w:trPr>
        <w:tc>
          <w:tcPr>
            <w:tcW w:w="5000" w:type="pct"/>
            <w:vAlign w:val="center"/>
            <w:hideMark/>
          </w:tcPr>
          <w:p w14:paraId="423F7312" w14:textId="77777777" w:rsidR="009B6C59" w:rsidRPr="00077A98" w:rsidRDefault="009B6C59" w:rsidP="009B6299">
            <w:pPr>
              <w:pStyle w:val="TableText0"/>
              <w:keepLines/>
              <w:widowControl/>
              <w:ind w:left="-104"/>
              <w:rPr>
                <w:b/>
              </w:rPr>
            </w:pPr>
            <w:r w:rsidRPr="00077A98">
              <w:rPr>
                <w:b/>
              </w:rPr>
              <w:t>Treatment criteria:</w:t>
            </w:r>
            <w:r w:rsidRPr="002D600F">
              <w:t xml:space="preserve"> Must be treated by a clinical immunologist or a specialist allergist</w:t>
            </w:r>
            <w:r>
              <w:t xml:space="preserve">, </w:t>
            </w:r>
            <w:r w:rsidRPr="003F58FE">
              <w:t>or in consultation with a specialist allergist or clinical immunologist</w:t>
            </w:r>
          </w:p>
        </w:tc>
      </w:tr>
      <w:tr w:rsidR="009B6C59" w:rsidRPr="0098262F" w14:paraId="04B2D31C" w14:textId="77777777" w:rsidTr="00A47F5C">
        <w:trPr>
          <w:cantSplit/>
          <w:trHeight w:val="20"/>
        </w:trPr>
        <w:tc>
          <w:tcPr>
            <w:tcW w:w="5000" w:type="pct"/>
            <w:vAlign w:val="center"/>
            <w:hideMark/>
          </w:tcPr>
          <w:p w14:paraId="659AF4EB" w14:textId="77777777" w:rsidR="009B6C59" w:rsidRPr="002D600F" w:rsidRDefault="009B6C59" w:rsidP="009B6299">
            <w:pPr>
              <w:pStyle w:val="TableText0"/>
              <w:keepLines/>
              <w:widowControl/>
              <w:ind w:left="-104"/>
              <w:rPr>
                <w:b/>
              </w:rPr>
            </w:pPr>
            <w:r w:rsidRPr="002D600F">
              <w:rPr>
                <w:b/>
              </w:rPr>
              <w:t>Population criteria:</w:t>
            </w:r>
            <w:r w:rsidRPr="002D600F">
              <w:t xml:space="preserve"> Patient must be aged 12 years or older</w:t>
            </w:r>
          </w:p>
        </w:tc>
      </w:tr>
      <w:tr w:rsidR="009B6C59" w:rsidRPr="0098262F" w14:paraId="12AFF690" w14:textId="77777777" w:rsidTr="00A47F5C">
        <w:trPr>
          <w:cantSplit/>
          <w:trHeight w:val="20"/>
        </w:trPr>
        <w:tc>
          <w:tcPr>
            <w:tcW w:w="5000" w:type="pct"/>
            <w:vAlign w:val="center"/>
            <w:hideMark/>
          </w:tcPr>
          <w:p w14:paraId="5B5996B0" w14:textId="77777777" w:rsidR="009B6C59" w:rsidRPr="001D766D" w:rsidRDefault="009B6C59" w:rsidP="009B6299">
            <w:pPr>
              <w:pStyle w:val="TableText0"/>
              <w:keepLines/>
              <w:widowControl/>
              <w:ind w:left="-104"/>
              <w:rPr>
                <w:b/>
                <w:bCs/>
              </w:rPr>
            </w:pPr>
            <w:r w:rsidRPr="001D766D">
              <w:rPr>
                <w:b/>
                <w:bCs/>
              </w:rPr>
              <w:t xml:space="preserve">Prescribing Instructions: </w:t>
            </w:r>
          </w:p>
          <w:p w14:paraId="16F6BCA6" w14:textId="77777777" w:rsidR="009B6C59" w:rsidRPr="003F58FE" w:rsidRDefault="009B6C59" w:rsidP="009B6299">
            <w:pPr>
              <w:pStyle w:val="TableText0"/>
              <w:keepLines/>
              <w:widowControl/>
              <w:ind w:left="-104"/>
              <w:rPr>
                <w:b/>
              </w:rPr>
            </w:pPr>
            <w:r w:rsidRPr="003F58FE">
              <w:t>For the purposes of administering this restriction, an adequate response is a reduction of the baseline number of acute attacks of hereditary angioedema of a severity necessitating immediate medical intervention with either (i) icatibant, or (ii) C1-esterase inhibitor concentrate. The details of the reduction must be documented in the patient's medical records for auditing purposes.</w:t>
            </w:r>
          </w:p>
        </w:tc>
      </w:tr>
    </w:tbl>
    <w:p w14:paraId="56E81825" w14:textId="77777777" w:rsidR="009B6C59" w:rsidRDefault="009B6C59" w:rsidP="009B6299">
      <w:pPr>
        <w:pStyle w:val="TableFigureFooter"/>
      </w:pPr>
    </w:p>
    <w:p w14:paraId="20F33928" w14:textId="77777777" w:rsidR="009B6C59" w:rsidRDefault="009B6C59" w:rsidP="009B6299">
      <w:pPr>
        <w:pStyle w:val="Caption"/>
        <w:keepNext w:val="0"/>
      </w:pPr>
      <w:r w:rsidRPr="00502B96">
        <w:t xml:space="preserve">Requested restriction – </w:t>
      </w:r>
      <w:r>
        <w:t>grandfathering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559"/>
        <w:gridCol w:w="1276"/>
        <w:gridCol w:w="939"/>
        <w:gridCol w:w="831"/>
        <w:gridCol w:w="1718"/>
      </w:tblGrid>
      <w:tr w:rsidR="009B6C59" w:rsidRPr="0098262F" w14:paraId="79B381AE" w14:textId="77777777" w:rsidTr="00A47F5C">
        <w:trPr>
          <w:cantSplit/>
          <w:trHeight w:val="20"/>
        </w:trPr>
        <w:tc>
          <w:tcPr>
            <w:tcW w:w="2694" w:type="dxa"/>
            <w:vAlign w:val="center"/>
          </w:tcPr>
          <w:p w14:paraId="2DE474B8" w14:textId="77777777" w:rsidR="009B6C59" w:rsidRPr="0098262F" w:rsidRDefault="009B6C59" w:rsidP="009B6299">
            <w:pPr>
              <w:keepLines/>
              <w:ind w:left="-113"/>
              <w:rPr>
                <w:rFonts w:ascii="Arial Narrow" w:hAnsi="Arial Narrow"/>
                <w:b/>
                <w:bCs/>
                <w:sz w:val="20"/>
                <w:szCs w:val="20"/>
              </w:rPr>
            </w:pPr>
            <w:r w:rsidRPr="0098262F">
              <w:rPr>
                <w:rFonts w:ascii="Arial Narrow" w:hAnsi="Arial Narrow"/>
                <w:b/>
                <w:bCs/>
                <w:sz w:val="20"/>
                <w:szCs w:val="20"/>
              </w:rPr>
              <w:t>MEDICINAL PRODUCT</w:t>
            </w:r>
          </w:p>
          <w:p w14:paraId="305E91BC" w14:textId="77777777" w:rsidR="009B6C59" w:rsidRPr="0098262F" w:rsidRDefault="009B6C59" w:rsidP="009B6299">
            <w:pPr>
              <w:keepLines/>
              <w:ind w:left="-113"/>
              <w:rPr>
                <w:rFonts w:ascii="Arial Narrow" w:hAnsi="Arial Narrow"/>
                <w:b/>
                <w:sz w:val="20"/>
                <w:szCs w:val="20"/>
              </w:rPr>
            </w:pPr>
            <w:r w:rsidRPr="0098262F">
              <w:rPr>
                <w:rFonts w:ascii="Arial Narrow" w:hAnsi="Arial Narrow"/>
                <w:b/>
                <w:bCs/>
                <w:sz w:val="20"/>
                <w:szCs w:val="20"/>
              </w:rPr>
              <w:t>medicinal product pack</w:t>
            </w:r>
          </w:p>
        </w:tc>
        <w:tc>
          <w:tcPr>
            <w:tcW w:w="1559" w:type="dxa"/>
            <w:vAlign w:val="center"/>
          </w:tcPr>
          <w:p w14:paraId="37099970" w14:textId="77777777" w:rsidR="009B6C59" w:rsidRPr="009B0252" w:rsidRDefault="009B6C59" w:rsidP="009B6299">
            <w:pPr>
              <w:pStyle w:val="TableText0"/>
              <w:keepLines/>
              <w:widowControl/>
              <w:rPr>
                <w:b/>
                <w:bCs/>
                <w:szCs w:val="20"/>
              </w:rPr>
            </w:pPr>
            <w:r w:rsidRPr="009B0252">
              <w:rPr>
                <w:b/>
                <w:bCs/>
                <w:snapToGrid w:val="0"/>
              </w:rPr>
              <w:t xml:space="preserve">Dispensed Price for Max. Qty </w:t>
            </w:r>
          </w:p>
        </w:tc>
        <w:tc>
          <w:tcPr>
            <w:tcW w:w="1276" w:type="dxa"/>
            <w:vAlign w:val="center"/>
          </w:tcPr>
          <w:p w14:paraId="065023C0" w14:textId="77777777" w:rsidR="009B6C59" w:rsidRPr="0098262F" w:rsidRDefault="009B6C59" w:rsidP="009B6299">
            <w:pPr>
              <w:keepLines/>
              <w:jc w:val="center"/>
              <w:rPr>
                <w:rFonts w:ascii="Arial Narrow" w:hAnsi="Arial Narrow"/>
                <w:b/>
                <w:sz w:val="20"/>
                <w:szCs w:val="20"/>
              </w:rPr>
            </w:pPr>
            <w:r w:rsidRPr="0098262F">
              <w:rPr>
                <w:rFonts w:ascii="Arial Narrow" w:hAnsi="Arial Narrow"/>
                <w:b/>
                <w:sz w:val="20"/>
                <w:szCs w:val="20"/>
              </w:rPr>
              <w:t>Max. qty packs</w:t>
            </w:r>
          </w:p>
        </w:tc>
        <w:tc>
          <w:tcPr>
            <w:tcW w:w="939" w:type="dxa"/>
            <w:vAlign w:val="center"/>
          </w:tcPr>
          <w:p w14:paraId="4B7829DB" w14:textId="77777777" w:rsidR="009B6C59" w:rsidRPr="0098262F" w:rsidRDefault="009B6C59" w:rsidP="009B6299">
            <w:pPr>
              <w:keepLines/>
              <w:jc w:val="center"/>
              <w:rPr>
                <w:rFonts w:ascii="Arial Narrow" w:hAnsi="Arial Narrow"/>
                <w:b/>
                <w:sz w:val="20"/>
                <w:szCs w:val="20"/>
              </w:rPr>
            </w:pPr>
            <w:r w:rsidRPr="0098262F">
              <w:rPr>
                <w:rFonts w:ascii="Arial Narrow" w:hAnsi="Arial Narrow"/>
                <w:b/>
                <w:sz w:val="20"/>
                <w:szCs w:val="20"/>
              </w:rPr>
              <w:t>Max. qty units</w:t>
            </w:r>
          </w:p>
        </w:tc>
        <w:tc>
          <w:tcPr>
            <w:tcW w:w="831" w:type="dxa"/>
            <w:vAlign w:val="center"/>
          </w:tcPr>
          <w:p w14:paraId="5BEA9DBC" w14:textId="77777777" w:rsidR="009B6C59" w:rsidRPr="0098262F" w:rsidRDefault="009B6C59" w:rsidP="009B6299">
            <w:pPr>
              <w:keepLines/>
              <w:jc w:val="center"/>
              <w:rPr>
                <w:rFonts w:ascii="Arial Narrow" w:hAnsi="Arial Narrow"/>
                <w:b/>
                <w:sz w:val="20"/>
                <w:szCs w:val="20"/>
              </w:rPr>
            </w:pPr>
            <w:r w:rsidRPr="0098262F">
              <w:rPr>
                <w:rFonts w:ascii="Arial Narrow" w:hAnsi="Arial Narrow"/>
                <w:b/>
                <w:sz w:val="20"/>
                <w:szCs w:val="20"/>
              </w:rPr>
              <w:t>№.of</w:t>
            </w:r>
          </w:p>
          <w:p w14:paraId="52B213B5" w14:textId="77777777" w:rsidR="009B6C59" w:rsidRPr="0098262F" w:rsidRDefault="009B6C59" w:rsidP="009B6299">
            <w:pPr>
              <w:keepLines/>
              <w:jc w:val="center"/>
              <w:rPr>
                <w:rFonts w:ascii="Arial Narrow" w:hAnsi="Arial Narrow"/>
                <w:b/>
                <w:sz w:val="20"/>
                <w:szCs w:val="20"/>
              </w:rPr>
            </w:pPr>
            <w:r w:rsidRPr="0098262F">
              <w:rPr>
                <w:rFonts w:ascii="Arial Narrow" w:hAnsi="Arial Narrow"/>
                <w:b/>
                <w:sz w:val="20"/>
                <w:szCs w:val="20"/>
              </w:rPr>
              <w:t>Rpts</w:t>
            </w:r>
          </w:p>
        </w:tc>
        <w:tc>
          <w:tcPr>
            <w:tcW w:w="1718" w:type="dxa"/>
            <w:vAlign w:val="center"/>
          </w:tcPr>
          <w:p w14:paraId="14AADB80" w14:textId="77777777" w:rsidR="009B6C59" w:rsidRPr="0098262F" w:rsidRDefault="009B6C59" w:rsidP="009B6299">
            <w:pPr>
              <w:keepLines/>
              <w:rPr>
                <w:rFonts w:ascii="Arial Narrow" w:hAnsi="Arial Narrow"/>
                <w:b/>
                <w:sz w:val="20"/>
                <w:szCs w:val="20"/>
              </w:rPr>
            </w:pPr>
            <w:r w:rsidRPr="0098262F">
              <w:rPr>
                <w:rFonts w:ascii="Arial Narrow" w:hAnsi="Arial Narrow"/>
                <w:b/>
                <w:sz w:val="20"/>
                <w:szCs w:val="20"/>
              </w:rPr>
              <w:t>Available brands</w:t>
            </w:r>
          </w:p>
        </w:tc>
      </w:tr>
      <w:tr w:rsidR="009B6C59" w:rsidRPr="0098262F" w14:paraId="56CF5B84" w14:textId="77777777" w:rsidTr="00A47F5C">
        <w:trPr>
          <w:cantSplit/>
          <w:trHeight w:val="708"/>
        </w:trPr>
        <w:tc>
          <w:tcPr>
            <w:tcW w:w="2694" w:type="dxa"/>
            <w:vAlign w:val="center"/>
          </w:tcPr>
          <w:p w14:paraId="7682FBA6" w14:textId="77777777" w:rsidR="009B6C59" w:rsidRPr="0098262F" w:rsidRDefault="009B6C59" w:rsidP="009B6299">
            <w:pPr>
              <w:keepLines/>
              <w:ind w:left="-113"/>
              <w:rPr>
                <w:rFonts w:ascii="Arial Narrow" w:hAnsi="Arial Narrow"/>
                <w:color w:val="0066FF"/>
                <w:sz w:val="20"/>
                <w:szCs w:val="20"/>
              </w:rPr>
            </w:pPr>
            <w:r w:rsidRPr="009B0252">
              <w:rPr>
                <w:rFonts w:ascii="Arial Narrow" w:hAnsi="Arial Narrow"/>
                <w:color w:val="000000" w:themeColor="text1"/>
                <w:sz w:val="20"/>
                <w:szCs w:val="20"/>
              </w:rPr>
              <w:t>Garadacimab injection 200 mg in 1.2 mL pre-filled pen</w:t>
            </w:r>
          </w:p>
        </w:tc>
        <w:tc>
          <w:tcPr>
            <w:tcW w:w="1559" w:type="dxa"/>
          </w:tcPr>
          <w:p w14:paraId="19FD10DC" w14:textId="3E2539EE" w:rsidR="009B6C59" w:rsidRPr="009B0252" w:rsidRDefault="009B6C59" w:rsidP="009B6299">
            <w:pPr>
              <w:pStyle w:val="TableText0"/>
              <w:keepLines/>
              <w:widowControl/>
              <w:jc w:val="center"/>
              <w:rPr>
                <w:szCs w:val="20"/>
              </w:rPr>
            </w:pPr>
            <w:r w:rsidRPr="009B0252">
              <w:rPr>
                <w:szCs w:val="20"/>
              </w:rPr>
              <w:t xml:space="preserve">Published: </w:t>
            </w:r>
            <w:r w:rsidRPr="00057166">
              <w:rPr>
                <w:szCs w:val="20"/>
              </w:rPr>
              <w:t>$</w:t>
            </w:r>
            <w:r w:rsidR="0056079A" w:rsidRPr="00621F66">
              <w:rPr>
                <w:color w:val="000000"/>
                <w:spacing w:val="49"/>
                <w:szCs w:val="20"/>
                <w:shd w:val="solid" w:color="000000" w:fill="000000"/>
                <w:fitText w:val="320" w:id="-762091774"/>
                <w14:textFill>
                  <w14:solidFill>
                    <w14:srgbClr w14:val="000000">
                      <w14:alpha w14:val="100000"/>
                    </w14:srgbClr>
                  </w14:solidFill>
                </w14:textFill>
              </w:rPr>
              <w:t>|||</w:t>
            </w:r>
            <w:r w:rsidR="0056079A" w:rsidRPr="00621F66">
              <w:rPr>
                <w:color w:val="000000"/>
                <w:spacing w:val="3"/>
                <w:szCs w:val="20"/>
                <w:shd w:val="solid" w:color="000000" w:fill="000000"/>
                <w:fitText w:val="320" w:id="-762091774"/>
                <w14:textFill>
                  <w14:solidFill>
                    <w14:srgbClr w14:val="000000">
                      <w14:alpha w14:val="100000"/>
                    </w14:srgbClr>
                  </w14:solidFill>
                </w14:textFill>
              </w:rPr>
              <w:t>|</w:t>
            </w:r>
          </w:p>
          <w:p w14:paraId="1C7C7DA6" w14:textId="77777777" w:rsidR="009B6C59" w:rsidRPr="0098262F" w:rsidRDefault="009B6C59" w:rsidP="009B6299">
            <w:pPr>
              <w:pStyle w:val="TableText0"/>
              <w:keepLines/>
              <w:widowControl/>
              <w:jc w:val="center"/>
              <w:rPr>
                <w:szCs w:val="20"/>
              </w:rPr>
            </w:pPr>
            <w:r w:rsidRPr="009B0252">
              <w:rPr>
                <w:szCs w:val="20"/>
              </w:rPr>
              <w:t>Effective: TBD</w:t>
            </w:r>
          </w:p>
        </w:tc>
        <w:tc>
          <w:tcPr>
            <w:tcW w:w="1276" w:type="dxa"/>
            <w:vAlign w:val="center"/>
          </w:tcPr>
          <w:p w14:paraId="6EED05D8" w14:textId="77777777" w:rsidR="009B6C59" w:rsidRPr="009B0252" w:rsidRDefault="009B6C59" w:rsidP="009B6299">
            <w:pPr>
              <w:keepLines/>
              <w:jc w:val="center"/>
              <w:rPr>
                <w:rFonts w:ascii="Arial Narrow" w:hAnsi="Arial Narrow"/>
                <w:sz w:val="20"/>
                <w:szCs w:val="20"/>
              </w:rPr>
            </w:pPr>
            <w:r>
              <w:rPr>
                <w:rFonts w:ascii="Arial Narrow" w:hAnsi="Arial Narrow"/>
                <w:sz w:val="20"/>
                <w:szCs w:val="20"/>
              </w:rPr>
              <w:t>1</w:t>
            </w:r>
          </w:p>
        </w:tc>
        <w:tc>
          <w:tcPr>
            <w:tcW w:w="939" w:type="dxa"/>
            <w:vAlign w:val="center"/>
          </w:tcPr>
          <w:p w14:paraId="160626AF" w14:textId="77777777" w:rsidR="009B6C59" w:rsidRPr="009B0252" w:rsidRDefault="009B6C59" w:rsidP="009B6299">
            <w:pPr>
              <w:keepLines/>
              <w:jc w:val="center"/>
              <w:rPr>
                <w:rFonts w:ascii="Arial Narrow" w:hAnsi="Arial Narrow"/>
                <w:sz w:val="20"/>
                <w:szCs w:val="20"/>
              </w:rPr>
            </w:pPr>
            <w:r>
              <w:rPr>
                <w:rFonts w:ascii="Arial Narrow" w:hAnsi="Arial Narrow"/>
                <w:sz w:val="20"/>
                <w:szCs w:val="20"/>
              </w:rPr>
              <w:t>1</w:t>
            </w:r>
          </w:p>
        </w:tc>
        <w:tc>
          <w:tcPr>
            <w:tcW w:w="831" w:type="dxa"/>
            <w:vAlign w:val="center"/>
          </w:tcPr>
          <w:p w14:paraId="0506BAC1" w14:textId="77777777" w:rsidR="009B6C59" w:rsidRPr="009B0252" w:rsidRDefault="009B6C59" w:rsidP="009B6299">
            <w:pPr>
              <w:keepLines/>
              <w:jc w:val="center"/>
              <w:rPr>
                <w:rFonts w:ascii="Arial Narrow" w:hAnsi="Arial Narrow"/>
                <w:sz w:val="20"/>
                <w:szCs w:val="20"/>
              </w:rPr>
            </w:pPr>
            <w:r>
              <w:rPr>
                <w:rFonts w:ascii="Arial Narrow" w:hAnsi="Arial Narrow"/>
                <w:sz w:val="20"/>
                <w:szCs w:val="20"/>
              </w:rPr>
              <w:t>0</w:t>
            </w:r>
          </w:p>
        </w:tc>
        <w:tc>
          <w:tcPr>
            <w:tcW w:w="1718" w:type="dxa"/>
            <w:vAlign w:val="center"/>
          </w:tcPr>
          <w:p w14:paraId="6E3733E9" w14:textId="77777777" w:rsidR="009B6C59" w:rsidRPr="009B0252" w:rsidRDefault="009B6C59" w:rsidP="009B6299">
            <w:pPr>
              <w:keepLines/>
              <w:rPr>
                <w:rFonts w:ascii="Arial Narrow" w:hAnsi="Arial Narrow"/>
                <w:color w:val="0066FF"/>
                <w:sz w:val="20"/>
                <w:szCs w:val="20"/>
              </w:rPr>
            </w:pPr>
            <w:r w:rsidRPr="009B0252">
              <w:rPr>
                <w:rFonts w:ascii="Arial Narrow" w:hAnsi="Arial Narrow"/>
                <w:sz w:val="20"/>
                <w:szCs w:val="20"/>
              </w:rPr>
              <w:t>ANDEMBRY</w:t>
            </w:r>
          </w:p>
        </w:tc>
      </w:tr>
      <w:tr w:rsidR="009B6C59" w:rsidRPr="00502B96" w14:paraId="75B4C1B4" w14:textId="77777777" w:rsidTr="00A47F5C">
        <w:tblPrEx>
          <w:tblCellMar>
            <w:top w:w="15" w:type="dxa"/>
            <w:bottom w:w="15" w:type="dxa"/>
          </w:tblCellMar>
          <w:tblLook w:val="04A0" w:firstRow="1" w:lastRow="0" w:firstColumn="1" w:lastColumn="0" w:noHBand="0" w:noVBand="1"/>
        </w:tblPrEx>
        <w:trPr>
          <w:cantSplit/>
          <w:trHeight w:val="20"/>
        </w:trPr>
        <w:tc>
          <w:tcPr>
            <w:tcW w:w="9017" w:type="dxa"/>
            <w:gridSpan w:val="6"/>
          </w:tcPr>
          <w:p w14:paraId="6BF6CA1E" w14:textId="77777777" w:rsidR="009B6C59" w:rsidRPr="00502B96" w:rsidRDefault="009B6C59" w:rsidP="009B6299">
            <w:pPr>
              <w:keepLines/>
              <w:ind w:left="-104"/>
              <w:jc w:val="left"/>
              <w:rPr>
                <w:rFonts w:ascii="Arial Narrow" w:eastAsiaTheme="majorEastAsia" w:hAnsi="Arial Narrow" w:cstheme="majorBidi"/>
                <w:bCs/>
                <w:sz w:val="20"/>
              </w:rPr>
            </w:pPr>
            <w:r w:rsidRPr="00502B96">
              <w:rPr>
                <w:rFonts w:ascii="Arial Narrow" w:eastAsiaTheme="majorEastAsia" w:hAnsi="Arial Narrow" w:cstheme="majorBidi"/>
                <w:b/>
                <w:bCs/>
                <w:sz w:val="20"/>
              </w:rPr>
              <w:t xml:space="preserve">Category / Program: </w:t>
            </w:r>
            <w:r w:rsidRPr="00502B96">
              <w:rPr>
                <w:rFonts w:ascii="Arial Narrow" w:eastAsiaTheme="majorEastAsia" w:hAnsi="Arial Narrow" w:cstheme="majorBidi"/>
                <w:bCs/>
                <w:sz w:val="20"/>
              </w:rPr>
              <w:t>General Schedule (Code GE)</w:t>
            </w:r>
          </w:p>
        </w:tc>
      </w:tr>
      <w:tr w:rsidR="009B6C59" w:rsidRPr="00502B96" w14:paraId="42302C2D" w14:textId="77777777" w:rsidTr="00A47F5C">
        <w:tblPrEx>
          <w:tblCellMar>
            <w:top w:w="15" w:type="dxa"/>
            <w:bottom w:w="15" w:type="dxa"/>
          </w:tblCellMar>
          <w:tblLook w:val="04A0" w:firstRow="1" w:lastRow="0" w:firstColumn="1" w:lastColumn="0" w:noHBand="0" w:noVBand="1"/>
        </w:tblPrEx>
        <w:trPr>
          <w:cantSplit/>
          <w:trHeight w:val="20"/>
        </w:trPr>
        <w:tc>
          <w:tcPr>
            <w:tcW w:w="9017" w:type="dxa"/>
            <w:gridSpan w:val="6"/>
          </w:tcPr>
          <w:p w14:paraId="32780A4E" w14:textId="77777777" w:rsidR="009B6C59" w:rsidRPr="00502B96" w:rsidRDefault="009B6C59" w:rsidP="009B6299">
            <w:pPr>
              <w:keepLines/>
              <w:ind w:left="-104"/>
              <w:jc w:val="left"/>
              <w:rPr>
                <w:rFonts w:ascii="Arial Narrow" w:eastAsiaTheme="majorEastAsia" w:hAnsi="Arial Narrow" w:cstheme="majorBidi"/>
                <w:b/>
                <w:bCs/>
                <w:sz w:val="20"/>
              </w:rPr>
            </w:pPr>
            <w:r w:rsidRPr="00502B96">
              <w:rPr>
                <w:rFonts w:ascii="Arial Narrow" w:eastAsiaTheme="majorEastAsia" w:hAnsi="Arial Narrow" w:cstheme="majorBidi"/>
                <w:b/>
                <w:bCs/>
                <w:sz w:val="20"/>
              </w:rPr>
              <w:t xml:space="preserve">Prescriber type: </w:t>
            </w:r>
            <w:r w:rsidRPr="00502B96">
              <w:rPr>
                <w:rFonts w:ascii="Arial Narrow" w:eastAsiaTheme="majorEastAsia" w:hAnsi="Arial Narrow" w:cstheme="majorBidi"/>
                <w:bCs/>
                <w:sz w:val="20"/>
              </w:rPr>
              <w:fldChar w:fldCharType="begin" w:fldLock="1">
                <w:ffData>
                  <w:name w:val="Check1"/>
                  <w:enabled/>
                  <w:calcOnExit w:val="0"/>
                  <w:checkBox>
                    <w:sizeAuto/>
                    <w:default w:val="0"/>
                  </w:checkBox>
                </w:ffData>
              </w:fldChar>
            </w:r>
            <w:r w:rsidRPr="00502B96">
              <w:rPr>
                <w:rFonts w:ascii="Arial Narrow" w:eastAsiaTheme="majorEastAsia" w:hAnsi="Arial Narrow" w:cstheme="majorBidi"/>
                <w:bCs/>
                <w:sz w:val="20"/>
              </w:rPr>
              <w:instrText xml:space="preserve"> FORMCHECKBOX </w:instrText>
            </w:r>
            <w:r w:rsidRPr="00502B96">
              <w:rPr>
                <w:rFonts w:ascii="Arial Narrow" w:eastAsiaTheme="majorEastAsia" w:hAnsi="Arial Narrow" w:cstheme="majorBidi"/>
                <w:bCs/>
                <w:sz w:val="20"/>
              </w:rPr>
            </w:r>
            <w:r w:rsidRPr="00502B96">
              <w:rPr>
                <w:rFonts w:ascii="Arial Narrow" w:eastAsiaTheme="majorEastAsia" w:hAnsi="Arial Narrow" w:cstheme="majorBidi"/>
                <w:bCs/>
                <w:sz w:val="20"/>
              </w:rPr>
              <w:fldChar w:fldCharType="separate"/>
            </w:r>
            <w:r w:rsidRPr="00502B96">
              <w:rPr>
                <w:rFonts w:ascii="Arial Narrow" w:eastAsiaTheme="majorEastAsia" w:hAnsi="Arial Narrow" w:cstheme="majorBidi"/>
                <w:bCs/>
                <w:sz w:val="20"/>
              </w:rPr>
              <w:fldChar w:fldCharType="end"/>
            </w:r>
            <w:r w:rsidRPr="00502B96">
              <w:rPr>
                <w:rFonts w:ascii="Arial Narrow" w:eastAsiaTheme="majorEastAsia" w:hAnsi="Arial Narrow" w:cstheme="majorBidi"/>
                <w:bCs/>
                <w:sz w:val="20"/>
              </w:rPr>
              <w:t xml:space="preserve">Dental </w:t>
            </w:r>
            <w:r w:rsidRPr="00502B96">
              <w:rPr>
                <w:rFonts w:eastAsia="Calibri" w:cs="Calibri"/>
                <w:sz w:val="18"/>
                <w:szCs w:val="18"/>
                <w:lang w:eastAsia="en-US"/>
              </w:rPr>
              <w:fldChar w:fldCharType="begin" w:fldLock="1">
                <w:ffData>
                  <w:name w:val=""/>
                  <w:enabled/>
                  <w:calcOnExit w:val="0"/>
                  <w:checkBox>
                    <w:sizeAuto/>
                    <w:default w:val="1"/>
                  </w:checkBox>
                </w:ffData>
              </w:fldChar>
            </w:r>
            <w:r w:rsidRPr="00502B96">
              <w:rPr>
                <w:rFonts w:eastAsia="Calibri" w:cs="Calibri"/>
                <w:sz w:val="18"/>
                <w:szCs w:val="18"/>
                <w:lang w:eastAsia="en-US"/>
              </w:rPr>
              <w:instrText xml:space="preserve"> FORMCHECKBOX </w:instrText>
            </w:r>
            <w:r w:rsidRPr="00502B96">
              <w:rPr>
                <w:rFonts w:eastAsia="Calibri" w:cs="Calibri"/>
                <w:sz w:val="18"/>
                <w:szCs w:val="18"/>
                <w:lang w:eastAsia="en-US"/>
              </w:rPr>
            </w:r>
            <w:r w:rsidRPr="00502B96">
              <w:rPr>
                <w:rFonts w:eastAsia="Calibri" w:cs="Calibri"/>
                <w:sz w:val="18"/>
                <w:szCs w:val="18"/>
                <w:lang w:eastAsia="en-US"/>
              </w:rPr>
              <w:fldChar w:fldCharType="separate"/>
            </w:r>
            <w:r w:rsidRPr="00502B96">
              <w:rPr>
                <w:rFonts w:eastAsia="Calibri" w:cs="Calibri"/>
                <w:sz w:val="18"/>
                <w:szCs w:val="18"/>
                <w:lang w:eastAsia="en-US"/>
              </w:rPr>
              <w:fldChar w:fldCharType="end"/>
            </w:r>
            <w:r w:rsidRPr="00502B96">
              <w:rPr>
                <w:rFonts w:ascii="Arial Narrow" w:eastAsiaTheme="majorEastAsia" w:hAnsi="Arial Narrow" w:cstheme="majorBidi"/>
                <w:bCs/>
                <w:sz w:val="20"/>
              </w:rPr>
              <w:t xml:space="preserve">Medical Practitioners </w:t>
            </w:r>
            <w:r w:rsidRPr="00502B96">
              <w:rPr>
                <w:rFonts w:ascii="Arial Narrow" w:eastAsiaTheme="majorEastAsia" w:hAnsi="Arial Narrow" w:cstheme="majorBidi"/>
                <w:bCs/>
                <w:sz w:val="20"/>
              </w:rPr>
              <w:fldChar w:fldCharType="begin" w:fldLock="1">
                <w:ffData>
                  <w:name w:val="Check3"/>
                  <w:enabled/>
                  <w:calcOnExit w:val="0"/>
                  <w:checkBox>
                    <w:sizeAuto/>
                    <w:default w:val="0"/>
                  </w:checkBox>
                </w:ffData>
              </w:fldChar>
            </w:r>
            <w:r w:rsidRPr="00502B96">
              <w:rPr>
                <w:rFonts w:ascii="Arial Narrow" w:eastAsiaTheme="majorEastAsia" w:hAnsi="Arial Narrow" w:cstheme="majorBidi"/>
                <w:bCs/>
                <w:sz w:val="20"/>
              </w:rPr>
              <w:instrText xml:space="preserve"> FORMCHECKBOX </w:instrText>
            </w:r>
            <w:r w:rsidRPr="00502B96">
              <w:rPr>
                <w:rFonts w:ascii="Arial Narrow" w:eastAsiaTheme="majorEastAsia" w:hAnsi="Arial Narrow" w:cstheme="majorBidi"/>
                <w:bCs/>
                <w:sz w:val="20"/>
              </w:rPr>
            </w:r>
            <w:r w:rsidRPr="00502B96">
              <w:rPr>
                <w:rFonts w:ascii="Arial Narrow" w:eastAsiaTheme="majorEastAsia" w:hAnsi="Arial Narrow" w:cstheme="majorBidi"/>
                <w:bCs/>
                <w:sz w:val="20"/>
              </w:rPr>
              <w:fldChar w:fldCharType="separate"/>
            </w:r>
            <w:r w:rsidRPr="00502B96">
              <w:rPr>
                <w:rFonts w:ascii="Arial Narrow" w:eastAsiaTheme="majorEastAsia" w:hAnsi="Arial Narrow" w:cstheme="majorBidi"/>
                <w:bCs/>
                <w:sz w:val="20"/>
              </w:rPr>
              <w:fldChar w:fldCharType="end"/>
            </w:r>
            <w:r w:rsidRPr="00502B96">
              <w:rPr>
                <w:rFonts w:ascii="Arial Narrow" w:eastAsiaTheme="majorEastAsia" w:hAnsi="Arial Narrow" w:cstheme="majorBidi"/>
                <w:bCs/>
                <w:sz w:val="20"/>
              </w:rPr>
              <w:t xml:space="preserve">Nurse practitioners </w:t>
            </w:r>
            <w:r w:rsidRPr="00502B96">
              <w:rPr>
                <w:rFonts w:ascii="Arial Narrow" w:eastAsiaTheme="majorEastAsia" w:hAnsi="Arial Narrow" w:cstheme="majorBidi"/>
                <w:bCs/>
                <w:sz w:val="20"/>
              </w:rPr>
              <w:fldChar w:fldCharType="begin" w:fldLock="1">
                <w:ffData>
                  <w:name w:val=""/>
                  <w:enabled/>
                  <w:calcOnExit w:val="0"/>
                  <w:checkBox>
                    <w:sizeAuto/>
                    <w:default w:val="0"/>
                  </w:checkBox>
                </w:ffData>
              </w:fldChar>
            </w:r>
            <w:r w:rsidRPr="00502B96">
              <w:rPr>
                <w:rFonts w:ascii="Arial Narrow" w:eastAsiaTheme="majorEastAsia" w:hAnsi="Arial Narrow" w:cstheme="majorBidi"/>
                <w:bCs/>
                <w:sz w:val="20"/>
              </w:rPr>
              <w:instrText xml:space="preserve"> FORMCHECKBOX </w:instrText>
            </w:r>
            <w:r w:rsidRPr="00502B96">
              <w:rPr>
                <w:rFonts w:ascii="Arial Narrow" w:eastAsiaTheme="majorEastAsia" w:hAnsi="Arial Narrow" w:cstheme="majorBidi"/>
                <w:bCs/>
                <w:sz w:val="20"/>
              </w:rPr>
            </w:r>
            <w:r w:rsidRPr="00502B96">
              <w:rPr>
                <w:rFonts w:ascii="Arial Narrow" w:eastAsiaTheme="majorEastAsia" w:hAnsi="Arial Narrow" w:cstheme="majorBidi"/>
                <w:bCs/>
                <w:sz w:val="20"/>
              </w:rPr>
              <w:fldChar w:fldCharType="separate"/>
            </w:r>
            <w:r w:rsidRPr="00502B96">
              <w:rPr>
                <w:rFonts w:ascii="Arial Narrow" w:eastAsiaTheme="majorEastAsia" w:hAnsi="Arial Narrow" w:cstheme="majorBidi"/>
                <w:bCs/>
                <w:sz w:val="20"/>
              </w:rPr>
              <w:fldChar w:fldCharType="end"/>
            </w:r>
            <w:r w:rsidRPr="00502B96">
              <w:rPr>
                <w:rFonts w:ascii="Arial Narrow" w:eastAsiaTheme="majorEastAsia" w:hAnsi="Arial Narrow" w:cstheme="majorBidi"/>
                <w:bCs/>
                <w:sz w:val="20"/>
              </w:rPr>
              <w:t xml:space="preserve">Optometrists </w:t>
            </w:r>
            <w:r w:rsidRPr="00502B96">
              <w:rPr>
                <w:rFonts w:ascii="Arial Narrow" w:eastAsiaTheme="majorEastAsia" w:hAnsi="Arial Narrow" w:cstheme="majorBidi"/>
                <w:bCs/>
                <w:sz w:val="20"/>
              </w:rPr>
              <w:fldChar w:fldCharType="begin" w:fldLock="1">
                <w:ffData>
                  <w:name w:val="Check5"/>
                  <w:enabled/>
                  <w:calcOnExit w:val="0"/>
                  <w:checkBox>
                    <w:sizeAuto/>
                    <w:default w:val="0"/>
                  </w:checkBox>
                </w:ffData>
              </w:fldChar>
            </w:r>
            <w:r w:rsidRPr="00502B96">
              <w:rPr>
                <w:rFonts w:ascii="Arial Narrow" w:eastAsiaTheme="majorEastAsia" w:hAnsi="Arial Narrow" w:cstheme="majorBidi"/>
                <w:bCs/>
                <w:sz w:val="20"/>
              </w:rPr>
              <w:instrText xml:space="preserve"> FORMCHECKBOX </w:instrText>
            </w:r>
            <w:r w:rsidRPr="00502B96">
              <w:rPr>
                <w:rFonts w:ascii="Arial Narrow" w:eastAsiaTheme="majorEastAsia" w:hAnsi="Arial Narrow" w:cstheme="majorBidi"/>
                <w:bCs/>
                <w:sz w:val="20"/>
              </w:rPr>
            </w:r>
            <w:r w:rsidRPr="00502B96">
              <w:rPr>
                <w:rFonts w:ascii="Arial Narrow" w:eastAsiaTheme="majorEastAsia" w:hAnsi="Arial Narrow" w:cstheme="majorBidi"/>
                <w:bCs/>
                <w:sz w:val="20"/>
              </w:rPr>
              <w:fldChar w:fldCharType="separate"/>
            </w:r>
            <w:r w:rsidRPr="00502B96">
              <w:rPr>
                <w:rFonts w:ascii="Arial Narrow" w:eastAsiaTheme="majorEastAsia" w:hAnsi="Arial Narrow" w:cstheme="majorBidi"/>
                <w:bCs/>
                <w:sz w:val="20"/>
              </w:rPr>
              <w:fldChar w:fldCharType="end"/>
            </w:r>
          </w:p>
        </w:tc>
      </w:tr>
      <w:tr w:rsidR="009B6C59" w:rsidRPr="00502B96" w14:paraId="34D77535" w14:textId="77777777" w:rsidTr="00A47F5C">
        <w:tblPrEx>
          <w:tblCellMar>
            <w:top w:w="15" w:type="dxa"/>
            <w:bottom w:w="15" w:type="dxa"/>
          </w:tblCellMar>
          <w:tblLook w:val="04A0" w:firstRow="1" w:lastRow="0" w:firstColumn="1" w:lastColumn="0" w:noHBand="0" w:noVBand="1"/>
        </w:tblPrEx>
        <w:trPr>
          <w:cantSplit/>
          <w:trHeight w:val="20"/>
        </w:trPr>
        <w:tc>
          <w:tcPr>
            <w:tcW w:w="9017" w:type="dxa"/>
            <w:gridSpan w:val="6"/>
          </w:tcPr>
          <w:p w14:paraId="4D1B8C05" w14:textId="77777777" w:rsidR="009B6C59" w:rsidRPr="00502B96" w:rsidRDefault="009B6C59" w:rsidP="009B6299">
            <w:pPr>
              <w:keepLines/>
              <w:ind w:left="-104"/>
              <w:jc w:val="left"/>
              <w:rPr>
                <w:rFonts w:ascii="Arial Narrow" w:eastAsiaTheme="majorEastAsia" w:hAnsi="Arial Narrow" w:cstheme="majorBidi"/>
                <w:bCs/>
                <w:sz w:val="20"/>
              </w:rPr>
            </w:pPr>
            <w:r w:rsidRPr="00502B96">
              <w:rPr>
                <w:rFonts w:ascii="Arial Narrow" w:eastAsiaTheme="majorEastAsia" w:hAnsi="Arial Narrow" w:cstheme="majorBidi"/>
                <w:b/>
                <w:bCs/>
                <w:sz w:val="20"/>
              </w:rPr>
              <w:t xml:space="preserve">Restriction type: </w:t>
            </w:r>
            <w:r w:rsidRPr="00502B96">
              <w:rPr>
                <w:rFonts w:eastAsia="Calibri" w:cs="Calibri"/>
                <w:sz w:val="18"/>
                <w:szCs w:val="18"/>
                <w:lang w:eastAsia="en-US"/>
              </w:rPr>
              <w:fldChar w:fldCharType="begin" w:fldLock="1">
                <w:ffData>
                  <w:name w:val=""/>
                  <w:enabled/>
                  <w:calcOnExit w:val="0"/>
                  <w:checkBox>
                    <w:sizeAuto/>
                    <w:default w:val="1"/>
                  </w:checkBox>
                </w:ffData>
              </w:fldChar>
            </w:r>
            <w:r w:rsidRPr="00502B96">
              <w:rPr>
                <w:rFonts w:eastAsia="Calibri" w:cs="Calibri"/>
                <w:sz w:val="18"/>
                <w:szCs w:val="18"/>
                <w:lang w:eastAsia="en-US"/>
              </w:rPr>
              <w:instrText xml:space="preserve"> FORMCHECKBOX </w:instrText>
            </w:r>
            <w:r w:rsidRPr="00502B96">
              <w:rPr>
                <w:rFonts w:eastAsia="Calibri" w:cs="Calibri"/>
                <w:sz w:val="18"/>
                <w:szCs w:val="18"/>
                <w:lang w:eastAsia="en-US"/>
              </w:rPr>
            </w:r>
            <w:r w:rsidRPr="00502B96">
              <w:rPr>
                <w:rFonts w:eastAsia="Calibri" w:cs="Calibri"/>
                <w:sz w:val="18"/>
                <w:szCs w:val="18"/>
                <w:lang w:eastAsia="en-US"/>
              </w:rPr>
              <w:fldChar w:fldCharType="separate"/>
            </w:r>
            <w:r w:rsidRPr="00502B96">
              <w:rPr>
                <w:rFonts w:eastAsia="Calibri" w:cs="Calibri"/>
                <w:sz w:val="18"/>
                <w:szCs w:val="18"/>
                <w:lang w:eastAsia="en-US"/>
              </w:rPr>
              <w:fldChar w:fldCharType="end"/>
            </w:r>
            <w:r w:rsidRPr="00502B96">
              <w:rPr>
                <w:rFonts w:eastAsia="Calibri" w:cs="Calibri"/>
                <w:sz w:val="22"/>
                <w:szCs w:val="22"/>
                <w:lang w:eastAsia="en-US"/>
              </w:rPr>
              <w:t xml:space="preserve"> </w:t>
            </w:r>
            <w:r w:rsidRPr="00502B96">
              <w:rPr>
                <w:rFonts w:ascii="Arial Narrow" w:eastAsia="Calibri" w:hAnsi="Arial Narrow" w:cs="Calibri"/>
                <w:sz w:val="20"/>
                <w:szCs w:val="20"/>
                <w:lang w:eastAsia="en-US"/>
              </w:rPr>
              <w:t>Authority Required (</w:t>
            </w:r>
            <w:r>
              <w:rPr>
                <w:rFonts w:ascii="Arial Narrow" w:eastAsia="Calibri" w:hAnsi="Arial Narrow" w:cs="Calibri"/>
                <w:sz w:val="20"/>
                <w:szCs w:val="20"/>
                <w:lang w:eastAsia="en-US"/>
              </w:rPr>
              <w:t>in writing</w:t>
            </w:r>
            <w:r w:rsidRPr="00502B96">
              <w:rPr>
                <w:rFonts w:ascii="Arial Narrow" w:eastAsiaTheme="majorEastAsia" w:hAnsi="Arial Narrow" w:cstheme="majorBidi"/>
                <w:bCs/>
                <w:sz w:val="20"/>
                <w:lang w:eastAsia="en-US"/>
              </w:rPr>
              <w:t>)</w:t>
            </w:r>
            <w:r>
              <w:rPr>
                <w:rFonts w:eastAsiaTheme="majorEastAsia"/>
                <w:bCs/>
                <w:lang w:eastAsia="en-US"/>
              </w:rPr>
              <w:t>-</w:t>
            </w:r>
            <w:r w:rsidRPr="00502B96">
              <w:rPr>
                <w:rFonts w:ascii="Arial Narrow" w:eastAsiaTheme="majorEastAsia" w:hAnsi="Arial Narrow" w:cstheme="majorBidi"/>
                <w:bCs/>
                <w:sz w:val="20"/>
                <w:lang w:eastAsia="en-US"/>
              </w:rPr>
              <w:t>Postal/HPOS Upload</w:t>
            </w:r>
          </w:p>
        </w:tc>
      </w:tr>
      <w:tr w:rsidR="009B6C59" w:rsidRPr="00502B96" w14:paraId="5F8E7A6F" w14:textId="77777777" w:rsidTr="00A47F5C">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48B8407B" w14:textId="77777777" w:rsidR="009B6C59" w:rsidRPr="00502B96" w:rsidRDefault="009B6C59" w:rsidP="009B6299">
            <w:pPr>
              <w:keepLines/>
              <w:ind w:left="-104"/>
              <w:jc w:val="left"/>
              <w:rPr>
                <w:rFonts w:ascii="Arial Narrow" w:eastAsiaTheme="majorEastAsia" w:hAnsi="Arial Narrow" w:cstheme="majorBidi"/>
                <w:sz w:val="20"/>
              </w:rPr>
            </w:pPr>
            <w:r w:rsidRPr="00502B96">
              <w:rPr>
                <w:rFonts w:ascii="Arial Narrow" w:eastAsiaTheme="majorEastAsia" w:hAnsi="Arial Narrow" w:cstheme="majorBidi"/>
                <w:b/>
                <w:bCs/>
                <w:sz w:val="20"/>
              </w:rPr>
              <w:t xml:space="preserve">Episodicity: </w:t>
            </w:r>
            <w:r w:rsidRPr="00502B96">
              <w:rPr>
                <w:rFonts w:ascii="Arial Narrow" w:eastAsiaTheme="majorEastAsia" w:hAnsi="Arial Narrow" w:cstheme="majorBidi"/>
                <w:sz w:val="20"/>
              </w:rPr>
              <w:t>Chronic treatment</w:t>
            </w:r>
          </w:p>
        </w:tc>
      </w:tr>
      <w:tr w:rsidR="009B6C59" w:rsidRPr="00502B96" w14:paraId="15CCE8A5" w14:textId="77777777" w:rsidTr="00A47F5C">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77FBE6A9" w14:textId="77777777" w:rsidR="009B6C59" w:rsidRPr="004F6A44" w:rsidRDefault="009B6C59" w:rsidP="009B6299">
            <w:pPr>
              <w:keepLines/>
              <w:ind w:left="-104"/>
              <w:jc w:val="left"/>
              <w:rPr>
                <w:rFonts w:ascii="Arial Narrow" w:eastAsiaTheme="majorEastAsia" w:hAnsi="Arial Narrow" w:cstheme="majorBidi"/>
                <w:b/>
                <w:bCs/>
                <w:sz w:val="20"/>
                <w:szCs w:val="20"/>
              </w:rPr>
            </w:pPr>
            <w:r w:rsidRPr="00502B96">
              <w:rPr>
                <w:rFonts w:ascii="Arial Narrow" w:eastAsiaTheme="majorEastAsia" w:hAnsi="Arial Narrow" w:cstheme="majorBidi"/>
                <w:b/>
                <w:bCs/>
                <w:sz w:val="20"/>
              </w:rPr>
              <w:t xml:space="preserve">Condition: </w:t>
            </w:r>
            <w:r w:rsidRPr="00502B96">
              <w:rPr>
                <w:rFonts w:ascii="Arial Narrow" w:eastAsiaTheme="majorEastAsia" w:hAnsi="Arial Narrow" w:cstheme="majorBidi"/>
                <w:sz w:val="20"/>
              </w:rPr>
              <w:t xml:space="preserve">Hereditary </w:t>
            </w:r>
            <w:r w:rsidRPr="004F6A44">
              <w:rPr>
                <w:rFonts w:ascii="Arial Narrow" w:eastAsiaTheme="majorEastAsia" w:hAnsi="Arial Narrow" w:cstheme="majorBidi"/>
                <w:sz w:val="20"/>
                <w:szCs w:val="20"/>
              </w:rPr>
              <w:t xml:space="preserve">angioedema </w:t>
            </w:r>
            <w:r>
              <w:rPr>
                <w:rFonts w:ascii="Arial Narrow" w:hAnsi="Arial Narrow"/>
                <w:sz w:val="20"/>
                <w:szCs w:val="20"/>
              </w:rPr>
              <w:t>T</w:t>
            </w:r>
            <w:r w:rsidRPr="004F6A44">
              <w:rPr>
                <w:rFonts w:ascii="Arial Narrow" w:hAnsi="Arial Narrow"/>
                <w:sz w:val="20"/>
                <w:szCs w:val="20"/>
              </w:rPr>
              <w:t>ypes I and II</w:t>
            </w:r>
          </w:p>
        </w:tc>
      </w:tr>
      <w:tr w:rsidR="009B6C59" w:rsidRPr="00502B96" w14:paraId="0244649A" w14:textId="77777777" w:rsidTr="00A47F5C">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7105B02B" w14:textId="77777777" w:rsidR="009B6C59" w:rsidRPr="00502B96" w:rsidRDefault="009B6C59" w:rsidP="009B6299">
            <w:pPr>
              <w:keepLines/>
              <w:ind w:left="-104"/>
              <w:jc w:val="left"/>
              <w:rPr>
                <w:rFonts w:ascii="Arial Narrow" w:eastAsiaTheme="majorEastAsia" w:hAnsi="Arial Narrow" w:cstheme="majorBidi"/>
                <w:bCs/>
                <w:sz w:val="20"/>
              </w:rPr>
            </w:pPr>
            <w:r w:rsidRPr="00502B96">
              <w:rPr>
                <w:rFonts w:ascii="Arial Narrow" w:eastAsiaTheme="majorEastAsia" w:hAnsi="Arial Narrow" w:cstheme="majorBidi"/>
                <w:b/>
                <w:bCs/>
                <w:sz w:val="20"/>
              </w:rPr>
              <w:t>PBS indication:</w:t>
            </w:r>
            <w:r w:rsidRPr="00502B96">
              <w:rPr>
                <w:rFonts w:ascii="Arial Narrow" w:eastAsiaTheme="majorEastAsia" w:hAnsi="Arial Narrow" w:cstheme="majorBidi"/>
                <w:bCs/>
                <w:sz w:val="20"/>
              </w:rPr>
              <w:t xml:space="preserve"> Chronic treatment of hereditary angioedema </w:t>
            </w:r>
            <w:r w:rsidRPr="0033262D">
              <w:rPr>
                <w:rFonts w:ascii="Arial Narrow" w:hAnsi="Arial Narrow"/>
                <w:sz w:val="20"/>
                <w:szCs w:val="20"/>
              </w:rPr>
              <w:t>Types I and II</w:t>
            </w:r>
          </w:p>
        </w:tc>
      </w:tr>
      <w:tr w:rsidR="009B6C59" w:rsidRPr="00502B96" w14:paraId="25587080" w14:textId="77777777" w:rsidTr="00A47F5C">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14D4088B" w14:textId="77777777" w:rsidR="009B6C59" w:rsidRPr="00502B96" w:rsidRDefault="009B6C59" w:rsidP="009B6299">
            <w:pPr>
              <w:keepLines/>
              <w:ind w:left="-104"/>
              <w:jc w:val="left"/>
              <w:rPr>
                <w:rFonts w:ascii="Arial Narrow" w:eastAsiaTheme="majorEastAsia" w:hAnsi="Arial Narrow" w:cstheme="majorBidi"/>
                <w:bCs/>
                <w:sz w:val="20"/>
              </w:rPr>
            </w:pPr>
            <w:r w:rsidRPr="00502B96">
              <w:rPr>
                <w:rFonts w:ascii="Arial Narrow" w:eastAsiaTheme="majorEastAsia" w:hAnsi="Arial Narrow" w:cstheme="majorBidi"/>
                <w:b/>
                <w:bCs/>
                <w:sz w:val="20"/>
              </w:rPr>
              <w:lastRenderedPageBreak/>
              <w:t>Treatment Phase:</w:t>
            </w:r>
            <w:r w:rsidRPr="00502B96">
              <w:rPr>
                <w:rFonts w:ascii="Arial Narrow" w:eastAsiaTheme="majorEastAsia" w:hAnsi="Arial Narrow" w:cstheme="majorBidi"/>
                <w:bCs/>
                <w:sz w:val="20"/>
              </w:rPr>
              <w:t xml:space="preserve"> </w:t>
            </w:r>
            <w:r>
              <w:rPr>
                <w:rFonts w:ascii="Arial Narrow" w:eastAsiaTheme="majorEastAsia" w:hAnsi="Arial Narrow" w:cstheme="majorBidi"/>
                <w:bCs/>
                <w:sz w:val="20"/>
              </w:rPr>
              <w:t>new patient (commencing from non-PBS-funded garadacimab)</w:t>
            </w:r>
          </w:p>
        </w:tc>
      </w:tr>
      <w:tr w:rsidR="009B6C59" w:rsidRPr="00502B96" w14:paraId="2462953A" w14:textId="77777777" w:rsidTr="00A47F5C">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4CE0AB3A" w14:textId="77777777" w:rsidR="009B6C59" w:rsidRPr="00502B96" w:rsidRDefault="009B6C59" w:rsidP="009B6299">
            <w:pPr>
              <w:keepLines/>
              <w:ind w:left="-104"/>
              <w:jc w:val="left"/>
              <w:rPr>
                <w:rFonts w:ascii="Arial Narrow" w:eastAsiaTheme="majorEastAsia" w:hAnsi="Arial Narrow" w:cstheme="majorBidi"/>
                <w:b/>
                <w:sz w:val="20"/>
              </w:rPr>
            </w:pPr>
            <w:r w:rsidRPr="00502B96">
              <w:rPr>
                <w:rFonts w:ascii="Arial Narrow" w:eastAsiaTheme="majorEastAsia" w:hAnsi="Arial Narrow" w:cstheme="majorBidi"/>
                <w:b/>
                <w:sz w:val="20"/>
              </w:rPr>
              <w:t>Clinical criteria:</w:t>
            </w:r>
          </w:p>
          <w:p w14:paraId="6215A9E8" w14:textId="77777777" w:rsidR="009B6C59" w:rsidRDefault="009B6C59" w:rsidP="009B6299">
            <w:pPr>
              <w:keepLines/>
              <w:ind w:left="-104"/>
              <w:jc w:val="left"/>
              <w:rPr>
                <w:rFonts w:ascii="Arial Narrow" w:eastAsiaTheme="majorEastAsia" w:hAnsi="Arial Narrow" w:cstheme="majorBidi"/>
                <w:bCs/>
                <w:sz w:val="20"/>
              </w:rPr>
            </w:pPr>
            <w:r w:rsidRPr="00502B96">
              <w:rPr>
                <w:rFonts w:ascii="Arial Narrow" w:eastAsiaTheme="majorEastAsia" w:hAnsi="Arial Narrow" w:cstheme="majorBidi"/>
                <w:bCs/>
                <w:sz w:val="20"/>
              </w:rPr>
              <w:t>Patient must have previously received non-PBS subsidised treatment with this drug for this condition as routine prophylaxis for hereditary angioedema prior to [listing date]</w:t>
            </w:r>
            <w:r>
              <w:rPr>
                <w:rFonts w:ascii="Arial Narrow" w:eastAsiaTheme="majorEastAsia" w:hAnsi="Arial Narrow" w:cstheme="majorBidi"/>
                <w:bCs/>
                <w:sz w:val="20"/>
              </w:rPr>
              <w:t>.</w:t>
            </w:r>
          </w:p>
          <w:p w14:paraId="74242150" w14:textId="77777777" w:rsidR="009B6C59" w:rsidRPr="00502B96" w:rsidRDefault="009B6C59" w:rsidP="009B6299">
            <w:pPr>
              <w:keepLines/>
              <w:ind w:left="-104"/>
              <w:jc w:val="left"/>
              <w:rPr>
                <w:rFonts w:ascii="Arial Narrow" w:eastAsiaTheme="majorEastAsia" w:hAnsi="Arial Narrow" w:cstheme="majorBidi"/>
                <w:bCs/>
                <w:sz w:val="20"/>
              </w:rPr>
            </w:pPr>
            <w:r w:rsidRPr="00502B96">
              <w:rPr>
                <w:rFonts w:ascii="Arial Narrow" w:eastAsiaTheme="majorEastAsia" w:hAnsi="Arial Narrow" w:cstheme="majorBidi"/>
                <w:bCs/>
                <w:sz w:val="20"/>
              </w:rPr>
              <w:t>AND</w:t>
            </w:r>
          </w:p>
          <w:p w14:paraId="291EF9D1" w14:textId="77777777" w:rsidR="009B6C59" w:rsidRPr="00502B96" w:rsidRDefault="009B6C59" w:rsidP="009B6299">
            <w:pPr>
              <w:keepLines/>
              <w:ind w:left="-104"/>
              <w:jc w:val="left"/>
              <w:rPr>
                <w:rFonts w:ascii="Arial Narrow" w:eastAsiaTheme="majorEastAsia" w:hAnsi="Arial Narrow" w:cstheme="majorBidi"/>
                <w:b/>
                <w:sz w:val="20"/>
              </w:rPr>
            </w:pPr>
            <w:r w:rsidRPr="00502B96">
              <w:rPr>
                <w:rFonts w:ascii="Arial Narrow" w:eastAsiaTheme="majorEastAsia" w:hAnsi="Arial Narrow" w:cstheme="majorBidi"/>
                <w:bCs/>
                <w:sz w:val="20"/>
              </w:rPr>
              <w:t>The treatment must not be PBS-subsidised in combination with a C1-esterase inhibitor concentrate or lanadelumab.</w:t>
            </w:r>
          </w:p>
        </w:tc>
      </w:tr>
      <w:tr w:rsidR="009B6C59" w:rsidRPr="00502B96" w14:paraId="27D5C79B" w14:textId="77777777" w:rsidTr="00A47F5C">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7503A4CA" w14:textId="77777777" w:rsidR="009B6C59" w:rsidRPr="00502B96" w:rsidRDefault="009B6C59" w:rsidP="009B6299">
            <w:pPr>
              <w:keepLines/>
              <w:ind w:left="-104"/>
              <w:jc w:val="left"/>
              <w:rPr>
                <w:rFonts w:ascii="Arial Narrow" w:eastAsiaTheme="majorEastAsia" w:hAnsi="Arial Narrow" w:cstheme="majorBidi"/>
                <w:b/>
                <w:sz w:val="20"/>
              </w:rPr>
            </w:pPr>
            <w:r w:rsidRPr="00502B96">
              <w:rPr>
                <w:rFonts w:ascii="Arial Narrow" w:eastAsiaTheme="majorEastAsia" w:hAnsi="Arial Narrow" w:cstheme="majorBidi"/>
                <w:b/>
                <w:sz w:val="20"/>
              </w:rPr>
              <w:t>Treatment criteria:</w:t>
            </w:r>
            <w:r w:rsidRPr="00502B96">
              <w:rPr>
                <w:rFonts w:ascii="Arial Narrow" w:eastAsiaTheme="majorEastAsia" w:hAnsi="Arial Narrow" w:cstheme="majorBidi"/>
                <w:bCs/>
                <w:sz w:val="20"/>
              </w:rPr>
              <w:t xml:space="preserve"> Must be treated by a clinical immunologist or a specialist allergist, or in consultation with a specialist allergist or clinical immunologist</w:t>
            </w:r>
          </w:p>
        </w:tc>
      </w:tr>
      <w:tr w:rsidR="009B6C59" w:rsidRPr="00502B96" w14:paraId="6149BBC2" w14:textId="77777777" w:rsidTr="00A47F5C">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4F574047" w14:textId="77777777" w:rsidR="009B6C59" w:rsidRPr="00502B96" w:rsidRDefault="009B6C59" w:rsidP="009B6299">
            <w:pPr>
              <w:keepLines/>
              <w:ind w:left="-104"/>
              <w:jc w:val="left"/>
              <w:rPr>
                <w:rFonts w:ascii="Arial Narrow" w:eastAsiaTheme="majorEastAsia" w:hAnsi="Arial Narrow" w:cstheme="majorBidi"/>
                <w:b/>
                <w:sz w:val="20"/>
              </w:rPr>
            </w:pPr>
            <w:r w:rsidRPr="00502B96">
              <w:rPr>
                <w:rFonts w:ascii="Arial Narrow" w:eastAsiaTheme="majorEastAsia" w:hAnsi="Arial Narrow" w:cstheme="majorBidi"/>
                <w:b/>
                <w:sz w:val="20"/>
              </w:rPr>
              <w:t>Population criteria:</w:t>
            </w:r>
            <w:r w:rsidRPr="00502B96">
              <w:rPr>
                <w:rFonts w:ascii="Arial Narrow" w:eastAsiaTheme="majorEastAsia" w:hAnsi="Arial Narrow" w:cstheme="majorBidi"/>
                <w:bCs/>
                <w:sz w:val="20"/>
              </w:rPr>
              <w:t xml:space="preserve"> Patient must be aged 12 years or older</w:t>
            </w:r>
          </w:p>
        </w:tc>
      </w:tr>
      <w:tr w:rsidR="009B6C59" w:rsidRPr="00502B96" w14:paraId="6AD6AAB1" w14:textId="77777777" w:rsidTr="00A47F5C">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64B4E4C1" w14:textId="77777777" w:rsidR="009B6C59" w:rsidRPr="00502B96" w:rsidRDefault="009B6C59" w:rsidP="009B6299">
            <w:pPr>
              <w:keepLines/>
              <w:ind w:left="-104"/>
              <w:jc w:val="left"/>
              <w:rPr>
                <w:rFonts w:ascii="Arial Narrow" w:eastAsiaTheme="majorEastAsia" w:hAnsi="Arial Narrow" w:cstheme="majorBidi"/>
                <w:b/>
                <w:bCs/>
                <w:sz w:val="20"/>
              </w:rPr>
            </w:pPr>
            <w:r w:rsidRPr="00502B96">
              <w:rPr>
                <w:rFonts w:ascii="Arial Narrow" w:eastAsiaTheme="majorEastAsia" w:hAnsi="Arial Narrow" w:cstheme="majorBidi"/>
                <w:b/>
                <w:bCs/>
                <w:sz w:val="20"/>
              </w:rPr>
              <w:t xml:space="preserve">Prescribing Instructions: </w:t>
            </w:r>
          </w:p>
          <w:p w14:paraId="0AB8B3CE" w14:textId="77777777" w:rsidR="009B6C59" w:rsidRPr="00502B96" w:rsidRDefault="009B6C59" w:rsidP="009B6299">
            <w:pPr>
              <w:keepLines/>
              <w:ind w:left="-104"/>
              <w:jc w:val="left"/>
              <w:rPr>
                <w:rFonts w:ascii="Arial Narrow" w:eastAsiaTheme="majorEastAsia" w:hAnsi="Arial Narrow" w:cstheme="majorBidi"/>
                <w:b/>
                <w:bCs/>
                <w:sz w:val="20"/>
              </w:rPr>
            </w:pPr>
            <w:r w:rsidRPr="00502B96">
              <w:rPr>
                <w:rFonts w:ascii="Arial Narrow" w:eastAsiaTheme="majorEastAsia" w:hAnsi="Arial Narrow" w:cstheme="majorBidi"/>
                <w:bCs/>
                <w:sz w:val="20"/>
              </w:rPr>
              <w:t>For the purposes of administering this restriction, an adequate response is a reduction of the baseline number of acute attacks of hereditary angioedema of a severity necessitating immediate medical intervention with either (i) icatibant, or (ii) C1-esterase inhibitor concentrate. The details of the reduction must be documented in the patient's medical records for auditing purposes.</w:t>
            </w:r>
          </w:p>
        </w:tc>
      </w:tr>
    </w:tbl>
    <w:bookmarkEnd w:id="8"/>
    <w:p w14:paraId="0476BDB2" w14:textId="2F581153" w:rsidR="003451A0" w:rsidRPr="0015004F" w:rsidRDefault="003451A0" w:rsidP="0020417B">
      <w:pPr>
        <w:pStyle w:val="3-BodyText"/>
        <w:spacing w:before="120"/>
      </w:pPr>
      <w:r w:rsidRPr="0015004F">
        <w:t>The proposed published ex-manufacturer price was $</w:t>
      </w:r>
      <w:r w:rsidR="0056079A" w:rsidRPr="001D0AAC">
        <w:rPr>
          <w:color w:val="000000"/>
          <w:w w:val="61"/>
          <w:shd w:val="solid" w:color="000000" w:fill="000000"/>
          <w:fitText w:val="473" w:id="-762091773"/>
          <w14:textFill>
            <w14:solidFill>
              <w14:srgbClr w14:val="000000">
                <w14:alpha w14:val="100000"/>
              </w14:srgbClr>
            </w14:solidFill>
          </w14:textFill>
        </w:rPr>
        <w:t>|||  ||</w:t>
      </w:r>
      <w:r w:rsidR="0056079A" w:rsidRPr="001D0AAC">
        <w:rPr>
          <w:color w:val="000000"/>
          <w:spacing w:val="3"/>
          <w:w w:val="61"/>
          <w:shd w:val="solid" w:color="000000" w:fill="000000"/>
          <w:fitText w:val="473" w:id="-762091773"/>
          <w14:textFill>
            <w14:solidFill>
              <w14:srgbClr w14:val="000000">
                <w14:alpha w14:val="100000"/>
              </w14:srgbClr>
            </w14:solidFill>
          </w14:textFill>
        </w:rPr>
        <w:t>|</w:t>
      </w:r>
      <w:r w:rsidRPr="0015004F">
        <w:t xml:space="preserve"> per pack of garadacimab. The submission proposed a Special Pricing Arrangement (SPA)</w:t>
      </w:r>
      <w:r w:rsidR="00862B7F" w:rsidRPr="0015004F">
        <w:t xml:space="preserve"> </w:t>
      </w:r>
      <w:r w:rsidR="00E77B3F" w:rsidRPr="0015004F">
        <w:t>with t</w:t>
      </w:r>
      <w:r w:rsidRPr="0015004F">
        <w:t>he effective price of garadacimab to be determined on a cost-minimisation basis versus lanadelumab at its confidential effective price.</w:t>
      </w:r>
    </w:p>
    <w:p w14:paraId="7640430F" w14:textId="3BF944C2" w:rsidR="00830A18" w:rsidRPr="0015004F" w:rsidRDefault="00830A18" w:rsidP="00830A18">
      <w:pPr>
        <w:pStyle w:val="3-BodyText"/>
        <w:rPr>
          <w:color w:val="0066FF"/>
        </w:rPr>
      </w:pPr>
      <w:r w:rsidRPr="0015004F">
        <w:t>The submission proposed the PBS listing of garadacimab for patients with HAE Types I and II. The requested initiation restrictions included the following patient groups: (1) new patients who have experienced at least 12 treated acute attacks of HAE within a period of 6 months with no previous treatment with C1-INH or lanadelumab for routine prophylaxis</w:t>
      </w:r>
      <w:r w:rsidR="00B64B91" w:rsidRPr="0015004F">
        <w:t xml:space="preserve">; </w:t>
      </w:r>
      <w:r w:rsidRPr="0015004F">
        <w:t>(2) new patients commencing from National Blood Authority (NBA)-funded C1-INH</w:t>
      </w:r>
      <w:r w:rsidR="00B64B91" w:rsidRPr="0015004F">
        <w:t xml:space="preserve">; </w:t>
      </w:r>
      <w:r w:rsidRPr="0015004F">
        <w:t>and (3) patients commencing from PBS-funded lanadelumab. The requested grandfathering restriction would also enable a small number of patients accessing garadacimab under a special access scheme to continue the therapy under a PBS listing. Patients with HAE Types I and II who are receiving PBS-subsidised garadacimab treatment and who demonstrate adequate response to the treatment will be eligible to continue the treatment.</w:t>
      </w:r>
      <w:r w:rsidRPr="0015004F">
        <w:rPr>
          <w:rFonts w:cstheme="minorHAnsi"/>
        </w:rPr>
        <w:t xml:space="preserve"> </w:t>
      </w:r>
    </w:p>
    <w:p w14:paraId="0AF9C86E" w14:textId="0BB8C77D" w:rsidR="00282C49" w:rsidRPr="00624219" w:rsidRDefault="00830A18" w:rsidP="000206FF">
      <w:pPr>
        <w:pStyle w:val="3-BodyText"/>
        <w:rPr>
          <w:color w:val="0066FF"/>
        </w:rPr>
      </w:pPr>
      <w:r w:rsidRPr="0015004F">
        <w:t xml:space="preserve">The proposed PBS restrictions for garadacimab are aligned with the current lanadelumab PBS listings for the chronic treatment of HAE Types I and II. The requirement </w:t>
      </w:r>
      <w:r w:rsidR="00624219">
        <w:t xml:space="preserve">for the patient to have experienced </w:t>
      </w:r>
      <w:r w:rsidRPr="0015004F">
        <w:t xml:space="preserve">12 acute attacks of HAE within the 6-month period (equivalent to 2 attacks per month) prior to commencing garadacimab appears stricter than the eligibility criteria of the key trial VANGUARD (≥ 3 HAE attacks during the 3 months before screening, equivalent to 1 attack per month). However, as the mean number of attacks during the 3 months before screening or start of HAE prophylaxis was 3.0 attacks per month in VANGUARD, with a 95% confidence interval (CI) of 2.3-3.7 attacks, the number of attacks at baseline in the trial population may reflect the proposed target population. </w:t>
      </w:r>
    </w:p>
    <w:p w14:paraId="0FE655AC" w14:textId="6DC4D9BC" w:rsidR="00624219" w:rsidRPr="0020417B" w:rsidRDefault="0020417B" w:rsidP="000206FF">
      <w:pPr>
        <w:pStyle w:val="3-BodyText"/>
      </w:pPr>
      <w:r>
        <w:t>T</w:t>
      </w:r>
      <w:r w:rsidR="00624219" w:rsidRPr="0020417B">
        <w:t>he initial restriction for lanadelumab provides up to six months of treatment, whereas the submission’s proposed initial restriction for garadacimab would only provide the first month of treatment (i.e</w:t>
      </w:r>
      <w:r w:rsidR="00F958D1" w:rsidRPr="0020417B">
        <w:t>.</w:t>
      </w:r>
      <w:r w:rsidR="00624219" w:rsidRPr="0020417B">
        <w:t xml:space="preserve"> the proposed initial restriction of two units with no repeats would cover the loading dose only). </w:t>
      </w:r>
      <w:r w:rsidR="00F958D1" w:rsidRPr="0020417B">
        <w:rPr>
          <w:rFonts w:ascii="Calibri" w:hAnsi="Calibri" w:cs="Times New Roman"/>
          <w:lang w:eastAsia="en-US"/>
        </w:rPr>
        <w:t>The evaluation considered that i</w:t>
      </w:r>
      <w:r w:rsidR="00624219" w:rsidRPr="0020417B">
        <w:rPr>
          <w:rFonts w:ascii="Calibri" w:hAnsi="Calibri" w:cs="Times New Roman"/>
          <w:lang w:eastAsia="en-US"/>
        </w:rPr>
        <w:t xml:space="preserve">t was unclear </w:t>
      </w:r>
      <w:r w:rsidR="00F958D1" w:rsidRPr="0020417B">
        <w:rPr>
          <w:rFonts w:ascii="Calibri" w:hAnsi="Calibri" w:cs="Times New Roman"/>
          <w:lang w:eastAsia="en-US"/>
        </w:rPr>
        <w:t>whether</w:t>
      </w:r>
      <w:r w:rsidR="00624219" w:rsidRPr="0020417B">
        <w:rPr>
          <w:rFonts w:ascii="Calibri" w:hAnsi="Calibri" w:cs="Times New Roman"/>
          <w:lang w:eastAsia="en-US"/>
        </w:rPr>
        <w:t xml:space="preserve"> one month would be sufficient to demonstrate an adequate </w:t>
      </w:r>
      <w:r w:rsidR="00624219" w:rsidRPr="0020417B">
        <w:rPr>
          <w:rFonts w:ascii="Calibri" w:hAnsi="Calibri" w:cs="Times New Roman"/>
          <w:lang w:eastAsia="en-US"/>
        </w:rPr>
        <w:lastRenderedPageBreak/>
        <w:t>response to treatment</w:t>
      </w:r>
      <w:r w:rsidR="00F958D1" w:rsidRPr="0020417B">
        <w:rPr>
          <w:rFonts w:ascii="Calibri" w:hAnsi="Calibri" w:cs="Times New Roman"/>
          <w:lang w:eastAsia="en-US"/>
        </w:rPr>
        <w:t xml:space="preserve">, </w:t>
      </w:r>
      <w:r w:rsidR="00624219" w:rsidRPr="0020417B">
        <w:rPr>
          <w:rFonts w:ascii="Calibri" w:hAnsi="Calibri" w:cs="Times New Roman"/>
          <w:lang w:eastAsia="en-US"/>
        </w:rPr>
        <w:t xml:space="preserve">i.e. a reduction in </w:t>
      </w:r>
      <w:r w:rsidR="00F958D1" w:rsidRPr="0020417B">
        <w:rPr>
          <w:rFonts w:ascii="Calibri" w:hAnsi="Calibri" w:cs="Times New Roman"/>
          <w:lang w:eastAsia="en-US"/>
        </w:rPr>
        <w:t xml:space="preserve">the </w:t>
      </w:r>
      <w:r w:rsidR="00624219" w:rsidRPr="0020417B">
        <w:rPr>
          <w:rFonts w:ascii="Calibri" w:hAnsi="Calibri" w:cs="Times New Roman"/>
          <w:lang w:eastAsia="en-US"/>
        </w:rPr>
        <w:t xml:space="preserve">baseline number of acute attacks of HAE of a severity necessitating immediate medical intervention with either icatibant or C1-INH. </w:t>
      </w:r>
      <w:r w:rsidR="00624219" w:rsidRPr="0020417B">
        <w:t xml:space="preserve">The pre-PBAC response stated that the sponsor would be willing to accept an initiating restriction that allows for up to </w:t>
      </w:r>
      <w:r w:rsidR="00F958D1" w:rsidRPr="0020417B">
        <w:t>six</w:t>
      </w:r>
      <w:r w:rsidR="00624219" w:rsidRPr="0020417B">
        <w:t xml:space="preserve"> months of treatment.</w:t>
      </w:r>
    </w:p>
    <w:p w14:paraId="754A0CC6" w14:textId="42A49709" w:rsidR="00282C49" w:rsidRPr="0015004F" w:rsidRDefault="00282C49" w:rsidP="00AD3E88">
      <w:pPr>
        <w:pStyle w:val="3-BodyText"/>
        <w:numPr>
          <w:ilvl w:val="0"/>
          <w:numId w:val="0"/>
        </w:numPr>
        <w:ind w:left="720"/>
        <w:rPr>
          <w:color w:val="0066FF"/>
        </w:rPr>
      </w:pPr>
      <w:r w:rsidRPr="00282C49">
        <w:rPr>
          <w:i/>
          <w:iCs/>
        </w:rPr>
        <w:t>For more detail on PBAC’s view, see section 7 PBAC outcome.</w:t>
      </w:r>
    </w:p>
    <w:p w14:paraId="7075B85C" w14:textId="77777777" w:rsidR="00B50DB8" w:rsidRPr="0015004F" w:rsidDel="00195452" w:rsidRDefault="00203181" w:rsidP="004E18E9">
      <w:pPr>
        <w:pStyle w:val="2-SectionHeading"/>
      </w:pPr>
      <w:bookmarkStart w:id="10" w:name="_Toc177480619"/>
      <w:r w:rsidRPr="0015004F" w:rsidDel="00195452">
        <w:t xml:space="preserve">Population and </w:t>
      </w:r>
      <w:r w:rsidR="008E0D3C" w:rsidRPr="0015004F" w:rsidDel="00195452">
        <w:t>d</w:t>
      </w:r>
      <w:r w:rsidRPr="0015004F" w:rsidDel="00195452">
        <w:t>isease</w:t>
      </w:r>
      <w:bookmarkEnd w:id="10"/>
    </w:p>
    <w:p w14:paraId="729A1633" w14:textId="77777777" w:rsidR="008D10F1" w:rsidRPr="0015004F" w:rsidRDefault="008D10F1" w:rsidP="008D10F1">
      <w:pPr>
        <w:pStyle w:val="3-BodyText"/>
        <w:rPr>
          <w:color w:val="000000" w:themeColor="text1"/>
        </w:rPr>
      </w:pPr>
      <w:r w:rsidRPr="0015004F">
        <w:rPr>
          <w:color w:val="000000" w:themeColor="text1"/>
        </w:rPr>
        <w:t>HAE is a rare genetic disorder that is potentially severely debilitating and life-threatening. It is manifested as transient and asymmetric attacks of cutaneous and submucosal swelling of the face, upper airways, extremities, gastrointestinal tract, and/or genitalia. The recurring attacks with unpredictable frequency, intensity, and duration place a burden on the daily life of patients. Surgical or dental procedures can also trigger HAE attacks. The number of individuals effected by HAE is estimated to be around 480, with a prevalence of approximately 1 in 54,000 in Australia</w:t>
      </w:r>
      <w:r w:rsidRPr="0015004F">
        <w:rPr>
          <w:rStyle w:val="FootnoteReference"/>
          <w:color w:val="000000" w:themeColor="text1"/>
        </w:rPr>
        <w:footnoteReference w:id="2"/>
      </w:r>
      <w:r w:rsidRPr="0015004F">
        <w:rPr>
          <w:color w:val="000000" w:themeColor="text1"/>
        </w:rPr>
        <w:t xml:space="preserve">. </w:t>
      </w:r>
    </w:p>
    <w:p w14:paraId="1C528AAE" w14:textId="77777777" w:rsidR="008D10F1" w:rsidRPr="0015004F" w:rsidDel="00195452" w:rsidRDefault="008D10F1" w:rsidP="008D10F1">
      <w:pPr>
        <w:pStyle w:val="3-BodyText"/>
        <w:rPr>
          <w:color w:val="000000" w:themeColor="text1"/>
        </w:rPr>
      </w:pPr>
      <w:r w:rsidRPr="0015004F">
        <w:rPr>
          <w:color w:val="000000" w:themeColor="text1"/>
        </w:rPr>
        <w:t xml:space="preserve">HAE is inherited as an autosomal dominant trait. HAE Types I and II are caused by mutations in the C1-INH gene, resulting in the deficiency of C1-INH (HAE Type I) or the dysfunction of C1-INH (HAE Type II). </w:t>
      </w:r>
    </w:p>
    <w:p w14:paraId="259EFB45" w14:textId="32F4F135" w:rsidR="008D10F1" w:rsidRPr="0015004F" w:rsidRDefault="008D10F1" w:rsidP="008D10F1">
      <w:pPr>
        <w:pStyle w:val="3-BodyText"/>
        <w:rPr>
          <w:color w:val="0066FF"/>
        </w:rPr>
      </w:pPr>
      <w:r w:rsidRPr="0015004F">
        <w:rPr>
          <w:color w:val="000000" w:themeColor="text1"/>
        </w:rPr>
        <w:t xml:space="preserve">Attack frequency and severity among patients is variable. Most patients who experience fewer attacks can be managed by on-demand treatment such as icatibant administered subcutaneously (SC) or </w:t>
      </w:r>
      <w:r w:rsidR="00220BB5" w:rsidRPr="0015004F">
        <w:rPr>
          <w:color w:val="000000" w:themeColor="text1"/>
        </w:rPr>
        <w:t xml:space="preserve">C1-INH </w:t>
      </w:r>
      <w:r w:rsidR="00C442A6" w:rsidRPr="0015004F">
        <w:rPr>
          <w:color w:val="000000" w:themeColor="text1"/>
        </w:rPr>
        <w:t xml:space="preserve">concentrate </w:t>
      </w:r>
      <w:r w:rsidR="00220BB5" w:rsidRPr="0015004F">
        <w:rPr>
          <w:color w:val="000000" w:themeColor="text1"/>
        </w:rPr>
        <w:t>(</w:t>
      </w:r>
      <w:proofErr w:type="spellStart"/>
      <w:r w:rsidRPr="0015004F">
        <w:rPr>
          <w:color w:val="000000" w:themeColor="text1"/>
        </w:rPr>
        <w:t>Berinert</w:t>
      </w:r>
      <w:proofErr w:type="spellEnd"/>
      <w:r w:rsidR="00220BB5" w:rsidRPr="0015004F">
        <w:rPr>
          <w:color w:val="000000" w:themeColor="text1"/>
        </w:rPr>
        <w:t>®)</w:t>
      </w:r>
      <w:r w:rsidRPr="0015004F">
        <w:rPr>
          <w:color w:val="000000" w:themeColor="text1"/>
        </w:rPr>
        <w:t xml:space="preserve"> intravenous (IV) injection. </w:t>
      </w:r>
      <w:proofErr w:type="spellStart"/>
      <w:r w:rsidRPr="0015004F">
        <w:rPr>
          <w:color w:val="000000" w:themeColor="text1"/>
        </w:rPr>
        <w:t>Berinert</w:t>
      </w:r>
      <w:proofErr w:type="spellEnd"/>
      <w:r w:rsidRPr="0015004F">
        <w:rPr>
          <w:color w:val="000000" w:themeColor="text1"/>
        </w:rPr>
        <w:t xml:space="preserve"> IV is also used as short term prophylaxis for patients undergoing surgical or dental procedures. Patients who experience multiple attacks per month can receive LTP such as </w:t>
      </w:r>
      <w:proofErr w:type="spellStart"/>
      <w:r w:rsidRPr="0015004F">
        <w:rPr>
          <w:color w:val="000000" w:themeColor="text1"/>
        </w:rPr>
        <w:t>Berinert</w:t>
      </w:r>
      <w:proofErr w:type="spellEnd"/>
      <w:r w:rsidRPr="0015004F">
        <w:rPr>
          <w:color w:val="000000" w:themeColor="text1"/>
        </w:rPr>
        <w:t xml:space="preserve"> SC (for patients </w:t>
      </w:r>
      <w:r w:rsidRPr="0015004F">
        <w:t xml:space="preserve">aged </w:t>
      </w:r>
      <w:r w:rsidRPr="0015004F">
        <w:rPr>
          <w:rFonts w:cstheme="minorHAnsi"/>
        </w:rPr>
        <w:t>≥</w:t>
      </w:r>
      <w:r w:rsidRPr="0015004F">
        <w:t xml:space="preserve"> 8 years who experience HAE attacks </w:t>
      </w:r>
      <w:r w:rsidRPr="0015004F">
        <w:rPr>
          <w:rFonts w:cs="Calibri"/>
        </w:rPr>
        <w:t>≥</w:t>
      </w:r>
      <w:r w:rsidRPr="0015004F">
        <w:t xml:space="preserve"> 8 per month), funded through the NBA’s National Product List (NPL)</w:t>
      </w:r>
      <w:r w:rsidRPr="0015004F">
        <w:rPr>
          <w:rStyle w:val="FootnoteReference"/>
        </w:rPr>
        <w:footnoteReference w:id="3"/>
      </w:r>
      <w:r w:rsidRPr="0015004F">
        <w:t>, or PBS subsidised lanadelumab (</w:t>
      </w:r>
      <w:r w:rsidRPr="0015004F">
        <w:rPr>
          <w:color w:val="000000" w:themeColor="text1"/>
        </w:rPr>
        <w:t xml:space="preserve">for patients </w:t>
      </w:r>
      <w:r w:rsidRPr="0015004F">
        <w:t xml:space="preserve">aged </w:t>
      </w:r>
      <w:r w:rsidRPr="0015004F">
        <w:rPr>
          <w:rFonts w:cstheme="minorHAnsi"/>
        </w:rPr>
        <w:t>≥</w:t>
      </w:r>
      <w:r w:rsidRPr="0015004F">
        <w:t xml:space="preserve"> 12 years who experience HAE attacks </w:t>
      </w:r>
      <w:r w:rsidRPr="0015004F">
        <w:rPr>
          <w:rFonts w:cs="Calibri"/>
        </w:rPr>
        <w:t>≥</w:t>
      </w:r>
      <w:r w:rsidRPr="0015004F">
        <w:t xml:space="preserve"> 12 in a 6-month period). </w:t>
      </w:r>
    </w:p>
    <w:p w14:paraId="549117AD" w14:textId="79AE18EE" w:rsidR="00DA4306" w:rsidRPr="0015004F" w:rsidRDefault="00B64B91" w:rsidP="00E35EAD">
      <w:pPr>
        <w:pStyle w:val="3-BodyText"/>
      </w:pPr>
      <w:r w:rsidRPr="0015004F">
        <w:t>Garadacimab is a fully human recombinant monoclonal antibody that specifically inhibits activated Factor XII to prevent the generation of excessive bradykinin, which is responsible for HAE attacks. Lanadelumab is also involved in the bradykinin pathway but is a kallikrein inhibitor</w:t>
      </w:r>
      <w:r w:rsidR="00DA4306" w:rsidRPr="0015004F">
        <w:t xml:space="preserve">. </w:t>
      </w:r>
    </w:p>
    <w:p w14:paraId="590AE72F" w14:textId="5BB3439B" w:rsidR="00B64B91" w:rsidRDefault="00B64B91" w:rsidP="00E35EAD">
      <w:pPr>
        <w:pStyle w:val="3-BodyText"/>
      </w:pPr>
      <w:r w:rsidRPr="0015004F">
        <w:t>Garadacimab is intended to be used as the routine prevention of HAE attacks in patients aged ≥ 12 years who experience HAE attacks ≥ 12 per 6 months. The recommended dose is an initial loading dose of 400 mg administered SC as two 200</w:t>
      </w:r>
      <w:r w:rsidR="00DA4306" w:rsidRPr="0015004F">
        <w:t> </w:t>
      </w:r>
      <w:r w:rsidRPr="0015004F">
        <w:t>mg injections on the first day of treatment, followed by 200 mg SC once per month.</w:t>
      </w:r>
    </w:p>
    <w:p w14:paraId="7AC6078C" w14:textId="1AD6B24E" w:rsidR="00282C49" w:rsidRPr="0015004F" w:rsidRDefault="00282C49" w:rsidP="00AD3E88">
      <w:pPr>
        <w:pStyle w:val="3-BodyText"/>
        <w:numPr>
          <w:ilvl w:val="0"/>
          <w:numId w:val="0"/>
        </w:numPr>
        <w:ind w:left="720"/>
      </w:pPr>
      <w:r w:rsidRPr="00282C49">
        <w:rPr>
          <w:i/>
          <w:iCs/>
        </w:rPr>
        <w:t>For more detail on PBAC’s view, see section 7 PBAC outcome.</w:t>
      </w:r>
    </w:p>
    <w:p w14:paraId="51E5AE96" w14:textId="136A63B1" w:rsidR="00B50DB8" w:rsidRPr="0015004F" w:rsidRDefault="00B50DB8" w:rsidP="004E18E9">
      <w:pPr>
        <w:pStyle w:val="2-SectionHeading"/>
      </w:pPr>
      <w:bookmarkStart w:id="11" w:name="_Toc177480620"/>
      <w:r w:rsidRPr="0015004F">
        <w:lastRenderedPageBreak/>
        <w:t>Comparator</w:t>
      </w:r>
      <w:bookmarkEnd w:id="11"/>
    </w:p>
    <w:p w14:paraId="402AE572" w14:textId="75AEDE9D" w:rsidR="00C45D38" w:rsidRPr="0015004F" w:rsidRDefault="008D10F1" w:rsidP="008D10F1">
      <w:pPr>
        <w:pStyle w:val="3-BodyText"/>
      </w:pPr>
      <w:bookmarkStart w:id="12" w:name="_Ref107305381"/>
      <w:bookmarkStart w:id="13" w:name="_Toc22897640"/>
      <w:r w:rsidRPr="0015004F">
        <w:t>Lanadelumab was nominated as the main comparator in the submission. The main arguments in support of the nomination were: 1) lanadelumab is the most commonly used medication as LTP for patients with HAE Types I and II in Australia; and 2) it has a similar clinical place as garadacimab in the HAE management pathway.</w:t>
      </w:r>
      <w:r w:rsidR="002D39BC" w:rsidRPr="0015004F">
        <w:t xml:space="preserve"> </w:t>
      </w:r>
    </w:p>
    <w:p w14:paraId="3E0DE2ED" w14:textId="4AC9CDD1" w:rsidR="00282C49" w:rsidRPr="001B613C" w:rsidRDefault="002D39BC" w:rsidP="001B613C">
      <w:pPr>
        <w:pStyle w:val="3-BodyText"/>
      </w:pPr>
      <w:r w:rsidRPr="0015004F">
        <w:t xml:space="preserve">The </w:t>
      </w:r>
      <w:r w:rsidR="00C45D38" w:rsidRPr="0015004F">
        <w:t>e</w:t>
      </w:r>
      <w:r w:rsidRPr="0015004F">
        <w:t>valuation</w:t>
      </w:r>
      <w:r w:rsidR="00C45D38" w:rsidRPr="0015004F">
        <w:t xml:space="preserve"> and the ESC</w:t>
      </w:r>
      <w:r w:rsidRPr="0015004F">
        <w:t xml:space="preserve"> considered that l</w:t>
      </w:r>
      <w:r w:rsidR="008D10F1" w:rsidRPr="0015004F">
        <w:t xml:space="preserve">anadelumab </w:t>
      </w:r>
      <w:r w:rsidR="00974641">
        <w:t>wa</w:t>
      </w:r>
      <w:r w:rsidR="008D10F1" w:rsidRPr="0015004F">
        <w:t>s the appropriate comparator</w:t>
      </w:r>
      <w:bookmarkEnd w:id="12"/>
      <w:r w:rsidR="008D10F1" w:rsidRPr="0015004F">
        <w:t>.</w:t>
      </w:r>
    </w:p>
    <w:p w14:paraId="3FA52875" w14:textId="380AF713" w:rsidR="00282C49" w:rsidRPr="0015004F" w:rsidRDefault="00282C49" w:rsidP="00AD3E88">
      <w:pPr>
        <w:pStyle w:val="3-BodyText"/>
        <w:numPr>
          <w:ilvl w:val="0"/>
          <w:numId w:val="0"/>
        </w:numPr>
        <w:ind w:left="720"/>
      </w:pPr>
      <w:r w:rsidRPr="00282C49">
        <w:rPr>
          <w:i/>
          <w:iCs/>
        </w:rPr>
        <w:t>For more detail on PBAC’s view, see section 7 PBAC outcome.</w:t>
      </w:r>
    </w:p>
    <w:p w14:paraId="7F9C27C8" w14:textId="77777777" w:rsidR="00223D5A" w:rsidRPr="0015004F" w:rsidRDefault="00223D5A" w:rsidP="00223D5A">
      <w:pPr>
        <w:pStyle w:val="2-SectionHeading"/>
        <w:numPr>
          <w:ilvl w:val="0"/>
          <w:numId w:val="1"/>
        </w:numPr>
      </w:pPr>
      <w:bookmarkStart w:id="14" w:name="_Toc177480621"/>
      <w:r w:rsidRPr="0015004F">
        <w:t>Consideration of the evidence</w:t>
      </w:r>
      <w:bookmarkEnd w:id="14"/>
    </w:p>
    <w:p w14:paraId="4BE0C212" w14:textId="77777777" w:rsidR="0046036A" w:rsidRPr="00CC3B53" w:rsidRDefault="0046036A" w:rsidP="0046036A">
      <w:pPr>
        <w:pStyle w:val="4-SubsectionHeading"/>
        <w:rPr>
          <w:i w:val="0"/>
        </w:rPr>
      </w:pPr>
      <w:bookmarkStart w:id="15" w:name="_Toc177480622"/>
      <w:r w:rsidRPr="00CC3B53">
        <w:rPr>
          <w:i w:val="0"/>
        </w:rPr>
        <w:t>Sponsor hearing</w:t>
      </w:r>
    </w:p>
    <w:p w14:paraId="784A8C20" w14:textId="0A5FB975" w:rsidR="0046036A" w:rsidRPr="008870D0" w:rsidRDefault="0046036A" w:rsidP="00057362">
      <w:pPr>
        <w:widowControl w:val="0"/>
        <w:numPr>
          <w:ilvl w:val="1"/>
          <w:numId w:val="1"/>
        </w:numPr>
        <w:spacing w:after="120"/>
        <w:rPr>
          <w:color w:val="000000" w:themeColor="text1"/>
        </w:rPr>
      </w:pPr>
      <w:r w:rsidRPr="008870D0">
        <w:rPr>
          <w:color w:val="000000" w:themeColor="text1"/>
        </w:rPr>
        <w:t>There was no hearing for this item.</w:t>
      </w:r>
    </w:p>
    <w:p w14:paraId="04C60079" w14:textId="77777777" w:rsidR="0046036A" w:rsidRPr="008870D0" w:rsidRDefault="0046036A" w:rsidP="0046036A">
      <w:pPr>
        <w:pStyle w:val="4-SubsectionHeading"/>
        <w:rPr>
          <w:iCs/>
        </w:rPr>
      </w:pPr>
      <w:r w:rsidRPr="008870D0">
        <w:rPr>
          <w:iCs/>
        </w:rPr>
        <w:t>Consumer comments</w:t>
      </w:r>
    </w:p>
    <w:p w14:paraId="6094639B" w14:textId="4355D606" w:rsidR="00A04B2C" w:rsidRPr="001B613C" w:rsidRDefault="0046036A" w:rsidP="0046036A">
      <w:pPr>
        <w:widowControl w:val="0"/>
        <w:numPr>
          <w:ilvl w:val="1"/>
          <w:numId w:val="1"/>
        </w:numPr>
        <w:spacing w:after="120"/>
        <w:rPr>
          <w:rFonts w:asciiTheme="minorHAnsi" w:hAnsiTheme="minorHAnsi"/>
          <w:bCs/>
          <w:snapToGrid w:val="0"/>
        </w:rPr>
      </w:pPr>
      <w:bookmarkStart w:id="16" w:name="_Hlk181217606"/>
      <w:r w:rsidRPr="001B613C">
        <w:rPr>
          <w:rFonts w:asciiTheme="minorHAnsi" w:hAnsiTheme="minorHAnsi"/>
          <w:bCs/>
          <w:snapToGrid w:val="0"/>
        </w:rPr>
        <w:t>The PBAC noted and welcomed the input from individuals (</w:t>
      </w:r>
      <w:r w:rsidR="00172E66" w:rsidRPr="001B613C">
        <w:rPr>
          <w:rFonts w:asciiTheme="minorHAnsi" w:hAnsiTheme="minorHAnsi"/>
          <w:bCs/>
          <w:snapToGrid w:val="0"/>
        </w:rPr>
        <w:t>20</w:t>
      </w:r>
      <w:r w:rsidRPr="001B613C">
        <w:rPr>
          <w:rFonts w:asciiTheme="minorHAnsi" w:hAnsiTheme="minorHAnsi"/>
          <w:bCs/>
          <w:snapToGrid w:val="0"/>
        </w:rPr>
        <w:t>), health care professionals (</w:t>
      </w:r>
      <w:r w:rsidR="00172E66" w:rsidRPr="001B613C">
        <w:rPr>
          <w:rFonts w:asciiTheme="minorHAnsi" w:hAnsiTheme="minorHAnsi"/>
          <w:bCs/>
          <w:snapToGrid w:val="0"/>
        </w:rPr>
        <w:t>5</w:t>
      </w:r>
      <w:r w:rsidRPr="001B613C">
        <w:rPr>
          <w:rFonts w:asciiTheme="minorHAnsi" w:hAnsiTheme="minorHAnsi"/>
          <w:bCs/>
          <w:snapToGrid w:val="0"/>
        </w:rPr>
        <w:t xml:space="preserve">) and </w:t>
      </w:r>
      <w:r w:rsidR="00974641">
        <w:rPr>
          <w:rFonts w:asciiTheme="minorHAnsi" w:hAnsiTheme="minorHAnsi"/>
          <w:bCs/>
          <w:snapToGrid w:val="0"/>
        </w:rPr>
        <w:t xml:space="preserve">an </w:t>
      </w:r>
      <w:r w:rsidRPr="001B613C">
        <w:rPr>
          <w:rFonts w:asciiTheme="minorHAnsi" w:hAnsiTheme="minorHAnsi"/>
          <w:bCs/>
          <w:snapToGrid w:val="0"/>
        </w:rPr>
        <w:t>organisation (</w:t>
      </w:r>
      <w:r w:rsidR="00974641">
        <w:rPr>
          <w:rFonts w:asciiTheme="minorHAnsi" w:hAnsiTheme="minorHAnsi"/>
          <w:bCs/>
          <w:snapToGrid w:val="0"/>
        </w:rPr>
        <w:t>1</w:t>
      </w:r>
      <w:r w:rsidRPr="001B613C">
        <w:rPr>
          <w:rFonts w:asciiTheme="minorHAnsi" w:hAnsiTheme="minorHAnsi"/>
          <w:bCs/>
          <w:snapToGrid w:val="0"/>
        </w:rPr>
        <w:t xml:space="preserve">) via the Consumer Comments facility on the PBS website. </w:t>
      </w:r>
      <w:bookmarkEnd w:id="16"/>
    </w:p>
    <w:p w14:paraId="65FC45D4" w14:textId="0DA179C2" w:rsidR="00762231" w:rsidRDefault="00E858BE" w:rsidP="008D2048">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comments (including </w:t>
      </w:r>
      <w:r w:rsidR="00762231">
        <w:rPr>
          <w:rFonts w:asciiTheme="minorHAnsi" w:hAnsiTheme="minorHAnsi"/>
          <w:bCs/>
          <w:snapToGrid w:val="0"/>
        </w:rPr>
        <w:t>comments</w:t>
      </w:r>
      <w:r>
        <w:rPr>
          <w:rFonts w:asciiTheme="minorHAnsi" w:hAnsiTheme="minorHAnsi"/>
          <w:bCs/>
          <w:snapToGrid w:val="0"/>
        </w:rPr>
        <w:t xml:space="preserve"> from i</w:t>
      </w:r>
      <w:r w:rsidR="008706E4">
        <w:rPr>
          <w:rFonts w:asciiTheme="minorHAnsi" w:hAnsiTheme="minorHAnsi"/>
          <w:bCs/>
          <w:snapToGrid w:val="0"/>
        </w:rPr>
        <w:t>ndividuals living with HAE</w:t>
      </w:r>
      <w:r w:rsidR="008E3685" w:rsidRPr="0033677B">
        <w:rPr>
          <w:rFonts w:asciiTheme="minorHAnsi" w:hAnsiTheme="minorHAnsi"/>
          <w:bCs/>
          <w:snapToGrid w:val="0"/>
        </w:rPr>
        <w:t xml:space="preserve"> </w:t>
      </w:r>
      <w:r w:rsidR="008264DC">
        <w:rPr>
          <w:rFonts w:asciiTheme="minorHAnsi" w:hAnsiTheme="minorHAnsi"/>
          <w:bCs/>
          <w:snapToGrid w:val="0"/>
        </w:rPr>
        <w:t>and their caregivers</w:t>
      </w:r>
      <w:r>
        <w:rPr>
          <w:rFonts w:asciiTheme="minorHAnsi" w:hAnsiTheme="minorHAnsi"/>
          <w:bCs/>
          <w:snapToGrid w:val="0"/>
        </w:rPr>
        <w:t xml:space="preserve">, and </w:t>
      </w:r>
      <w:r w:rsidR="006E5624">
        <w:rPr>
          <w:rFonts w:asciiTheme="minorHAnsi" w:hAnsiTheme="minorHAnsi"/>
          <w:bCs/>
          <w:snapToGrid w:val="0"/>
        </w:rPr>
        <w:t xml:space="preserve">from </w:t>
      </w:r>
      <w:r>
        <w:rPr>
          <w:rFonts w:asciiTheme="minorHAnsi" w:hAnsiTheme="minorHAnsi"/>
          <w:bCs/>
          <w:snapToGrid w:val="0"/>
        </w:rPr>
        <w:t>HAE Australia)</w:t>
      </w:r>
      <w:r w:rsidR="008264DC">
        <w:rPr>
          <w:rFonts w:asciiTheme="minorHAnsi" w:hAnsiTheme="minorHAnsi"/>
          <w:bCs/>
          <w:snapToGrid w:val="0"/>
        </w:rPr>
        <w:t xml:space="preserve"> </w:t>
      </w:r>
      <w:r w:rsidR="008E3685" w:rsidRPr="0033677B">
        <w:rPr>
          <w:rFonts w:asciiTheme="minorHAnsi" w:hAnsiTheme="minorHAnsi"/>
          <w:bCs/>
          <w:snapToGrid w:val="0"/>
        </w:rPr>
        <w:t xml:space="preserve">described the debilitating </w:t>
      </w:r>
      <w:r w:rsidR="008264DC">
        <w:rPr>
          <w:rFonts w:asciiTheme="minorHAnsi" w:hAnsiTheme="minorHAnsi"/>
          <w:bCs/>
          <w:snapToGrid w:val="0"/>
        </w:rPr>
        <w:t xml:space="preserve">physical and quality of life </w:t>
      </w:r>
      <w:r w:rsidR="008E3685" w:rsidRPr="0033677B">
        <w:rPr>
          <w:rFonts w:asciiTheme="minorHAnsi" w:hAnsiTheme="minorHAnsi"/>
          <w:bCs/>
          <w:snapToGrid w:val="0"/>
        </w:rPr>
        <w:t xml:space="preserve">impacts of HAE attacks, </w:t>
      </w:r>
      <w:r w:rsidR="00FD4FCB">
        <w:rPr>
          <w:rFonts w:asciiTheme="minorHAnsi" w:hAnsiTheme="minorHAnsi"/>
          <w:bCs/>
          <w:snapToGrid w:val="0"/>
        </w:rPr>
        <w:t>due to both</w:t>
      </w:r>
      <w:r w:rsidR="008264DC" w:rsidRPr="008264DC">
        <w:rPr>
          <w:rFonts w:asciiTheme="minorHAnsi" w:hAnsiTheme="minorHAnsi"/>
          <w:bCs/>
          <w:snapToGrid w:val="0"/>
        </w:rPr>
        <w:t xml:space="preserve"> the attacks themselves and</w:t>
      </w:r>
      <w:r w:rsidR="008264DC">
        <w:rPr>
          <w:rFonts w:asciiTheme="minorHAnsi" w:hAnsiTheme="minorHAnsi"/>
          <w:bCs/>
          <w:snapToGrid w:val="0"/>
        </w:rPr>
        <w:t xml:space="preserve"> </w:t>
      </w:r>
      <w:r w:rsidR="00FD4FCB">
        <w:rPr>
          <w:rFonts w:asciiTheme="minorHAnsi" w:hAnsiTheme="minorHAnsi"/>
          <w:bCs/>
          <w:snapToGrid w:val="0"/>
        </w:rPr>
        <w:t xml:space="preserve">also </w:t>
      </w:r>
      <w:r w:rsidR="003F5A5C">
        <w:rPr>
          <w:rFonts w:asciiTheme="minorHAnsi" w:hAnsiTheme="minorHAnsi"/>
          <w:bCs/>
          <w:snapToGrid w:val="0"/>
        </w:rPr>
        <w:t xml:space="preserve">due to </w:t>
      </w:r>
      <w:r w:rsidR="00FD4FCB">
        <w:rPr>
          <w:rFonts w:asciiTheme="minorHAnsi" w:hAnsiTheme="minorHAnsi"/>
          <w:bCs/>
          <w:snapToGrid w:val="0"/>
        </w:rPr>
        <w:t>the</w:t>
      </w:r>
      <w:r w:rsidR="00153223" w:rsidRPr="0033677B">
        <w:rPr>
          <w:rFonts w:asciiTheme="minorHAnsi" w:hAnsiTheme="minorHAnsi"/>
          <w:bCs/>
          <w:snapToGrid w:val="0"/>
        </w:rPr>
        <w:t xml:space="preserve"> </w:t>
      </w:r>
      <w:r w:rsidR="008E3685" w:rsidRPr="0033677B">
        <w:rPr>
          <w:rFonts w:asciiTheme="minorHAnsi" w:hAnsiTheme="minorHAnsi"/>
          <w:bCs/>
          <w:snapToGrid w:val="0"/>
        </w:rPr>
        <w:t xml:space="preserve">fear of </w:t>
      </w:r>
      <w:r w:rsidR="00FD4FCB">
        <w:rPr>
          <w:rFonts w:asciiTheme="minorHAnsi" w:hAnsiTheme="minorHAnsi"/>
          <w:bCs/>
          <w:snapToGrid w:val="0"/>
        </w:rPr>
        <w:t>attacks</w:t>
      </w:r>
      <w:r>
        <w:rPr>
          <w:rFonts w:asciiTheme="minorHAnsi" w:hAnsiTheme="minorHAnsi"/>
          <w:bCs/>
          <w:snapToGrid w:val="0"/>
        </w:rPr>
        <w:t xml:space="preserve"> </w:t>
      </w:r>
      <w:r w:rsidR="003F5A5C">
        <w:rPr>
          <w:bCs/>
          <w:snapToGrid w:val="0"/>
        </w:rPr>
        <w:t>which can be</w:t>
      </w:r>
      <w:r w:rsidRPr="008264DC">
        <w:rPr>
          <w:bCs/>
          <w:snapToGrid w:val="0"/>
        </w:rPr>
        <w:t xml:space="preserve"> </w:t>
      </w:r>
      <w:r w:rsidRPr="008D2048">
        <w:rPr>
          <w:bCs/>
          <w:snapToGrid w:val="0"/>
        </w:rPr>
        <w:t>unpredictable and life-threatening</w:t>
      </w:r>
      <w:r w:rsidR="008D2048" w:rsidRPr="0033677B">
        <w:rPr>
          <w:rFonts w:asciiTheme="minorHAnsi" w:hAnsiTheme="minorHAnsi"/>
          <w:bCs/>
          <w:snapToGrid w:val="0"/>
        </w:rPr>
        <w:t xml:space="preserve">. </w:t>
      </w:r>
      <w:r w:rsidRPr="00E858BE">
        <w:rPr>
          <w:rFonts w:asciiTheme="minorHAnsi" w:hAnsiTheme="minorHAnsi"/>
          <w:bCs/>
          <w:snapToGrid w:val="0"/>
        </w:rPr>
        <w:t xml:space="preserve">HAE Australia explained that HAE attacks can be painful, and </w:t>
      </w:r>
      <w:r w:rsidR="00762231">
        <w:rPr>
          <w:rFonts w:asciiTheme="minorHAnsi" w:hAnsiTheme="minorHAnsi"/>
          <w:bCs/>
          <w:snapToGrid w:val="0"/>
        </w:rPr>
        <w:t xml:space="preserve">the condition can </w:t>
      </w:r>
      <w:r w:rsidRPr="00E858BE">
        <w:rPr>
          <w:rFonts w:asciiTheme="minorHAnsi" w:hAnsiTheme="minorHAnsi"/>
          <w:bCs/>
          <w:snapToGrid w:val="0"/>
        </w:rPr>
        <w:t>cause significant physical and emotional distress,</w:t>
      </w:r>
      <w:r w:rsidR="006E5624">
        <w:rPr>
          <w:rFonts w:asciiTheme="minorHAnsi" w:hAnsiTheme="minorHAnsi"/>
          <w:bCs/>
          <w:snapToGrid w:val="0"/>
        </w:rPr>
        <w:t xml:space="preserve"> and can</w:t>
      </w:r>
      <w:r w:rsidRPr="00E858BE">
        <w:rPr>
          <w:rFonts w:asciiTheme="minorHAnsi" w:hAnsiTheme="minorHAnsi"/>
          <w:bCs/>
          <w:snapToGrid w:val="0"/>
        </w:rPr>
        <w:t xml:space="preserve"> </w:t>
      </w:r>
      <w:r w:rsidR="00762231">
        <w:rPr>
          <w:rFonts w:asciiTheme="minorHAnsi" w:hAnsiTheme="minorHAnsi"/>
          <w:bCs/>
          <w:snapToGrid w:val="0"/>
        </w:rPr>
        <w:t>i</w:t>
      </w:r>
      <w:r w:rsidRPr="00E858BE">
        <w:rPr>
          <w:rFonts w:asciiTheme="minorHAnsi" w:hAnsiTheme="minorHAnsi"/>
          <w:bCs/>
          <w:snapToGrid w:val="0"/>
        </w:rPr>
        <w:t xml:space="preserve">mpact on </w:t>
      </w:r>
      <w:r w:rsidR="00762231">
        <w:rPr>
          <w:rFonts w:asciiTheme="minorHAnsi" w:hAnsiTheme="minorHAnsi"/>
          <w:bCs/>
          <w:snapToGrid w:val="0"/>
        </w:rPr>
        <w:t xml:space="preserve">a patient’s </w:t>
      </w:r>
      <w:r w:rsidRPr="00E858BE">
        <w:rPr>
          <w:rFonts w:asciiTheme="minorHAnsi" w:hAnsiTheme="minorHAnsi"/>
          <w:bCs/>
          <w:snapToGrid w:val="0"/>
        </w:rPr>
        <w:t>ability to work, maintain relationships and engage in everyday activities</w:t>
      </w:r>
      <w:r w:rsidR="00762231">
        <w:rPr>
          <w:rFonts w:asciiTheme="minorHAnsi" w:hAnsiTheme="minorHAnsi"/>
          <w:bCs/>
          <w:snapToGrid w:val="0"/>
        </w:rPr>
        <w:t xml:space="preserve">. </w:t>
      </w:r>
    </w:p>
    <w:p w14:paraId="11B0EDE6" w14:textId="07AC2E2B" w:rsidR="008D2048" w:rsidRPr="008264DC" w:rsidRDefault="008706E4" w:rsidP="008D2048">
      <w:pPr>
        <w:widowControl w:val="0"/>
        <w:numPr>
          <w:ilvl w:val="1"/>
          <w:numId w:val="1"/>
        </w:numPr>
        <w:spacing w:after="120"/>
        <w:rPr>
          <w:rFonts w:asciiTheme="minorHAnsi" w:hAnsiTheme="minorHAnsi"/>
          <w:bCs/>
          <w:snapToGrid w:val="0"/>
        </w:rPr>
      </w:pPr>
      <w:r>
        <w:rPr>
          <w:rFonts w:asciiTheme="minorHAnsi" w:hAnsiTheme="minorHAnsi"/>
          <w:bCs/>
          <w:snapToGrid w:val="0"/>
        </w:rPr>
        <w:t>The</w:t>
      </w:r>
      <w:r w:rsidR="00FD4FCB">
        <w:rPr>
          <w:rFonts w:asciiTheme="minorHAnsi" w:hAnsiTheme="minorHAnsi"/>
          <w:bCs/>
          <w:snapToGrid w:val="0"/>
        </w:rPr>
        <w:t xml:space="preserve"> comments</w:t>
      </w:r>
      <w:r w:rsidR="00BB7DED" w:rsidRPr="008706E4">
        <w:rPr>
          <w:rFonts w:asciiTheme="minorHAnsi" w:hAnsiTheme="minorHAnsi"/>
          <w:bCs/>
          <w:snapToGrid w:val="0"/>
        </w:rPr>
        <w:t xml:space="preserve"> </w:t>
      </w:r>
      <w:r w:rsidR="0033677B" w:rsidRPr="008706E4">
        <w:rPr>
          <w:rFonts w:asciiTheme="minorHAnsi" w:hAnsiTheme="minorHAnsi"/>
          <w:bCs/>
          <w:snapToGrid w:val="0"/>
        </w:rPr>
        <w:t>described the challenges of treat</w:t>
      </w:r>
      <w:r w:rsidR="00B4673E">
        <w:rPr>
          <w:rFonts w:asciiTheme="minorHAnsi" w:hAnsiTheme="minorHAnsi"/>
          <w:bCs/>
          <w:snapToGrid w:val="0"/>
        </w:rPr>
        <w:t>ing</w:t>
      </w:r>
      <w:r w:rsidR="0033677B" w:rsidRPr="008706E4">
        <w:rPr>
          <w:rFonts w:asciiTheme="minorHAnsi" w:hAnsiTheme="minorHAnsi"/>
          <w:bCs/>
          <w:snapToGrid w:val="0"/>
        </w:rPr>
        <w:t xml:space="preserve"> attacks with ODT (e</w:t>
      </w:r>
      <w:r w:rsidR="006E5624">
        <w:rPr>
          <w:rFonts w:asciiTheme="minorHAnsi" w:hAnsiTheme="minorHAnsi"/>
          <w:bCs/>
          <w:snapToGrid w:val="0"/>
        </w:rPr>
        <w:t>.</w:t>
      </w:r>
      <w:r w:rsidR="0033677B" w:rsidRPr="008706E4">
        <w:rPr>
          <w:rFonts w:asciiTheme="minorHAnsi" w:hAnsiTheme="minorHAnsi"/>
          <w:bCs/>
          <w:snapToGrid w:val="0"/>
        </w:rPr>
        <w:t>g</w:t>
      </w:r>
      <w:r w:rsidR="006E5624">
        <w:rPr>
          <w:rFonts w:asciiTheme="minorHAnsi" w:hAnsiTheme="minorHAnsi"/>
          <w:bCs/>
          <w:snapToGrid w:val="0"/>
        </w:rPr>
        <w:t>.</w:t>
      </w:r>
      <w:r w:rsidR="0033677B" w:rsidRPr="008706E4">
        <w:rPr>
          <w:rFonts w:asciiTheme="minorHAnsi" w:hAnsiTheme="minorHAnsi"/>
          <w:bCs/>
          <w:snapToGrid w:val="0"/>
        </w:rPr>
        <w:t xml:space="preserve"> icatibant</w:t>
      </w:r>
      <w:r w:rsidR="006E5624">
        <w:rPr>
          <w:rFonts w:asciiTheme="minorHAnsi" w:hAnsiTheme="minorHAnsi"/>
          <w:bCs/>
          <w:snapToGrid w:val="0"/>
        </w:rPr>
        <w:t xml:space="preserve"> and</w:t>
      </w:r>
      <w:r w:rsidR="0033677B" w:rsidRPr="008706E4">
        <w:rPr>
          <w:rFonts w:asciiTheme="minorHAnsi" w:hAnsiTheme="minorHAnsi"/>
          <w:bCs/>
          <w:snapToGrid w:val="0"/>
        </w:rPr>
        <w:t xml:space="preserve"> C1-INH) and </w:t>
      </w:r>
      <w:r w:rsidR="003F5A5C">
        <w:rPr>
          <w:rFonts w:asciiTheme="minorHAnsi" w:hAnsiTheme="minorHAnsi"/>
          <w:bCs/>
          <w:snapToGrid w:val="0"/>
        </w:rPr>
        <w:t>the</w:t>
      </w:r>
      <w:r w:rsidR="00BB7DED" w:rsidRPr="008706E4">
        <w:rPr>
          <w:rFonts w:asciiTheme="minorHAnsi" w:hAnsiTheme="minorHAnsi"/>
          <w:bCs/>
          <w:snapToGrid w:val="0"/>
        </w:rPr>
        <w:t xml:space="preserve"> v</w:t>
      </w:r>
      <w:r w:rsidR="008F66A5" w:rsidRPr="008F66A5">
        <w:rPr>
          <w:rFonts w:asciiTheme="minorHAnsi" w:hAnsiTheme="minorHAnsi"/>
          <w:bCs/>
          <w:snapToGrid w:val="0"/>
        </w:rPr>
        <w:t xml:space="preserve">arying levels of </w:t>
      </w:r>
      <w:r w:rsidR="00762231">
        <w:rPr>
          <w:rFonts w:asciiTheme="minorHAnsi" w:hAnsiTheme="minorHAnsi"/>
          <w:bCs/>
          <w:snapToGrid w:val="0"/>
        </w:rPr>
        <w:t>response to</w:t>
      </w:r>
      <w:r w:rsidR="008F66A5" w:rsidRPr="008F66A5">
        <w:rPr>
          <w:rFonts w:asciiTheme="minorHAnsi" w:hAnsiTheme="minorHAnsi"/>
          <w:bCs/>
          <w:snapToGrid w:val="0"/>
        </w:rPr>
        <w:t xml:space="preserve"> other </w:t>
      </w:r>
      <w:r w:rsidR="00BB7DED" w:rsidRPr="008706E4">
        <w:rPr>
          <w:rFonts w:asciiTheme="minorHAnsi" w:hAnsiTheme="minorHAnsi"/>
          <w:bCs/>
          <w:snapToGrid w:val="0"/>
        </w:rPr>
        <w:t xml:space="preserve">prophylactic </w:t>
      </w:r>
      <w:r w:rsidR="008F66A5" w:rsidRPr="008F66A5">
        <w:rPr>
          <w:rFonts w:asciiTheme="minorHAnsi" w:hAnsiTheme="minorHAnsi"/>
          <w:bCs/>
          <w:snapToGrid w:val="0"/>
        </w:rPr>
        <w:t>therapies (</w:t>
      </w:r>
      <w:r w:rsidR="00BB7DED" w:rsidRPr="008706E4">
        <w:rPr>
          <w:rFonts w:asciiTheme="minorHAnsi" w:hAnsiTheme="minorHAnsi"/>
          <w:bCs/>
          <w:snapToGrid w:val="0"/>
        </w:rPr>
        <w:t>e</w:t>
      </w:r>
      <w:r w:rsidR="00762231">
        <w:rPr>
          <w:rFonts w:asciiTheme="minorHAnsi" w:hAnsiTheme="minorHAnsi"/>
          <w:bCs/>
          <w:snapToGrid w:val="0"/>
        </w:rPr>
        <w:t>.</w:t>
      </w:r>
      <w:r w:rsidR="00BB7DED" w:rsidRPr="008706E4">
        <w:rPr>
          <w:rFonts w:asciiTheme="minorHAnsi" w:hAnsiTheme="minorHAnsi"/>
          <w:bCs/>
          <w:snapToGrid w:val="0"/>
        </w:rPr>
        <w:t>g</w:t>
      </w:r>
      <w:r w:rsidR="00762231">
        <w:rPr>
          <w:rFonts w:asciiTheme="minorHAnsi" w:hAnsiTheme="minorHAnsi"/>
          <w:bCs/>
          <w:snapToGrid w:val="0"/>
        </w:rPr>
        <w:t>.</w:t>
      </w:r>
      <w:r w:rsidR="00BB7DED" w:rsidRPr="008706E4">
        <w:rPr>
          <w:rFonts w:asciiTheme="minorHAnsi" w:hAnsiTheme="minorHAnsi"/>
          <w:bCs/>
          <w:snapToGrid w:val="0"/>
        </w:rPr>
        <w:t xml:space="preserve"> lanadelumab</w:t>
      </w:r>
      <w:r w:rsidR="008F66A5" w:rsidRPr="008F66A5">
        <w:rPr>
          <w:rFonts w:asciiTheme="minorHAnsi" w:hAnsiTheme="minorHAnsi"/>
          <w:bCs/>
          <w:snapToGrid w:val="0"/>
        </w:rPr>
        <w:t xml:space="preserve">, </w:t>
      </w:r>
      <w:r w:rsidR="0033677B" w:rsidRPr="008706E4">
        <w:rPr>
          <w:rFonts w:asciiTheme="minorHAnsi" w:hAnsiTheme="minorHAnsi"/>
          <w:bCs/>
          <w:snapToGrid w:val="0"/>
        </w:rPr>
        <w:t>C1-INH</w:t>
      </w:r>
      <w:r w:rsidR="00BB7DED" w:rsidRPr="008706E4">
        <w:rPr>
          <w:rFonts w:asciiTheme="minorHAnsi" w:hAnsiTheme="minorHAnsi"/>
          <w:bCs/>
          <w:snapToGrid w:val="0"/>
        </w:rPr>
        <w:t xml:space="preserve"> and </w:t>
      </w:r>
      <w:r w:rsidR="008F66A5" w:rsidRPr="008F66A5">
        <w:rPr>
          <w:rFonts w:asciiTheme="minorHAnsi" w:hAnsiTheme="minorHAnsi"/>
          <w:bCs/>
          <w:snapToGrid w:val="0"/>
        </w:rPr>
        <w:t>danazol)</w:t>
      </w:r>
      <w:r w:rsidR="00BB7DED" w:rsidRPr="008706E4">
        <w:rPr>
          <w:rFonts w:asciiTheme="minorHAnsi" w:hAnsiTheme="minorHAnsi"/>
          <w:bCs/>
          <w:snapToGrid w:val="0"/>
        </w:rPr>
        <w:t xml:space="preserve">, </w:t>
      </w:r>
      <w:r w:rsidR="00762231">
        <w:rPr>
          <w:rFonts w:asciiTheme="minorHAnsi" w:hAnsiTheme="minorHAnsi"/>
          <w:bCs/>
          <w:snapToGrid w:val="0"/>
        </w:rPr>
        <w:t xml:space="preserve">with </w:t>
      </w:r>
      <w:r w:rsidR="00BB7DED" w:rsidRPr="008706E4">
        <w:rPr>
          <w:rFonts w:asciiTheme="minorHAnsi" w:hAnsiTheme="minorHAnsi"/>
          <w:bCs/>
          <w:snapToGrid w:val="0"/>
        </w:rPr>
        <w:t>many</w:t>
      </w:r>
      <w:r w:rsidR="00762231">
        <w:rPr>
          <w:rFonts w:asciiTheme="minorHAnsi" w:hAnsiTheme="minorHAnsi"/>
          <w:bCs/>
          <w:snapToGrid w:val="0"/>
        </w:rPr>
        <w:t xml:space="preserve"> patients</w:t>
      </w:r>
      <w:r w:rsidR="00BB7DED" w:rsidRPr="008706E4">
        <w:rPr>
          <w:rFonts w:asciiTheme="minorHAnsi" w:hAnsiTheme="minorHAnsi"/>
          <w:bCs/>
          <w:snapToGrid w:val="0"/>
        </w:rPr>
        <w:t xml:space="preserve"> </w:t>
      </w:r>
      <w:r w:rsidR="00FD4FCB" w:rsidRPr="008706E4">
        <w:rPr>
          <w:rFonts w:asciiTheme="minorHAnsi" w:hAnsiTheme="minorHAnsi"/>
          <w:bCs/>
          <w:snapToGrid w:val="0"/>
        </w:rPr>
        <w:t>report</w:t>
      </w:r>
      <w:r w:rsidR="00762231">
        <w:rPr>
          <w:rFonts w:asciiTheme="minorHAnsi" w:hAnsiTheme="minorHAnsi"/>
          <w:bCs/>
          <w:snapToGrid w:val="0"/>
        </w:rPr>
        <w:t>ing</w:t>
      </w:r>
      <w:r w:rsidR="00FD4FCB" w:rsidRPr="008706E4">
        <w:rPr>
          <w:rFonts w:asciiTheme="minorHAnsi" w:hAnsiTheme="minorHAnsi"/>
          <w:bCs/>
          <w:snapToGrid w:val="0"/>
        </w:rPr>
        <w:t xml:space="preserve"> </w:t>
      </w:r>
      <w:r w:rsidR="00762231">
        <w:rPr>
          <w:rFonts w:asciiTheme="minorHAnsi" w:hAnsiTheme="minorHAnsi"/>
          <w:bCs/>
          <w:snapToGrid w:val="0"/>
        </w:rPr>
        <w:t>adequate</w:t>
      </w:r>
      <w:r w:rsidR="00762231" w:rsidRPr="008706E4">
        <w:rPr>
          <w:rFonts w:asciiTheme="minorHAnsi" w:hAnsiTheme="minorHAnsi"/>
          <w:bCs/>
          <w:snapToGrid w:val="0"/>
        </w:rPr>
        <w:t xml:space="preserve"> </w:t>
      </w:r>
      <w:r w:rsidR="00BB7DED" w:rsidRPr="008706E4">
        <w:rPr>
          <w:rFonts w:asciiTheme="minorHAnsi" w:hAnsiTheme="minorHAnsi"/>
          <w:bCs/>
          <w:snapToGrid w:val="0"/>
        </w:rPr>
        <w:t xml:space="preserve">control of attacks, </w:t>
      </w:r>
      <w:r w:rsidR="00762231">
        <w:rPr>
          <w:rFonts w:asciiTheme="minorHAnsi" w:hAnsiTheme="minorHAnsi"/>
          <w:bCs/>
          <w:snapToGrid w:val="0"/>
        </w:rPr>
        <w:t xml:space="preserve">while others </w:t>
      </w:r>
      <w:r w:rsidR="00FD4FCB" w:rsidRPr="008706E4">
        <w:rPr>
          <w:rFonts w:asciiTheme="minorHAnsi" w:hAnsiTheme="minorHAnsi"/>
          <w:bCs/>
          <w:snapToGrid w:val="0"/>
        </w:rPr>
        <w:t>report</w:t>
      </w:r>
      <w:r w:rsidR="00FD4FCB">
        <w:rPr>
          <w:rFonts w:asciiTheme="minorHAnsi" w:hAnsiTheme="minorHAnsi"/>
          <w:bCs/>
          <w:snapToGrid w:val="0"/>
        </w:rPr>
        <w:t>ed</w:t>
      </w:r>
      <w:r w:rsidR="00FD4FCB" w:rsidRPr="008706E4">
        <w:rPr>
          <w:rFonts w:asciiTheme="minorHAnsi" w:hAnsiTheme="minorHAnsi"/>
          <w:bCs/>
          <w:snapToGrid w:val="0"/>
        </w:rPr>
        <w:t xml:space="preserve"> </w:t>
      </w:r>
      <w:r w:rsidR="008F66A5" w:rsidRPr="008F66A5">
        <w:rPr>
          <w:rFonts w:asciiTheme="minorHAnsi" w:hAnsiTheme="minorHAnsi"/>
          <w:bCs/>
          <w:snapToGrid w:val="0"/>
        </w:rPr>
        <w:t xml:space="preserve">continued frequent </w:t>
      </w:r>
      <w:r w:rsidR="00BB7DED" w:rsidRPr="008706E4">
        <w:rPr>
          <w:rFonts w:asciiTheme="minorHAnsi" w:hAnsiTheme="minorHAnsi"/>
          <w:bCs/>
          <w:snapToGrid w:val="0"/>
        </w:rPr>
        <w:t xml:space="preserve">hospitalisations. </w:t>
      </w:r>
      <w:r w:rsidR="00E858BE">
        <w:rPr>
          <w:rFonts w:asciiTheme="minorHAnsi" w:hAnsiTheme="minorHAnsi"/>
          <w:bCs/>
          <w:snapToGrid w:val="0"/>
        </w:rPr>
        <w:t>HAE Australia and c</w:t>
      </w:r>
      <w:r w:rsidR="008E3685" w:rsidRPr="0033677B">
        <w:rPr>
          <w:rFonts w:asciiTheme="minorHAnsi" w:hAnsiTheme="minorHAnsi"/>
          <w:bCs/>
          <w:snapToGrid w:val="0"/>
        </w:rPr>
        <w:t>onsumers who have accessed garadacimab describ</w:t>
      </w:r>
      <w:r w:rsidR="00153223" w:rsidRPr="0033677B">
        <w:rPr>
          <w:rFonts w:asciiTheme="minorHAnsi" w:hAnsiTheme="minorHAnsi"/>
          <w:bCs/>
          <w:snapToGrid w:val="0"/>
        </w:rPr>
        <w:t>ed</w:t>
      </w:r>
      <w:r w:rsidR="008E3685" w:rsidRPr="0033677B">
        <w:rPr>
          <w:rFonts w:asciiTheme="minorHAnsi" w:hAnsiTheme="minorHAnsi"/>
          <w:bCs/>
          <w:snapToGrid w:val="0"/>
        </w:rPr>
        <w:t xml:space="preserve"> </w:t>
      </w:r>
      <w:r w:rsidR="00FD4FCB">
        <w:rPr>
          <w:rFonts w:asciiTheme="minorHAnsi" w:hAnsiTheme="minorHAnsi"/>
          <w:bCs/>
          <w:snapToGrid w:val="0"/>
        </w:rPr>
        <w:t>the</w:t>
      </w:r>
      <w:r w:rsidR="0033677B" w:rsidRPr="0033677B">
        <w:rPr>
          <w:rFonts w:asciiTheme="minorHAnsi" w:hAnsiTheme="minorHAnsi"/>
          <w:bCs/>
          <w:snapToGrid w:val="0"/>
        </w:rPr>
        <w:t xml:space="preserve"> valu</w:t>
      </w:r>
      <w:r w:rsidR="00FD4FCB">
        <w:rPr>
          <w:rFonts w:asciiTheme="minorHAnsi" w:hAnsiTheme="minorHAnsi"/>
          <w:bCs/>
          <w:snapToGrid w:val="0"/>
        </w:rPr>
        <w:t>e of</w:t>
      </w:r>
      <w:r w:rsidR="00762231">
        <w:rPr>
          <w:rFonts w:asciiTheme="minorHAnsi" w:hAnsiTheme="minorHAnsi"/>
          <w:bCs/>
          <w:snapToGrid w:val="0"/>
        </w:rPr>
        <w:t>:</w:t>
      </w:r>
      <w:r w:rsidR="0033677B" w:rsidRPr="0033677B">
        <w:rPr>
          <w:rFonts w:asciiTheme="minorHAnsi" w:hAnsiTheme="minorHAnsi"/>
          <w:bCs/>
          <w:snapToGrid w:val="0"/>
        </w:rPr>
        <w:t xml:space="preserve"> </w:t>
      </w:r>
      <w:r w:rsidR="00BD4DB3" w:rsidRPr="008264DC">
        <w:rPr>
          <w:rFonts w:asciiTheme="minorHAnsi" w:hAnsiTheme="minorHAnsi"/>
          <w:bCs/>
          <w:snapToGrid w:val="0"/>
        </w:rPr>
        <w:t>self-administration</w:t>
      </w:r>
      <w:r w:rsidR="008F66A5" w:rsidRPr="008F66A5">
        <w:rPr>
          <w:rFonts w:asciiTheme="minorHAnsi" w:hAnsiTheme="minorHAnsi"/>
          <w:bCs/>
          <w:snapToGrid w:val="0"/>
        </w:rPr>
        <w:t xml:space="preserve"> </w:t>
      </w:r>
      <w:r w:rsidR="00762231">
        <w:rPr>
          <w:rFonts w:asciiTheme="minorHAnsi" w:hAnsiTheme="minorHAnsi"/>
          <w:bCs/>
          <w:snapToGrid w:val="0"/>
        </w:rPr>
        <w:t xml:space="preserve">(given garadacimab is administered by sub-cutaneous injection); </w:t>
      </w:r>
      <w:r w:rsidR="008F66A5" w:rsidRPr="008F66A5">
        <w:rPr>
          <w:rFonts w:asciiTheme="minorHAnsi" w:hAnsiTheme="minorHAnsi"/>
          <w:bCs/>
          <w:snapToGrid w:val="0"/>
        </w:rPr>
        <w:t>less frequent dosing</w:t>
      </w:r>
      <w:r w:rsidR="006E5624">
        <w:rPr>
          <w:rFonts w:asciiTheme="minorHAnsi" w:hAnsiTheme="minorHAnsi"/>
          <w:bCs/>
          <w:snapToGrid w:val="0"/>
        </w:rPr>
        <w:t>;</w:t>
      </w:r>
      <w:r w:rsidR="00E858BE">
        <w:rPr>
          <w:rFonts w:asciiTheme="minorHAnsi" w:hAnsiTheme="minorHAnsi"/>
          <w:bCs/>
          <w:snapToGrid w:val="0"/>
        </w:rPr>
        <w:t xml:space="preserve"> </w:t>
      </w:r>
      <w:r w:rsidR="00762231">
        <w:rPr>
          <w:rFonts w:asciiTheme="minorHAnsi" w:hAnsiTheme="minorHAnsi"/>
          <w:bCs/>
          <w:snapToGrid w:val="0"/>
        </w:rPr>
        <w:t xml:space="preserve">less stringent refrigeration requirements (e.g. garadacimab </w:t>
      </w:r>
      <w:proofErr w:type="gramStart"/>
      <w:r w:rsidR="00762231">
        <w:rPr>
          <w:rFonts w:asciiTheme="minorHAnsi" w:hAnsiTheme="minorHAnsi"/>
          <w:bCs/>
          <w:snapToGrid w:val="0"/>
        </w:rPr>
        <w:t xml:space="preserve">can be </w:t>
      </w:r>
      <w:r w:rsidR="00762231" w:rsidRPr="00762231">
        <w:rPr>
          <w:rFonts w:asciiTheme="minorHAnsi" w:hAnsiTheme="minorHAnsi"/>
          <w:bCs/>
          <w:snapToGrid w:val="0"/>
        </w:rPr>
        <w:t>may be</w:t>
      </w:r>
      <w:proofErr w:type="gramEnd"/>
      <w:r w:rsidR="00762231" w:rsidRPr="00762231">
        <w:rPr>
          <w:rFonts w:asciiTheme="minorHAnsi" w:hAnsiTheme="minorHAnsi"/>
          <w:bCs/>
          <w:snapToGrid w:val="0"/>
        </w:rPr>
        <w:t xml:space="preserve"> stored at room temperature for up to 2 months</w:t>
      </w:r>
      <w:r w:rsidR="00762231">
        <w:rPr>
          <w:rFonts w:asciiTheme="minorHAnsi" w:hAnsiTheme="minorHAnsi"/>
          <w:bCs/>
          <w:snapToGrid w:val="0"/>
        </w:rPr>
        <w:t xml:space="preserve">, </w:t>
      </w:r>
      <w:r w:rsidR="00FD4FCB">
        <w:rPr>
          <w:rFonts w:asciiTheme="minorHAnsi" w:hAnsiTheme="minorHAnsi"/>
          <w:bCs/>
          <w:snapToGrid w:val="0"/>
        </w:rPr>
        <w:t>which may be more</w:t>
      </w:r>
      <w:r w:rsidR="0033677B" w:rsidRPr="008264DC">
        <w:rPr>
          <w:rFonts w:asciiTheme="minorHAnsi" w:hAnsiTheme="minorHAnsi"/>
          <w:bCs/>
          <w:snapToGrid w:val="0"/>
        </w:rPr>
        <w:t xml:space="preserve"> convenien</w:t>
      </w:r>
      <w:r w:rsidR="00FD4FCB">
        <w:rPr>
          <w:rFonts w:asciiTheme="minorHAnsi" w:hAnsiTheme="minorHAnsi"/>
          <w:bCs/>
          <w:snapToGrid w:val="0"/>
        </w:rPr>
        <w:t>t</w:t>
      </w:r>
      <w:r w:rsidR="0033677B" w:rsidRPr="008264DC">
        <w:rPr>
          <w:rFonts w:asciiTheme="minorHAnsi" w:hAnsiTheme="minorHAnsi"/>
          <w:bCs/>
          <w:snapToGrid w:val="0"/>
        </w:rPr>
        <w:t xml:space="preserve"> for travel</w:t>
      </w:r>
      <w:r w:rsidR="00FD4FCB">
        <w:rPr>
          <w:rFonts w:asciiTheme="minorHAnsi" w:hAnsiTheme="minorHAnsi"/>
          <w:bCs/>
          <w:snapToGrid w:val="0"/>
        </w:rPr>
        <w:t>)</w:t>
      </w:r>
      <w:r w:rsidR="006E5624">
        <w:rPr>
          <w:rFonts w:asciiTheme="minorHAnsi" w:hAnsiTheme="minorHAnsi"/>
          <w:bCs/>
          <w:snapToGrid w:val="0"/>
        </w:rPr>
        <w:t>;</w:t>
      </w:r>
      <w:r w:rsidR="0033677B" w:rsidRPr="008264DC">
        <w:rPr>
          <w:rFonts w:asciiTheme="minorHAnsi" w:hAnsiTheme="minorHAnsi"/>
          <w:bCs/>
          <w:snapToGrid w:val="0"/>
        </w:rPr>
        <w:t xml:space="preserve"> and few</w:t>
      </w:r>
      <w:r w:rsidR="00974641">
        <w:rPr>
          <w:rFonts w:asciiTheme="minorHAnsi" w:hAnsiTheme="minorHAnsi"/>
          <w:bCs/>
          <w:snapToGrid w:val="0"/>
        </w:rPr>
        <w:t>er</w:t>
      </w:r>
      <w:r w:rsidR="0033677B" w:rsidRPr="008264DC">
        <w:rPr>
          <w:rFonts w:asciiTheme="minorHAnsi" w:hAnsiTheme="minorHAnsi"/>
          <w:bCs/>
          <w:snapToGrid w:val="0"/>
        </w:rPr>
        <w:t xml:space="preserve"> </w:t>
      </w:r>
      <w:r w:rsidR="00974641">
        <w:rPr>
          <w:rFonts w:asciiTheme="minorHAnsi" w:hAnsiTheme="minorHAnsi"/>
          <w:bCs/>
          <w:snapToGrid w:val="0"/>
        </w:rPr>
        <w:t>adverse</w:t>
      </w:r>
      <w:r w:rsidR="00974641" w:rsidRPr="008264DC">
        <w:rPr>
          <w:rFonts w:asciiTheme="minorHAnsi" w:hAnsiTheme="minorHAnsi"/>
          <w:bCs/>
          <w:snapToGrid w:val="0"/>
        </w:rPr>
        <w:t xml:space="preserve"> </w:t>
      </w:r>
      <w:r w:rsidR="0033677B" w:rsidRPr="008264DC">
        <w:rPr>
          <w:rFonts w:asciiTheme="minorHAnsi" w:hAnsiTheme="minorHAnsi"/>
          <w:bCs/>
          <w:snapToGrid w:val="0"/>
        </w:rPr>
        <w:t>effects</w:t>
      </w:r>
      <w:r w:rsidR="00762231" w:rsidRPr="00762231">
        <w:rPr>
          <w:rFonts w:asciiTheme="minorHAnsi" w:hAnsiTheme="minorHAnsi"/>
          <w:bCs/>
          <w:snapToGrid w:val="0"/>
        </w:rPr>
        <w:t xml:space="preserve"> </w:t>
      </w:r>
      <w:r w:rsidR="00762231">
        <w:rPr>
          <w:rFonts w:asciiTheme="minorHAnsi" w:hAnsiTheme="minorHAnsi"/>
          <w:bCs/>
          <w:snapToGrid w:val="0"/>
        </w:rPr>
        <w:t>(e.g. injection site reactions)</w:t>
      </w:r>
      <w:r w:rsidR="00974641">
        <w:rPr>
          <w:rFonts w:asciiTheme="minorHAnsi" w:hAnsiTheme="minorHAnsi"/>
          <w:bCs/>
          <w:snapToGrid w:val="0"/>
        </w:rPr>
        <w:t>.</w:t>
      </w:r>
    </w:p>
    <w:p w14:paraId="0B4055A5" w14:textId="328498FC" w:rsidR="008F66A5" w:rsidRPr="008264DC" w:rsidRDefault="0077027A" w:rsidP="00B4673E">
      <w:pPr>
        <w:widowControl w:val="0"/>
        <w:numPr>
          <w:ilvl w:val="1"/>
          <w:numId w:val="1"/>
        </w:numPr>
        <w:spacing w:after="120"/>
        <w:rPr>
          <w:rFonts w:asciiTheme="minorHAnsi" w:hAnsiTheme="minorHAnsi"/>
          <w:bCs/>
          <w:snapToGrid w:val="0"/>
        </w:rPr>
      </w:pPr>
      <w:r w:rsidRPr="006E5624">
        <w:rPr>
          <w:rFonts w:asciiTheme="minorHAnsi" w:hAnsiTheme="minorHAnsi"/>
          <w:bCs/>
          <w:snapToGrid w:val="0"/>
        </w:rPr>
        <w:t xml:space="preserve">Health professionals </w:t>
      </w:r>
      <w:r w:rsidR="00057362" w:rsidRPr="006E5624">
        <w:rPr>
          <w:rFonts w:asciiTheme="minorHAnsi" w:hAnsiTheme="minorHAnsi"/>
          <w:bCs/>
          <w:snapToGrid w:val="0"/>
        </w:rPr>
        <w:t xml:space="preserve">outlined the clinical trial results </w:t>
      </w:r>
      <w:r w:rsidR="006E5624" w:rsidRPr="006E5624">
        <w:rPr>
          <w:rFonts w:asciiTheme="minorHAnsi" w:hAnsiTheme="minorHAnsi"/>
          <w:bCs/>
          <w:snapToGrid w:val="0"/>
        </w:rPr>
        <w:t>and n</w:t>
      </w:r>
      <w:r w:rsidR="006E3A85" w:rsidRPr="006E5624">
        <w:rPr>
          <w:rFonts w:asciiTheme="minorHAnsi" w:hAnsiTheme="minorHAnsi"/>
          <w:bCs/>
          <w:snapToGrid w:val="0"/>
        </w:rPr>
        <w:t xml:space="preserve">oted </w:t>
      </w:r>
      <w:r w:rsidR="00762231" w:rsidRPr="006E5624">
        <w:rPr>
          <w:rFonts w:asciiTheme="minorHAnsi" w:hAnsiTheme="minorHAnsi"/>
          <w:bCs/>
          <w:snapToGrid w:val="0"/>
        </w:rPr>
        <w:t xml:space="preserve">that some patients treated with garadacimab have experienced </w:t>
      </w:r>
      <w:r w:rsidR="006E3A85" w:rsidRPr="006E5624">
        <w:rPr>
          <w:rFonts w:asciiTheme="minorHAnsi" w:hAnsiTheme="minorHAnsi"/>
          <w:bCs/>
          <w:snapToGrid w:val="0"/>
        </w:rPr>
        <w:t xml:space="preserve">complete control of HAE attacks. </w:t>
      </w:r>
      <w:r w:rsidR="00F52A33" w:rsidRPr="006E5624">
        <w:rPr>
          <w:rFonts w:asciiTheme="minorHAnsi" w:hAnsiTheme="minorHAnsi"/>
          <w:bCs/>
          <w:snapToGrid w:val="0"/>
        </w:rPr>
        <w:t xml:space="preserve">Health professionals noted the </w:t>
      </w:r>
      <w:r w:rsidR="00782672" w:rsidRPr="006E5624">
        <w:rPr>
          <w:rFonts w:asciiTheme="minorHAnsi" w:hAnsiTheme="minorHAnsi"/>
          <w:bCs/>
          <w:snapToGrid w:val="0"/>
        </w:rPr>
        <w:t xml:space="preserve">wide range of attack frequency, and </w:t>
      </w:r>
      <w:r w:rsidR="003F5A5C">
        <w:rPr>
          <w:rFonts w:asciiTheme="minorHAnsi" w:hAnsiTheme="minorHAnsi"/>
          <w:bCs/>
          <w:snapToGrid w:val="0"/>
        </w:rPr>
        <w:t xml:space="preserve">outlined </w:t>
      </w:r>
      <w:r w:rsidR="00782672" w:rsidRPr="006E5624">
        <w:rPr>
          <w:rFonts w:asciiTheme="minorHAnsi" w:hAnsiTheme="minorHAnsi"/>
          <w:bCs/>
          <w:snapToGrid w:val="0"/>
        </w:rPr>
        <w:t>that only some patients are on any form of preventive treatment</w:t>
      </w:r>
      <w:r w:rsidR="006E3A85" w:rsidRPr="006E5624">
        <w:rPr>
          <w:rFonts w:asciiTheme="minorHAnsi" w:hAnsiTheme="minorHAnsi"/>
          <w:bCs/>
          <w:snapToGrid w:val="0"/>
        </w:rPr>
        <w:t xml:space="preserve">. </w:t>
      </w:r>
    </w:p>
    <w:p w14:paraId="609C0765" w14:textId="096AE256" w:rsidR="00B60939" w:rsidRPr="0015004F" w:rsidRDefault="00B60939" w:rsidP="002E4F02">
      <w:pPr>
        <w:pStyle w:val="4-SubsectionHeading"/>
        <w:rPr>
          <w:i w:val="0"/>
        </w:rPr>
      </w:pPr>
      <w:r w:rsidRPr="0015004F">
        <w:rPr>
          <w:i w:val="0"/>
        </w:rPr>
        <w:lastRenderedPageBreak/>
        <w:t>Clinical trials</w:t>
      </w:r>
      <w:bookmarkEnd w:id="13"/>
      <w:bookmarkEnd w:id="15"/>
    </w:p>
    <w:p w14:paraId="74220127" w14:textId="1829A8AF" w:rsidR="001E484C" w:rsidRPr="0015004F" w:rsidRDefault="001E484C" w:rsidP="001E484C">
      <w:pPr>
        <w:pStyle w:val="3-BodyText"/>
        <w:rPr>
          <w:color w:val="0066FF"/>
        </w:rPr>
      </w:pPr>
      <w:r w:rsidRPr="0015004F">
        <w:rPr>
          <w:color w:val="000000" w:themeColor="text1"/>
        </w:rPr>
        <w:t xml:space="preserve">No head-to-head trials were identified for a direct comparison between garadacimab and lanadelumab as LTP in the proposed PBS target population. The submission was based on </w:t>
      </w:r>
      <w:r w:rsidR="15A88C35" w:rsidRPr="0015004F">
        <w:rPr>
          <w:color w:val="000000" w:themeColor="text1"/>
        </w:rPr>
        <w:t>one</w:t>
      </w:r>
      <w:r w:rsidRPr="0015004F">
        <w:rPr>
          <w:color w:val="000000" w:themeColor="text1"/>
        </w:rPr>
        <w:t xml:space="preserve"> randomised controlled trial which compared garadacimab to placebo (VANGUARD), and </w:t>
      </w:r>
      <w:r w:rsidR="769E4DDA" w:rsidRPr="0015004F">
        <w:rPr>
          <w:color w:val="000000" w:themeColor="text1"/>
        </w:rPr>
        <w:t>one comparing</w:t>
      </w:r>
      <w:r w:rsidRPr="0015004F">
        <w:rPr>
          <w:color w:val="000000" w:themeColor="text1"/>
        </w:rPr>
        <w:t xml:space="preserve"> lanadelumab to placebo (HELP),</w:t>
      </w:r>
      <w:r w:rsidR="001E2616" w:rsidRPr="0015004F">
        <w:rPr>
          <w:color w:val="000000" w:themeColor="text1"/>
        </w:rPr>
        <w:t xml:space="preserve"> </w:t>
      </w:r>
      <w:r w:rsidRPr="0015004F">
        <w:rPr>
          <w:color w:val="000000" w:themeColor="text1"/>
        </w:rPr>
        <w:t>to inform an anchored indirect treatment comparison (ITC) of garadacimab versus lanadelumab, using the Bucher method</w:t>
      </w:r>
      <w:r w:rsidRPr="0015004F">
        <w:rPr>
          <w:rStyle w:val="FootnoteReference"/>
          <w:color w:val="000000" w:themeColor="text1"/>
        </w:rPr>
        <w:footnoteReference w:id="4"/>
      </w:r>
      <w:r w:rsidRPr="0015004F">
        <w:rPr>
          <w:color w:val="000000" w:themeColor="text1"/>
        </w:rPr>
        <w:t xml:space="preserve"> via placebo as the common reference.</w:t>
      </w:r>
    </w:p>
    <w:p w14:paraId="57931899" w14:textId="77777777" w:rsidR="001E484C" w:rsidRPr="0015004F" w:rsidRDefault="001E484C" w:rsidP="001E484C">
      <w:pPr>
        <w:pStyle w:val="3-BodyText"/>
      </w:pPr>
      <w:r w:rsidRPr="0015004F">
        <w:t>The HELP trial has previously been reviewed by the PBAC when the lanadelumab submissions were considered.</w:t>
      </w:r>
    </w:p>
    <w:p w14:paraId="298DFCE3" w14:textId="0AB03638" w:rsidR="00EE7389" w:rsidRPr="0015004F" w:rsidRDefault="00EE7389" w:rsidP="0014273C">
      <w:pPr>
        <w:pStyle w:val="3-BodyText"/>
        <w:rPr>
          <w:color w:val="0066FF"/>
        </w:rPr>
      </w:pPr>
      <w:r w:rsidRPr="0015004F">
        <w:t>Details of the key trials presented in the submission are provided in</w:t>
      </w:r>
      <w:r w:rsidR="008314E1" w:rsidRPr="0015004F">
        <w:t xml:space="preserve"> </w:t>
      </w:r>
      <w:r w:rsidR="008314E1" w:rsidRPr="0015004F">
        <w:fldChar w:fldCharType="begin" w:fldLock="1"/>
      </w:r>
      <w:r w:rsidR="008314E1" w:rsidRPr="0015004F">
        <w:instrText xml:space="preserve"> REF _Ref176796603 \h </w:instrText>
      </w:r>
      <w:r w:rsidR="0015004F" w:rsidRPr="0015004F">
        <w:instrText xml:space="preserve"> \* MERGEFORMAT </w:instrText>
      </w:r>
      <w:r w:rsidR="008314E1" w:rsidRPr="0015004F">
        <w:fldChar w:fldCharType="separate"/>
      </w:r>
      <w:r w:rsidR="00106090" w:rsidRPr="00BD4DB3">
        <w:t xml:space="preserve">Table </w:t>
      </w:r>
      <w:r w:rsidR="00106090">
        <w:rPr>
          <w:noProof/>
        </w:rPr>
        <w:t>2</w:t>
      </w:r>
      <w:r w:rsidR="008314E1" w:rsidRPr="0015004F">
        <w:fldChar w:fldCharType="end"/>
      </w:r>
      <w:r w:rsidRPr="0015004F">
        <w:t>.</w:t>
      </w:r>
    </w:p>
    <w:p w14:paraId="543869CD" w14:textId="6DA8FBE5" w:rsidR="00EE7389" w:rsidRPr="00BD4DB3" w:rsidRDefault="008C4027" w:rsidP="005B478D">
      <w:pPr>
        <w:pStyle w:val="TableFigureHeading"/>
        <w:keepLines/>
      </w:pPr>
      <w:bookmarkStart w:id="17" w:name="_Ref176796603"/>
      <w:r w:rsidRPr="00BD4DB3">
        <w:t xml:space="preserve">Table </w:t>
      </w:r>
      <w:r w:rsidR="00106090">
        <w:fldChar w:fldCharType="begin" w:fldLock="1"/>
      </w:r>
      <w:r w:rsidR="00106090">
        <w:instrText xml:space="preserve"> SEQ Table \* ARABIC </w:instrText>
      </w:r>
      <w:r w:rsidR="00106090">
        <w:fldChar w:fldCharType="separate"/>
      </w:r>
      <w:r w:rsidR="00106090">
        <w:rPr>
          <w:noProof/>
        </w:rPr>
        <w:t>2</w:t>
      </w:r>
      <w:r w:rsidR="00106090">
        <w:rPr>
          <w:noProof/>
        </w:rPr>
        <w:fldChar w:fldCharType="end"/>
      </w:r>
      <w:bookmarkEnd w:id="17"/>
      <w:r w:rsidRPr="00BD4DB3">
        <w:t xml:space="preserve">: </w:t>
      </w:r>
      <w:r w:rsidR="00EE7389" w:rsidRPr="00BD4DB3">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5"/>
        <w:gridCol w:w="2528"/>
      </w:tblGrid>
      <w:tr w:rsidR="00EE7389" w:rsidRPr="00BD4DB3" w14:paraId="76A2A957" w14:textId="77777777" w:rsidTr="0014273C">
        <w:trPr>
          <w:cantSplit/>
          <w:tblHeader/>
        </w:trPr>
        <w:tc>
          <w:tcPr>
            <w:tcW w:w="795" w:type="pct"/>
            <w:tcBorders>
              <w:bottom w:val="single" w:sz="4" w:space="0" w:color="auto"/>
            </w:tcBorders>
            <w:vAlign w:val="center"/>
          </w:tcPr>
          <w:p w14:paraId="133FCC72" w14:textId="77777777" w:rsidR="00EE7389" w:rsidRPr="00BD4DB3" w:rsidRDefault="00EE7389" w:rsidP="005B478D">
            <w:pPr>
              <w:pStyle w:val="In-tableHeading"/>
              <w:rPr>
                <w:iCs w:val="0"/>
              </w:rPr>
            </w:pPr>
            <w:r w:rsidRPr="00BD4DB3">
              <w:rPr>
                <w:iCs w:val="0"/>
              </w:rPr>
              <w:t>Trial ID</w:t>
            </w:r>
          </w:p>
        </w:tc>
        <w:tc>
          <w:tcPr>
            <w:tcW w:w="2803" w:type="pct"/>
            <w:tcBorders>
              <w:bottom w:val="single" w:sz="4" w:space="0" w:color="auto"/>
            </w:tcBorders>
            <w:vAlign w:val="center"/>
          </w:tcPr>
          <w:p w14:paraId="1192E545" w14:textId="77777777" w:rsidR="00EE7389" w:rsidRPr="00BD4DB3" w:rsidRDefault="00EE7389" w:rsidP="005B478D">
            <w:pPr>
              <w:pStyle w:val="In-tableHeading"/>
              <w:rPr>
                <w:iCs w:val="0"/>
              </w:rPr>
            </w:pPr>
            <w:r w:rsidRPr="00BD4DB3">
              <w:rPr>
                <w:iCs w:val="0"/>
              </w:rPr>
              <w:t>Protocol title/ Publication title</w:t>
            </w:r>
          </w:p>
        </w:tc>
        <w:tc>
          <w:tcPr>
            <w:tcW w:w="1402" w:type="pct"/>
            <w:tcBorders>
              <w:bottom w:val="single" w:sz="4" w:space="0" w:color="auto"/>
            </w:tcBorders>
            <w:vAlign w:val="center"/>
          </w:tcPr>
          <w:p w14:paraId="4B722FDA" w14:textId="77777777" w:rsidR="00EE7389" w:rsidRPr="00BD4DB3" w:rsidRDefault="00EE7389" w:rsidP="005B478D">
            <w:pPr>
              <w:pStyle w:val="In-tableHeading"/>
              <w:rPr>
                <w:iCs w:val="0"/>
              </w:rPr>
            </w:pPr>
            <w:r w:rsidRPr="00BD4DB3">
              <w:rPr>
                <w:iCs w:val="0"/>
              </w:rPr>
              <w:t>Publication citation</w:t>
            </w:r>
          </w:p>
        </w:tc>
      </w:tr>
      <w:tr w:rsidR="00EE7389" w:rsidRPr="0015004F" w14:paraId="3B3CB94A" w14:textId="77777777" w:rsidTr="00D86DFD">
        <w:trPr>
          <w:cantSplit/>
        </w:trPr>
        <w:tc>
          <w:tcPr>
            <w:tcW w:w="795" w:type="pct"/>
            <w:vMerge w:val="restart"/>
            <w:vAlign w:val="center"/>
          </w:tcPr>
          <w:p w14:paraId="59476511" w14:textId="77777777" w:rsidR="00EE7389" w:rsidRPr="00BD4DB3" w:rsidRDefault="00EE7389" w:rsidP="005B478D">
            <w:pPr>
              <w:pStyle w:val="TableText0"/>
              <w:keepNext/>
              <w:keepLines/>
            </w:pPr>
            <w:r w:rsidRPr="00BD4DB3">
              <w:t>VANGUARD</w:t>
            </w:r>
          </w:p>
          <w:p w14:paraId="22FD1DC3" w14:textId="77777777" w:rsidR="00EE7389" w:rsidRPr="00BD4DB3" w:rsidRDefault="00EE7389" w:rsidP="005B478D">
            <w:pPr>
              <w:pStyle w:val="TableText0"/>
              <w:keepNext/>
              <w:keepLines/>
            </w:pPr>
            <w:r w:rsidRPr="00BD4DB3">
              <w:t>CSL312-3001</w:t>
            </w:r>
          </w:p>
          <w:p w14:paraId="636B7A7C" w14:textId="77777777" w:rsidR="00EE7389" w:rsidRPr="00BD4DB3" w:rsidRDefault="00EE7389" w:rsidP="005B478D">
            <w:pPr>
              <w:pStyle w:val="TableText0"/>
              <w:keepNext/>
              <w:keepLines/>
            </w:pPr>
            <w:r w:rsidRPr="00BD4DB3">
              <w:t>NCT04656418</w:t>
            </w:r>
          </w:p>
          <w:p w14:paraId="2D46CD2D" w14:textId="77777777" w:rsidR="00EE7389" w:rsidRPr="00BD4DB3" w:rsidRDefault="00EE7389" w:rsidP="005B478D">
            <w:pPr>
              <w:pStyle w:val="TableText0"/>
              <w:keepNext/>
              <w:keepLines/>
            </w:pPr>
          </w:p>
        </w:tc>
        <w:tc>
          <w:tcPr>
            <w:tcW w:w="2803" w:type="pct"/>
            <w:tcBorders>
              <w:bottom w:val="nil"/>
            </w:tcBorders>
            <w:vAlign w:val="center"/>
          </w:tcPr>
          <w:p w14:paraId="103A00EE" w14:textId="07FC3945" w:rsidR="00EE7389" w:rsidRPr="00BD4DB3" w:rsidRDefault="001E484C" w:rsidP="005B478D">
            <w:pPr>
              <w:pStyle w:val="TableText0"/>
              <w:keepNext/>
              <w:keepLines/>
            </w:pPr>
            <w:r w:rsidRPr="00BD4DB3">
              <w:t xml:space="preserve">A </w:t>
            </w:r>
            <w:r w:rsidR="008234E0" w:rsidRPr="00BD4DB3">
              <w:t>m</w:t>
            </w:r>
            <w:r w:rsidRPr="00BD4DB3">
              <w:t>ulticenter, double-blind, randomized, placebo-controlled, parallel-arm study to Investigate the efficacy and safety of subcutaneous administration of CSL312 (garadacimab) in the prophylactic treatment of hereditary angioedema. Clinical Study Report.</w:t>
            </w:r>
          </w:p>
        </w:tc>
        <w:tc>
          <w:tcPr>
            <w:tcW w:w="1402" w:type="pct"/>
            <w:tcBorders>
              <w:bottom w:val="nil"/>
            </w:tcBorders>
            <w:vAlign w:val="center"/>
          </w:tcPr>
          <w:p w14:paraId="1C426C2D" w14:textId="77777777" w:rsidR="00EE7389" w:rsidRPr="0015004F" w:rsidRDefault="00EE7389" w:rsidP="005B478D">
            <w:pPr>
              <w:pStyle w:val="TableText0"/>
              <w:keepNext/>
              <w:keepLines/>
              <w:rPr>
                <w:rFonts w:ascii="Times" w:hAnsi="Times"/>
              </w:rPr>
            </w:pPr>
            <w:r w:rsidRPr="00BD4DB3">
              <w:t>06 October 2022</w:t>
            </w:r>
          </w:p>
        </w:tc>
      </w:tr>
      <w:tr w:rsidR="00EE7389" w:rsidRPr="0015004F" w14:paraId="4401497C" w14:textId="77777777" w:rsidTr="00D86DFD">
        <w:trPr>
          <w:cantSplit/>
        </w:trPr>
        <w:tc>
          <w:tcPr>
            <w:tcW w:w="795" w:type="pct"/>
            <w:vMerge/>
            <w:vAlign w:val="center"/>
          </w:tcPr>
          <w:p w14:paraId="239D158A" w14:textId="77777777" w:rsidR="00EE7389" w:rsidRPr="0015004F" w:rsidRDefault="00EE7389" w:rsidP="005B478D">
            <w:pPr>
              <w:pStyle w:val="TableText0"/>
              <w:keepNext/>
              <w:keepLines/>
            </w:pPr>
          </w:p>
        </w:tc>
        <w:tc>
          <w:tcPr>
            <w:tcW w:w="2803" w:type="pct"/>
            <w:tcBorders>
              <w:top w:val="nil"/>
              <w:bottom w:val="nil"/>
            </w:tcBorders>
            <w:vAlign w:val="center"/>
          </w:tcPr>
          <w:p w14:paraId="5C5017D0" w14:textId="054876D6" w:rsidR="00EE7389" w:rsidRPr="0015004F" w:rsidRDefault="001E484C" w:rsidP="005B478D">
            <w:pPr>
              <w:pStyle w:val="TableText0"/>
              <w:keepNext/>
              <w:keepLines/>
            </w:pPr>
            <w:r w:rsidRPr="0015004F">
              <w:t xml:space="preserve">Craig TJ, Reshef A, et al. Efficacy and safety of </w:t>
            </w:r>
            <w:proofErr w:type="spellStart"/>
            <w:r w:rsidRPr="0015004F">
              <w:t>garadacimab</w:t>
            </w:r>
            <w:proofErr w:type="spellEnd"/>
            <w:r w:rsidRPr="0015004F">
              <w:t xml:space="preserve">, a factor </w:t>
            </w:r>
            <w:proofErr w:type="spellStart"/>
            <w:r w:rsidRPr="0015004F">
              <w:t>XIIa</w:t>
            </w:r>
            <w:proofErr w:type="spellEnd"/>
            <w:r w:rsidRPr="0015004F">
              <w:t xml:space="preserve"> inhibitor for hereditary angioedema prevention (VANGUARD): a global, multicentre, randomised, double-blind, placebo-controlled, phase 3 trial.</w:t>
            </w:r>
          </w:p>
        </w:tc>
        <w:tc>
          <w:tcPr>
            <w:tcW w:w="1402" w:type="pct"/>
            <w:tcBorders>
              <w:top w:val="nil"/>
              <w:bottom w:val="nil"/>
            </w:tcBorders>
            <w:vAlign w:val="center"/>
          </w:tcPr>
          <w:p w14:paraId="41B7D208" w14:textId="10A2A8A1" w:rsidR="00EE7389" w:rsidRPr="0015004F" w:rsidRDefault="001E484C" w:rsidP="005B478D">
            <w:pPr>
              <w:pStyle w:val="TableText0"/>
              <w:keepNext/>
              <w:keepLines/>
            </w:pPr>
            <w:r w:rsidRPr="0015004F">
              <w:t>Lancet 2023; 401(10382):1079-1090</w:t>
            </w:r>
          </w:p>
        </w:tc>
      </w:tr>
      <w:tr w:rsidR="001E484C" w:rsidRPr="0015004F" w14:paraId="3628D158" w14:textId="77777777" w:rsidTr="0014273C">
        <w:trPr>
          <w:cantSplit/>
        </w:trPr>
        <w:tc>
          <w:tcPr>
            <w:tcW w:w="795" w:type="pct"/>
            <w:vMerge/>
            <w:tcBorders>
              <w:bottom w:val="single" w:sz="4" w:space="0" w:color="auto"/>
            </w:tcBorders>
            <w:vAlign w:val="center"/>
          </w:tcPr>
          <w:p w14:paraId="006CE5F4" w14:textId="77777777" w:rsidR="001E484C" w:rsidRPr="0015004F" w:rsidRDefault="001E484C" w:rsidP="005B478D">
            <w:pPr>
              <w:pStyle w:val="TableText0"/>
              <w:keepNext/>
              <w:keepLines/>
            </w:pPr>
          </w:p>
        </w:tc>
        <w:tc>
          <w:tcPr>
            <w:tcW w:w="2803" w:type="pct"/>
            <w:tcBorders>
              <w:top w:val="nil"/>
              <w:bottom w:val="single" w:sz="4" w:space="0" w:color="auto"/>
            </w:tcBorders>
            <w:vAlign w:val="center"/>
          </w:tcPr>
          <w:p w14:paraId="6CBE7530" w14:textId="541D3E65" w:rsidR="001E484C" w:rsidRPr="0015004F" w:rsidRDefault="001E484C" w:rsidP="005B478D">
            <w:pPr>
              <w:pStyle w:val="TableText0"/>
              <w:keepNext/>
              <w:keepLines/>
            </w:pPr>
            <w:r w:rsidRPr="0015004F">
              <w:t>Craig T., Magerl M., et al. Efficacy and safety of subcutaneous garadacimab for the prophylaxis of hereditary angioedema attacks in adults and adolescent patients with HAE: results from a multicenter, placebo-controlled Phase 3 trial.</w:t>
            </w:r>
          </w:p>
        </w:tc>
        <w:tc>
          <w:tcPr>
            <w:tcW w:w="1402" w:type="pct"/>
            <w:tcBorders>
              <w:top w:val="nil"/>
              <w:bottom w:val="single" w:sz="4" w:space="0" w:color="auto"/>
            </w:tcBorders>
            <w:vAlign w:val="center"/>
          </w:tcPr>
          <w:p w14:paraId="397E1CEF" w14:textId="01B13316" w:rsidR="001E484C" w:rsidRPr="0015004F" w:rsidRDefault="001E484C" w:rsidP="005B478D">
            <w:pPr>
              <w:pStyle w:val="TableText0"/>
              <w:keepNext/>
              <w:keepLines/>
            </w:pPr>
            <w:r w:rsidRPr="0015004F">
              <w:t xml:space="preserve">Journal of Allergy and Clinical Immunology 2023; 151:2 Suppl (AB132) </w:t>
            </w:r>
          </w:p>
        </w:tc>
      </w:tr>
      <w:tr w:rsidR="00EE7389" w:rsidRPr="0015004F" w14:paraId="68353982" w14:textId="77777777" w:rsidTr="0014273C">
        <w:trPr>
          <w:cantSplit/>
          <w:trHeight w:val="626"/>
        </w:trPr>
        <w:tc>
          <w:tcPr>
            <w:tcW w:w="795" w:type="pct"/>
            <w:tcBorders>
              <w:top w:val="single" w:sz="4" w:space="0" w:color="auto"/>
              <w:bottom w:val="single" w:sz="4" w:space="0" w:color="auto"/>
            </w:tcBorders>
            <w:vAlign w:val="center"/>
          </w:tcPr>
          <w:p w14:paraId="56F3F29C" w14:textId="77777777" w:rsidR="00EE7389" w:rsidRPr="0015004F" w:rsidRDefault="00EE7389" w:rsidP="005B478D">
            <w:pPr>
              <w:pStyle w:val="TableText0"/>
              <w:keepNext/>
              <w:keepLines/>
            </w:pPr>
            <w:r w:rsidRPr="0015004F">
              <w:t>VANGUARD</w:t>
            </w:r>
          </w:p>
          <w:p w14:paraId="67AF3C1C" w14:textId="77777777" w:rsidR="00EE7389" w:rsidRPr="0015004F" w:rsidRDefault="00EE7389" w:rsidP="005B478D">
            <w:pPr>
              <w:pStyle w:val="TableText0"/>
              <w:keepNext/>
              <w:keepLines/>
            </w:pPr>
            <w:r w:rsidRPr="0015004F">
              <w:t>CSL312-3001</w:t>
            </w:r>
          </w:p>
          <w:p w14:paraId="09AE3A4B" w14:textId="47531B02" w:rsidR="00EE7389" w:rsidRPr="0015004F" w:rsidRDefault="00EE7389" w:rsidP="005B478D">
            <w:pPr>
              <w:pStyle w:val="TableText0"/>
              <w:keepNext/>
              <w:keepLines/>
            </w:pPr>
            <w:r w:rsidRPr="0015004F">
              <w:t>NCT04739059</w:t>
            </w:r>
          </w:p>
        </w:tc>
        <w:tc>
          <w:tcPr>
            <w:tcW w:w="2803" w:type="pct"/>
            <w:tcBorders>
              <w:top w:val="single" w:sz="4" w:space="0" w:color="auto"/>
              <w:bottom w:val="single" w:sz="4" w:space="0" w:color="auto"/>
            </w:tcBorders>
          </w:tcPr>
          <w:p w14:paraId="7BFEFA07" w14:textId="7377D4C4" w:rsidR="00EE7389" w:rsidRPr="0015004F" w:rsidRDefault="0014273C" w:rsidP="005B478D">
            <w:pPr>
              <w:pStyle w:val="TableText0"/>
              <w:keepNext/>
              <w:keepLines/>
            </w:pPr>
            <w:r w:rsidRPr="0015004F">
              <w:t>Anderson J., Levy D, et al. Long-term safety and efficacy with garadacimab for hereditary angioedema prophylaxis in an open-label extension study.</w:t>
            </w:r>
          </w:p>
        </w:tc>
        <w:tc>
          <w:tcPr>
            <w:tcW w:w="1402" w:type="pct"/>
            <w:tcBorders>
              <w:top w:val="single" w:sz="4" w:space="0" w:color="auto"/>
              <w:bottom w:val="single" w:sz="4" w:space="0" w:color="auto"/>
            </w:tcBorders>
            <w:vAlign w:val="center"/>
          </w:tcPr>
          <w:p w14:paraId="232F49F6" w14:textId="5DA613D1" w:rsidR="00EE7389" w:rsidRPr="0015004F" w:rsidRDefault="0014273C" w:rsidP="005B478D">
            <w:pPr>
              <w:pStyle w:val="TableText0"/>
              <w:keepNext/>
              <w:keepLines/>
            </w:pPr>
            <w:r w:rsidRPr="0015004F">
              <w:t>Annals of Allergy, Asthma &amp; Immunology 2023; 131: S3-S13</w:t>
            </w:r>
          </w:p>
        </w:tc>
      </w:tr>
      <w:tr w:rsidR="00B02AF8" w:rsidRPr="0015004F" w14:paraId="6A262EBE" w14:textId="77777777" w:rsidTr="00D57CD8">
        <w:trPr>
          <w:cantSplit/>
        </w:trPr>
        <w:tc>
          <w:tcPr>
            <w:tcW w:w="795" w:type="pct"/>
            <w:tcBorders>
              <w:top w:val="nil"/>
              <w:bottom w:val="single" w:sz="4" w:space="0" w:color="auto"/>
            </w:tcBorders>
            <w:vAlign w:val="center"/>
          </w:tcPr>
          <w:p w14:paraId="089C8C46" w14:textId="77777777" w:rsidR="00437F1C" w:rsidRPr="0015004F" w:rsidRDefault="00437F1C" w:rsidP="005B478D">
            <w:pPr>
              <w:pStyle w:val="TableText0"/>
              <w:keepNext/>
              <w:keepLines/>
            </w:pPr>
            <w:r w:rsidRPr="0015004F">
              <w:t>VANGUARD</w:t>
            </w:r>
          </w:p>
          <w:p w14:paraId="4085E20C" w14:textId="77777777" w:rsidR="00B02AF8" w:rsidRPr="0015004F" w:rsidRDefault="00B02AF8" w:rsidP="005B478D">
            <w:pPr>
              <w:pStyle w:val="TableText0"/>
              <w:keepNext/>
              <w:keepLines/>
            </w:pPr>
          </w:p>
        </w:tc>
        <w:tc>
          <w:tcPr>
            <w:tcW w:w="2803" w:type="pct"/>
            <w:tcBorders>
              <w:top w:val="nil"/>
              <w:bottom w:val="single" w:sz="4" w:space="0" w:color="auto"/>
            </w:tcBorders>
            <w:vAlign w:val="center"/>
          </w:tcPr>
          <w:p w14:paraId="6B3DADEA" w14:textId="50D501CF" w:rsidR="00B02AF8" w:rsidRPr="0015004F" w:rsidRDefault="00B02AF8" w:rsidP="005B478D">
            <w:pPr>
              <w:pStyle w:val="TableText0"/>
              <w:keepNext/>
              <w:keepLines/>
            </w:pPr>
            <w:r w:rsidRPr="0015004F">
              <w:t>Jacobs J., Magerl M., et al. Garadacimab for hereditary angioedema prophylaxis in adolescents: efficacy and safety from the Phase 3 (VANGUARD) study and open-label extension (second interim analysis).</w:t>
            </w:r>
          </w:p>
        </w:tc>
        <w:tc>
          <w:tcPr>
            <w:tcW w:w="1402" w:type="pct"/>
            <w:tcBorders>
              <w:top w:val="nil"/>
              <w:bottom w:val="single" w:sz="4" w:space="0" w:color="auto"/>
            </w:tcBorders>
            <w:vAlign w:val="center"/>
          </w:tcPr>
          <w:p w14:paraId="3845D5C1" w14:textId="0134A7F5" w:rsidR="00B02AF8" w:rsidRPr="0015004F" w:rsidRDefault="00B02AF8" w:rsidP="005B478D">
            <w:pPr>
              <w:pStyle w:val="TableText0"/>
              <w:keepNext/>
              <w:keepLines/>
            </w:pPr>
            <w:r w:rsidRPr="0015004F">
              <w:t>Journal of Allergy and Clinical Immunology 2024; 153:2 Suppl (AB6)</w:t>
            </w:r>
          </w:p>
        </w:tc>
      </w:tr>
      <w:tr w:rsidR="0014273C" w:rsidRPr="0015004F" w14:paraId="5D2E2785" w14:textId="77777777" w:rsidTr="00D57CD8">
        <w:trPr>
          <w:cantSplit/>
        </w:trPr>
        <w:tc>
          <w:tcPr>
            <w:tcW w:w="795" w:type="pct"/>
            <w:vMerge w:val="restart"/>
            <w:tcBorders>
              <w:top w:val="single" w:sz="4" w:space="0" w:color="auto"/>
            </w:tcBorders>
            <w:shd w:val="clear" w:color="auto" w:fill="C6D9F1" w:themeFill="text2" w:themeFillTint="33"/>
            <w:vAlign w:val="center"/>
          </w:tcPr>
          <w:p w14:paraId="37448202" w14:textId="77777777" w:rsidR="0014273C" w:rsidRPr="0015004F" w:rsidRDefault="0014273C" w:rsidP="005B478D">
            <w:pPr>
              <w:pStyle w:val="TableText0"/>
              <w:keepNext/>
              <w:keepLines/>
              <w:rPr>
                <w:bCs/>
              </w:rPr>
            </w:pPr>
            <w:r w:rsidRPr="0015004F">
              <w:rPr>
                <w:bCs/>
              </w:rPr>
              <w:t>HELP</w:t>
            </w:r>
          </w:p>
          <w:p w14:paraId="67B80F6C" w14:textId="5A3C5E2B" w:rsidR="0014273C" w:rsidRPr="0015004F" w:rsidRDefault="0014273C" w:rsidP="005B478D">
            <w:pPr>
              <w:pStyle w:val="TableText0"/>
              <w:keepNext/>
              <w:keepLines/>
              <w:rPr>
                <w:rFonts w:ascii="Times" w:hAnsi="Times"/>
              </w:rPr>
            </w:pPr>
            <w:r w:rsidRPr="0015004F">
              <w:rPr>
                <w:bCs/>
              </w:rPr>
              <w:t>NCT02741596</w:t>
            </w:r>
          </w:p>
        </w:tc>
        <w:tc>
          <w:tcPr>
            <w:tcW w:w="2803" w:type="pct"/>
            <w:tcBorders>
              <w:bottom w:val="dotted" w:sz="4" w:space="0" w:color="auto"/>
            </w:tcBorders>
            <w:shd w:val="clear" w:color="auto" w:fill="C6D9F1" w:themeFill="text2" w:themeFillTint="33"/>
            <w:vAlign w:val="center"/>
          </w:tcPr>
          <w:p w14:paraId="1B348957" w14:textId="5AE92F38" w:rsidR="0014273C" w:rsidRPr="0015004F" w:rsidRDefault="0014273C" w:rsidP="005B478D">
            <w:pPr>
              <w:pStyle w:val="TableText0"/>
              <w:keepNext/>
              <w:keepLines/>
              <w:rPr>
                <w:rFonts w:ascii="Times" w:hAnsi="Times"/>
              </w:rPr>
            </w:pPr>
            <w:r w:rsidRPr="0015004F">
              <w:rPr>
                <w:bCs/>
              </w:rPr>
              <w:t>Banerji A, Riedl MA, et al. Effect of lanadelumab compared with placebo on prevention of hereditary angioedema attacks: a randomized clinical trial.</w:t>
            </w:r>
          </w:p>
        </w:tc>
        <w:tc>
          <w:tcPr>
            <w:tcW w:w="1402" w:type="pct"/>
            <w:tcBorders>
              <w:bottom w:val="dotted" w:sz="4" w:space="0" w:color="auto"/>
            </w:tcBorders>
            <w:shd w:val="clear" w:color="auto" w:fill="C6D9F1" w:themeFill="text2" w:themeFillTint="33"/>
            <w:vAlign w:val="center"/>
          </w:tcPr>
          <w:p w14:paraId="4E8EF3DC" w14:textId="4125F975" w:rsidR="0014273C" w:rsidRPr="0015004F" w:rsidRDefault="0014273C" w:rsidP="005B478D">
            <w:pPr>
              <w:pStyle w:val="TableText0"/>
              <w:keepNext/>
              <w:keepLines/>
            </w:pPr>
            <w:r w:rsidRPr="0015004F">
              <w:rPr>
                <w:bCs/>
              </w:rPr>
              <w:t>JAMA 2018; 320(20): 2108-2121</w:t>
            </w:r>
          </w:p>
        </w:tc>
      </w:tr>
      <w:tr w:rsidR="0014273C" w:rsidRPr="0015004F" w14:paraId="45BD801E" w14:textId="77777777" w:rsidTr="00D57CD8">
        <w:trPr>
          <w:cantSplit/>
        </w:trPr>
        <w:tc>
          <w:tcPr>
            <w:tcW w:w="795" w:type="pct"/>
            <w:vMerge/>
            <w:vAlign w:val="center"/>
          </w:tcPr>
          <w:p w14:paraId="023B3AC4" w14:textId="77777777" w:rsidR="0014273C" w:rsidRPr="0015004F" w:rsidRDefault="0014273C" w:rsidP="005B478D">
            <w:pPr>
              <w:keepNext/>
              <w:keepLines/>
              <w:rPr>
                <w:bCs/>
              </w:rPr>
            </w:pPr>
          </w:p>
        </w:tc>
        <w:tc>
          <w:tcPr>
            <w:tcW w:w="2803" w:type="pct"/>
            <w:tcBorders>
              <w:top w:val="dotted" w:sz="4" w:space="0" w:color="auto"/>
              <w:bottom w:val="dotted" w:sz="4" w:space="0" w:color="auto"/>
            </w:tcBorders>
            <w:vAlign w:val="center"/>
          </w:tcPr>
          <w:p w14:paraId="354A1E16" w14:textId="722DB8F2" w:rsidR="0014273C" w:rsidRPr="0015004F" w:rsidRDefault="0014273C" w:rsidP="005B478D">
            <w:pPr>
              <w:pStyle w:val="TableText0"/>
              <w:keepNext/>
              <w:keepLines/>
              <w:rPr>
                <w:bCs/>
              </w:rPr>
            </w:pPr>
            <w:r w:rsidRPr="0015004F">
              <w:rPr>
                <w:bCs/>
              </w:rPr>
              <w:t xml:space="preserve">Riedl MA, Maurer M, et al. Lanadelumab demonstrates rapid and sustained prevention of hereditary angioedema </w:t>
            </w:r>
            <w:proofErr w:type="spellStart"/>
            <w:r w:rsidRPr="0015004F">
              <w:rPr>
                <w:bCs/>
              </w:rPr>
              <w:t>attacks</w:t>
            </w:r>
            <w:r w:rsidRPr="0015004F">
              <w:rPr>
                <w:bCs/>
                <w:vertAlign w:val="superscript"/>
              </w:rPr>
              <w:t>a</w:t>
            </w:r>
            <w:proofErr w:type="spellEnd"/>
            <w:r w:rsidRPr="0015004F">
              <w:rPr>
                <w:bCs/>
                <w:vertAlign w:val="superscript"/>
              </w:rPr>
              <w:t xml:space="preserve"> </w:t>
            </w:r>
          </w:p>
        </w:tc>
        <w:tc>
          <w:tcPr>
            <w:tcW w:w="1402" w:type="pct"/>
            <w:tcBorders>
              <w:top w:val="dotted" w:sz="4" w:space="0" w:color="auto"/>
              <w:bottom w:val="dotted" w:sz="4" w:space="0" w:color="auto"/>
            </w:tcBorders>
            <w:vAlign w:val="center"/>
          </w:tcPr>
          <w:p w14:paraId="77710443" w14:textId="19393855" w:rsidR="0014273C" w:rsidRPr="0015004F" w:rsidRDefault="0014273C" w:rsidP="005B478D">
            <w:pPr>
              <w:pStyle w:val="TableText0"/>
              <w:keepNext/>
              <w:keepLines/>
              <w:rPr>
                <w:bCs/>
              </w:rPr>
            </w:pPr>
            <w:r w:rsidRPr="0015004F">
              <w:rPr>
                <w:bCs/>
              </w:rPr>
              <w:t>Allergy. 2020;75(11):2879-2887</w:t>
            </w:r>
          </w:p>
        </w:tc>
      </w:tr>
      <w:tr w:rsidR="0014273C" w:rsidRPr="0015004F" w14:paraId="7E54BCBB" w14:textId="77777777" w:rsidTr="00D57CD8">
        <w:trPr>
          <w:cantSplit/>
        </w:trPr>
        <w:tc>
          <w:tcPr>
            <w:tcW w:w="795" w:type="pct"/>
            <w:vMerge/>
            <w:vAlign w:val="center"/>
          </w:tcPr>
          <w:p w14:paraId="0D101724" w14:textId="77777777" w:rsidR="0014273C" w:rsidRPr="0015004F" w:rsidRDefault="0014273C" w:rsidP="005B478D">
            <w:pPr>
              <w:keepNext/>
              <w:keepLines/>
              <w:rPr>
                <w:bCs/>
              </w:rPr>
            </w:pPr>
          </w:p>
        </w:tc>
        <w:tc>
          <w:tcPr>
            <w:tcW w:w="2803" w:type="pct"/>
            <w:tcBorders>
              <w:top w:val="dotted" w:sz="4" w:space="0" w:color="auto"/>
              <w:bottom w:val="single" w:sz="4" w:space="0" w:color="auto"/>
            </w:tcBorders>
            <w:vAlign w:val="center"/>
          </w:tcPr>
          <w:p w14:paraId="3D548311" w14:textId="0A932586" w:rsidR="0014273C" w:rsidRPr="0015004F" w:rsidRDefault="0014273C" w:rsidP="005B478D">
            <w:pPr>
              <w:pStyle w:val="TableText0"/>
              <w:keepNext/>
              <w:keepLines/>
              <w:rPr>
                <w:bCs/>
              </w:rPr>
            </w:pPr>
            <w:r w:rsidRPr="0015004F">
              <w:rPr>
                <w:bCs/>
              </w:rPr>
              <w:t xml:space="preserve">Banerji A, Bernstein JA, et al. Long-term prevention of hereditary angioedema attacks with lanadelumab: the HELP OLE </w:t>
            </w:r>
            <w:r w:rsidR="00CB1D17" w:rsidRPr="0015004F">
              <w:rPr>
                <w:bCs/>
              </w:rPr>
              <w:t>study</w:t>
            </w:r>
            <w:r w:rsidR="00CB1D17" w:rsidRPr="0015004F">
              <w:rPr>
                <w:bCs/>
                <w:vertAlign w:val="superscript"/>
              </w:rPr>
              <w:t xml:space="preserve"> a</w:t>
            </w:r>
          </w:p>
        </w:tc>
        <w:tc>
          <w:tcPr>
            <w:tcW w:w="1402" w:type="pct"/>
            <w:tcBorders>
              <w:top w:val="dotted" w:sz="4" w:space="0" w:color="auto"/>
              <w:bottom w:val="single" w:sz="4" w:space="0" w:color="auto"/>
            </w:tcBorders>
            <w:vAlign w:val="center"/>
          </w:tcPr>
          <w:p w14:paraId="6E34E57C" w14:textId="4332CE80" w:rsidR="0014273C" w:rsidRPr="0015004F" w:rsidRDefault="0014273C" w:rsidP="005B478D">
            <w:pPr>
              <w:pStyle w:val="TableText0"/>
              <w:keepNext/>
              <w:keepLines/>
              <w:rPr>
                <w:bCs/>
              </w:rPr>
            </w:pPr>
            <w:r w:rsidRPr="0015004F">
              <w:rPr>
                <w:bCs/>
              </w:rPr>
              <w:t>Allergy. 2022;77(3):979-990</w:t>
            </w:r>
          </w:p>
        </w:tc>
      </w:tr>
    </w:tbl>
    <w:p w14:paraId="63162D89" w14:textId="77777777" w:rsidR="00270F00" w:rsidRPr="0015004F" w:rsidRDefault="00FE015B" w:rsidP="00830570">
      <w:pPr>
        <w:pStyle w:val="TableFigureFooter"/>
      </w:pPr>
      <w:r w:rsidRPr="0015004F">
        <w:t>Source: Table 2.3 &amp; 2.4, pp42, 44 of the submission</w:t>
      </w:r>
    </w:p>
    <w:p w14:paraId="221B3CCA" w14:textId="77777777" w:rsidR="00D57CD8" w:rsidRPr="0015004F" w:rsidRDefault="00D57CD8" w:rsidP="00830570">
      <w:pPr>
        <w:pStyle w:val="TableFigureFooter"/>
      </w:pPr>
      <w:r w:rsidRPr="0015004F">
        <w:t xml:space="preserve">a Data from the Riedl er al (2020) and Banerji et al (2022) publication was not used in the indirect comparison. </w:t>
      </w:r>
    </w:p>
    <w:p w14:paraId="6A79DEBB" w14:textId="059BA67A" w:rsidR="00D57CD8" w:rsidRPr="0015004F" w:rsidRDefault="007C370A" w:rsidP="009B6299">
      <w:pPr>
        <w:pStyle w:val="TableFigureFooter"/>
        <w:spacing w:after="120"/>
        <w:contextualSpacing w:val="0"/>
      </w:pPr>
      <w:r w:rsidRPr="0015004F">
        <w:rPr>
          <w:shd w:val="clear" w:color="auto" w:fill="C6D9F1" w:themeFill="text2" w:themeFillTint="33"/>
        </w:rPr>
        <w:t>Blue</w:t>
      </w:r>
      <w:r w:rsidRPr="0015004F">
        <w:t xml:space="preserve"> shading </w:t>
      </w:r>
      <w:r w:rsidR="00D57CD8" w:rsidRPr="0015004F">
        <w:t>indicates the trial/publication previously considered by the PBAC</w:t>
      </w:r>
      <w:r w:rsidR="076E374B" w:rsidRPr="0015004F">
        <w:t xml:space="preserve"> (for lanadelumab)</w:t>
      </w:r>
      <w:r w:rsidR="00D57CD8" w:rsidRPr="0015004F">
        <w:t>.</w:t>
      </w:r>
    </w:p>
    <w:p w14:paraId="1DD06D7D" w14:textId="7333758C" w:rsidR="007F1017" w:rsidRPr="0015004F" w:rsidRDefault="00EE7389" w:rsidP="00EC5836">
      <w:pPr>
        <w:pStyle w:val="3-BodyText"/>
        <w:rPr>
          <w:color w:val="0066FF"/>
        </w:rPr>
      </w:pPr>
      <w:r w:rsidRPr="0015004F">
        <w:t xml:space="preserve">The key features of the included evidence for the ITC are summarised in </w:t>
      </w:r>
      <w:r w:rsidR="008314E1" w:rsidRPr="0015004F">
        <w:fldChar w:fldCharType="begin" w:fldLock="1"/>
      </w:r>
      <w:r w:rsidR="008314E1" w:rsidRPr="0015004F">
        <w:instrText xml:space="preserve"> REF _Ref176796586 \h </w:instrText>
      </w:r>
      <w:r w:rsidR="0015004F" w:rsidRPr="0015004F">
        <w:instrText xml:space="preserve"> \* MERGEFORMAT </w:instrText>
      </w:r>
      <w:r w:rsidR="008314E1" w:rsidRPr="0015004F">
        <w:fldChar w:fldCharType="separate"/>
      </w:r>
      <w:r w:rsidR="00106090" w:rsidRPr="0015004F">
        <w:t xml:space="preserve">Table </w:t>
      </w:r>
      <w:r w:rsidR="00106090">
        <w:rPr>
          <w:noProof/>
        </w:rPr>
        <w:t>3</w:t>
      </w:r>
      <w:r w:rsidR="008314E1" w:rsidRPr="0015004F">
        <w:fldChar w:fldCharType="end"/>
      </w:r>
      <w:r w:rsidRPr="0015004F">
        <w:t xml:space="preserve">. The ITC was conducted </w:t>
      </w:r>
      <w:r w:rsidRPr="0015004F">
        <w:rPr>
          <w:color w:val="000000" w:themeColor="text1"/>
        </w:rPr>
        <w:t>via placebo as the common reference.</w:t>
      </w:r>
    </w:p>
    <w:p w14:paraId="06F00FD7" w14:textId="0B12D526" w:rsidR="00EE7389" w:rsidRPr="0015004F" w:rsidRDefault="008C4027" w:rsidP="005B478D">
      <w:pPr>
        <w:pStyle w:val="Caption"/>
      </w:pPr>
      <w:bookmarkStart w:id="18" w:name="_Ref176796586"/>
      <w:r w:rsidRPr="0015004F">
        <w:lastRenderedPageBreak/>
        <w:t xml:space="preserve">Table </w:t>
      </w:r>
      <w:r w:rsidR="00106090">
        <w:fldChar w:fldCharType="begin" w:fldLock="1"/>
      </w:r>
      <w:r w:rsidR="00106090">
        <w:instrText xml:space="preserve"> SEQ Table \* ARABIC </w:instrText>
      </w:r>
      <w:r w:rsidR="00106090">
        <w:fldChar w:fldCharType="separate"/>
      </w:r>
      <w:r w:rsidR="00106090">
        <w:rPr>
          <w:noProof/>
        </w:rPr>
        <w:t>3</w:t>
      </w:r>
      <w:r w:rsidR="00106090">
        <w:rPr>
          <w:noProof/>
        </w:rPr>
        <w:fldChar w:fldCharType="end"/>
      </w:r>
      <w:bookmarkEnd w:id="18"/>
      <w:r w:rsidRPr="0015004F">
        <w:t xml:space="preserve">: </w:t>
      </w:r>
      <w:r w:rsidR="00EE7389" w:rsidRPr="0015004F">
        <w:rPr>
          <w:rStyle w:val="CommentReference"/>
          <w:rFonts w:eastAsiaTheme="majorEastAsia" w:cstheme="majorBidi"/>
          <w:b/>
          <w:szCs w:val="24"/>
        </w:rPr>
        <w:t>Key features of the included evidence (indirect comparison)</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0"/>
        <w:gridCol w:w="568"/>
        <w:gridCol w:w="852"/>
        <w:gridCol w:w="706"/>
        <w:gridCol w:w="1277"/>
        <w:gridCol w:w="3683"/>
        <w:gridCol w:w="993"/>
        <w:gridCol w:w="11"/>
      </w:tblGrid>
      <w:tr w:rsidR="00AA1B78" w:rsidRPr="0015004F" w14:paraId="1FA4FE9E" w14:textId="77777777" w:rsidTr="00D12D69">
        <w:trPr>
          <w:gridAfter w:val="1"/>
          <w:wAfter w:w="6" w:type="pct"/>
          <w:cantSplit/>
          <w:tblHeader/>
        </w:trPr>
        <w:tc>
          <w:tcPr>
            <w:tcW w:w="545" w:type="pct"/>
            <w:shd w:val="clear" w:color="auto" w:fill="auto"/>
            <w:vAlign w:val="center"/>
          </w:tcPr>
          <w:p w14:paraId="2E1751A9" w14:textId="77777777" w:rsidR="00AA1B78" w:rsidRPr="0015004F" w:rsidRDefault="00AA1B78" w:rsidP="005B478D">
            <w:pPr>
              <w:keepNext/>
              <w:keepLines/>
              <w:jc w:val="center"/>
              <w:rPr>
                <w:rFonts w:ascii="Arial Narrow" w:eastAsiaTheme="majorEastAsia" w:hAnsi="Arial Narrow" w:cs="Times New Roman"/>
                <w:b/>
                <w:sz w:val="20"/>
                <w:lang w:val="en-US"/>
              </w:rPr>
            </w:pPr>
            <w:bookmarkStart w:id="19" w:name="_Hlk175920049"/>
            <w:r w:rsidRPr="0015004F">
              <w:rPr>
                <w:rFonts w:ascii="Arial Narrow" w:eastAsiaTheme="majorEastAsia" w:hAnsi="Arial Narrow" w:cs="Times New Roman"/>
                <w:b/>
                <w:sz w:val="20"/>
                <w:lang w:val="en-US"/>
              </w:rPr>
              <w:t>Trial</w:t>
            </w:r>
          </w:p>
        </w:tc>
        <w:tc>
          <w:tcPr>
            <w:tcW w:w="313" w:type="pct"/>
            <w:shd w:val="clear" w:color="auto" w:fill="auto"/>
            <w:vAlign w:val="center"/>
          </w:tcPr>
          <w:p w14:paraId="4FA49B6F" w14:textId="77777777" w:rsidR="00AA1B78" w:rsidRPr="0015004F" w:rsidRDefault="00AA1B78" w:rsidP="005B478D">
            <w:pPr>
              <w:keepNext/>
              <w:keepLines/>
              <w:jc w:val="center"/>
              <w:rPr>
                <w:rFonts w:ascii="Arial Narrow" w:eastAsiaTheme="majorEastAsia" w:hAnsi="Arial Narrow" w:cs="Times New Roman"/>
                <w:b/>
                <w:sz w:val="20"/>
                <w:lang w:val="en-US"/>
              </w:rPr>
            </w:pPr>
            <w:r w:rsidRPr="0015004F">
              <w:rPr>
                <w:rFonts w:ascii="Arial Narrow" w:eastAsiaTheme="majorEastAsia" w:hAnsi="Arial Narrow" w:cs="Times New Roman"/>
                <w:b/>
                <w:sz w:val="20"/>
                <w:lang w:val="en-US"/>
              </w:rPr>
              <w:t>N</w:t>
            </w:r>
          </w:p>
        </w:tc>
        <w:tc>
          <w:tcPr>
            <w:tcW w:w="469" w:type="pct"/>
            <w:shd w:val="clear" w:color="auto" w:fill="auto"/>
            <w:vAlign w:val="center"/>
          </w:tcPr>
          <w:p w14:paraId="78EBBF65" w14:textId="77777777" w:rsidR="00AA1B78" w:rsidRPr="0015004F" w:rsidRDefault="00AA1B78" w:rsidP="005B478D">
            <w:pPr>
              <w:keepNext/>
              <w:keepLines/>
              <w:jc w:val="center"/>
              <w:rPr>
                <w:rFonts w:ascii="Arial Narrow" w:eastAsiaTheme="majorEastAsia" w:hAnsi="Arial Narrow" w:cs="Times New Roman"/>
                <w:b/>
                <w:sz w:val="20"/>
                <w:lang w:val="en-US"/>
              </w:rPr>
            </w:pPr>
            <w:r w:rsidRPr="0015004F">
              <w:rPr>
                <w:rFonts w:ascii="Arial Narrow" w:eastAsiaTheme="majorEastAsia" w:hAnsi="Arial Narrow" w:cs="Times New Roman"/>
                <w:b/>
                <w:sz w:val="20"/>
                <w:lang w:val="en-US"/>
              </w:rPr>
              <w:t>Design/</w:t>
            </w:r>
            <w:r w:rsidRPr="0015004F">
              <w:rPr>
                <w:rFonts w:ascii="Arial Narrow" w:eastAsiaTheme="majorEastAsia" w:hAnsi="Arial Narrow" w:cs="Times New Roman"/>
                <w:b/>
                <w:sz w:val="20"/>
                <w:lang w:val="en-US"/>
              </w:rPr>
              <w:br/>
              <w:t>duration</w:t>
            </w:r>
          </w:p>
        </w:tc>
        <w:tc>
          <w:tcPr>
            <w:tcW w:w="389" w:type="pct"/>
            <w:shd w:val="clear" w:color="auto" w:fill="auto"/>
            <w:vAlign w:val="center"/>
          </w:tcPr>
          <w:p w14:paraId="071A903D" w14:textId="77777777" w:rsidR="00AA1B78" w:rsidRPr="0015004F" w:rsidRDefault="00AA1B78" w:rsidP="005B478D">
            <w:pPr>
              <w:keepNext/>
              <w:keepLines/>
              <w:jc w:val="center"/>
              <w:rPr>
                <w:rFonts w:ascii="Arial Narrow" w:eastAsiaTheme="majorEastAsia" w:hAnsi="Arial Narrow" w:cs="Times New Roman"/>
                <w:b/>
                <w:sz w:val="20"/>
                <w:lang w:val="en-US"/>
              </w:rPr>
            </w:pPr>
            <w:r w:rsidRPr="0015004F">
              <w:rPr>
                <w:rFonts w:ascii="Arial Narrow" w:eastAsiaTheme="majorEastAsia" w:hAnsi="Arial Narrow" w:cs="Times New Roman"/>
                <w:b/>
                <w:sz w:val="20"/>
                <w:lang w:val="en-US"/>
              </w:rPr>
              <w:t>Risk of bias</w:t>
            </w:r>
          </w:p>
        </w:tc>
        <w:tc>
          <w:tcPr>
            <w:tcW w:w="703" w:type="pct"/>
            <w:shd w:val="clear" w:color="auto" w:fill="auto"/>
            <w:vAlign w:val="center"/>
          </w:tcPr>
          <w:p w14:paraId="211C2218" w14:textId="77777777" w:rsidR="00AA1B78" w:rsidRPr="0015004F" w:rsidRDefault="00AA1B78" w:rsidP="005B478D">
            <w:pPr>
              <w:keepNext/>
              <w:keepLines/>
              <w:jc w:val="center"/>
              <w:rPr>
                <w:rFonts w:ascii="Arial Narrow" w:eastAsiaTheme="majorEastAsia" w:hAnsi="Arial Narrow" w:cs="Times New Roman"/>
                <w:b/>
                <w:sz w:val="20"/>
                <w:lang w:val="en-US"/>
              </w:rPr>
            </w:pPr>
            <w:r w:rsidRPr="0015004F">
              <w:rPr>
                <w:rFonts w:ascii="Arial Narrow" w:eastAsiaTheme="majorEastAsia" w:hAnsi="Arial Narrow" w:cs="Times New Roman"/>
                <w:b/>
                <w:sz w:val="20"/>
                <w:lang w:val="en-US"/>
              </w:rPr>
              <w:t>Patient</w:t>
            </w:r>
          </w:p>
          <w:p w14:paraId="4F54B375" w14:textId="77777777" w:rsidR="00AA1B78" w:rsidRPr="0015004F" w:rsidRDefault="00AA1B78" w:rsidP="005B478D">
            <w:pPr>
              <w:keepNext/>
              <w:keepLines/>
              <w:jc w:val="center"/>
              <w:rPr>
                <w:rFonts w:ascii="Arial Narrow" w:eastAsiaTheme="majorEastAsia" w:hAnsi="Arial Narrow" w:cs="Times New Roman"/>
                <w:b/>
                <w:sz w:val="20"/>
                <w:lang w:val="en-US"/>
              </w:rPr>
            </w:pPr>
            <w:r w:rsidRPr="0015004F">
              <w:rPr>
                <w:rFonts w:ascii="Arial Narrow" w:eastAsiaTheme="majorEastAsia" w:hAnsi="Arial Narrow" w:cs="Times New Roman"/>
                <w:b/>
                <w:sz w:val="20"/>
                <w:lang w:val="en-US"/>
              </w:rPr>
              <w:t>population</w:t>
            </w:r>
          </w:p>
        </w:tc>
        <w:tc>
          <w:tcPr>
            <w:tcW w:w="2028" w:type="pct"/>
            <w:shd w:val="clear" w:color="auto" w:fill="auto"/>
            <w:vAlign w:val="center"/>
          </w:tcPr>
          <w:p w14:paraId="7F7566F1" w14:textId="77777777" w:rsidR="00AA1B78" w:rsidRPr="0015004F" w:rsidRDefault="00AA1B78" w:rsidP="005B478D">
            <w:pPr>
              <w:keepNext/>
              <w:keepLines/>
              <w:jc w:val="center"/>
              <w:rPr>
                <w:rFonts w:ascii="Arial Narrow" w:eastAsiaTheme="majorEastAsia" w:hAnsi="Arial Narrow" w:cs="Times New Roman"/>
                <w:b/>
                <w:sz w:val="20"/>
                <w:lang w:val="en-US"/>
              </w:rPr>
            </w:pPr>
            <w:r w:rsidRPr="0015004F">
              <w:rPr>
                <w:rFonts w:ascii="Arial Narrow" w:eastAsiaTheme="majorEastAsia" w:hAnsi="Arial Narrow" w:cs="Times New Roman"/>
                <w:b/>
                <w:sz w:val="20"/>
                <w:lang w:val="en-US"/>
              </w:rPr>
              <w:t>Outcome(s)</w:t>
            </w:r>
          </w:p>
        </w:tc>
        <w:tc>
          <w:tcPr>
            <w:tcW w:w="547" w:type="pct"/>
            <w:shd w:val="clear" w:color="auto" w:fill="auto"/>
            <w:vAlign w:val="center"/>
          </w:tcPr>
          <w:p w14:paraId="55FB2AC7" w14:textId="77777777" w:rsidR="00AA1B78" w:rsidRPr="0015004F" w:rsidRDefault="00AA1B78" w:rsidP="005B478D">
            <w:pPr>
              <w:keepNext/>
              <w:keepLines/>
              <w:jc w:val="center"/>
              <w:rPr>
                <w:rFonts w:ascii="Arial Narrow" w:eastAsiaTheme="majorEastAsia" w:hAnsi="Arial Narrow" w:cs="Times New Roman"/>
                <w:b/>
                <w:sz w:val="20"/>
                <w:lang w:val="en-US"/>
              </w:rPr>
            </w:pPr>
            <w:r w:rsidRPr="0015004F">
              <w:rPr>
                <w:rFonts w:ascii="Arial Narrow" w:eastAsiaTheme="majorEastAsia" w:hAnsi="Arial Narrow" w:cs="Times New Roman"/>
                <w:b/>
                <w:sz w:val="20"/>
                <w:lang w:val="en-US"/>
              </w:rPr>
              <w:t>Use in modelled evaluation</w:t>
            </w:r>
          </w:p>
        </w:tc>
      </w:tr>
      <w:tr w:rsidR="00AA1B78" w:rsidRPr="0015004F" w14:paraId="0C039F85" w14:textId="77777777" w:rsidTr="00D12D69">
        <w:trPr>
          <w:cantSplit/>
          <w:trHeight w:val="234"/>
        </w:trPr>
        <w:tc>
          <w:tcPr>
            <w:tcW w:w="5000" w:type="pct"/>
            <w:gridSpan w:val="8"/>
            <w:shd w:val="clear" w:color="auto" w:fill="auto"/>
            <w:vAlign w:val="center"/>
          </w:tcPr>
          <w:p w14:paraId="17C8C393" w14:textId="77777777" w:rsidR="00AA1B78" w:rsidRPr="0015004F" w:rsidRDefault="00AA1B78" w:rsidP="005B478D">
            <w:pPr>
              <w:keepNext/>
              <w:keepLines/>
              <w:jc w:val="left"/>
              <w:rPr>
                <w:rFonts w:ascii="Arial Narrow" w:eastAsiaTheme="majorEastAsia" w:hAnsi="Arial Narrow" w:cs="Times New Roman"/>
                <w:b/>
                <w:sz w:val="20"/>
                <w:lang w:val="en-US"/>
              </w:rPr>
            </w:pPr>
            <w:r w:rsidRPr="0015004F">
              <w:rPr>
                <w:rFonts w:ascii="Arial Narrow" w:eastAsiaTheme="majorEastAsia" w:hAnsi="Arial Narrow" w:cs="Times New Roman"/>
                <w:b/>
                <w:bCs/>
                <w:sz w:val="20"/>
                <w:lang w:val="en-US"/>
              </w:rPr>
              <w:t>Gar</w:t>
            </w:r>
            <w:r w:rsidRPr="0015004F">
              <w:rPr>
                <w:rFonts w:ascii="Arial Narrow" w:eastAsiaTheme="majorEastAsia" w:hAnsi="Arial Narrow" w:cstheme="majorBidi"/>
                <w:b/>
                <w:bCs/>
                <w:sz w:val="20"/>
                <w:lang w:val="en-US"/>
              </w:rPr>
              <w:t>a</w:t>
            </w:r>
            <w:r w:rsidRPr="0015004F">
              <w:rPr>
                <w:rFonts w:ascii="Arial Narrow" w:eastAsiaTheme="majorEastAsia" w:hAnsi="Arial Narrow" w:cs="Times New Roman"/>
                <w:b/>
                <w:bCs/>
                <w:sz w:val="20"/>
                <w:lang w:val="en-US"/>
              </w:rPr>
              <w:t>dacimab vs. placebo</w:t>
            </w:r>
            <w:r w:rsidRPr="0015004F">
              <w:rPr>
                <w:rFonts w:ascii="Arial Narrow" w:eastAsiaTheme="majorEastAsia" w:hAnsi="Arial Narrow" w:cs="Times New Roman"/>
                <w:b/>
                <w:sz w:val="20"/>
                <w:lang w:val="en-US"/>
              </w:rPr>
              <w:t xml:space="preserve"> </w:t>
            </w:r>
          </w:p>
        </w:tc>
      </w:tr>
      <w:tr w:rsidR="00AA1B78" w:rsidRPr="0015004F" w14:paraId="09253491" w14:textId="77777777" w:rsidTr="00D12D69">
        <w:trPr>
          <w:gridAfter w:val="1"/>
          <w:wAfter w:w="6" w:type="pct"/>
          <w:cantSplit/>
          <w:trHeight w:val="1147"/>
        </w:trPr>
        <w:tc>
          <w:tcPr>
            <w:tcW w:w="545" w:type="pct"/>
            <w:shd w:val="clear" w:color="auto" w:fill="auto"/>
            <w:vAlign w:val="center"/>
          </w:tcPr>
          <w:p w14:paraId="020B5EE0" w14:textId="77777777" w:rsidR="00AA1B78" w:rsidRPr="0015004F" w:rsidRDefault="00AA1B78" w:rsidP="005B478D">
            <w:pPr>
              <w:keepNext/>
              <w:keepLines/>
              <w:widowControl w:val="0"/>
              <w:jc w:val="left"/>
              <w:rPr>
                <w:rFonts w:ascii="Arial Narrow" w:eastAsiaTheme="majorEastAsia" w:hAnsi="Arial Narrow" w:cstheme="majorBidi"/>
                <w:sz w:val="20"/>
              </w:rPr>
            </w:pPr>
            <w:r w:rsidRPr="0015004F">
              <w:rPr>
                <w:rFonts w:ascii="Arial Narrow" w:eastAsiaTheme="majorEastAsia" w:hAnsi="Arial Narrow" w:cstheme="majorBidi"/>
                <w:sz w:val="20"/>
              </w:rPr>
              <w:t>VANGUARD</w:t>
            </w:r>
          </w:p>
        </w:tc>
        <w:tc>
          <w:tcPr>
            <w:tcW w:w="313" w:type="pct"/>
            <w:shd w:val="clear" w:color="auto" w:fill="auto"/>
            <w:vAlign w:val="center"/>
          </w:tcPr>
          <w:p w14:paraId="09437BA3" w14:textId="77777777" w:rsidR="00AA1B78" w:rsidRPr="0015004F" w:rsidRDefault="00AA1B78" w:rsidP="005B478D">
            <w:pPr>
              <w:keepNext/>
              <w:keepLines/>
              <w:widowControl w:val="0"/>
              <w:jc w:val="center"/>
              <w:rPr>
                <w:rFonts w:ascii="Arial Narrow" w:eastAsiaTheme="majorEastAsia" w:hAnsi="Arial Narrow" w:cstheme="majorBidi"/>
                <w:sz w:val="20"/>
              </w:rPr>
            </w:pPr>
            <w:r w:rsidRPr="0015004F">
              <w:rPr>
                <w:rFonts w:ascii="Arial Narrow" w:eastAsiaTheme="majorEastAsia" w:hAnsi="Arial Narrow" w:cstheme="majorBidi"/>
                <w:sz w:val="20"/>
              </w:rPr>
              <w:t>64</w:t>
            </w:r>
          </w:p>
        </w:tc>
        <w:tc>
          <w:tcPr>
            <w:tcW w:w="469" w:type="pct"/>
            <w:shd w:val="clear" w:color="auto" w:fill="auto"/>
            <w:vAlign w:val="center"/>
          </w:tcPr>
          <w:p w14:paraId="7CEAE1E6" w14:textId="77777777" w:rsidR="00AA1B78" w:rsidRPr="0015004F" w:rsidRDefault="00AA1B78" w:rsidP="005B478D">
            <w:pPr>
              <w:keepNext/>
              <w:keepLines/>
              <w:widowControl w:val="0"/>
              <w:jc w:val="center"/>
              <w:rPr>
                <w:rFonts w:ascii="Arial Narrow" w:eastAsiaTheme="majorEastAsia" w:hAnsi="Arial Narrow" w:cstheme="majorBidi"/>
                <w:sz w:val="20"/>
              </w:rPr>
            </w:pPr>
            <w:r w:rsidRPr="0015004F">
              <w:rPr>
                <w:rFonts w:ascii="Arial Narrow" w:eastAsiaTheme="majorEastAsia" w:hAnsi="Arial Narrow" w:cstheme="majorBidi"/>
                <w:sz w:val="20"/>
              </w:rPr>
              <w:t>R, DB</w:t>
            </w:r>
          </w:p>
          <w:p w14:paraId="59E9228A" w14:textId="77777777" w:rsidR="00AA1B78" w:rsidRPr="0015004F" w:rsidRDefault="00AA1B78" w:rsidP="005B478D">
            <w:pPr>
              <w:keepNext/>
              <w:keepLines/>
              <w:widowControl w:val="0"/>
              <w:jc w:val="center"/>
              <w:rPr>
                <w:rFonts w:ascii="Arial Narrow" w:eastAsiaTheme="majorEastAsia" w:hAnsi="Arial Narrow" w:cstheme="majorBidi"/>
                <w:sz w:val="20"/>
              </w:rPr>
            </w:pPr>
            <w:r w:rsidRPr="0015004F">
              <w:rPr>
                <w:rFonts w:ascii="Arial Narrow" w:eastAsiaTheme="majorEastAsia" w:hAnsi="Arial Narrow" w:cstheme="majorBidi"/>
                <w:sz w:val="20"/>
              </w:rPr>
              <w:t>6 mths</w:t>
            </w:r>
          </w:p>
        </w:tc>
        <w:tc>
          <w:tcPr>
            <w:tcW w:w="389" w:type="pct"/>
            <w:shd w:val="clear" w:color="auto" w:fill="auto"/>
            <w:vAlign w:val="center"/>
          </w:tcPr>
          <w:p w14:paraId="5FDEEBB6" w14:textId="77777777" w:rsidR="00AA1B78" w:rsidRPr="0015004F" w:rsidRDefault="00AA1B78" w:rsidP="005B478D">
            <w:pPr>
              <w:keepNext/>
              <w:keepLines/>
              <w:widowControl w:val="0"/>
              <w:jc w:val="center"/>
              <w:rPr>
                <w:rFonts w:ascii="Arial Narrow" w:eastAsiaTheme="majorEastAsia" w:hAnsi="Arial Narrow" w:cstheme="majorBidi"/>
                <w:sz w:val="20"/>
                <w:vertAlign w:val="superscript"/>
              </w:rPr>
            </w:pPr>
            <w:r w:rsidRPr="0015004F">
              <w:rPr>
                <w:rFonts w:ascii="Arial Narrow" w:eastAsiaTheme="majorEastAsia" w:hAnsi="Arial Narrow" w:cstheme="majorBidi"/>
                <w:sz w:val="20"/>
              </w:rPr>
              <w:t>Low</w:t>
            </w:r>
            <w:r w:rsidRPr="0015004F">
              <w:rPr>
                <w:rFonts w:ascii="Arial Narrow" w:eastAsiaTheme="majorEastAsia" w:hAnsi="Arial Narrow" w:cstheme="majorBidi"/>
                <w:sz w:val="20"/>
                <w:vertAlign w:val="superscript"/>
              </w:rPr>
              <w:t>a</w:t>
            </w:r>
          </w:p>
        </w:tc>
        <w:tc>
          <w:tcPr>
            <w:tcW w:w="703" w:type="pct"/>
            <w:shd w:val="clear" w:color="auto" w:fill="auto"/>
            <w:vAlign w:val="center"/>
          </w:tcPr>
          <w:p w14:paraId="06058E52" w14:textId="77777777" w:rsidR="00AA1B78" w:rsidRPr="0015004F" w:rsidRDefault="00AA1B78" w:rsidP="005B478D">
            <w:pPr>
              <w:keepNext/>
              <w:keepLines/>
              <w:widowControl w:val="0"/>
              <w:jc w:val="left"/>
              <w:rPr>
                <w:rFonts w:ascii="Arial Narrow" w:eastAsiaTheme="majorEastAsia" w:hAnsi="Arial Narrow" w:cstheme="majorBidi"/>
                <w:sz w:val="20"/>
              </w:rPr>
            </w:pPr>
            <w:r w:rsidRPr="0015004F">
              <w:rPr>
                <w:rFonts w:ascii="Arial Narrow" w:eastAsiaTheme="majorEastAsia" w:hAnsi="Arial Narrow" w:cstheme="majorBidi"/>
                <w:sz w:val="20"/>
              </w:rPr>
              <w:t>HAE Types I and II patients aged ≥ 12 years with ≥ 1 HAE attack per 4 weeks</w:t>
            </w:r>
          </w:p>
        </w:tc>
        <w:tc>
          <w:tcPr>
            <w:tcW w:w="2028" w:type="pct"/>
            <w:shd w:val="clear" w:color="auto" w:fill="auto"/>
            <w:vAlign w:val="center"/>
          </w:tcPr>
          <w:p w14:paraId="1E31942B" w14:textId="77777777" w:rsidR="00AA1B78" w:rsidRPr="0015004F" w:rsidRDefault="00AA1B78" w:rsidP="00857266">
            <w:pPr>
              <w:keepNext/>
              <w:keepLines/>
              <w:widowControl w:val="0"/>
              <w:numPr>
                <w:ilvl w:val="0"/>
                <w:numId w:val="11"/>
              </w:numPr>
              <w:ind w:left="223" w:hanging="222"/>
              <w:jc w:val="left"/>
              <w:rPr>
                <w:rFonts w:ascii="Arial Narrow" w:eastAsiaTheme="majorEastAsia" w:hAnsi="Arial Narrow" w:cstheme="majorBidi"/>
                <w:sz w:val="20"/>
              </w:rPr>
            </w:pPr>
            <w:r w:rsidRPr="0015004F">
              <w:rPr>
                <w:rFonts w:ascii="Arial Narrow" w:eastAsiaTheme="majorEastAsia" w:hAnsi="Arial Narrow" w:cstheme="majorBidi"/>
                <w:sz w:val="20"/>
              </w:rPr>
              <w:t xml:space="preserve">Time-normalised number of HAE attacks </w:t>
            </w:r>
          </w:p>
          <w:p w14:paraId="6F0DE7D2" w14:textId="77777777" w:rsidR="00AA1B78" w:rsidRPr="0015004F" w:rsidRDefault="00AA1B78" w:rsidP="00857266">
            <w:pPr>
              <w:keepNext/>
              <w:keepLines/>
              <w:widowControl w:val="0"/>
              <w:numPr>
                <w:ilvl w:val="0"/>
                <w:numId w:val="11"/>
              </w:numPr>
              <w:ind w:left="223" w:hanging="222"/>
              <w:jc w:val="left"/>
              <w:rPr>
                <w:rFonts w:ascii="Arial Narrow" w:eastAsiaTheme="majorEastAsia" w:hAnsi="Arial Narrow" w:cstheme="majorBidi"/>
                <w:sz w:val="20"/>
              </w:rPr>
            </w:pPr>
            <w:r w:rsidRPr="0015004F">
              <w:rPr>
                <w:rFonts w:ascii="Arial Narrow" w:eastAsiaTheme="majorEastAsia" w:hAnsi="Arial Narrow" w:cstheme="majorBidi"/>
                <w:sz w:val="20"/>
              </w:rPr>
              <w:t>Time-normalised number of HAE attacks requiring on-demand treatment</w:t>
            </w:r>
          </w:p>
          <w:p w14:paraId="038357F5" w14:textId="77777777" w:rsidR="00AA1B78" w:rsidRPr="0015004F" w:rsidRDefault="00AA1B78" w:rsidP="00857266">
            <w:pPr>
              <w:keepNext/>
              <w:keepLines/>
              <w:widowControl w:val="0"/>
              <w:numPr>
                <w:ilvl w:val="0"/>
                <w:numId w:val="11"/>
              </w:numPr>
              <w:ind w:left="223" w:hanging="222"/>
              <w:jc w:val="left"/>
              <w:rPr>
                <w:rFonts w:ascii="Arial Narrow" w:eastAsiaTheme="majorEastAsia" w:hAnsi="Arial Narrow" w:cstheme="majorBidi"/>
                <w:sz w:val="20"/>
              </w:rPr>
            </w:pPr>
            <w:r w:rsidRPr="0015004F">
              <w:rPr>
                <w:rFonts w:ascii="Arial Narrow" w:eastAsiaTheme="majorEastAsia" w:hAnsi="Arial Narrow" w:cstheme="majorBidi"/>
                <w:sz w:val="20"/>
              </w:rPr>
              <w:t>Time-normalised number of moderate and/or severe HAE attacks</w:t>
            </w:r>
          </w:p>
          <w:p w14:paraId="60D1FE6F" w14:textId="77777777" w:rsidR="00AA1B78" w:rsidRPr="0015004F" w:rsidRDefault="00AA1B78" w:rsidP="00857266">
            <w:pPr>
              <w:keepNext/>
              <w:keepLines/>
              <w:widowControl w:val="0"/>
              <w:numPr>
                <w:ilvl w:val="0"/>
                <w:numId w:val="11"/>
              </w:numPr>
              <w:ind w:left="223" w:hanging="222"/>
              <w:jc w:val="left"/>
              <w:rPr>
                <w:rFonts w:ascii="Arial Narrow" w:eastAsiaTheme="majorEastAsia" w:hAnsi="Arial Narrow" w:cstheme="majorBidi"/>
                <w:sz w:val="20"/>
              </w:rPr>
            </w:pPr>
            <w:r w:rsidRPr="0015004F">
              <w:rPr>
                <w:rFonts w:ascii="Arial Narrow" w:eastAsiaTheme="majorEastAsia" w:hAnsi="Arial Narrow" w:cstheme="majorBidi"/>
                <w:sz w:val="20"/>
              </w:rPr>
              <w:t>Proportion of attack-free patients over treatment period</w:t>
            </w:r>
          </w:p>
          <w:p w14:paraId="731ADD82" w14:textId="77777777" w:rsidR="00AA1B78" w:rsidRPr="0015004F" w:rsidRDefault="00AA1B78" w:rsidP="00857266">
            <w:pPr>
              <w:keepNext/>
              <w:keepLines/>
              <w:widowControl w:val="0"/>
              <w:numPr>
                <w:ilvl w:val="0"/>
                <w:numId w:val="11"/>
              </w:numPr>
              <w:ind w:left="223" w:hanging="222"/>
              <w:jc w:val="left"/>
              <w:rPr>
                <w:rFonts w:ascii="Arial Narrow" w:eastAsiaTheme="majorEastAsia" w:hAnsi="Arial Narrow" w:cstheme="majorBidi"/>
                <w:sz w:val="20"/>
              </w:rPr>
            </w:pPr>
            <w:r w:rsidRPr="0015004F">
              <w:rPr>
                <w:rFonts w:ascii="Arial Narrow" w:eastAsiaTheme="majorEastAsia" w:hAnsi="Arial Narrow" w:cstheme="majorBidi"/>
                <w:sz w:val="20"/>
              </w:rPr>
              <w:t>Change from baseline in Angioedema-QoL total score</w:t>
            </w:r>
          </w:p>
          <w:p w14:paraId="68B0C7B9" w14:textId="77777777" w:rsidR="00AA1B78" w:rsidRPr="0015004F" w:rsidRDefault="00AA1B78" w:rsidP="00857266">
            <w:pPr>
              <w:keepNext/>
              <w:keepLines/>
              <w:widowControl w:val="0"/>
              <w:numPr>
                <w:ilvl w:val="0"/>
                <w:numId w:val="11"/>
              </w:numPr>
              <w:ind w:left="223" w:hanging="222"/>
              <w:jc w:val="left"/>
              <w:rPr>
                <w:rFonts w:ascii="Arial Narrow" w:eastAsiaTheme="majorEastAsia" w:hAnsi="Arial Narrow" w:cstheme="majorBidi"/>
                <w:sz w:val="20"/>
              </w:rPr>
            </w:pPr>
            <w:r w:rsidRPr="0015004F">
              <w:rPr>
                <w:rFonts w:ascii="Arial Narrow" w:eastAsiaTheme="majorEastAsia" w:hAnsi="Arial Narrow" w:cstheme="majorBidi"/>
                <w:sz w:val="20"/>
              </w:rPr>
              <w:t>Any TEAEs</w:t>
            </w:r>
          </w:p>
          <w:p w14:paraId="60EAFC04" w14:textId="77777777" w:rsidR="00AA1B78" w:rsidRPr="0015004F" w:rsidRDefault="00AA1B78" w:rsidP="00857266">
            <w:pPr>
              <w:keepNext/>
              <w:keepLines/>
              <w:widowControl w:val="0"/>
              <w:numPr>
                <w:ilvl w:val="0"/>
                <w:numId w:val="11"/>
              </w:numPr>
              <w:ind w:left="223" w:hanging="222"/>
              <w:jc w:val="left"/>
              <w:rPr>
                <w:rFonts w:ascii="Arial Narrow" w:eastAsiaTheme="majorEastAsia" w:hAnsi="Arial Narrow" w:cstheme="majorBidi"/>
                <w:sz w:val="20"/>
              </w:rPr>
            </w:pPr>
            <w:r w:rsidRPr="0015004F">
              <w:rPr>
                <w:rFonts w:ascii="Arial Narrow" w:eastAsiaTheme="majorEastAsia" w:hAnsi="Arial Narrow" w:cstheme="majorBidi"/>
                <w:sz w:val="20"/>
              </w:rPr>
              <w:t>Serious AEs</w:t>
            </w:r>
          </w:p>
        </w:tc>
        <w:tc>
          <w:tcPr>
            <w:tcW w:w="547" w:type="pct"/>
            <w:shd w:val="clear" w:color="auto" w:fill="auto"/>
            <w:vAlign w:val="center"/>
          </w:tcPr>
          <w:p w14:paraId="31D3104D" w14:textId="77777777" w:rsidR="00AA1B78" w:rsidRPr="0015004F" w:rsidRDefault="00AA1B78" w:rsidP="005B478D">
            <w:pPr>
              <w:keepNext/>
              <w:keepLines/>
              <w:widowControl w:val="0"/>
              <w:jc w:val="center"/>
              <w:rPr>
                <w:rFonts w:ascii="Arial Narrow" w:eastAsiaTheme="majorEastAsia" w:hAnsi="Arial Narrow" w:cstheme="majorBidi"/>
                <w:sz w:val="20"/>
              </w:rPr>
            </w:pPr>
            <w:r w:rsidRPr="0015004F">
              <w:rPr>
                <w:rFonts w:ascii="Arial Narrow" w:eastAsiaTheme="majorEastAsia" w:hAnsi="Arial Narrow" w:cstheme="majorBidi"/>
                <w:sz w:val="20"/>
              </w:rPr>
              <w:t>No</w:t>
            </w:r>
          </w:p>
        </w:tc>
      </w:tr>
      <w:tr w:rsidR="00AA1B78" w:rsidRPr="0015004F" w14:paraId="023AEE19" w14:textId="77777777" w:rsidTr="00D12D69">
        <w:trPr>
          <w:cantSplit/>
          <w:trHeight w:val="288"/>
        </w:trPr>
        <w:tc>
          <w:tcPr>
            <w:tcW w:w="5000" w:type="pct"/>
            <w:gridSpan w:val="8"/>
            <w:tcBorders>
              <w:bottom w:val="single" w:sz="4" w:space="0" w:color="auto"/>
            </w:tcBorders>
            <w:shd w:val="clear" w:color="auto" w:fill="auto"/>
            <w:vAlign w:val="center"/>
          </w:tcPr>
          <w:p w14:paraId="735E42F0" w14:textId="77777777" w:rsidR="00AA1B78" w:rsidRPr="0015004F" w:rsidRDefault="00AA1B78" w:rsidP="005B478D">
            <w:pPr>
              <w:keepNext/>
              <w:keepLines/>
              <w:widowControl w:val="0"/>
              <w:jc w:val="left"/>
              <w:rPr>
                <w:rFonts w:ascii="Arial Narrow" w:eastAsiaTheme="majorEastAsia" w:hAnsi="Arial Narrow" w:cstheme="majorBidi"/>
                <w:sz w:val="20"/>
              </w:rPr>
            </w:pPr>
            <w:r w:rsidRPr="0015004F">
              <w:rPr>
                <w:rFonts w:ascii="Arial Narrow" w:eastAsiaTheme="majorEastAsia" w:hAnsi="Arial Narrow" w:cstheme="majorBidi"/>
                <w:b/>
                <w:bCs/>
                <w:sz w:val="20"/>
              </w:rPr>
              <w:t>Lanadelumab vs. placebo</w:t>
            </w:r>
          </w:p>
        </w:tc>
      </w:tr>
      <w:tr w:rsidR="00AA1B78" w:rsidRPr="0015004F" w14:paraId="035C2621" w14:textId="77777777" w:rsidTr="00D12D69">
        <w:trPr>
          <w:gridAfter w:val="1"/>
          <w:wAfter w:w="6" w:type="pct"/>
          <w:cantSplit/>
          <w:trHeight w:val="1344"/>
        </w:trPr>
        <w:tc>
          <w:tcPr>
            <w:tcW w:w="545" w:type="pct"/>
            <w:shd w:val="clear" w:color="auto" w:fill="C6D9F1" w:themeFill="text2" w:themeFillTint="33"/>
            <w:vAlign w:val="center"/>
          </w:tcPr>
          <w:p w14:paraId="29CCE0C4" w14:textId="77777777" w:rsidR="00AA1B78" w:rsidRPr="0015004F" w:rsidRDefault="00AA1B78" w:rsidP="005B478D">
            <w:pPr>
              <w:keepNext/>
              <w:keepLines/>
              <w:widowControl w:val="0"/>
              <w:jc w:val="left"/>
              <w:rPr>
                <w:rFonts w:ascii="Arial Narrow" w:eastAsiaTheme="majorEastAsia" w:hAnsi="Arial Narrow" w:cstheme="majorBidi"/>
                <w:sz w:val="20"/>
              </w:rPr>
            </w:pPr>
            <w:r w:rsidRPr="0015004F">
              <w:rPr>
                <w:rFonts w:ascii="Arial Narrow" w:eastAsiaTheme="majorEastAsia" w:hAnsi="Arial Narrow" w:cstheme="majorBidi"/>
                <w:sz w:val="20"/>
              </w:rPr>
              <w:t>HELP</w:t>
            </w:r>
          </w:p>
        </w:tc>
        <w:tc>
          <w:tcPr>
            <w:tcW w:w="313" w:type="pct"/>
            <w:shd w:val="clear" w:color="auto" w:fill="C6D9F1" w:themeFill="text2" w:themeFillTint="33"/>
            <w:vAlign w:val="center"/>
          </w:tcPr>
          <w:p w14:paraId="33D79513" w14:textId="77777777" w:rsidR="00AA1B78" w:rsidRPr="0015004F" w:rsidRDefault="00AA1B78" w:rsidP="005B478D">
            <w:pPr>
              <w:keepNext/>
              <w:keepLines/>
              <w:widowControl w:val="0"/>
              <w:jc w:val="center"/>
              <w:rPr>
                <w:rFonts w:ascii="Arial Narrow" w:eastAsiaTheme="majorEastAsia" w:hAnsi="Arial Narrow" w:cstheme="majorBidi"/>
                <w:sz w:val="20"/>
                <w:vertAlign w:val="superscript"/>
              </w:rPr>
            </w:pPr>
            <w:r w:rsidRPr="0015004F">
              <w:rPr>
                <w:rFonts w:ascii="Arial Narrow" w:eastAsiaTheme="majorEastAsia" w:hAnsi="Arial Narrow" w:cstheme="majorBidi"/>
                <w:sz w:val="20"/>
              </w:rPr>
              <w:t>125</w:t>
            </w:r>
            <w:r w:rsidRPr="0015004F">
              <w:rPr>
                <w:rFonts w:ascii="Arial Narrow" w:eastAsiaTheme="majorEastAsia" w:hAnsi="Arial Narrow" w:cstheme="majorBidi"/>
                <w:sz w:val="20"/>
                <w:vertAlign w:val="superscript"/>
              </w:rPr>
              <w:t>b</w:t>
            </w:r>
          </w:p>
        </w:tc>
        <w:tc>
          <w:tcPr>
            <w:tcW w:w="469" w:type="pct"/>
            <w:shd w:val="clear" w:color="auto" w:fill="C6D9F1" w:themeFill="text2" w:themeFillTint="33"/>
            <w:vAlign w:val="center"/>
          </w:tcPr>
          <w:p w14:paraId="707ECA86" w14:textId="77777777" w:rsidR="00AA1B78" w:rsidRPr="0015004F" w:rsidRDefault="00AA1B78" w:rsidP="005B478D">
            <w:pPr>
              <w:keepNext/>
              <w:keepLines/>
              <w:widowControl w:val="0"/>
              <w:jc w:val="center"/>
              <w:rPr>
                <w:rFonts w:ascii="Arial Narrow" w:eastAsiaTheme="majorEastAsia" w:hAnsi="Arial Narrow" w:cstheme="majorBidi"/>
                <w:sz w:val="20"/>
              </w:rPr>
            </w:pPr>
            <w:r w:rsidRPr="0015004F">
              <w:rPr>
                <w:rFonts w:ascii="Arial Narrow" w:eastAsiaTheme="majorEastAsia" w:hAnsi="Arial Narrow" w:cstheme="majorBidi"/>
                <w:sz w:val="20"/>
              </w:rPr>
              <w:t>R, DB</w:t>
            </w:r>
          </w:p>
          <w:p w14:paraId="4B2C619A" w14:textId="77777777" w:rsidR="00AA1B78" w:rsidRPr="0015004F" w:rsidRDefault="00AA1B78" w:rsidP="005B478D">
            <w:pPr>
              <w:keepNext/>
              <w:keepLines/>
              <w:widowControl w:val="0"/>
              <w:jc w:val="center"/>
              <w:rPr>
                <w:rFonts w:ascii="Arial Narrow" w:eastAsiaTheme="majorEastAsia" w:hAnsi="Arial Narrow" w:cstheme="majorBidi"/>
                <w:sz w:val="20"/>
              </w:rPr>
            </w:pPr>
            <w:r w:rsidRPr="0015004F">
              <w:rPr>
                <w:rFonts w:ascii="Arial Narrow" w:eastAsiaTheme="majorEastAsia" w:hAnsi="Arial Narrow" w:cstheme="majorBidi"/>
                <w:sz w:val="20"/>
              </w:rPr>
              <w:t>26 wks</w:t>
            </w:r>
          </w:p>
        </w:tc>
        <w:tc>
          <w:tcPr>
            <w:tcW w:w="389" w:type="pct"/>
            <w:shd w:val="clear" w:color="auto" w:fill="C6D9F1" w:themeFill="text2" w:themeFillTint="33"/>
            <w:vAlign w:val="center"/>
          </w:tcPr>
          <w:p w14:paraId="00A93295" w14:textId="77777777" w:rsidR="00AA1B78" w:rsidRPr="0015004F" w:rsidRDefault="00AA1B78" w:rsidP="005B478D">
            <w:pPr>
              <w:keepNext/>
              <w:keepLines/>
              <w:widowControl w:val="0"/>
              <w:jc w:val="center"/>
              <w:rPr>
                <w:rFonts w:ascii="Arial Narrow" w:eastAsiaTheme="majorEastAsia" w:hAnsi="Arial Narrow" w:cstheme="majorBidi"/>
                <w:sz w:val="20"/>
                <w:vertAlign w:val="superscript"/>
              </w:rPr>
            </w:pPr>
            <w:r w:rsidRPr="0015004F">
              <w:rPr>
                <w:rFonts w:ascii="Arial Narrow" w:eastAsiaTheme="majorEastAsia" w:hAnsi="Arial Narrow" w:cstheme="majorBidi"/>
                <w:sz w:val="20"/>
              </w:rPr>
              <w:t>Low</w:t>
            </w:r>
            <w:r w:rsidRPr="0015004F">
              <w:rPr>
                <w:rFonts w:ascii="Arial Narrow" w:eastAsiaTheme="majorEastAsia" w:hAnsi="Arial Narrow" w:cstheme="majorBidi"/>
                <w:sz w:val="20"/>
                <w:vertAlign w:val="superscript"/>
              </w:rPr>
              <w:t>a</w:t>
            </w:r>
          </w:p>
        </w:tc>
        <w:tc>
          <w:tcPr>
            <w:tcW w:w="703" w:type="pct"/>
            <w:shd w:val="clear" w:color="auto" w:fill="C6D9F1" w:themeFill="text2" w:themeFillTint="33"/>
            <w:vAlign w:val="center"/>
          </w:tcPr>
          <w:p w14:paraId="7606253D" w14:textId="77777777" w:rsidR="00AA1B78" w:rsidRPr="0015004F" w:rsidRDefault="00AA1B78" w:rsidP="005B478D">
            <w:pPr>
              <w:keepNext/>
              <w:keepLines/>
              <w:widowControl w:val="0"/>
              <w:jc w:val="left"/>
              <w:rPr>
                <w:rFonts w:ascii="Arial Narrow" w:eastAsiaTheme="majorEastAsia" w:hAnsi="Arial Narrow" w:cstheme="majorBidi"/>
                <w:sz w:val="20"/>
              </w:rPr>
            </w:pPr>
            <w:r w:rsidRPr="0015004F">
              <w:rPr>
                <w:rFonts w:ascii="Arial Narrow" w:eastAsiaTheme="majorEastAsia" w:hAnsi="Arial Narrow" w:cstheme="majorBidi"/>
                <w:sz w:val="20"/>
              </w:rPr>
              <w:t>HAE Types I and II patients aged ≥ 12 years with ≥ 1 HAE attacks per 4 weeks</w:t>
            </w:r>
          </w:p>
        </w:tc>
        <w:tc>
          <w:tcPr>
            <w:tcW w:w="2028" w:type="pct"/>
            <w:shd w:val="clear" w:color="auto" w:fill="auto"/>
            <w:vAlign w:val="center"/>
          </w:tcPr>
          <w:p w14:paraId="64CF8E52" w14:textId="77777777" w:rsidR="00AA1B78" w:rsidRPr="0015004F" w:rsidRDefault="00AA1B78" w:rsidP="005B478D">
            <w:pPr>
              <w:keepNext/>
              <w:keepLines/>
              <w:widowControl w:val="0"/>
              <w:jc w:val="left"/>
              <w:rPr>
                <w:rFonts w:ascii="Arial Narrow" w:eastAsiaTheme="majorEastAsia" w:hAnsi="Arial Narrow" w:cstheme="majorBidi"/>
                <w:sz w:val="20"/>
              </w:rPr>
            </w:pPr>
            <w:r w:rsidRPr="0015004F">
              <w:rPr>
                <w:rFonts w:ascii="Arial Narrow" w:eastAsiaTheme="majorEastAsia" w:hAnsi="Arial Narrow" w:cstheme="majorBidi"/>
                <w:sz w:val="20"/>
              </w:rPr>
              <w:t>As above</w:t>
            </w:r>
          </w:p>
        </w:tc>
        <w:tc>
          <w:tcPr>
            <w:tcW w:w="547" w:type="pct"/>
            <w:shd w:val="clear" w:color="auto" w:fill="auto"/>
            <w:vAlign w:val="center"/>
          </w:tcPr>
          <w:p w14:paraId="0993BA3B" w14:textId="77777777" w:rsidR="00AA1B78" w:rsidRPr="0015004F" w:rsidRDefault="00AA1B78" w:rsidP="005B478D">
            <w:pPr>
              <w:keepNext/>
              <w:keepLines/>
              <w:widowControl w:val="0"/>
              <w:jc w:val="center"/>
              <w:rPr>
                <w:rFonts w:ascii="Arial Narrow" w:eastAsiaTheme="majorEastAsia" w:hAnsi="Arial Narrow" w:cstheme="majorBidi"/>
                <w:sz w:val="20"/>
              </w:rPr>
            </w:pPr>
            <w:r w:rsidRPr="0015004F">
              <w:rPr>
                <w:rFonts w:ascii="Arial Narrow" w:eastAsiaTheme="majorEastAsia" w:hAnsi="Arial Narrow" w:cstheme="majorBidi"/>
                <w:sz w:val="20"/>
              </w:rPr>
              <w:t>No</w:t>
            </w:r>
          </w:p>
        </w:tc>
      </w:tr>
    </w:tbl>
    <w:p w14:paraId="64DDCD1D" w14:textId="77777777" w:rsidR="00270F00" w:rsidRPr="0015004F" w:rsidRDefault="00FE015B" w:rsidP="001D0AAC">
      <w:pPr>
        <w:pStyle w:val="TableFigureFooter"/>
        <w:keepNext/>
        <w:jc w:val="both"/>
      </w:pPr>
      <w:r w:rsidRPr="0015004F">
        <w:t>Source: Complied during the evaluation based on information provided in Section 2.2-2.3 of the submission.</w:t>
      </w:r>
    </w:p>
    <w:p w14:paraId="0B87246C" w14:textId="77777777" w:rsidR="00AA1B78" w:rsidRPr="0015004F" w:rsidRDefault="00AA1B78" w:rsidP="001D0AAC">
      <w:pPr>
        <w:pStyle w:val="TableFigureFooter"/>
        <w:keepNext/>
        <w:jc w:val="both"/>
      </w:pPr>
      <w:r w:rsidRPr="0015004F">
        <w:t>AE = adverse event; DB = double blind; HAE = hereditary angioedema; mths = months; QM = once per month; R = randomised; TEAE = treatment-emergent adverse event; wks = weeks</w:t>
      </w:r>
    </w:p>
    <w:p w14:paraId="5A8CE806" w14:textId="4E0F339A" w:rsidR="00AA1B78" w:rsidRPr="0015004F" w:rsidRDefault="00AA1B78" w:rsidP="001D0AAC">
      <w:pPr>
        <w:pStyle w:val="TableFigureFooter"/>
        <w:keepNext/>
        <w:jc w:val="both"/>
      </w:pPr>
      <w:r w:rsidRPr="0015004F">
        <w:rPr>
          <w:vertAlign w:val="superscript"/>
        </w:rPr>
        <w:t>a</w:t>
      </w:r>
      <w:r w:rsidRPr="0015004F">
        <w:t xml:space="preserve"> Although the risk of bias was considered low in each individual trial, the risk of bias of the indirect comparison was considered high due to the transitivity issues between the trials.  </w:t>
      </w:r>
    </w:p>
    <w:p w14:paraId="6AAE0F22" w14:textId="0FCA27D8" w:rsidR="00AA1B78" w:rsidRPr="0015004F" w:rsidRDefault="00AA1B78" w:rsidP="001D0AAC">
      <w:pPr>
        <w:pStyle w:val="TableFigureFooter"/>
        <w:keepNext/>
        <w:jc w:val="both"/>
      </w:pPr>
      <w:r w:rsidRPr="0015004F">
        <w:rPr>
          <w:vertAlign w:val="superscript"/>
        </w:rPr>
        <w:t xml:space="preserve">b </w:t>
      </w:r>
      <w:r w:rsidRPr="0015004F">
        <w:t xml:space="preserve">A total of four treatments arms were included in the HELP trial: lanadelumab 300 mg every 2 weeks (Q2W) (N=27), lanadelumab 300 mg every 4 weeks (Q4W) (N=29), lanadelumab 150 mg </w:t>
      </w:r>
      <w:r w:rsidR="00960F10" w:rsidRPr="0015004F">
        <w:t>Q4W</w:t>
      </w:r>
      <w:r w:rsidRPr="0015004F">
        <w:t xml:space="preserve"> (N=28) and placebo (N=41). Efficacy and safety data from the lanadelumab 300 mg Q2W and 300 mg Q4W treatment arms (the two dosing regimens recommended in the lanadelumab product information) and the placebo arm were used in the indirect treatment comparison. </w:t>
      </w:r>
    </w:p>
    <w:p w14:paraId="23B542DC" w14:textId="3F4E5CAE" w:rsidR="00AA1B78" w:rsidRPr="0015004F" w:rsidRDefault="00AA1B78" w:rsidP="001D0AAC">
      <w:pPr>
        <w:pStyle w:val="TableFigureFooter"/>
        <w:spacing w:after="120"/>
        <w:jc w:val="both"/>
      </w:pPr>
      <w:r w:rsidRPr="0015004F">
        <w:rPr>
          <w:shd w:val="clear" w:color="auto" w:fill="C6D9F1" w:themeFill="text2" w:themeFillTint="33"/>
        </w:rPr>
        <w:t>Blue</w:t>
      </w:r>
      <w:r w:rsidRPr="0015004F">
        <w:t xml:space="preserve"> shading indicates the clinical trial previously considered by PBAC</w:t>
      </w:r>
      <w:r w:rsidR="35ECBE94" w:rsidRPr="0015004F">
        <w:t xml:space="preserve"> (for lanadelumab)</w:t>
      </w:r>
    </w:p>
    <w:p w14:paraId="69FB5330" w14:textId="63DCB633" w:rsidR="0019518B" w:rsidRPr="0015004F" w:rsidRDefault="0019518B" w:rsidP="0019518B">
      <w:pPr>
        <w:pStyle w:val="3-BodyText"/>
      </w:pPr>
      <w:bookmarkStart w:id="20" w:name="_Toc22897641"/>
      <w:bookmarkEnd w:id="19"/>
      <w:r w:rsidRPr="0015004F">
        <w:t>VANGUARD was a Phase 3, randomised, double-blind, placebo-controlled trial comparing garadacimab (400 mg SC as the loading dose followed by 200 mg SC once per month) versus placebo as the routine prophylaxis for acute HAE attacks in patients aged 12 years and older with HAE Types I and II during a 6-month treatment period. After a screening period (up to 1 month), patients underwent a run-in period (up to 2</w:t>
      </w:r>
      <w:r w:rsidR="001D0AAC">
        <w:t> </w:t>
      </w:r>
      <w:r w:rsidRPr="0015004F">
        <w:t xml:space="preserve">months) to determine their baseline attack rate. Participants who met a minimum baseline rate of at least 1 investigator-confirmed HAE attack per month were eligible for enrolment. </w:t>
      </w:r>
      <w:bookmarkStart w:id="21" w:name="_Hlk176429969"/>
      <w:r w:rsidRPr="0015004F">
        <w:t xml:space="preserve">A total of 65 participants completed the run-in period and were randomised to garadacimab </w:t>
      </w:r>
      <w:r w:rsidR="001A7DEB" w:rsidRPr="0015004F">
        <w:t>or</w:t>
      </w:r>
      <w:r w:rsidRPr="0015004F">
        <w:t xml:space="preserve"> placebo at a 3:2 ratio. One patient in the placebo arm who was randomised to blinded treatment in error and never received the study treatment was not included in the analysis. The </w:t>
      </w:r>
      <w:r w:rsidR="002D39BC" w:rsidRPr="0015004F">
        <w:t xml:space="preserve">evaluation considered that the </w:t>
      </w:r>
      <w:r w:rsidRPr="0015004F">
        <w:t xml:space="preserve">risk of bias in the VANGUARD trial </w:t>
      </w:r>
      <w:r w:rsidR="00DA4306" w:rsidRPr="0015004F">
        <w:t>wa</w:t>
      </w:r>
      <w:r w:rsidRPr="0015004F">
        <w:t>s low</w:t>
      </w:r>
      <w:r w:rsidR="00DA4306" w:rsidRPr="0015004F">
        <w:t xml:space="preserve">, and </w:t>
      </w:r>
      <w:r w:rsidR="002D39BC" w:rsidRPr="0015004F">
        <w:t xml:space="preserve">the </w:t>
      </w:r>
      <w:r w:rsidRPr="0015004F">
        <w:t xml:space="preserve">baseline characteristics, including the baseline HAE attack rate, were generally balanced between the two treatment arms in VANGUARD. </w:t>
      </w:r>
      <w:bookmarkEnd w:id="21"/>
    </w:p>
    <w:p w14:paraId="69B338DE" w14:textId="48202AD9" w:rsidR="0019518B" w:rsidRPr="0015004F" w:rsidRDefault="0019518B" w:rsidP="00A21FF6">
      <w:pPr>
        <w:pStyle w:val="3-BodyText"/>
      </w:pPr>
      <w:r w:rsidRPr="0015004F">
        <w:t xml:space="preserve">In VANGUARD, only </w:t>
      </w:r>
      <w:r w:rsidR="000D61BE" w:rsidRPr="0015004F">
        <w:t>one among the 65 randomised patients (</w:t>
      </w:r>
      <w:r w:rsidRPr="0015004F">
        <w:t>1.6%</w:t>
      </w:r>
      <w:r w:rsidR="000D61BE" w:rsidRPr="0015004F">
        <w:t>)</w:t>
      </w:r>
      <w:r w:rsidRPr="0015004F">
        <w:t xml:space="preserve"> had used lanadelumab as routine prophylaxis of HAE attacks before enrolment; whereas in Australian clinical practice, lanadelumab is the most commonly used routine </w:t>
      </w:r>
      <w:r w:rsidRPr="0015004F">
        <w:lastRenderedPageBreak/>
        <w:t xml:space="preserve">prophylactic treatment for HAE. </w:t>
      </w:r>
      <w:r w:rsidR="002D39BC" w:rsidRPr="0015004F">
        <w:t xml:space="preserve">The evaluation </w:t>
      </w:r>
      <w:r w:rsidR="003A2C51" w:rsidRPr="0015004F">
        <w:t>and the ESC noted</w:t>
      </w:r>
      <w:r w:rsidR="002D39BC" w:rsidRPr="0015004F">
        <w:t xml:space="preserve"> that e</w:t>
      </w:r>
      <w:r w:rsidRPr="0015004F">
        <w:t xml:space="preserve">vidence regarding the efficacy and safety of </w:t>
      </w:r>
      <w:r w:rsidR="003A2C51" w:rsidRPr="0015004F">
        <w:t xml:space="preserve">the use of </w:t>
      </w:r>
      <w:r w:rsidRPr="0015004F">
        <w:t xml:space="preserve">garadacimab following lanadelumab </w:t>
      </w:r>
      <w:r w:rsidR="003A2C51" w:rsidRPr="0015004F">
        <w:t>was</w:t>
      </w:r>
      <w:r w:rsidRPr="0015004F">
        <w:t xml:space="preserve"> lacking.</w:t>
      </w:r>
      <w:r w:rsidR="00C45D38" w:rsidRPr="0015004F">
        <w:t xml:space="preserve"> The ESC acknowledged that this remains an area of uncertainty</w:t>
      </w:r>
      <w:r w:rsidR="009A6C6B" w:rsidRPr="0015004F">
        <w:t>,</w:t>
      </w:r>
      <w:r w:rsidR="009A79A4" w:rsidRPr="0015004F">
        <w:t xml:space="preserve"> as </w:t>
      </w:r>
      <w:r w:rsidR="00C15E42" w:rsidRPr="0015004F">
        <w:t>is</w:t>
      </w:r>
      <w:r w:rsidR="009A79A4" w:rsidRPr="0015004F">
        <w:t xml:space="preserve"> the use of lanadelumab following garadacimab</w:t>
      </w:r>
      <w:r w:rsidR="00DA4306" w:rsidRPr="0015004F">
        <w:t xml:space="preserve">. However, the ESC considered that it would be reasonable to allow sequential use given the </w:t>
      </w:r>
      <w:r w:rsidR="009A6C6B" w:rsidRPr="0015004F">
        <w:t>slightly different mechanism</w:t>
      </w:r>
      <w:r w:rsidR="00DA4306" w:rsidRPr="0015004F">
        <w:t>s</w:t>
      </w:r>
      <w:r w:rsidR="009A6C6B" w:rsidRPr="0015004F">
        <w:t xml:space="preserve"> of action</w:t>
      </w:r>
      <w:r w:rsidR="00DA4306" w:rsidRPr="0015004F">
        <w:t xml:space="preserve"> and dosing frequency</w:t>
      </w:r>
      <w:r w:rsidR="009A6C6B" w:rsidRPr="0015004F">
        <w:t xml:space="preserve">. </w:t>
      </w:r>
    </w:p>
    <w:p w14:paraId="1B999416" w14:textId="362EBFC1" w:rsidR="0019518B" w:rsidRPr="0015004F" w:rsidRDefault="0019518B" w:rsidP="0019518B">
      <w:pPr>
        <w:pStyle w:val="3-BodyText"/>
      </w:pPr>
      <w:r w:rsidRPr="0015004F">
        <w:t xml:space="preserve">HELP was a Phase 3, multicentre, randomised, double-blind, placebo-controlled trial comparing three dose regimens of lanadelumab with placebo as routine prophylaxis for acute attacks in patients aged 12 years and older with HAE Types I and II during a 26-week treatment period. A total of 125 patients were randomised to receive lanadelumab or placebo with a ratio of 2:1. Patients assigned to lanadelumab were further randomised 1:1:1 to one of the three dose regimens: (1) lanadelumab 300 mg SC Q2W, (2) lanadelumab 300 mg SC every 4 weeks (Q4W), and (3) lanadelumab 150 mg SC Q4W. Efficacy and safety data from the lanadelumab 300 mg Q2W treatment arm (N = 27), the lanadelumab 300 mg Q4W treatment arm (N = 29) (the two dosing regimens recommended in the lanadelumab product information [PI]) and the placebo arm (N = 41) of the HELP trial were used in the ITC. </w:t>
      </w:r>
    </w:p>
    <w:p w14:paraId="6DD2D7FF" w14:textId="050CA6C7" w:rsidR="0019518B" w:rsidRPr="0015004F" w:rsidRDefault="0019518B" w:rsidP="0019518B">
      <w:pPr>
        <w:pStyle w:val="3-BodyText"/>
        <w:rPr>
          <w:rFonts w:eastAsia="Calibri"/>
        </w:rPr>
      </w:pPr>
      <w:r w:rsidRPr="0015004F">
        <w:rPr>
          <w:rFonts w:eastAsia="Calibri"/>
        </w:rPr>
        <w:t>T</w:t>
      </w:r>
      <w:r w:rsidR="002D39BC" w:rsidRPr="0015004F">
        <w:rPr>
          <w:rFonts w:eastAsia="Calibri"/>
        </w:rPr>
        <w:t xml:space="preserve">he evaluation identified </w:t>
      </w:r>
      <w:r w:rsidRPr="0015004F">
        <w:rPr>
          <w:rFonts w:eastAsia="Calibri"/>
        </w:rPr>
        <w:t>a number of key differences across the VANGUARD and HELP trials:</w:t>
      </w:r>
      <w:r w:rsidRPr="0015004F">
        <w:rPr>
          <w:rFonts w:cstheme="minorHAnsi"/>
        </w:rPr>
        <w:t xml:space="preserve"> </w:t>
      </w:r>
      <w:r w:rsidR="000768B4" w:rsidRPr="0015004F">
        <w:rPr>
          <w:rFonts w:cstheme="minorHAnsi"/>
        </w:rPr>
        <w:t xml:space="preserve"> </w:t>
      </w:r>
    </w:p>
    <w:p w14:paraId="4CB540D4" w14:textId="77777777" w:rsidR="0019518B" w:rsidRPr="0015004F" w:rsidRDefault="0019518B" w:rsidP="00857266">
      <w:pPr>
        <w:pStyle w:val="3-BodyText"/>
        <w:numPr>
          <w:ilvl w:val="0"/>
          <w:numId w:val="10"/>
        </w:numPr>
        <w:ind w:left="1134"/>
        <w:rPr>
          <w:rFonts w:eastAsia="Calibri"/>
        </w:rPr>
      </w:pPr>
      <w:r w:rsidRPr="0015004F">
        <w:rPr>
          <w:rFonts w:eastAsia="Calibri"/>
        </w:rPr>
        <w:t>A higher baseline mean and median numbers of HAE attacks per month in the HELP population compared to the VANGUARD population (mean: 3.7 vs. 3.0; median 3.0 vs. 2.0).</w:t>
      </w:r>
    </w:p>
    <w:p w14:paraId="6084F422" w14:textId="5E6579A3" w:rsidR="0019518B" w:rsidRPr="0015004F" w:rsidRDefault="0019518B" w:rsidP="00857266">
      <w:pPr>
        <w:pStyle w:val="3-BodyText"/>
        <w:numPr>
          <w:ilvl w:val="0"/>
          <w:numId w:val="10"/>
        </w:numPr>
        <w:ind w:left="1134"/>
        <w:rPr>
          <w:rFonts w:eastAsia="Calibri"/>
        </w:rPr>
      </w:pPr>
      <w:r w:rsidRPr="0015004F">
        <w:rPr>
          <w:rFonts w:cstheme="minorHAnsi"/>
        </w:rPr>
        <w:t xml:space="preserve">A higher percentage of patients in HELP had received LTP to prevent HAE attacks within </w:t>
      </w:r>
      <w:r w:rsidR="006E5624">
        <w:rPr>
          <w:rFonts w:cstheme="minorHAnsi"/>
        </w:rPr>
        <w:t xml:space="preserve">the </w:t>
      </w:r>
      <w:r w:rsidRPr="0015004F">
        <w:rPr>
          <w:rFonts w:cstheme="minorHAnsi"/>
        </w:rPr>
        <w:t xml:space="preserve">3 months </w:t>
      </w:r>
      <w:r w:rsidR="006E5624">
        <w:rPr>
          <w:rFonts w:cstheme="minorHAnsi"/>
        </w:rPr>
        <w:t>prior to</w:t>
      </w:r>
      <w:r w:rsidR="006E5624" w:rsidRPr="0015004F">
        <w:rPr>
          <w:rFonts w:cstheme="minorHAnsi"/>
        </w:rPr>
        <w:t xml:space="preserve"> </w:t>
      </w:r>
      <w:r w:rsidRPr="0015004F">
        <w:rPr>
          <w:rFonts w:cstheme="minorHAnsi"/>
        </w:rPr>
        <w:t>screening compared to VANGUARD (56.0% vs. 32.8%). Th</w:t>
      </w:r>
      <w:r w:rsidR="006E5624">
        <w:rPr>
          <w:rFonts w:cstheme="minorHAnsi"/>
        </w:rPr>
        <w:t>e evaluation considered that th</w:t>
      </w:r>
      <w:r w:rsidRPr="0015004F">
        <w:rPr>
          <w:rFonts w:cstheme="minorHAnsi"/>
        </w:rPr>
        <w:t>is, in combination with the more frequent HAE attacks at baseline in the HELP trial, suggest</w:t>
      </w:r>
      <w:r w:rsidR="00545719">
        <w:rPr>
          <w:rFonts w:cstheme="minorHAnsi"/>
        </w:rPr>
        <w:t>ed</w:t>
      </w:r>
      <w:r w:rsidRPr="0015004F">
        <w:rPr>
          <w:rFonts w:cstheme="minorHAnsi"/>
        </w:rPr>
        <w:t xml:space="preserve"> that the trial participants in HELP had more severe disease compared to the VANGUARD population. </w:t>
      </w:r>
    </w:p>
    <w:p w14:paraId="6796A480" w14:textId="77777777" w:rsidR="0019518B" w:rsidRPr="0015004F" w:rsidRDefault="0019518B" w:rsidP="00857266">
      <w:pPr>
        <w:pStyle w:val="3-BodyText"/>
        <w:numPr>
          <w:ilvl w:val="0"/>
          <w:numId w:val="10"/>
        </w:numPr>
        <w:ind w:left="1134"/>
        <w:rPr>
          <w:rFonts w:eastAsia="Calibri"/>
        </w:rPr>
      </w:pPr>
      <w:r w:rsidRPr="0015004F">
        <w:rPr>
          <w:rFonts w:cstheme="minorHAnsi"/>
        </w:rPr>
        <w:t xml:space="preserve">VANGUARD was conducted 4 years later than HELP and, therefore, it is possible that more LTP options were available to the VANGUARD patient population compared to the HELP patient population. </w:t>
      </w:r>
    </w:p>
    <w:p w14:paraId="1931AEC6" w14:textId="77777777" w:rsidR="0019518B" w:rsidRPr="003D0E65" w:rsidRDefault="0019518B" w:rsidP="00857266">
      <w:pPr>
        <w:pStyle w:val="3-BodyText"/>
        <w:numPr>
          <w:ilvl w:val="0"/>
          <w:numId w:val="10"/>
        </w:numPr>
        <w:ind w:left="1134"/>
        <w:rPr>
          <w:rFonts w:eastAsia="Calibri"/>
        </w:rPr>
      </w:pPr>
      <w:r w:rsidRPr="0015004F">
        <w:rPr>
          <w:rFonts w:cstheme="minorHAnsi"/>
        </w:rPr>
        <w:t>The percentage of female patients in VANGUARD was slightly lower than that in HELP (59.4% vs. 70.4%).</w:t>
      </w:r>
    </w:p>
    <w:p w14:paraId="220AA777" w14:textId="085DD9F0" w:rsidR="0019518B" w:rsidRPr="0015004F" w:rsidRDefault="003A2C51" w:rsidP="00693821">
      <w:pPr>
        <w:pStyle w:val="3-BodyText"/>
        <w:rPr>
          <w:rFonts w:eastAsia="Calibri"/>
        </w:rPr>
      </w:pPr>
      <w:r w:rsidRPr="0015004F">
        <w:t>C</w:t>
      </w:r>
      <w:r w:rsidR="0019518B" w:rsidRPr="0015004F">
        <w:t xml:space="preserve">ompared </w:t>
      </w:r>
      <w:r w:rsidRPr="0015004F">
        <w:t>with</w:t>
      </w:r>
      <w:r w:rsidR="0019518B" w:rsidRPr="0015004F">
        <w:t xml:space="preserve"> VANGUARD, HELP had additional criteria to define an investigator-confirmed HAE attack which included: 1) if an HAE attack was 8 hours or less on a particular day that day was considered attack-free (HELP trial Statistical Analysis Plan, p28); and 2) if the patient-reported event was accompanied by symptoms that were not consistent with an attack, such as urticaria, the investigator may still determine clinically that the event did not represent an HAE attack (HELP Clinical Trial Protocol, p134). </w:t>
      </w:r>
      <w:r w:rsidR="002D39BC" w:rsidRPr="0015004F">
        <w:t>The evaluation considered that g</w:t>
      </w:r>
      <w:r w:rsidR="0019518B" w:rsidRPr="0015004F">
        <w:t xml:space="preserve">iven the differential criteria in defining an HAE </w:t>
      </w:r>
      <w:r w:rsidR="0019518B" w:rsidRPr="0015004F">
        <w:lastRenderedPageBreak/>
        <w:t>attack, it was possible that some HAE attacks reported in VANGUARD would not be defined as HAE attacks if they occurred in HELP</w:t>
      </w:r>
      <w:r w:rsidR="008D22E7" w:rsidRPr="0015004F">
        <w:t xml:space="preserve">, potentially leading to </w:t>
      </w:r>
      <w:r w:rsidR="0019518B" w:rsidRPr="0015004F">
        <w:t>an underreporting of the number of HAE attacks</w:t>
      </w:r>
      <w:r w:rsidR="008D22E7" w:rsidRPr="0015004F">
        <w:t xml:space="preserve"> in HELP compared to</w:t>
      </w:r>
      <w:r w:rsidR="6AFF370B" w:rsidRPr="0015004F">
        <w:t xml:space="preserve"> VANGUARD)</w:t>
      </w:r>
      <w:r w:rsidR="2555889B" w:rsidRPr="0015004F">
        <w:t>.</w:t>
      </w:r>
      <w:r w:rsidR="00020CF7" w:rsidRPr="0015004F">
        <w:t xml:space="preserve"> </w:t>
      </w:r>
      <w:r w:rsidR="008D22E7" w:rsidRPr="0015004F">
        <w:t xml:space="preserve">The </w:t>
      </w:r>
      <w:r w:rsidR="00F74496" w:rsidRPr="00F74496">
        <w:t xml:space="preserve">Pre-Sub-Committee Response </w:t>
      </w:r>
      <w:r w:rsidR="00F74496">
        <w:t>(</w:t>
      </w:r>
      <w:r w:rsidR="008D22E7" w:rsidRPr="0015004F">
        <w:t>PSCR</w:t>
      </w:r>
      <w:r w:rsidR="00F74496">
        <w:t>)</w:t>
      </w:r>
      <w:r w:rsidR="008D22E7" w:rsidRPr="0015004F">
        <w:t xml:space="preserve"> maintained that </w:t>
      </w:r>
      <w:r w:rsidR="00C15E42" w:rsidRPr="0015004F">
        <w:t xml:space="preserve">the </w:t>
      </w:r>
      <w:r w:rsidR="008D22E7" w:rsidRPr="0015004F">
        <w:t xml:space="preserve">HELP and VANGUARD trial definitions </w:t>
      </w:r>
      <w:r w:rsidRPr="0015004F">
        <w:t>we</w:t>
      </w:r>
      <w:r w:rsidR="008D22E7" w:rsidRPr="0015004F">
        <w:t xml:space="preserve">re likely to be similar “as the majority of observed attacks in the HELP trial were longer than 12 hours in duration”. </w:t>
      </w:r>
      <w:r w:rsidR="00020CF7" w:rsidRPr="0015004F">
        <w:t>The</w:t>
      </w:r>
      <w:r w:rsidR="00112BF6">
        <w:t xml:space="preserve"> </w:t>
      </w:r>
      <w:r w:rsidR="00020CF7" w:rsidRPr="0015004F">
        <w:t>ESC considered that</w:t>
      </w:r>
      <w:r w:rsidR="008D22E7" w:rsidRPr="0015004F">
        <w:t xml:space="preserve"> </w:t>
      </w:r>
      <w:r w:rsidR="00A96AFC" w:rsidRPr="0015004F">
        <w:t>the differ</w:t>
      </w:r>
      <w:r w:rsidR="00F72F69" w:rsidRPr="0015004F">
        <w:t xml:space="preserve">ences in the </w:t>
      </w:r>
      <w:r w:rsidR="00A96AFC" w:rsidRPr="0015004F">
        <w:t>definition</w:t>
      </w:r>
      <w:r w:rsidR="004167EF" w:rsidRPr="0015004F">
        <w:t>s</w:t>
      </w:r>
      <w:r w:rsidR="00A96AFC" w:rsidRPr="0015004F">
        <w:t xml:space="preserve"> of HAE attacks between</w:t>
      </w:r>
      <w:r w:rsidR="00F72F69" w:rsidRPr="0015004F">
        <w:t xml:space="preserve"> the two</w:t>
      </w:r>
      <w:r w:rsidR="00A96AFC" w:rsidRPr="0015004F">
        <w:t xml:space="preserve"> trials</w:t>
      </w:r>
      <w:r w:rsidR="00020CF7" w:rsidRPr="0015004F">
        <w:t xml:space="preserve"> w</w:t>
      </w:r>
      <w:r w:rsidR="004167EF" w:rsidRPr="0015004F">
        <w:t>ere</w:t>
      </w:r>
      <w:r w:rsidR="00020CF7" w:rsidRPr="0015004F">
        <w:t xml:space="preserve"> unlikely to have a </w:t>
      </w:r>
      <w:r w:rsidR="00F72F69" w:rsidRPr="0015004F">
        <w:t>substantial</w:t>
      </w:r>
      <w:r w:rsidR="00020CF7" w:rsidRPr="0015004F">
        <w:t xml:space="preserve"> impact</w:t>
      </w:r>
      <w:r w:rsidR="00A96AFC" w:rsidRPr="0015004F">
        <w:t xml:space="preserve"> as most HAE attacks usually last </w:t>
      </w:r>
      <w:r w:rsidR="00A96AFC" w:rsidRPr="0015004F">
        <w:rPr>
          <w:rFonts w:cstheme="minorHAnsi"/>
        </w:rPr>
        <w:t>≥</w:t>
      </w:r>
      <w:r w:rsidRPr="0015004F">
        <w:rPr>
          <w:rFonts w:cstheme="minorHAnsi"/>
        </w:rPr>
        <w:t> </w:t>
      </w:r>
      <w:r w:rsidR="00AB3D8A" w:rsidRPr="0015004F">
        <w:t>8</w:t>
      </w:r>
      <w:r w:rsidR="00A96AFC" w:rsidRPr="0015004F">
        <w:t xml:space="preserve"> h</w:t>
      </w:r>
      <w:r w:rsidRPr="0015004F">
        <w:t>ou</w:t>
      </w:r>
      <w:r w:rsidR="00A96AFC" w:rsidRPr="0015004F">
        <w:t>rs</w:t>
      </w:r>
      <w:r w:rsidR="00020CF7" w:rsidRPr="0015004F">
        <w:t xml:space="preserve">. </w:t>
      </w:r>
    </w:p>
    <w:p w14:paraId="3153532E" w14:textId="222929F8" w:rsidR="0019518B" w:rsidRDefault="0019518B" w:rsidP="0019518B">
      <w:pPr>
        <w:pStyle w:val="3-BodyText"/>
        <w:rPr>
          <w:rFonts w:eastAsia="Calibri"/>
        </w:rPr>
      </w:pPr>
      <w:r w:rsidRPr="0015004F">
        <w:rPr>
          <w:rFonts w:eastAsia="Calibri"/>
        </w:rPr>
        <w:t xml:space="preserve">In the submission, </w:t>
      </w:r>
      <w:r w:rsidR="004167EF" w:rsidRPr="0015004F">
        <w:rPr>
          <w:rFonts w:eastAsia="Calibri"/>
        </w:rPr>
        <w:t xml:space="preserve">an </w:t>
      </w:r>
      <w:r w:rsidRPr="0015004F">
        <w:rPr>
          <w:rFonts w:eastAsia="Calibri"/>
        </w:rPr>
        <w:t>ITC regarding the efficacy and safety of garadacimab versus lanadelumab was conducted between: 1) garadacimab 200 mg SC once per month (QM) and lanadelumab 300 mg Q2W, and 2) garadacimab 200 mg SC QM and lanadelumab 300 mg Q4W. Of note, when the PBAC considered the lanadelumab resubmission at the July 2021 meeting, the PBAC recalled that, based on the clinical evidence from HELP, the lanadelumab Q4W regimen did not demonstrate a significant difference in efficacy compared to the Q2W regimen, and that there was residual uncertainty in the magnitude of the benefit due to the small patient numbers in the HELP trial and potential applicability issues (para 7.4, lanadelumab public summary document [PSD], July 2021 PBAC meeting).</w:t>
      </w:r>
      <w:r w:rsidR="00A96AFC" w:rsidRPr="0015004F">
        <w:rPr>
          <w:rFonts w:eastAsia="Calibri"/>
        </w:rPr>
        <w:t xml:space="preserve"> </w:t>
      </w:r>
    </w:p>
    <w:p w14:paraId="28593FB8" w14:textId="6C0EFDBF" w:rsidR="002C2775" w:rsidRPr="0015004F" w:rsidRDefault="00B60939" w:rsidP="00EC0598">
      <w:pPr>
        <w:pStyle w:val="4-SubsectionHeading"/>
        <w:rPr>
          <w:i w:val="0"/>
        </w:rPr>
      </w:pPr>
      <w:bookmarkStart w:id="22" w:name="_Toc177480623"/>
      <w:r w:rsidRPr="0015004F">
        <w:rPr>
          <w:i w:val="0"/>
        </w:rPr>
        <w:t>Comparative effectiveness</w:t>
      </w:r>
      <w:bookmarkEnd w:id="20"/>
      <w:bookmarkEnd w:id="22"/>
    </w:p>
    <w:p w14:paraId="36BE3436" w14:textId="7D44527E" w:rsidR="00A47EDA" w:rsidRPr="0015004F" w:rsidRDefault="00EC0598" w:rsidP="00A47EDA">
      <w:pPr>
        <w:pStyle w:val="3-BodyText"/>
        <w:rPr>
          <w:color w:val="0066FF"/>
        </w:rPr>
      </w:pPr>
      <w:r w:rsidRPr="0015004F">
        <w:rPr>
          <w:color w:val="000000" w:themeColor="text1"/>
        </w:rPr>
        <w:t xml:space="preserve">A summary of the efficacy results in the </w:t>
      </w:r>
      <w:r w:rsidR="00F04A07" w:rsidRPr="0015004F">
        <w:rPr>
          <w:color w:val="000000" w:themeColor="text1"/>
        </w:rPr>
        <w:t xml:space="preserve">garadacimab arm versus placebo arm in </w:t>
      </w:r>
      <w:r w:rsidRPr="0015004F">
        <w:rPr>
          <w:color w:val="000000" w:themeColor="text1"/>
        </w:rPr>
        <w:t xml:space="preserve">VANGUARD is provided in </w:t>
      </w:r>
      <w:r w:rsidR="008314E1" w:rsidRPr="0015004F">
        <w:rPr>
          <w:color w:val="000000" w:themeColor="text1"/>
        </w:rPr>
        <w:fldChar w:fldCharType="begin" w:fldLock="1"/>
      </w:r>
      <w:r w:rsidR="008314E1" w:rsidRPr="0015004F">
        <w:rPr>
          <w:color w:val="000000" w:themeColor="text1"/>
        </w:rPr>
        <w:instrText xml:space="preserve"> REF _Ref176796566 \h </w:instrText>
      </w:r>
      <w:r w:rsidR="0015004F" w:rsidRPr="0015004F">
        <w:rPr>
          <w:color w:val="000000" w:themeColor="text1"/>
        </w:rPr>
        <w:instrText xml:space="preserve"> \* MERGEFORMAT </w:instrText>
      </w:r>
      <w:r w:rsidR="008314E1" w:rsidRPr="0015004F">
        <w:rPr>
          <w:color w:val="000000" w:themeColor="text1"/>
        </w:rPr>
      </w:r>
      <w:r w:rsidR="008314E1" w:rsidRPr="0015004F">
        <w:rPr>
          <w:color w:val="000000" w:themeColor="text1"/>
        </w:rPr>
        <w:fldChar w:fldCharType="separate"/>
      </w:r>
      <w:r w:rsidR="00106090" w:rsidRPr="0015004F">
        <w:t xml:space="preserve">Table </w:t>
      </w:r>
      <w:r w:rsidR="00106090">
        <w:rPr>
          <w:noProof/>
        </w:rPr>
        <w:t>4</w:t>
      </w:r>
      <w:r w:rsidR="008314E1" w:rsidRPr="0015004F">
        <w:rPr>
          <w:color w:val="000000" w:themeColor="text1"/>
        </w:rPr>
        <w:fldChar w:fldCharType="end"/>
      </w:r>
      <w:r w:rsidRPr="0015004F">
        <w:rPr>
          <w:color w:val="000000" w:themeColor="text1"/>
        </w:rPr>
        <w:t>.</w:t>
      </w:r>
    </w:p>
    <w:p w14:paraId="336AE0C8" w14:textId="1367B386" w:rsidR="00EC0598" w:rsidRPr="0015004F" w:rsidRDefault="008C4027" w:rsidP="00EC0598">
      <w:pPr>
        <w:pStyle w:val="Caption"/>
      </w:pPr>
      <w:bookmarkStart w:id="23" w:name="_Ref176796566"/>
      <w:r w:rsidRPr="0015004F">
        <w:lastRenderedPageBreak/>
        <w:t xml:space="preserve">Table </w:t>
      </w:r>
      <w:r w:rsidR="00106090">
        <w:fldChar w:fldCharType="begin" w:fldLock="1"/>
      </w:r>
      <w:r w:rsidR="00106090">
        <w:instrText xml:space="preserve"> SEQ Table \* ARABIC </w:instrText>
      </w:r>
      <w:r w:rsidR="00106090">
        <w:fldChar w:fldCharType="separate"/>
      </w:r>
      <w:r w:rsidR="00106090">
        <w:rPr>
          <w:noProof/>
        </w:rPr>
        <w:t>4</w:t>
      </w:r>
      <w:r w:rsidR="00106090">
        <w:rPr>
          <w:noProof/>
        </w:rPr>
        <w:fldChar w:fldCharType="end"/>
      </w:r>
      <w:bookmarkEnd w:id="23"/>
      <w:r w:rsidRPr="0015004F">
        <w:t xml:space="preserve">: </w:t>
      </w:r>
      <w:r w:rsidR="00EC0598" w:rsidRPr="0015004F">
        <w:t>Summary of efficacy outcomes in VANGUARD (ITT population)</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3326"/>
        <w:gridCol w:w="1985"/>
        <w:gridCol w:w="1984"/>
      </w:tblGrid>
      <w:tr w:rsidR="0019518B" w:rsidRPr="0015004F" w14:paraId="6220CE8C" w14:textId="77777777" w:rsidTr="00D12D69">
        <w:trPr>
          <w:jc w:val="center"/>
        </w:trPr>
        <w:tc>
          <w:tcPr>
            <w:tcW w:w="5098" w:type="dxa"/>
            <w:gridSpan w:val="2"/>
            <w:tcBorders>
              <w:top w:val="single" w:sz="4" w:space="0" w:color="auto"/>
              <w:left w:val="single" w:sz="4" w:space="0" w:color="auto"/>
              <w:bottom w:val="single" w:sz="4" w:space="0" w:color="auto"/>
              <w:right w:val="single" w:sz="4" w:space="0" w:color="auto"/>
            </w:tcBorders>
            <w:vAlign w:val="center"/>
            <w:hideMark/>
          </w:tcPr>
          <w:p w14:paraId="3C9391BD" w14:textId="77777777" w:rsidR="0019518B" w:rsidRPr="0015004F" w:rsidRDefault="0019518B" w:rsidP="00D12D69">
            <w:pPr>
              <w:pStyle w:val="TableText0"/>
              <w:keepNext/>
              <w:widowControl/>
              <w:rPr>
                <w:b/>
                <w:bCs/>
              </w:rPr>
            </w:pPr>
            <w:r w:rsidRPr="0015004F">
              <w:rPr>
                <w:b/>
                <w:bCs/>
              </w:rPr>
              <w:t>Endpoint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4ADAC7" w14:textId="77777777" w:rsidR="0019518B" w:rsidRPr="0015004F" w:rsidRDefault="0019518B" w:rsidP="00D12D69">
            <w:pPr>
              <w:pStyle w:val="TableText0"/>
              <w:keepNext/>
              <w:widowControl/>
              <w:jc w:val="center"/>
              <w:rPr>
                <w:b/>
                <w:bCs/>
              </w:rPr>
            </w:pPr>
            <w:r w:rsidRPr="0015004F">
              <w:rPr>
                <w:b/>
                <w:bCs/>
              </w:rPr>
              <w:t>Garadacimab 200 mg QM (N = 39)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B7B2F9" w14:textId="77777777" w:rsidR="0019518B" w:rsidRPr="0015004F" w:rsidRDefault="0019518B" w:rsidP="00D12D69">
            <w:pPr>
              <w:pStyle w:val="TableText0"/>
              <w:keepNext/>
              <w:widowControl/>
              <w:jc w:val="center"/>
              <w:rPr>
                <w:b/>
                <w:bCs/>
              </w:rPr>
            </w:pPr>
            <w:r w:rsidRPr="0015004F">
              <w:rPr>
                <w:b/>
                <w:bCs/>
              </w:rPr>
              <w:t>Placebo</w:t>
            </w:r>
          </w:p>
          <w:p w14:paraId="1059DA85" w14:textId="77777777" w:rsidR="0019518B" w:rsidRPr="0015004F" w:rsidRDefault="0019518B" w:rsidP="00D12D69">
            <w:pPr>
              <w:pStyle w:val="TableText0"/>
              <w:keepNext/>
              <w:widowControl/>
              <w:jc w:val="center"/>
              <w:rPr>
                <w:b/>
                <w:bCs/>
              </w:rPr>
            </w:pPr>
            <w:r w:rsidRPr="0015004F">
              <w:rPr>
                <w:b/>
                <w:bCs/>
              </w:rPr>
              <w:t>(N=25)</w:t>
            </w:r>
          </w:p>
        </w:tc>
      </w:tr>
      <w:tr w:rsidR="0019518B" w:rsidRPr="0015004F" w14:paraId="093D00C1" w14:textId="77777777" w:rsidTr="00D12D69">
        <w:trPr>
          <w:jc w:val="center"/>
        </w:trPr>
        <w:tc>
          <w:tcPr>
            <w:tcW w:w="5098" w:type="dxa"/>
            <w:gridSpan w:val="2"/>
            <w:tcBorders>
              <w:top w:val="single" w:sz="4" w:space="0" w:color="auto"/>
              <w:left w:val="single" w:sz="4" w:space="0" w:color="auto"/>
              <w:bottom w:val="single" w:sz="4" w:space="0" w:color="auto"/>
              <w:right w:val="single" w:sz="4" w:space="0" w:color="auto"/>
            </w:tcBorders>
            <w:vAlign w:val="center"/>
          </w:tcPr>
          <w:p w14:paraId="1FA0AD79" w14:textId="77777777" w:rsidR="0019518B" w:rsidRPr="0015004F" w:rsidRDefault="0019518B" w:rsidP="00D12D69">
            <w:pPr>
              <w:pStyle w:val="TableText0"/>
              <w:keepNext/>
              <w:widowControl/>
              <w:rPr>
                <w:b/>
                <w:bCs/>
              </w:rPr>
            </w:pPr>
            <w:r w:rsidRPr="0015004F">
              <w:t>Number of evaluable subjects, n (%)</w:t>
            </w:r>
            <w:r w:rsidRPr="0015004F">
              <w:rPr>
                <w:vertAlign w:val="superscript"/>
              </w:rPr>
              <w:t>a</w:t>
            </w:r>
          </w:p>
        </w:tc>
        <w:tc>
          <w:tcPr>
            <w:tcW w:w="1985" w:type="dxa"/>
            <w:tcBorders>
              <w:top w:val="single" w:sz="4" w:space="0" w:color="auto"/>
              <w:left w:val="single" w:sz="4" w:space="0" w:color="auto"/>
              <w:bottom w:val="single" w:sz="4" w:space="0" w:color="auto"/>
              <w:right w:val="single" w:sz="4" w:space="0" w:color="auto"/>
            </w:tcBorders>
            <w:vAlign w:val="center"/>
          </w:tcPr>
          <w:p w14:paraId="722BC1E9" w14:textId="77777777" w:rsidR="0019518B" w:rsidRPr="0015004F" w:rsidRDefault="0019518B" w:rsidP="00D12D69">
            <w:pPr>
              <w:pStyle w:val="TableText0"/>
              <w:keepNext/>
              <w:widowControl/>
              <w:jc w:val="center"/>
              <w:rPr>
                <w:b/>
                <w:bCs/>
              </w:rPr>
            </w:pPr>
            <w:r w:rsidRPr="0015004F">
              <w:t>39 (100.0)</w:t>
            </w:r>
          </w:p>
        </w:tc>
        <w:tc>
          <w:tcPr>
            <w:tcW w:w="1984" w:type="dxa"/>
            <w:tcBorders>
              <w:top w:val="single" w:sz="4" w:space="0" w:color="auto"/>
              <w:left w:val="single" w:sz="4" w:space="0" w:color="auto"/>
              <w:bottom w:val="single" w:sz="4" w:space="0" w:color="auto"/>
              <w:right w:val="single" w:sz="4" w:space="0" w:color="auto"/>
            </w:tcBorders>
            <w:vAlign w:val="center"/>
          </w:tcPr>
          <w:p w14:paraId="13BB0860" w14:textId="77777777" w:rsidR="0019518B" w:rsidRPr="0015004F" w:rsidRDefault="0019518B" w:rsidP="00D12D69">
            <w:pPr>
              <w:pStyle w:val="TableText0"/>
              <w:keepNext/>
              <w:widowControl/>
              <w:jc w:val="center"/>
              <w:rPr>
                <w:b/>
                <w:bCs/>
              </w:rPr>
            </w:pPr>
            <w:r w:rsidRPr="0015004F">
              <w:t>24 (96.0)</w:t>
            </w:r>
          </w:p>
        </w:tc>
      </w:tr>
      <w:tr w:rsidR="0019518B" w:rsidRPr="0015004F" w14:paraId="6E73F009" w14:textId="77777777" w:rsidTr="00D12D69">
        <w:trPr>
          <w:trHeight w:val="210"/>
          <w:jc w:val="center"/>
        </w:trPr>
        <w:tc>
          <w:tcPr>
            <w:tcW w:w="9067" w:type="dxa"/>
            <w:gridSpan w:val="4"/>
            <w:tcBorders>
              <w:top w:val="single" w:sz="4" w:space="0" w:color="auto"/>
              <w:left w:val="single" w:sz="4" w:space="0" w:color="auto"/>
              <w:right w:val="single" w:sz="4" w:space="0" w:color="auto"/>
            </w:tcBorders>
            <w:hideMark/>
          </w:tcPr>
          <w:p w14:paraId="0452903C" w14:textId="77777777" w:rsidR="0019518B" w:rsidRPr="0015004F" w:rsidRDefault="0019518B" w:rsidP="00D12D69">
            <w:pPr>
              <w:pStyle w:val="TableText0"/>
              <w:keepNext/>
              <w:widowControl/>
              <w:rPr>
                <w:b/>
                <w:bCs/>
              </w:rPr>
            </w:pPr>
            <w:r w:rsidRPr="0015004F">
              <w:rPr>
                <w:b/>
                <w:bCs/>
              </w:rPr>
              <w:t>Primary endpoint</w:t>
            </w:r>
          </w:p>
        </w:tc>
      </w:tr>
      <w:tr w:rsidR="0019518B" w:rsidRPr="0015004F" w14:paraId="55ADB82A" w14:textId="77777777" w:rsidTr="00D12D69">
        <w:trPr>
          <w:trHeight w:val="88"/>
          <w:jc w:val="center"/>
        </w:trPr>
        <w:tc>
          <w:tcPr>
            <w:tcW w:w="1772" w:type="dxa"/>
            <w:vMerge w:val="restart"/>
            <w:tcBorders>
              <w:left w:val="single" w:sz="4" w:space="0" w:color="auto"/>
              <w:right w:val="single" w:sz="4" w:space="0" w:color="auto"/>
            </w:tcBorders>
            <w:hideMark/>
          </w:tcPr>
          <w:p w14:paraId="70CC89D8" w14:textId="77777777" w:rsidR="0019518B" w:rsidRPr="0015004F" w:rsidRDefault="0019518B" w:rsidP="00D12D69">
            <w:pPr>
              <w:pStyle w:val="TableText0"/>
              <w:keepNext/>
              <w:widowControl/>
              <w:ind w:left="-57" w:right="-57"/>
            </w:pPr>
            <w:r w:rsidRPr="0015004F">
              <w:t xml:space="preserve">Time-normalised number of HAE attacks per month during the treatment period </w:t>
            </w:r>
          </w:p>
        </w:tc>
        <w:tc>
          <w:tcPr>
            <w:tcW w:w="3326" w:type="dxa"/>
            <w:tcBorders>
              <w:top w:val="single" w:sz="4" w:space="0" w:color="auto"/>
              <w:left w:val="single" w:sz="4" w:space="0" w:color="auto"/>
              <w:right w:val="single" w:sz="4" w:space="0" w:color="auto"/>
            </w:tcBorders>
            <w:vAlign w:val="center"/>
          </w:tcPr>
          <w:p w14:paraId="71D117FB" w14:textId="77777777" w:rsidR="0019518B" w:rsidRPr="0015004F" w:rsidRDefault="0019518B" w:rsidP="00D12D69">
            <w:pPr>
              <w:pStyle w:val="TableText0"/>
              <w:keepNext/>
              <w:widowControl/>
            </w:pPr>
            <w:r w:rsidRPr="0015004F">
              <w:t>Number of HAE attacks during treatment period, n</w:t>
            </w:r>
          </w:p>
        </w:tc>
        <w:tc>
          <w:tcPr>
            <w:tcW w:w="1985" w:type="dxa"/>
            <w:tcBorders>
              <w:top w:val="single" w:sz="4" w:space="0" w:color="auto"/>
              <w:left w:val="single" w:sz="4" w:space="0" w:color="auto"/>
              <w:right w:val="single" w:sz="4" w:space="0" w:color="auto"/>
            </w:tcBorders>
            <w:vAlign w:val="center"/>
          </w:tcPr>
          <w:p w14:paraId="7D91E367" w14:textId="77777777" w:rsidR="0019518B" w:rsidRPr="0015004F" w:rsidRDefault="0019518B" w:rsidP="00D12D69">
            <w:pPr>
              <w:pStyle w:val="TableText0"/>
              <w:keepNext/>
              <w:widowControl/>
              <w:jc w:val="center"/>
            </w:pPr>
            <w:r w:rsidRPr="0015004F">
              <w:t>63</w:t>
            </w:r>
          </w:p>
        </w:tc>
        <w:tc>
          <w:tcPr>
            <w:tcW w:w="1984" w:type="dxa"/>
            <w:tcBorders>
              <w:top w:val="single" w:sz="4" w:space="0" w:color="auto"/>
              <w:left w:val="single" w:sz="4" w:space="0" w:color="auto"/>
              <w:right w:val="single" w:sz="4" w:space="0" w:color="auto"/>
            </w:tcBorders>
            <w:vAlign w:val="center"/>
          </w:tcPr>
          <w:p w14:paraId="60CDE3EC" w14:textId="77777777" w:rsidR="0019518B" w:rsidRPr="0015004F" w:rsidRDefault="0019518B" w:rsidP="00D12D69">
            <w:pPr>
              <w:pStyle w:val="TableText0"/>
              <w:keepNext/>
              <w:widowControl/>
              <w:jc w:val="center"/>
            </w:pPr>
            <w:r w:rsidRPr="0015004F">
              <w:t>264</w:t>
            </w:r>
          </w:p>
        </w:tc>
      </w:tr>
      <w:tr w:rsidR="0019518B" w:rsidRPr="0015004F" w14:paraId="2045966D" w14:textId="77777777" w:rsidTr="00D12D69">
        <w:trPr>
          <w:jc w:val="center"/>
        </w:trPr>
        <w:tc>
          <w:tcPr>
            <w:tcW w:w="1772" w:type="dxa"/>
            <w:vMerge/>
            <w:tcBorders>
              <w:left w:val="single" w:sz="4" w:space="0" w:color="auto"/>
              <w:right w:val="single" w:sz="4" w:space="0" w:color="auto"/>
            </w:tcBorders>
          </w:tcPr>
          <w:p w14:paraId="047EFE86" w14:textId="77777777" w:rsidR="0019518B" w:rsidRPr="0015004F" w:rsidRDefault="0019518B" w:rsidP="00D12D69">
            <w:pPr>
              <w:pStyle w:val="TableText0"/>
              <w:keepNext/>
              <w:widowControl/>
              <w:ind w:left="-57" w:right="-57"/>
            </w:pPr>
          </w:p>
        </w:tc>
        <w:tc>
          <w:tcPr>
            <w:tcW w:w="7295" w:type="dxa"/>
            <w:gridSpan w:val="3"/>
            <w:tcBorders>
              <w:top w:val="single" w:sz="4" w:space="0" w:color="auto"/>
              <w:left w:val="single" w:sz="4" w:space="0" w:color="auto"/>
              <w:bottom w:val="single" w:sz="4" w:space="0" w:color="auto"/>
              <w:right w:val="single" w:sz="4" w:space="0" w:color="auto"/>
            </w:tcBorders>
            <w:vAlign w:val="center"/>
          </w:tcPr>
          <w:p w14:paraId="16F7174D" w14:textId="77777777" w:rsidR="0019518B" w:rsidRPr="0015004F" w:rsidRDefault="0019518B" w:rsidP="00D12D69">
            <w:pPr>
              <w:pStyle w:val="TableText0"/>
              <w:keepNext/>
              <w:widowControl/>
            </w:pPr>
            <w:r w:rsidRPr="0015004F">
              <w:t>Time-normalised number of HAE attacks per month</w:t>
            </w:r>
          </w:p>
        </w:tc>
      </w:tr>
      <w:tr w:rsidR="0019518B" w:rsidRPr="0015004F" w14:paraId="081F7D00" w14:textId="77777777" w:rsidTr="00D12D69">
        <w:trPr>
          <w:jc w:val="center"/>
        </w:trPr>
        <w:tc>
          <w:tcPr>
            <w:tcW w:w="1772" w:type="dxa"/>
            <w:vMerge/>
            <w:tcBorders>
              <w:left w:val="single" w:sz="4" w:space="0" w:color="auto"/>
              <w:right w:val="single" w:sz="4" w:space="0" w:color="auto"/>
            </w:tcBorders>
          </w:tcPr>
          <w:p w14:paraId="28A8A8F1" w14:textId="77777777" w:rsidR="0019518B" w:rsidRPr="0015004F" w:rsidRDefault="0019518B" w:rsidP="00D12D69">
            <w:pPr>
              <w:pStyle w:val="TableText0"/>
              <w:keepNext/>
              <w:widowControl/>
              <w:ind w:left="-57" w:right="-57"/>
            </w:pPr>
          </w:p>
        </w:tc>
        <w:tc>
          <w:tcPr>
            <w:tcW w:w="3326" w:type="dxa"/>
            <w:tcBorders>
              <w:top w:val="single" w:sz="4" w:space="0" w:color="auto"/>
              <w:left w:val="single" w:sz="4" w:space="0" w:color="auto"/>
              <w:bottom w:val="single" w:sz="4" w:space="0" w:color="auto"/>
              <w:right w:val="single" w:sz="4" w:space="0" w:color="auto"/>
            </w:tcBorders>
          </w:tcPr>
          <w:p w14:paraId="6965FB1E" w14:textId="4C707511" w:rsidR="0019518B" w:rsidRPr="0015004F" w:rsidRDefault="0019518B" w:rsidP="00D12D69">
            <w:pPr>
              <w:pStyle w:val="TableText0"/>
              <w:keepNext/>
              <w:widowControl/>
            </w:pPr>
            <w:r w:rsidRPr="0015004F">
              <w:t xml:space="preserve">Mean </w:t>
            </w:r>
            <w:r w:rsidR="0050754F" w:rsidRPr="0015004F">
              <w:t xml:space="preserve">(95% CI) </w:t>
            </w:r>
            <w:r w:rsidR="00B11323" w:rsidRPr="0015004F">
              <w:t>[</w:t>
            </w:r>
            <w:r w:rsidRPr="0015004F">
              <w:t>SD</w:t>
            </w:r>
            <w:r w:rsidR="00B11323" w:rsidRPr="0015004F">
              <w:t>]</w:t>
            </w:r>
            <w:r w:rsidRPr="0015004F">
              <w:t xml:space="preserve"> </w:t>
            </w:r>
          </w:p>
        </w:tc>
        <w:tc>
          <w:tcPr>
            <w:tcW w:w="1985" w:type="dxa"/>
            <w:tcBorders>
              <w:top w:val="single" w:sz="4" w:space="0" w:color="auto"/>
              <w:left w:val="single" w:sz="4" w:space="0" w:color="auto"/>
              <w:bottom w:val="single" w:sz="4" w:space="0" w:color="auto"/>
              <w:right w:val="single" w:sz="4" w:space="0" w:color="auto"/>
            </w:tcBorders>
          </w:tcPr>
          <w:p w14:paraId="085F9860" w14:textId="474EFE75" w:rsidR="0019518B" w:rsidRPr="0015004F" w:rsidRDefault="0019518B" w:rsidP="00D12D69">
            <w:pPr>
              <w:pStyle w:val="TableText0"/>
              <w:keepNext/>
              <w:widowControl/>
              <w:jc w:val="center"/>
              <w:rPr>
                <w:b/>
                <w:bCs/>
              </w:rPr>
            </w:pPr>
            <w:r w:rsidRPr="0015004F">
              <w:rPr>
                <w:b/>
                <w:bCs/>
              </w:rPr>
              <w:t>0.27</w:t>
            </w:r>
            <w:r w:rsidR="0050754F" w:rsidRPr="0015004F">
              <w:rPr>
                <w:b/>
                <w:bCs/>
              </w:rPr>
              <w:t xml:space="preserve"> (0.05, 0.49)</w:t>
            </w:r>
            <w:r w:rsidRPr="0015004F">
              <w:rPr>
                <w:b/>
                <w:bCs/>
              </w:rPr>
              <w:t xml:space="preserve"> </w:t>
            </w:r>
            <w:r w:rsidR="00B11323" w:rsidRPr="0015004F">
              <w:rPr>
                <w:b/>
                <w:bCs/>
              </w:rPr>
              <w:t>[</w:t>
            </w:r>
            <w:r w:rsidRPr="0015004F">
              <w:rPr>
                <w:b/>
                <w:bCs/>
              </w:rPr>
              <w:t>0.68</w:t>
            </w:r>
            <w:r w:rsidR="00B11323" w:rsidRPr="0015004F">
              <w:rPr>
                <w:b/>
                <w:bCs/>
              </w:rPr>
              <w:t>]</w:t>
            </w:r>
          </w:p>
        </w:tc>
        <w:tc>
          <w:tcPr>
            <w:tcW w:w="1984" w:type="dxa"/>
            <w:tcBorders>
              <w:top w:val="single" w:sz="4" w:space="0" w:color="auto"/>
              <w:left w:val="single" w:sz="4" w:space="0" w:color="auto"/>
              <w:bottom w:val="single" w:sz="4" w:space="0" w:color="auto"/>
              <w:right w:val="single" w:sz="4" w:space="0" w:color="auto"/>
            </w:tcBorders>
          </w:tcPr>
          <w:p w14:paraId="5665529F" w14:textId="6BF39B82" w:rsidR="0019518B" w:rsidRPr="0015004F" w:rsidRDefault="0019518B" w:rsidP="00D12D69">
            <w:pPr>
              <w:pStyle w:val="TableText0"/>
              <w:keepNext/>
              <w:widowControl/>
              <w:jc w:val="center"/>
              <w:rPr>
                <w:b/>
                <w:bCs/>
              </w:rPr>
            </w:pPr>
            <w:r w:rsidRPr="0015004F">
              <w:rPr>
                <w:b/>
                <w:bCs/>
              </w:rPr>
              <w:t xml:space="preserve">2.01 </w:t>
            </w:r>
            <w:r w:rsidR="0050754F" w:rsidRPr="0015004F">
              <w:rPr>
                <w:b/>
                <w:bCs/>
              </w:rPr>
              <w:t xml:space="preserve">(1.44, 2.57) </w:t>
            </w:r>
            <w:r w:rsidR="00B11323" w:rsidRPr="0015004F">
              <w:rPr>
                <w:b/>
                <w:bCs/>
              </w:rPr>
              <w:t>[</w:t>
            </w:r>
            <w:r w:rsidRPr="0015004F">
              <w:rPr>
                <w:b/>
                <w:bCs/>
              </w:rPr>
              <w:t>1.34</w:t>
            </w:r>
            <w:r w:rsidR="00B11323" w:rsidRPr="0015004F">
              <w:rPr>
                <w:b/>
                <w:bCs/>
              </w:rPr>
              <w:t>]</w:t>
            </w:r>
          </w:p>
        </w:tc>
      </w:tr>
      <w:tr w:rsidR="0019518B" w:rsidRPr="0015004F" w14:paraId="3FC197D7" w14:textId="77777777" w:rsidTr="00D12D69">
        <w:trPr>
          <w:jc w:val="center"/>
        </w:trPr>
        <w:tc>
          <w:tcPr>
            <w:tcW w:w="1772" w:type="dxa"/>
            <w:vMerge/>
            <w:tcBorders>
              <w:left w:val="single" w:sz="4" w:space="0" w:color="auto"/>
              <w:right w:val="single" w:sz="4" w:space="0" w:color="auto"/>
            </w:tcBorders>
          </w:tcPr>
          <w:p w14:paraId="3B0B174E" w14:textId="77777777" w:rsidR="0019518B" w:rsidRPr="0015004F" w:rsidRDefault="0019518B" w:rsidP="00D12D69">
            <w:pPr>
              <w:pStyle w:val="TableText0"/>
              <w:keepNext/>
              <w:widowControl/>
              <w:ind w:left="-57" w:right="-57"/>
            </w:pPr>
          </w:p>
        </w:tc>
        <w:tc>
          <w:tcPr>
            <w:tcW w:w="3326" w:type="dxa"/>
            <w:tcBorders>
              <w:top w:val="single" w:sz="4" w:space="0" w:color="auto"/>
              <w:left w:val="single" w:sz="4" w:space="0" w:color="auto"/>
              <w:bottom w:val="single" w:sz="4" w:space="0" w:color="auto"/>
              <w:right w:val="single" w:sz="4" w:space="0" w:color="auto"/>
            </w:tcBorders>
          </w:tcPr>
          <w:p w14:paraId="3389EEEB" w14:textId="1704A393" w:rsidR="0019518B" w:rsidRPr="0015004F" w:rsidRDefault="0019518B" w:rsidP="00D12D69">
            <w:pPr>
              <w:pStyle w:val="TableText0"/>
              <w:keepNext/>
              <w:widowControl/>
            </w:pPr>
            <w:r w:rsidRPr="0015004F">
              <w:t xml:space="preserve">Median </w:t>
            </w:r>
            <w:r w:rsidR="0050754F" w:rsidRPr="0015004F">
              <w:t>(</w:t>
            </w:r>
            <w:r w:rsidR="00B11323" w:rsidRPr="0015004F">
              <w:t>inter-quartile range)</w:t>
            </w:r>
          </w:p>
        </w:tc>
        <w:tc>
          <w:tcPr>
            <w:tcW w:w="1985" w:type="dxa"/>
            <w:tcBorders>
              <w:top w:val="single" w:sz="4" w:space="0" w:color="auto"/>
              <w:left w:val="single" w:sz="4" w:space="0" w:color="auto"/>
              <w:bottom w:val="single" w:sz="4" w:space="0" w:color="auto"/>
              <w:right w:val="single" w:sz="4" w:space="0" w:color="auto"/>
            </w:tcBorders>
          </w:tcPr>
          <w:p w14:paraId="4D9F7035" w14:textId="5B4DBB75" w:rsidR="0019518B" w:rsidRPr="0015004F" w:rsidRDefault="0019518B" w:rsidP="00D12D69">
            <w:pPr>
              <w:pStyle w:val="TableText0"/>
              <w:keepNext/>
              <w:widowControl/>
              <w:jc w:val="center"/>
            </w:pPr>
            <w:r w:rsidRPr="0015004F">
              <w:t>0.00</w:t>
            </w:r>
            <w:r w:rsidR="00B11323" w:rsidRPr="0015004F">
              <w:t xml:space="preserve"> (0.00, 0.31)</w:t>
            </w:r>
          </w:p>
        </w:tc>
        <w:tc>
          <w:tcPr>
            <w:tcW w:w="1984" w:type="dxa"/>
            <w:tcBorders>
              <w:top w:val="single" w:sz="4" w:space="0" w:color="auto"/>
              <w:left w:val="single" w:sz="4" w:space="0" w:color="auto"/>
              <w:bottom w:val="single" w:sz="4" w:space="0" w:color="auto"/>
              <w:right w:val="single" w:sz="4" w:space="0" w:color="auto"/>
            </w:tcBorders>
          </w:tcPr>
          <w:p w14:paraId="78A07BFD" w14:textId="650E85CE" w:rsidR="0019518B" w:rsidRPr="0015004F" w:rsidRDefault="0019518B" w:rsidP="00D12D69">
            <w:pPr>
              <w:pStyle w:val="TableText0"/>
              <w:keepNext/>
              <w:widowControl/>
              <w:jc w:val="center"/>
            </w:pPr>
            <w:r w:rsidRPr="0015004F">
              <w:t>1.35</w:t>
            </w:r>
            <w:r w:rsidR="00B11323" w:rsidRPr="0015004F">
              <w:t xml:space="preserve"> (1.00, 3.20)</w:t>
            </w:r>
          </w:p>
        </w:tc>
      </w:tr>
      <w:tr w:rsidR="00E36612" w:rsidRPr="0015004F" w14:paraId="3EED0A65" w14:textId="77777777" w:rsidTr="00E36612">
        <w:trPr>
          <w:trHeight w:val="50"/>
          <w:jc w:val="center"/>
        </w:trPr>
        <w:tc>
          <w:tcPr>
            <w:tcW w:w="1772" w:type="dxa"/>
            <w:vMerge/>
            <w:tcBorders>
              <w:left w:val="single" w:sz="4" w:space="0" w:color="auto"/>
              <w:right w:val="single" w:sz="4" w:space="0" w:color="auto"/>
            </w:tcBorders>
          </w:tcPr>
          <w:p w14:paraId="00EAE18F" w14:textId="77777777" w:rsidR="00E36612" w:rsidRPr="0015004F" w:rsidRDefault="00E36612" w:rsidP="00D12D69">
            <w:pPr>
              <w:pStyle w:val="TableText0"/>
              <w:keepNext/>
              <w:widowControl/>
              <w:ind w:left="-57" w:right="-57"/>
            </w:pPr>
          </w:p>
        </w:tc>
        <w:tc>
          <w:tcPr>
            <w:tcW w:w="3326" w:type="dxa"/>
            <w:tcBorders>
              <w:top w:val="single" w:sz="4" w:space="0" w:color="auto"/>
              <w:left w:val="single" w:sz="4" w:space="0" w:color="auto"/>
              <w:right w:val="single" w:sz="4" w:space="0" w:color="auto"/>
            </w:tcBorders>
          </w:tcPr>
          <w:p w14:paraId="4DDBE53E" w14:textId="35873F8D" w:rsidR="00E36612" w:rsidRPr="0015004F" w:rsidRDefault="00E36612" w:rsidP="00E36612">
            <w:pPr>
              <w:pStyle w:val="TableText0"/>
              <w:keepNext/>
              <w:widowControl/>
            </w:pPr>
            <w:r w:rsidRPr="0015004F">
              <w:t xml:space="preserve">Min, Max </w:t>
            </w:r>
          </w:p>
        </w:tc>
        <w:tc>
          <w:tcPr>
            <w:tcW w:w="1985" w:type="dxa"/>
            <w:tcBorders>
              <w:top w:val="single" w:sz="4" w:space="0" w:color="auto"/>
              <w:left w:val="single" w:sz="4" w:space="0" w:color="auto"/>
              <w:right w:val="single" w:sz="4" w:space="0" w:color="auto"/>
            </w:tcBorders>
          </w:tcPr>
          <w:p w14:paraId="07F66181" w14:textId="75070D67" w:rsidR="00E36612" w:rsidRPr="0015004F" w:rsidRDefault="00E36612" w:rsidP="00E36612">
            <w:pPr>
              <w:pStyle w:val="TableText0"/>
              <w:keepNext/>
              <w:widowControl/>
              <w:jc w:val="center"/>
            </w:pPr>
            <w:r w:rsidRPr="0015004F">
              <w:t>0.00, 3.8</w:t>
            </w:r>
          </w:p>
        </w:tc>
        <w:tc>
          <w:tcPr>
            <w:tcW w:w="1984" w:type="dxa"/>
            <w:tcBorders>
              <w:top w:val="single" w:sz="4" w:space="0" w:color="auto"/>
              <w:left w:val="single" w:sz="4" w:space="0" w:color="auto"/>
              <w:right w:val="single" w:sz="4" w:space="0" w:color="auto"/>
            </w:tcBorders>
          </w:tcPr>
          <w:p w14:paraId="120758F9" w14:textId="4166F97D" w:rsidR="00E36612" w:rsidRPr="0015004F" w:rsidRDefault="00E36612" w:rsidP="00E36612">
            <w:pPr>
              <w:pStyle w:val="TableText0"/>
              <w:keepNext/>
              <w:widowControl/>
              <w:jc w:val="center"/>
            </w:pPr>
            <w:r w:rsidRPr="0015004F">
              <w:t>0.2, 4.4</w:t>
            </w:r>
          </w:p>
        </w:tc>
      </w:tr>
      <w:tr w:rsidR="0019518B" w:rsidRPr="0015004F" w14:paraId="47859E29" w14:textId="77777777" w:rsidTr="00D12D69">
        <w:trPr>
          <w:jc w:val="center"/>
        </w:trPr>
        <w:tc>
          <w:tcPr>
            <w:tcW w:w="1772" w:type="dxa"/>
            <w:vMerge/>
            <w:tcBorders>
              <w:left w:val="single" w:sz="4" w:space="0" w:color="auto"/>
              <w:right w:val="single" w:sz="4" w:space="0" w:color="auto"/>
            </w:tcBorders>
          </w:tcPr>
          <w:p w14:paraId="07D64F80" w14:textId="77777777" w:rsidR="0019518B" w:rsidRPr="0015004F" w:rsidRDefault="0019518B" w:rsidP="00D12D69">
            <w:pPr>
              <w:pStyle w:val="TableText0"/>
              <w:keepNext/>
              <w:widowControl/>
              <w:ind w:left="-57" w:right="-57"/>
            </w:pPr>
          </w:p>
        </w:tc>
        <w:tc>
          <w:tcPr>
            <w:tcW w:w="3326" w:type="dxa"/>
            <w:tcBorders>
              <w:top w:val="single" w:sz="4" w:space="0" w:color="auto"/>
              <w:left w:val="single" w:sz="4" w:space="0" w:color="auto"/>
              <w:bottom w:val="single" w:sz="4" w:space="0" w:color="auto"/>
              <w:right w:val="single" w:sz="4" w:space="0" w:color="auto"/>
            </w:tcBorders>
          </w:tcPr>
          <w:p w14:paraId="43B4902E" w14:textId="77777777" w:rsidR="0019518B" w:rsidRPr="0015004F" w:rsidRDefault="0019518B" w:rsidP="00D12D69">
            <w:pPr>
              <w:pStyle w:val="TableText0"/>
              <w:keepNext/>
              <w:widowControl/>
            </w:pPr>
            <w:r w:rsidRPr="0015004F">
              <w:t>Two-sided Wilcoxon test, p-value</w:t>
            </w:r>
          </w:p>
        </w:tc>
        <w:tc>
          <w:tcPr>
            <w:tcW w:w="3969" w:type="dxa"/>
            <w:gridSpan w:val="2"/>
            <w:tcBorders>
              <w:top w:val="single" w:sz="4" w:space="0" w:color="auto"/>
              <w:left w:val="single" w:sz="4" w:space="0" w:color="auto"/>
              <w:bottom w:val="single" w:sz="4" w:space="0" w:color="auto"/>
              <w:right w:val="single" w:sz="4" w:space="0" w:color="auto"/>
            </w:tcBorders>
          </w:tcPr>
          <w:p w14:paraId="010C14C6" w14:textId="77777777" w:rsidR="0019518B" w:rsidRPr="0015004F" w:rsidRDefault="0019518B" w:rsidP="00D12D69">
            <w:pPr>
              <w:pStyle w:val="TableText0"/>
              <w:keepNext/>
              <w:widowControl/>
              <w:jc w:val="center"/>
              <w:rPr>
                <w:b/>
                <w:bCs/>
              </w:rPr>
            </w:pPr>
            <w:r w:rsidRPr="0015004F">
              <w:rPr>
                <w:b/>
                <w:bCs/>
              </w:rPr>
              <w:t>&lt;0.001</w:t>
            </w:r>
          </w:p>
        </w:tc>
      </w:tr>
      <w:tr w:rsidR="0019518B" w:rsidRPr="0015004F" w14:paraId="72BCB8A5" w14:textId="77777777" w:rsidTr="00D12D69">
        <w:trPr>
          <w:jc w:val="center"/>
        </w:trPr>
        <w:tc>
          <w:tcPr>
            <w:tcW w:w="9067" w:type="dxa"/>
            <w:gridSpan w:val="4"/>
            <w:tcBorders>
              <w:left w:val="single" w:sz="4" w:space="0" w:color="auto"/>
              <w:right w:val="single" w:sz="4" w:space="0" w:color="auto"/>
            </w:tcBorders>
          </w:tcPr>
          <w:p w14:paraId="6C116781" w14:textId="77777777" w:rsidR="0019518B" w:rsidRPr="0015004F" w:rsidRDefault="0019518B" w:rsidP="00D12D69">
            <w:pPr>
              <w:pStyle w:val="TableText0"/>
              <w:keepNext/>
              <w:widowControl/>
            </w:pPr>
            <w:r w:rsidRPr="0015004F">
              <w:rPr>
                <w:b/>
                <w:bCs/>
              </w:rPr>
              <w:t>Secondary efficacy endpoints</w:t>
            </w:r>
          </w:p>
        </w:tc>
      </w:tr>
      <w:tr w:rsidR="0019518B" w:rsidRPr="0015004F" w14:paraId="5D6D1FBA" w14:textId="77777777" w:rsidTr="00D12D69">
        <w:trPr>
          <w:jc w:val="center"/>
        </w:trPr>
        <w:tc>
          <w:tcPr>
            <w:tcW w:w="1772" w:type="dxa"/>
            <w:vMerge w:val="restart"/>
            <w:tcBorders>
              <w:left w:val="single" w:sz="4" w:space="0" w:color="auto"/>
              <w:right w:val="single" w:sz="4" w:space="0" w:color="auto"/>
            </w:tcBorders>
          </w:tcPr>
          <w:p w14:paraId="4D048AA7" w14:textId="77777777" w:rsidR="0019518B" w:rsidRPr="0015004F" w:rsidRDefault="0019518B" w:rsidP="00D12D69">
            <w:pPr>
              <w:pStyle w:val="TableText0"/>
              <w:keepNext/>
              <w:widowControl/>
              <w:ind w:left="-57" w:right="-57"/>
            </w:pPr>
            <w:r w:rsidRPr="0015004F">
              <w:t>Reduction in the HAE attack rate during the treatment period compared to the run-in period</w:t>
            </w:r>
          </w:p>
        </w:tc>
        <w:tc>
          <w:tcPr>
            <w:tcW w:w="7295" w:type="dxa"/>
            <w:gridSpan w:val="3"/>
            <w:tcBorders>
              <w:top w:val="single" w:sz="4" w:space="0" w:color="auto"/>
              <w:left w:val="single" w:sz="4" w:space="0" w:color="auto"/>
              <w:bottom w:val="single" w:sz="4" w:space="0" w:color="auto"/>
              <w:right w:val="single" w:sz="4" w:space="0" w:color="auto"/>
            </w:tcBorders>
          </w:tcPr>
          <w:p w14:paraId="4247F41F" w14:textId="77777777" w:rsidR="0019518B" w:rsidRPr="0015004F" w:rsidRDefault="0019518B" w:rsidP="00D12D69">
            <w:pPr>
              <w:pStyle w:val="TableText0"/>
              <w:keepNext/>
              <w:widowControl/>
            </w:pPr>
            <w:r w:rsidRPr="0015004F">
              <w:t xml:space="preserve">Reduction in time-normalised number of HAE attacks per </w:t>
            </w:r>
            <w:proofErr w:type="spellStart"/>
            <w:r w:rsidRPr="0015004F">
              <w:t>month</w:t>
            </w:r>
            <w:r w:rsidRPr="0015004F">
              <w:rPr>
                <w:vertAlign w:val="superscript"/>
              </w:rPr>
              <w:t>b</w:t>
            </w:r>
            <w:proofErr w:type="spellEnd"/>
          </w:p>
        </w:tc>
      </w:tr>
      <w:tr w:rsidR="0019518B" w:rsidRPr="0015004F" w14:paraId="3CDEC96F" w14:textId="77777777" w:rsidTr="00D12D69">
        <w:trPr>
          <w:jc w:val="center"/>
        </w:trPr>
        <w:tc>
          <w:tcPr>
            <w:tcW w:w="1772" w:type="dxa"/>
            <w:vMerge/>
            <w:tcBorders>
              <w:left w:val="single" w:sz="4" w:space="0" w:color="auto"/>
              <w:right w:val="single" w:sz="4" w:space="0" w:color="auto"/>
            </w:tcBorders>
          </w:tcPr>
          <w:p w14:paraId="3E6713F0" w14:textId="77777777" w:rsidR="0019518B" w:rsidRPr="0015004F" w:rsidRDefault="0019518B" w:rsidP="00D12D69">
            <w:pPr>
              <w:pStyle w:val="TableText0"/>
              <w:keepNext/>
              <w:widowControl/>
              <w:ind w:left="-57" w:right="-57"/>
            </w:pPr>
          </w:p>
        </w:tc>
        <w:tc>
          <w:tcPr>
            <w:tcW w:w="3326" w:type="dxa"/>
            <w:tcBorders>
              <w:top w:val="single" w:sz="4" w:space="0" w:color="auto"/>
              <w:left w:val="single" w:sz="4" w:space="0" w:color="auto"/>
              <w:bottom w:val="single" w:sz="4" w:space="0" w:color="auto"/>
              <w:right w:val="single" w:sz="4" w:space="0" w:color="auto"/>
            </w:tcBorders>
          </w:tcPr>
          <w:p w14:paraId="1374B136" w14:textId="77777777" w:rsidR="0019518B" w:rsidRPr="0015004F" w:rsidRDefault="0019518B" w:rsidP="00D12D69">
            <w:pPr>
              <w:pStyle w:val="TableText0"/>
              <w:keepNext/>
              <w:widowControl/>
            </w:pPr>
            <w:r w:rsidRPr="0015004F">
              <w:t xml:space="preserve">Mean (SD) </w:t>
            </w:r>
          </w:p>
        </w:tc>
        <w:tc>
          <w:tcPr>
            <w:tcW w:w="1985" w:type="dxa"/>
            <w:tcBorders>
              <w:top w:val="single" w:sz="4" w:space="0" w:color="auto"/>
              <w:left w:val="single" w:sz="4" w:space="0" w:color="auto"/>
              <w:bottom w:val="single" w:sz="4" w:space="0" w:color="auto"/>
              <w:right w:val="single" w:sz="4" w:space="0" w:color="auto"/>
            </w:tcBorders>
          </w:tcPr>
          <w:p w14:paraId="7EBF21FB" w14:textId="77777777" w:rsidR="0019518B" w:rsidRPr="0015004F" w:rsidRDefault="0019518B" w:rsidP="00D12D69">
            <w:pPr>
              <w:pStyle w:val="TableText0"/>
              <w:keepNext/>
              <w:widowControl/>
              <w:jc w:val="center"/>
            </w:pPr>
            <w:r w:rsidRPr="0015004F">
              <w:t>90.67 (22.43)</w:t>
            </w:r>
          </w:p>
        </w:tc>
        <w:tc>
          <w:tcPr>
            <w:tcW w:w="1984" w:type="dxa"/>
            <w:tcBorders>
              <w:top w:val="single" w:sz="4" w:space="0" w:color="auto"/>
              <w:left w:val="single" w:sz="4" w:space="0" w:color="auto"/>
              <w:bottom w:val="single" w:sz="4" w:space="0" w:color="auto"/>
              <w:right w:val="single" w:sz="4" w:space="0" w:color="auto"/>
            </w:tcBorders>
          </w:tcPr>
          <w:p w14:paraId="05879153" w14:textId="77777777" w:rsidR="0019518B" w:rsidRPr="0015004F" w:rsidRDefault="0019518B" w:rsidP="00D12D69">
            <w:pPr>
              <w:pStyle w:val="TableText0"/>
              <w:keepNext/>
              <w:widowControl/>
              <w:jc w:val="center"/>
            </w:pPr>
            <w:r w:rsidRPr="0015004F">
              <w:t>20.21 (42.66)</w:t>
            </w:r>
          </w:p>
        </w:tc>
      </w:tr>
      <w:tr w:rsidR="0019518B" w:rsidRPr="0015004F" w14:paraId="60EE3F09" w14:textId="77777777" w:rsidTr="00D12D69">
        <w:trPr>
          <w:jc w:val="center"/>
        </w:trPr>
        <w:tc>
          <w:tcPr>
            <w:tcW w:w="1772" w:type="dxa"/>
            <w:vMerge/>
            <w:tcBorders>
              <w:left w:val="single" w:sz="4" w:space="0" w:color="auto"/>
              <w:right w:val="single" w:sz="4" w:space="0" w:color="auto"/>
            </w:tcBorders>
          </w:tcPr>
          <w:p w14:paraId="49E28E93" w14:textId="77777777" w:rsidR="0019518B" w:rsidRPr="0015004F" w:rsidRDefault="0019518B" w:rsidP="00D12D69">
            <w:pPr>
              <w:pStyle w:val="TableText0"/>
              <w:keepNext/>
              <w:widowControl/>
              <w:ind w:left="-57" w:right="-57"/>
            </w:pPr>
          </w:p>
        </w:tc>
        <w:tc>
          <w:tcPr>
            <w:tcW w:w="3326" w:type="dxa"/>
            <w:tcBorders>
              <w:top w:val="single" w:sz="4" w:space="0" w:color="auto"/>
              <w:left w:val="single" w:sz="4" w:space="0" w:color="auto"/>
              <w:bottom w:val="single" w:sz="4" w:space="0" w:color="auto"/>
              <w:right w:val="single" w:sz="4" w:space="0" w:color="auto"/>
            </w:tcBorders>
          </w:tcPr>
          <w:p w14:paraId="138482C9" w14:textId="77777777" w:rsidR="0019518B" w:rsidRPr="0015004F" w:rsidRDefault="0019518B" w:rsidP="00D12D69">
            <w:pPr>
              <w:pStyle w:val="TableText0"/>
              <w:keepNext/>
              <w:widowControl/>
            </w:pPr>
            <w:r w:rsidRPr="0015004F">
              <w:t xml:space="preserve">95% CI </w:t>
            </w:r>
          </w:p>
        </w:tc>
        <w:tc>
          <w:tcPr>
            <w:tcW w:w="1985" w:type="dxa"/>
            <w:tcBorders>
              <w:top w:val="single" w:sz="4" w:space="0" w:color="auto"/>
              <w:left w:val="single" w:sz="4" w:space="0" w:color="auto"/>
              <w:bottom w:val="single" w:sz="4" w:space="0" w:color="auto"/>
              <w:right w:val="single" w:sz="4" w:space="0" w:color="auto"/>
            </w:tcBorders>
          </w:tcPr>
          <w:p w14:paraId="5D9A0347" w14:textId="77777777" w:rsidR="0019518B" w:rsidRPr="0015004F" w:rsidRDefault="0019518B" w:rsidP="00D12D69">
            <w:pPr>
              <w:pStyle w:val="TableText0"/>
              <w:keepNext/>
              <w:widowControl/>
              <w:jc w:val="center"/>
            </w:pPr>
            <w:r w:rsidRPr="0015004F">
              <w:t>(83.40, 97.94)</w:t>
            </w:r>
          </w:p>
        </w:tc>
        <w:tc>
          <w:tcPr>
            <w:tcW w:w="1984" w:type="dxa"/>
            <w:tcBorders>
              <w:top w:val="single" w:sz="4" w:space="0" w:color="auto"/>
              <w:left w:val="single" w:sz="4" w:space="0" w:color="auto"/>
              <w:bottom w:val="single" w:sz="4" w:space="0" w:color="auto"/>
              <w:right w:val="single" w:sz="4" w:space="0" w:color="auto"/>
            </w:tcBorders>
          </w:tcPr>
          <w:p w14:paraId="787CA5B6" w14:textId="77777777" w:rsidR="0019518B" w:rsidRPr="0015004F" w:rsidRDefault="0019518B" w:rsidP="00D12D69">
            <w:pPr>
              <w:pStyle w:val="TableText0"/>
              <w:keepNext/>
              <w:widowControl/>
              <w:jc w:val="center"/>
            </w:pPr>
            <w:r w:rsidRPr="0015004F">
              <w:t>(2.20, 38.22)</w:t>
            </w:r>
          </w:p>
        </w:tc>
      </w:tr>
      <w:tr w:rsidR="0019518B" w:rsidRPr="0015004F" w14:paraId="0FA0BE0F" w14:textId="77777777" w:rsidTr="00D12D69">
        <w:trPr>
          <w:trHeight w:val="103"/>
          <w:jc w:val="center"/>
        </w:trPr>
        <w:tc>
          <w:tcPr>
            <w:tcW w:w="1772" w:type="dxa"/>
            <w:vMerge/>
            <w:tcBorders>
              <w:left w:val="single" w:sz="4" w:space="0" w:color="auto"/>
              <w:right w:val="single" w:sz="4" w:space="0" w:color="auto"/>
            </w:tcBorders>
          </w:tcPr>
          <w:p w14:paraId="2EF5294B" w14:textId="77777777" w:rsidR="0019518B" w:rsidRPr="0015004F" w:rsidRDefault="0019518B" w:rsidP="00D12D69">
            <w:pPr>
              <w:pStyle w:val="TableText0"/>
              <w:keepNext/>
              <w:widowControl/>
              <w:ind w:left="-57" w:right="-57"/>
            </w:pPr>
          </w:p>
        </w:tc>
        <w:tc>
          <w:tcPr>
            <w:tcW w:w="3326" w:type="dxa"/>
            <w:tcBorders>
              <w:top w:val="single" w:sz="4" w:space="0" w:color="auto"/>
              <w:left w:val="single" w:sz="4" w:space="0" w:color="auto"/>
              <w:bottom w:val="single" w:sz="4" w:space="0" w:color="auto"/>
              <w:right w:val="single" w:sz="4" w:space="0" w:color="auto"/>
            </w:tcBorders>
          </w:tcPr>
          <w:p w14:paraId="0E3DE0BD" w14:textId="77777777" w:rsidR="0019518B" w:rsidRPr="0015004F" w:rsidRDefault="0019518B" w:rsidP="00D12D69">
            <w:pPr>
              <w:pStyle w:val="TableText0"/>
              <w:keepNext/>
              <w:widowControl/>
            </w:pPr>
            <w:r w:rsidRPr="0015004F">
              <w:t xml:space="preserve">Two-sided Wilcoxon test, nominal p-value </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6E378DD" w14:textId="77777777" w:rsidR="0019518B" w:rsidRPr="0015004F" w:rsidRDefault="0019518B" w:rsidP="00D12D69">
            <w:pPr>
              <w:pStyle w:val="TableText0"/>
              <w:keepNext/>
              <w:widowControl/>
              <w:jc w:val="center"/>
            </w:pPr>
            <w:r w:rsidRPr="0015004F">
              <w:t>&lt; 0.001</w:t>
            </w:r>
          </w:p>
        </w:tc>
      </w:tr>
      <w:tr w:rsidR="0019518B" w:rsidRPr="0015004F" w14:paraId="31771847" w14:textId="77777777" w:rsidTr="00D12D69">
        <w:trPr>
          <w:trHeight w:val="351"/>
          <w:jc w:val="center"/>
        </w:trPr>
        <w:tc>
          <w:tcPr>
            <w:tcW w:w="1772" w:type="dxa"/>
            <w:vMerge w:val="restart"/>
            <w:tcBorders>
              <w:left w:val="single" w:sz="4" w:space="0" w:color="auto"/>
              <w:right w:val="single" w:sz="4" w:space="0" w:color="auto"/>
            </w:tcBorders>
          </w:tcPr>
          <w:p w14:paraId="24A7FE06" w14:textId="77777777" w:rsidR="0019518B" w:rsidRPr="0015004F" w:rsidRDefault="0019518B" w:rsidP="00D12D69">
            <w:pPr>
              <w:pStyle w:val="TableText0"/>
              <w:keepNext/>
              <w:widowControl/>
              <w:ind w:left="-57" w:right="-57"/>
            </w:pPr>
            <w:r w:rsidRPr="0015004F">
              <w:t>Time-normalised number of HAE attacks per month requiring on-demand treatment during the treatment period</w:t>
            </w:r>
          </w:p>
        </w:tc>
        <w:tc>
          <w:tcPr>
            <w:tcW w:w="3326" w:type="dxa"/>
            <w:tcBorders>
              <w:top w:val="single" w:sz="4" w:space="0" w:color="auto"/>
              <w:left w:val="single" w:sz="4" w:space="0" w:color="auto"/>
              <w:right w:val="single" w:sz="4" w:space="0" w:color="auto"/>
            </w:tcBorders>
            <w:vAlign w:val="center"/>
          </w:tcPr>
          <w:p w14:paraId="5BC8E4F9" w14:textId="77777777" w:rsidR="0019518B" w:rsidRPr="0015004F" w:rsidRDefault="0019518B" w:rsidP="00D12D69">
            <w:pPr>
              <w:pStyle w:val="TableText0"/>
              <w:keepNext/>
              <w:widowControl/>
            </w:pPr>
            <w:r w:rsidRPr="0015004F">
              <w:t xml:space="preserve">Number of HAE attacks during treatment period, n </w:t>
            </w:r>
          </w:p>
        </w:tc>
        <w:tc>
          <w:tcPr>
            <w:tcW w:w="1985" w:type="dxa"/>
            <w:tcBorders>
              <w:top w:val="single" w:sz="4" w:space="0" w:color="auto"/>
              <w:left w:val="single" w:sz="4" w:space="0" w:color="auto"/>
              <w:right w:val="single" w:sz="4" w:space="0" w:color="auto"/>
            </w:tcBorders>
          </w:tcPr>
          <w:p w14:paraId="45051885" w14:textId="77777777" w:rsidR="0019518B" w:rsidRPr="0015004F" w:rsidRDefault="0019518B" w:rsidP="00D12D69">
            <w:pPr>
              <w:pStyle w:val="TableText0"/>
              <w:keepNext/>
              <w:widowControl/>
              <w:jc w:val="center"/>
            </w:pPr>
            <w:r w:rsidRPr="0015004F">
              <w:t>63</w:t>
            </w:r>
          </w:p>
        </w:tc>
        <w:tc>
          <w:tcPr>
            <w:tcW w:w="1984" w:type="dxa"/>
            <w:tcBorders>
              <w:top w:val="single" w:sz="4" w:space="0" w:color="auto"/>
              <w:left w:val="single" w:sz="4" w:space="0" w:color="auto"/>
              <w:right w:val="single" w:sz="4" w:space="0" w:color="auto"/>
            </w:tcBorders>
          </w:tcPr>
          <w:p w14:paraId="6F8A8E04" w14:textId="77777777" w:rsidR="0019518B" w:rsidRPr="0015004F" w:rsidRDefault="0019518B" w:rsidP="00D12D69">
            <w:pPr>
              <w:pStyle w:val="TableText0"/>
              <w:keepNext/>
              <w:widowControl/>
              <w:jc w:val="center"/>
            </w:pPr>
            <w:r w:rsidRPr="0015004F">
              <w:t>264</w:t>
            </w:r>
          </w:p>
        </w:tc>
      </w:tr>
      <w:tr w:rsidR="0019518B" w:rsidRPr="0015004F" w14:paraId="05E1C019" w14:textId="77777777" w:rsidTr="00D12D69">
        <w:trPr>
          <w:jc w:val="center"/>
        </w:trPr>
        <w:tc>
          <w:tcPr>
            <w:tcW w:w="1772" w:type="dxa"/>
            <w:vMerge/>
            <w:tcBorders>
              <w:left w:val="single" w:sz="4" w:space="0" w:color="auto"/>
              <w:right w:val="single" w:sz="4" w:space="0" w:color="auto"/>
            </w:tcBorders>
          </w:tcPr>
          <w:p w14:paraId="40EB3A21" w14:textId="77777777" w:rsidR="0019518B" w:rsidRPr="0015004F" w:rsidRDefault="0019518B" w:rsidP="00D12D69">
            <w:pPr>
              <w:pStyle w:val="TableText0"/>
              <w:keepNext/>
              <w:widowControl/>
              <w:ind w:left="-57" w:right="-57"/>
              <w:rPr>
                <w:b/>
                <w:bCs/>
              </w:rPr>
            </w:pPr>
          </w:p>
        </w:tc>
        <w:tc>
          <w:tcPr>
            <w:tcW w:w="3326" w:type="dxa"/>
            <w:tcBorders>
              <w:top w:val="single" w:sz="4" w:space="0" w:color="auto"/>
              <w:left w:val="single" w:sz="4" w:space="0" w:color="auto"/>
              <w:bottom w:val="single" w:sz="4" w:space="0" w:color="auto"/>
              <w:right w:val="single" w:sz="4" w:space="0" w:color="auto"/>
            </w:tcBorders>
          </w:tcPr>
          <w:p w14:paraId="1B21D1C4" w14:textId="77777777" w:rsidR="0019518B" w:rsidRPr="0015004F" w:rsidRDefault="0019518B" w:rsidP="00D12D69">
            <w:pPr>
              <w:pStyle w:val="TableText0"/>
              <w:keepNext/>
              <w:widowControl/>
            </w:pPr>
            <w:r w:rsidRPr="0015004F">
              <w:t>Number of HAE attacks requiring on-demand treatment during treatment period, n (%)</w:t>
            </w:r>
            <w:r w:rsidRPr="0015004F">
              <w:rPr>
                <w:vertAlign w:val="superscript"/>
              </w:rPr>
              <w:t xml:space="preserve">c </w:t>
            </w:r>
          </w:p>
        </w:tc>
        <w:tc>
          <w:tcPr>
            <w:tcW w:w="1985" w:type="dxa"/>
            <w:tcBorders>
              <w:top w:val="single" w:sz="4" w:space="0" w:color="auto"/>
              <w:left w:val="single" w:sz="4" w:space="0" w:color="auto"/>
              <w:bottom w:val="single" w:sz="4" w:space="0" w:color="auto"/>
              <w:right w:val="single" w:sz="4" w:space="0" w:color="auto"/>
            </w:tcBorders>
          </w:tcPr>
          <w:p w14:paraId="7B791481" w14:textId="77777777" w:rsidR="0019518B" w:rsidRPr="0015004F" w:rsidRDefault="0019518B" w:rsidP="00D12D69">
            <w:pPr>
              <w:pStyle w:val="TableText0"/>
              <w:keepNext/>
              <w:widowControl/>
              <w:jc w:val="center"/>
            </w:pPr>
            <w:r w:rsidRPr="0015004F">
              <w:t>54 (85.7)</w:t>
            </w:r>
          </w:p>
        </w:tc>
        <w:tc>
          <w:tcPr>
            <w:tcW w:w="1984" w:type="dxa"/>
            <w:tcBorders>
              <w:top w:val="single" w:sz="4" w:space="0" w:color="auto"/>
              <w:left w:val="single" w:sz="4" w:space="0" w:color="auto"/>
              <w:bottom w:val="single" w:sz="4" w:space="0" w:color="auto"/>
              <w:right w:val="single" w:sz="4" w:space="0" w:color="auto"/>
            </w:tcBorders>
          </w:tcPr>
          <w:p w14:paraId="6F14A3ED" w14:textId="77777777" w:rsidR="0019518B" w:rsidRPr="0015004F" w:rsidRDefault="0019518B" w:rsidP="00D12D69">
            <w:pPr>
              <w:pStyle w:val="TableText0"/>
              <w:keepNext/>
              <w:widowControl/>
              <w:jc w:val="center"/>
            </w:pPr>
            <w:r w:rsidRPr="0015004F">
              <w:t>245 (92.8)</w:t>
            </w:r>
          </w:p>
        </w:tc>
      </w:tr>
      <w:tr w:rsidR="0019518B" w:rsidRPr="0015004F" w14:paraId="0BBB82FA" w14:textId="77777777" w:rsidTr="00D12D69">
        <w:trPr>
          <w:jc w:val="center"/>
        </w:trPr>
        <w:tc>
          <w:tcPr>
            <w:tcW w:w="1772" w:type="dxa"/>
            <w:vMerge/>
            <w:tcBorders>
              <w:left w:val="single" w:sz="4" w:space="0" w:color="auto"/>
              <w:right w:val="single" w:sz="4" w:space="0" w:color="auto"/>
            </w:tcBorders>
          </w:tcPr>
          <w:p w14:paraId="40934271" w14:textId="77777777" w:rsidR="0019518B" w:rsidRPr="0015004F" w:rsidRDefault="0019518B" w:rsidP="00D12D69">
            <w:pPr>
              <w:pStyle w:val="TableText0"/>
              <w:keepNext/>
              <w:widowControl/>
              <w:ind w:left="-57" w:right="-57"/>
            </w:pPr>
          </w:p>
        </w:tc>
        <w:tc>
          <w:tcPr>
            <w:tcW w:w="7295" w:type="dxa"/>
            <w:gridSpan w:val="3"/>
            <w:tcBorders>
              <w:top w:val="single" w:sz="4" w:space="0" w:color="auto"/>
              <w:left w:val="single" w:sz="4" w:space="0" w:color="auto"/>
              <w:bottom w:val="single" w:sz="4" w:space="0" w:color="auto"/>
              <w:right w:val="single" w:sz="4" w:space="0" w:color="auto"/>
            </w:tcBorders>
          </w:tcPr>
          <w:p w14:paraId="6C68CE34" w14:textId="77777777" w:rsidR="0019518B" w:rsidRPr="0015004F" w:rsidRDefault="0019518B" w:rsidP="00D12D69">
            <w:pPr>
              <w:pStyle w:val="TableText0"/>
              <w:keepNext/>
              <w:widowControl/>
            </w:pPr>
            <w:r w:rsidRPr="0015004F">
              <w:t>Time-normalised number of HAE attacks requiring on-demand treatment per month</w:t>
            </w:r>
          </w:p>
        </w:tc>
      </w:tr>
      <w:tr w:rsidR="0019518B" w:rsidRPr="0015004F" w14:paraId="70B97F33" w14:textId="77777777" w:rsidTr="00D12D69">
        <w:trPr>
          <w:jc w:val="center"/>
        </w:trPr>
        <w:tc>
          <w:tcPr>
            <w:tcW w:w="1772" w:type="dxa"/>
            <w:vMerge/>
            <w:tcBorders>
              <w:left w:val="single" w:sz="4" w:space="0" w:color="auto"/>
              <w:right w:val="single" w:sz="4" w:space="0" w:color="auto"/>
            </w:tcBorders>
          </w:tcPr>
          <w:p w14:paraId="339C5B75" w14:textId="77777777" w:rsidR="0019518B" w:rsidRPr="0015004F" w:rsidRDefault="0019518B" w:rsidP="00D12D69">
            <w:pPr>
              <w:pStyle w:val="TableText0"/>
              <w:keepNext/>
              <w:widowControl/>
              <w:ind w:left="-57" w:right="-57"/>
            </w:pPr>
          </w:p>
        </w:tc>
        <w:tc>
          <w:tcPr>
            <w:tcW w:w="3326" w:type="dxa"/>
            <w:tcBorders>
              <w:top w:val="single" w:sz="4" w:space="0" w:color="auto"/>
              <w:left w:val="single" w:sz="4" w:space="0" w:color="auto"/>
              <w:bottom w:val="single" w:sz="4" w:space="0" w:color="auto"/>
              <w:right w:val="single" w:sz="4" w:space="0" w:color="auto"/>
            </w:tcBorders>
          </w:tcPr>
          <w:p w14:paraId="106D588B" w14:textId="77777777" w:rsidR="0019518B" w:rsidRPr="0015004F" w:rsidRDefault="0019518B" w:rsidP="00D12D69">
            <w:pPr>
              <w:pStyle w:val="TableText0"/>
              <w:keepNext/>
              <w:widowControl/>
            </w:pPr>
            <w:r w:rsidRPr="0015004F">
              <w:t xml:space="preserve">Mean (SD) </w:t>
            </w:r>
          </w:p>
        </w:tc>
        <w:tc>
          <w:tcPr>
            <w:tcW w:w="1985" w:type="dxa"/>
            <w:tcBorders>
              <w:top w:val="single" w:sz="4" w:space="0" w:color="auto"/>
              <w:left w:val="single" w:sz="4" w:space="0" w:color="auto"/>
              <w:bottom w:val="single" w:sz="4" w:space="0" w:color="auto"/>
              <w:right w:val="single" w:sz="4" w:space="0" w:color="auto"/>
            </w:tcBorders>
          </w:tcPr>
          <w:p w14:paraId="4DEA9972" w14:textId="77777777" w:rsidR="0019518B" w:rsidRPr="0015004F" w:rsidRDefault="0019518B" w:rsidP="00D12D69">
            <w:pPr>
              <w:pStyle w:val="TableText0"/>
              <w:keepNext/>
              <w:widowControl/>
              <w:jc w:val="center"/>
            </w:pPr>
            <w:r w:rsidRPr="0015004F">
              <w:t>0.23 (0.66)</w:t>
            </w:r>
          </w:p>
        </w:tc>
        <w:tc>
          <w:tcPr>
            <w:tcW w:w="1984" w:type="dxa"/>
            <w:tcBorders>
              <w:top w:val="single" w:sz="4" w:space="0" w:color="auto"/>
              <w:left w:val="single" w:sz="4" w:space="0" w:color="auto"/>
              <w:bottom w:val="single" w:sz="4" w:space="0" w:color="auto"/>
              <w:right w:val="single" w:sz="4" w:space="0" w:color="auto"/>
            </w:tcBorders>
          </w:tcPr>
          <w:p w14:paraId="3C0D9929" w14:textId="77777777" w:rsidR="0019518B" w:rsidRPr="0015004F" w:rsidRDefault="0019518B" w:rsidP="00D12D69">
            <w:pPr>
              <w:pStyle w:val="TableText0"/>
              <w:keepNext/>
              <w:widowControl/>
              <w:jc w:val="center"/>
            </w:pPr>
            <w:r w:rsidRPr="0015004F">
              <w:t>1.86 (1.41)</w:t>
            </w:r>
          </w:p>
        </w:tc>
      </w:tr>
      <w:tr w:rsidR="0019518B" w:rsidRPr="0015004F" w14:paraId="29FC2DB0" w14:textId="77777777" w:rsidTr="00D12D69">
        <w:trPr>
          <w:jc w:val="center"/>
        </w:trPr>
        <w:tc>
          <w:tcPr>
            <w:tcW w:w="1772" w:type="dxa"/>
            <w:vMerge/>
            <w:tcBorders>
              <w:left w:val="single" w:sz="4" w:space="0" w:color="auto"/>
              <w:right w:val="single" w:sz="4" w:space="0" w:color="auto"/>
            </w:tcBorders>
          </w:tcPr>
          <w:p w14:paraId="1751C868" w14:textId="77777777" w:rsidR="0019518B" w:rsidRPr="0015004F" w:rsidRDefault="0019518B" w:rsidP="00D12D69">
            <w:pPr>
              <w:pStyle w:val="TableText0"/>
              <w:keepNext/>
              <w:widowControl/>
              <w:ind w:left="-57" w:right="-57"/>
            </w:pPr>
          </w:p>
        </w:tc>
        <w:tc>
          <w:tcPr>
            <w:tcW w:w="3326" w:type="dxa"/>
            <w:tcBorders>
              <w:top w:val="single" w:sz="4" w:space="0" w:color="auto"/>
              <w:left w:val="single" w:sz="4" w:space="0" w:color="auto"/>
              <w:bottom w:val="single" w:sz="4" w:space="0" w:color="auto"/>
              <w:right w:val="single" w:sz="4" w:space="0" w:color="auto"/>
            </w:tcBorders>
          </w:tcPr>
          <w:p w14:paraId="37820171" w14:textId="77777777" w:rsidR="0019518B" w:rsidRPr="0015004F" w:rsidRDefault="0019518B" w:rsidP="00D12D69">
            <w:pPr>
              <w:pStyle w:val="TableText0"/>
              <w:keepNext/>
              <w:widowControl/>
            </w:pPr>
            <w:r w:rsidRPr="0015004F">
              <w:t xml:space="preserve">95% CI </w:t>
            </w:r>
          </w:p>
        </w:tc>
        <w:tc>
          <w:tcPr>
            <w:tcW w:w="1985" w:type="dxa"/>
            <w:tcBorders>
              <w:top w:val="single" w:sz="4" w:space="0" w:color="auto"/>
              <w:left w:val="single" w:sz="4" w:space="0" w:color="auto"/>
              <w:bottom w:val="single" w:sz="4" w:space="0" w:color="auto"/>
              <w:right w:val="single" w:sz="4" w:space="0" w:color="auto"/>
            </w:tcBorders>
          </w:tcPr>
          <w:p w14:paraId="117E26B8" w14:textId="77777777" w:rsidR="0019518B" w:rsidRPr="0015004F" w:rsidRDefault="0019518B" w:rsidP="00D12D69">
            <w:pPr>
              <w:pStyle w:val="TableText0"/>
              <w:keepNext/>
              <w:widowControl/>
              <w:jc w:val="center"/>
            </w:pPr>
            <w:r w:rsidRPr="0015004F">
              <w:t>(0.02, 0.45)</w:t>
            </w:r>
          </w:p>
        </w:tc>
        <w:tc>
          <w:tcPr>
            <w:tcW w:w="1984" w:type="dxa"/>
            <w:tcBorders>
              <w:top w:val="single" w:sz="4" w:space="0" w:color="auto"/>
              <w:left w:val="single" w:sz="4" w:space="0" w:color="auto"/>
              <w:bottom w:val="single" w:sz="4" w:space="0" w:color="auto"/>
              <w:right w:val="single" w:sz="4" w:space="0" w:color="auto"/>
            </w:tcBorders>
          </w:tcPr>
          <w:p w14:paraId="2FA00C14" w14:textId="77777777" w:rsidR="0019518B" w:rsidRPr="0015004F" w:rsidRDefault="0019518B" w:rsidP="00D12D69">
            <w:pPr>
              <w:pStyle w:val="TableText0"/>
              <w:keepNext/>
              <w:widowControl/>
              <w:jc w:val="center"/>
            </w:pPr>
            <w:r w:rsidRPr="0015004F">
              <w:t>(1.26, 2.46)</w:t>
            </w:r>
          </w:p>
        </w:tc>
      </w:tr>
      <w:tr w:rsidR="0019518B" w:rsidRPr="0015004F" w14:paraId="09463D37" w14:textId="77777777" w:rsidTr="00D12D69">
        <w:trPr>
          <w:jc w:val="center"/>
        </w:trPr>
        <w:tc>
          <w:tcPr>
            <w:tcW w:w="1772" w:type="dxa"/>
            <w:vMerge/>
            <w:tcBorders>
              <w:left w:val="single" w:sz="4" w:space="0" w:color="auto"/>
              <w:right w:val="single" w:sz="4" w:space="0" w:color="auto"/>
            </w:tcBorders>
          </w:tcPr>
          <w:p w14:paraId="4A718B49" w14:textId="77777777" w:rsidR="0019518B" w:rsidRPr="0015004F" w:rsidRDefault="0019518B" w:rsidP="00D12D69">
            <w:pPr>
              <w:pStyle w:val="TableText0"/>
              <w:keepNext/>
              <w:widowControl/>
              <w:ind w:left="-57" w:right="-57"/>
            </w:pPr>
          </w:p>
        </w:tc>
        <w:tc>
          <w:tcPr>
            <w:tcW w:w="3326" w:type="dxa"/>
            <w:tcBorders>
              <w:top w:val="single" w:sz="4" w:space="0" w:color="auto"/>
              <w:left w:val="single" w:sz="4" w:space="0" w:color="auto"/>
              <w:bottom w:val="single" w:sz="4" w:space="0" w:color="auto"/>
              <w:right w:val="single" w:sz="4" w:space="0" w:color="auto"/>
            </w:tcBorders>
          </w:tcPr>
          <w:p w14:paraId="00F93AE7" w14:textId="77777777" w:rsidR="0019518B" w:rsidRPr="0015004F" w:rsidRDefault="0019518B" w:rsidP="00D12D69">
            <w:pPr>
              <w:pStyle w:val="TableText0"/>
              <w:keepNext/>
              <w:widowControl/>
            </w:pPr>
            <w:r w:rsidRPr="0015004F">
              <w:t>Two-sided Wilcoxon test, nominal p-value</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455590D" w14:textId="77777777" w:rsidR="0019518B" w:rsidRPr="0015004F" w:rsidRDefault="0019518B" w:rsidP="00D12D69">
            <w:pPr>
              <w:pStyle w:val="TableText0"/>
              <w:keepNext/>
              <w:widowControl/>
              <w:jc w:val="center"/>
            </w:pPr>
            <w:r w:rsidRPr="0015004F">
              <w:t>&lt; 0.001</w:t>
            </w:r>
          </w:p>
        </w:tc>
      </w:tr>
      <w:tr w:rsidR="0019518B" w:rsidRPr="0015004F" w14:paraId="2BF6C69F" w14:textId="77777777" w:rsidTr="00D12D69">
        <w:trPr>
          <w:trHeight w:val="257"/>
          <w:jc w:val="center"/>
        </w:trPr>
        <w:tc>
          <w:tcPr>
            <w:tcW w:w="1772" w:type="dxa"/>
            <w:vMerge w:val="restart"/>
            <w:tcBorders>
              <w:left w:val="single" w:sz="4" w:space="0" w:color="auto"/>
              <w:right w:val="single" w:sz="4" w:space="0" w:color="auto"/>
            </w:tcBorders>
          </w:tcPr>
          <w:p w14:paraId="66A71ECD" w14:textId="77777777" w:rsidR="0019518B" w:rsidRPr="0015004F" w:rsidRDefault="0019518B" w:rsidP="00D12D69">
            <w:pPr>
              <w:pStyle w:val="TableText0"/>
              <w:keepNext/>
              <w:widowControl/>
              <w:ind w:left="-57" w:right="-57"/>
            </w:pPr>
            <w:r w:rsidRPr="0015004F">
              <w:t>Time-normalised number of moderate or severe HAE attacks per month during the treatment period</w:t>
            </w:r>
          </w:p>
        </w:tc>
        <w:tc>
          <w:tcPr>
            <w:tcW w:w="3326" w:type="dxa"/>
            <w:tcBorders>
              <w:top w:val="single" w:sz="4" w:space="0" w:color="auto"/>
              <w:left w:val="single" w:sz="4" w:space="0" w:color="auto"/>
              <w:right w:val="single" w:sz="4" w:space="0" w:color="auto"/>
            </w:tcBorders>
          </w:tcPr>
          <w:p w14:paraId="345584AD" w14:textId="77777777" w:rsidR="0019518B" w:rsidRPr="0015004F" w:rsidRDefault="0019518B" w:rsidP="00D12D69">
            <w:pPr>
              <w:pStyle w:val="TableText0"/>
              <w:keepNext/>
              <w:widowControl/>
            </w:pPr>
            <w:r w:rsidRPr="0015004F">
              <w:t xml:space="preserve">Number of HAE attacks during treatment period, n </w:t>
            </w:r>
          </w:p>
        </w:tc>
        <w:tc>
          <w:tcPr>
            <w:tcW w:w="1985" w:type="dxa"/>
            <w:tcBorders>
              <w:top w:val="single" w:sz="4" w:space="0" w:color="auto"/>
              <w:left w:val="single" w:sz="4" w:space="0" w:color="auto"/>
              <w:right w:val="single" w:sz="4" w:space="0" w:color="auto"/>
            </w:tcBorders>
          </w:tcPr>
          <w:p w14:paraId="4FCFB165" w14:textId="77777777" w:rsidR="0019518B" w:rsidRPr="0015004F" w:rsidRDefault="0019518B" w:rsidP="00D12D69">
            <w:pPr>
              <w:pStyle w:val="TableText0"/>
              <w:keepNext/>
              <w:widowControl/>
              <w:jc w:val="center"/>
            </w:pPr>
            <w:r w:rsidRPr="0015004F">
              <w:t>63</w:t>
            </w:r>
          </w:p>
        </w:tc>
        <w:tc>
          <w:tcPr>
            <w:tcW w:w="1984" w:type="dxa"/>
            <w:tcBorders>
              <w:top w:val="single" w:sz="4" w:space="0" w:color="auto"/>
              <w:left w:val="single" w:sz="4" w:space="0" w:color="auto"/>
              <w:right w:val="single" w:sz="4" w:space="0" w:color="auto"/>
            </w:tcBorders>
          </w:tcPr>
          <w:p w14:paraId="6DD553A5" w14:textId="77777777" w:rsidR="0019518B" w:rsidRPr="0015004F" w:rsidRDefault="0019518B" w:rsidP="00D12D69">
            <w:pPr>
              <w:pStyle w:val="TableText0"/>
              <w:keepNext/>
              <w:widowControl/>
              <w:jc w:val="center"/>
            </w:pPr>
            <w:r w:rsidRPr="0015004F">
              <w:t>264</w:t>
            </w:r>
          </w:p>
        </w:tc>
      </w:tr>
      <w:tr w:rsidR="0019518B" w:rsidRPr="0015004F" w14:paraId="339FE2C0" w14:textId="77777777" w:rsidTr="00D12D69">
        <w:trPr>
          <w:jc w:val="center"/>
        </w:trPr>
        <w:tc>
          <w:tcPr>
            <w:tcW w:w="1772" w:type="dxa"/>
            <w:vMerge/>
            <w:tcBorders>
              <w:left w:val="single" w:sz="4" w:space="0" w:color="auto"/>
              <w:right w:val="single" w:sz="4" w:space="0" w:color="auto"/>
            </w:tcBorders>
          </w:tcPr>
          <w:p w14:paraId="352E87F8" w14:textId="77777777" w:rsidR="0019518B" w:rsidRPr="0015004F" w:rsidRDefault="0019518B" w:rsidP="00D12D69">
            <w:pPr>
              <w:pStyle w:val="TableText0"/>
              <w:keepNext/>
              <w:widowControl/>
              <w:ind w:left="-57" w:right="-57"/>
              <w:rPr>
                <w:b/>
                <w:bCs/>
              </w:rPr>
            </w:pPr>
          </w:p>
        </w:tc>
        <w:tc>
          <w:tcPr>
            <w:tcW w:w="3326" w:type="dxa"/>
            <w:tcBorders>
              <w:top w:val="single" w:sz="4" w:space="0" w:color="auto"/>
              <w:left w:val="single" w:sz="4" w:space="0" w:color="auto"/>
              <w:bottom w:val="single" w:sz="4" w:space="0" w:color="auto"/>
              <w:right w:val="single" w:sz="4" w:space="0" w:color="auto"/>
            </w:tcBorders>
          </w:tcPr>
          <w:p w14:paraId="55231680" w14:textId="77777777" w:rsidR="0019518B" w:rsidRPr="0015004F" w:rsidRDefault="0019518B" w:rsidP="00D12D69">
            <w:pPr>
              <w:pStyle w:val="TableText0"/>
              <w:keepNext/>
              <w:widowControl/>
              <w:ind w:right="-199"/>
            </w:pPr>
            <w:r w:rsidRPr="0015004F">
              <w:t>Number of moderate or severe HAE attacks during treatment period, n (%)</w:t>
            </w:r>
            <w:r w:rsidRPr="0015004F">
              <w:rPr>
                <w:vertAlign w:val="superscript"/>
              </w:rPr>
              <w:t xml:space="preserve">c </w:t>
            </w:r>
          </w:p>
        </w:tc>
        <w:tc>
          <w:tcPr>
            <w:tcW w:w="1985" w:type="dxa"/>
            <w:tcBorders>
              <w:top w:val="single" w:sz="4" w:space="0" w:color="auto"/>
              <w:left w:val="single" w:sz="4" w:space="0" w:color="auto"/>
              <w:bottom w:val="single" w:sz="4" w:space="0" w:color="auto"/>
              <w:right w:val="single" w:sz="4" w:space="0" w:color="auto"/>
            </w:tcBorders>
          </w:tcPr>
          <w:p w14:paraId="3E230B6F" w14:textId="77777777" w:rsidR="0019518B" w:rsidRPr="0015004F" w:rsidRDefault="0019518B" w:rsidP="00D12D69">
            <w:pPr>
              <w:pStyle w:val="TableText0"/>
              <w:keepNext/>
              <w:widowControl/>
              <w:jc w:val="center"/>
            </w:pPr>
            <w:r w:rsidRPr="0015004F">
              <w:t>29 (46.0)</w:t>
            </w:r>
          </w:p>
        </w:tc>
        <w:tc>
          <w:tcPr>
            <w:tcW w:w="1984" w:type="dxa"/>
            <w:tcBorders>
              <w:top w:val="single" w:sz="4" w:space="0" w:color="auto"/>
              <w:left w:val="single" w:sz="4" w:space="0" w:color="auto"/>
              <w:bottom w:val="single" w:sz="4" w:space="0" w:color="auto"/>
              <w:right w:val="single" w:sz="4" w:space="0" w:color="auto"/>
            </w:tcBorders>
          </w:tcPr>
          <w:p w14:paraId="617A807B" w14:textId="77777777" w:rsidR="0019518B" w:rsidRPr="0015004F" w:rsidRDefault="0019518B" w:rsidP="00D12D69">
            <w:pPr>
              <w:pStyle w:val="TableText0"/>
              <w:keepNext/>
              <w:widowControl/>
              <w:jc w:val="center"/>
            </w:pPr>
            <w:r w:rsidRPr="0015004F">
              <w:t>172 (65.2)</w:t>
            </w:r>
          </w:p>
        </w:tc>
      </w:tr>
      <w:tr w:rsidR="0019518B" w:rsidRPr="0015004F" w14:paraId="3DBC7D30" w14:textId="77777777" w:rsidTr="00D12D69">
        <w:trPr>
          <w:jc w:val="center"/>
        </w:trPr>
        <w:tc>
          <w:tcPr>
            <w:tcW w:w="1772" w:type="dxa"/>
            <w:vMerge/>
            <w:tcBorders>
              <w:left w:val="single" w:sz="4" w:space="0" w:color="auto"/>
              <w:right w:val="single" w:sz="4" w:space="0" w:color="auto"/>
            </w:tcBorders>
          </w:tcPr>
          <w:p w14:paraId="17CAA117" w14:textId="77777777" w:rsidR="0019518B" w:rsidRPr="0015004F" w:rsidRDefault="0019518B" w:rsidP="00D12D69">
            <w:pPr>
              <w:pStyle w:val="TableText0"/>
              <w:keepNext/>
              <w:widowControl/>
              <w:ind w:left="-57" w:right="-57"/>
            </w:pPr>
          </w:p>
        </w:tc>
        <w:tc>
          <w:tcPr>
            <w:tcW w:w="7295" w:type="dxa"/>
            <w:gridSpan w:val="3"/>
            <w:tcBorders>
              <w:top w:val="single" w:sz="4" w:space="0" w:color="auto"/>
              <w:left w:val="single" w:sz="4" w:space="0" w:color="auto"/>
              <w:bottom w:val="single" w:sz="4" w:space="0" w:color="auto"/>
              <w:right w:val="single" w:sz="4" w:space="0" w:color="auto"/>
            </w:tcBorders>
          </w:tcPr>
          <w:p w14:paraId="5392B1D1" w14:textId="77777777" w:rsidR="0019518B" w:rsidRPr="0015004F" w:rsidRDefault="0019518B" w:rsidP="00D12D69">
            <w:pPr>
              <w:pStyle w:val="TableText0"/>
              <w:keepNext/>
              <w:widowControl/>
            </w:pPr>
            <w:r w:rsidRPr="0015004F">
              <w:t>Time-normalised number of moderate or severe HAE attacks per month</w:t>
            </w:r>
          </w:p>
        </w:tc>
      </w:tr>
      <w:tr w:rsidR="0019518B" w:rsidRPr="0015004F" w14:paraId="79C3963B" w14:textId="77777777" w:rsidTr="00D12D69">
        <w:trPr>
          <w:jc w:val="center"/>
        </w:trPr>
        <w:tc>
          <w:tcPr>
            <w:tcW w:w="1772" w:type="dxa"/>
            <w:vMerge/>
            <w:tcBorders>
              <w:left w:val="single" w:sz="4" w:space="0" w:color="auto"/>
              <w:right w:val="single" w:sz="4" w:space="0" w:color="auto"/>
            </w:tcBorders>
          </w:tcPr>
          <w:p w14:paraId="031B6140" w14:textId="77777777" w:rsidR="0019518B" w:rsidRPr="0015004F" w:rsidRDefault="0019518B" w:rsidP="00D12D69">
            <w:pPr>
              <w:pStyle w:val="TableText0"/>
              <w:keepNext/>
              <w:widowControl/>
              <w:ind w:left="-57" w:right="-57"/>
            </w:pPr>
          </w:p>
        </w:tc>
        <w:tc>
          <w:tcPr>
            <w:tcW w:w="3326" w:type="dxa"/>
            <w:tcBorders>
              <w:top w:val="single" w:sz="4" w:space="0" w:color="auto"/>
              <w:left w:val="single" w:sz="4" w:space="0" w:color="auto"/>
              <w:bottom w:val="single" w:sz="4" w:space="0" w:color="auto"/>
              <w:right w:val="single" w:sz="4" w:space="0" w:color="auto"/>
            </w:tcBorders>
          </w:tcPr>
          <w:p w14:paraId="4C6E7A50" w14:textId="77777777" w:rsidR="0019518B" w:rsidRPr="0015004F" w:rsidRDefault="0019518B" w:rsidP="00D12D69">
            <w:pPr>
              <w:pStyle w:val="TableText0"/>
              <w:keepNext/>
              <w:widowControl/>
            </w:pPr>
            <w:r w:rsidRPr="0015004F">
              <w:t xml:space="preserve">Mean (SD) </w:t>
            </w:r>
          </w:p>
        </w:tc>
        <w:tc>
          <w:tcPr>
            <w:tcW w:w="1985" w:type="dxa"/>
            <w:tcBorders>
              <w:top w:val="single" w:sz="4" w:space="0" w:color="auto"/>
              <w:left w:val="single" w:sz="4" w:space="0" w:color="auto"/>
              <w:bottom w:val="single" w:sz="4" w:space="0" w:color="auto"/>
              <w:right w:val="single" w:sz="4" w:space="0" w:color="auto"/>
            </w:tcBorders>
          </w:tcPr>
          <w:p w14:paraId="45573365" w14:textId="77777777" w:rsidR="0019518B" w:rsidRPr="0015004F" w:rsidRDefault="0019518B" w:rsidP="00D12D69">
            <w:pPr>
              <w:pStyle w:val="TableText0"/>
              <w:keepNext/>
              <w:widowControl/>
              <w:jc w:val="center"/>
            </w:pPr>
            <w:r w:rsidRPr="0015004F">
              <w:t xml:space="preserve">0.13 (0.30) </w:t>
            </w:r>
          </w:p>
        </w:tc>
        <w:tc>
          <w:tcPr>
            <w:tcW w:w="1984" w:type="dxa"/>
            <w:tcBorders>
              <w:top w:val="single" w:sz="4" w:space="0" w:color="auto"/>
              <w:left w:val="single" w:sz="4" w:space="0" w:color="auto"/>
              <w:bottom w:val="single" w:sz="4" w:space="0" w:color="auto"/>
              <w:right w:val="single" w:sz="4" w:space="0" w:color="auto"/>
            </w:tcBorders>
          </w:tcPr>
          <w:p w14:paraId="3D5B7C7D" w14:textId="77777777" w:rsidR="0019518B" w:rsidRPr="0015004F" w:rsidRDefault="0019518B" w:rsidP="00D12D69">
            <w:pPr>
              <w:pStyle w:val="TableText0"/>
              <w:keepNext/>
              <w:widowControl/>
              <w:jc w:val="center"/>
            </w:pPr>
            <w:r w:rsidRPr="0015004F">
              <w:t>1.35 (1.17)</w:t>
            </w:r>
          </w:p>
        </w:tc>
      </w:tr>
      <w:tr w:rsidR="0019518B" w:rsidRPr="0015004F" w14:paraId="0BF72237" w14:textId="77777777" w:rsidTr="00D12D69">
        <w:trPr>
          <w:jc w:val="center"/>
        </w:trPr>
        <w:tc>
          <w:tcPr>
            <w:tcW w:w="1772" w:type="dxa"/>
            <w:vMerge/>
            <w:tcBorders>
              <w:left w:val="single" w:sz="4" w:space="0" w:color="auto"/>
              <w:right w:val="single" w:sz="4" w:space="0" w:color="auto"/>
            </w:tcBorders>
          </w:tcPr>
          <w:p w14:paraId="5F6758EE" w14:textId="77777777" w:rsidR="0019518B" w:rsidRPr="0015004F" w:rsidRDefault="0019518B" w:rsidP="00D12D69">
            <w:pPr>
              <w:pStyle w:val="TableText0"/>
              <w:keepNext/>
              <w:widowControl/>
              <w:ind w:left="-57" w:right="-57"/>
            </w:pPr>
          </w:p>
        </w:tc>
        <w:tc>
          <w:tcPr>
            <w:tcW w:w="3326" w:type="dxa"/>
            <w:tcBorders>
              <w:top w:val="single" w:sz="4" w:space="0" w:color="auto"/>
              <w:left w:val="single" w:sz="4" w:space="0" w:color="auto"/>
              <w:bottom w:val="single" w:sz="4" w:space="0" w:color="auto"/>
              <w:right w:val="single" w:sz="4" w:space="0" w:color="auto"/>
            </w:tcBorders>
          </w:tcPr>
          <w:p w14:paraId="1ACB9A46" w14:textId="77777777" w:rsidR="0019518B" w:rsidRPr="0015004F" w:rsidRDefault="0019518B" w:rsidP="00D12D69">
            <w:pPr>
              <w:pStyle w:val="TableText0"/>
              <w:keepNext/>
              <w:widowControl/>
            </w:pPr>
            <w:r w:rsidRPr="0015004F">
              <w:t xml:space="preserve">95% CI </w:t>
            </w:r>
          </w:p>
        </w:tc>
        <w:tc>
          <w:tcPr>
            <w:tcW w:w="1985" w:type="dxa"/>
            <w:tcBorders>
              <w:top w:val="single" w:sz="4" w:space="0" w:color="auto"/>
              <w:left w:val="single" w:sz="4" w:space="0" w:color="auto"/>
              <w:bottom w:val="single" w:sz="4" w:space="0" w:color="auto"/>
              <w:right w:val="single" w:sz="4" w:space="0" w:color="auto"/>
            </w:tcBorders>
          </w:tcPr>
          <w:p w14:paraId="0FEA33EB" w14:textId="77777777" w:rsidR="0019518B" w:rsidRPr="0015004F" w:rsidRDefault="0019518B" w:rsidP="00D12D69">
            <w:pPr>
              <w:pStyle w:val="TableText0"/>
              <w:keepNext/>
              <w:widowControl/>
              <w:jc w:val="center"/>
            </w:pPr>
            <w:r w:rsidRPr="0015004F">
              <w:t xml:space="preserve">(0.03, 0.22) </w:t>
            </w:r>
          </w:p>
        </w:tc>
        <w:tc>
          <w:tcPr>
            <w:tcW w:w="1984" w:type="dxa"/>
            <w:tcBorders>
              <w:top w:val="single" w:sz="4" w:space="0" w:color="auto"/>
              <w:left w:val="single" w:sz="4" w:space="0" w:color="auto"/>
              <w:bottom w:val="single" w:sz="4" w:space="0" w:color="auto"/>
              <w:right w:val="single" w:sz="4" w:space="0" w:color="auto"/>
            </w:tcBorders>
          </w:tcPr>
          <w:p w14:paraId="26D67299" w14:textId="77777777" w:rsidR="0019518B" w:rsidRPr="0015004F" w:rsidRDefault="0019518B" w:rsidP="00D12D69">
            <w:pPr>
              <w:pStyle w:val="TableText0"/>
              <w:keepNext/>
              <w:widowControl/>
              <w:jc w:val="center"/>
            </w:pPr>
            <w:r w:rsidRPr="0015004F">
              <w:t>(0.86, 1.84)</w:t>
            </w:r>
          </w:p>
        </w:tc>
      </w:tr>
      <w:tr w:rsidR="0019518B" w:rsidRPr="0015004F" w14:paraId="1BFB53F7" w14:textId="77777777" w:rsidTr="00D12D69">
        <w:trPr>
          <w:jc w:val="center"/>
        </w:trPr>
        <w:tc>
          <w:tcPr>
            <w:tcW w:w="1772" w:type="dxa"/>
            <w:vMerge/>
            <w:tcBorders>
              <w:left w:val="single" w:sz="4" w:space="0" w:color="auto"/>
              <w:right w:val="single" w:sz="4" w:space="0" w:color="auto"/>
            </w:tcBorders>
          </w:tcPr>
          <w:p w14:paraId="22E84829" w14:textId="77777777" w:rsidR="0019518B" w:rsidRPr="0015004F" w:rsidRDefault="0019518B" w:rsidP="00D12D69">
            <w:pPr>
              <w:pStyle w:val="TableText0"/>
              <w:keepNext/>
              <w:widowControl/>
              <w:ind w:left="-57" w:right="-57"/>
            </w:pPr>
          </w:p>
        </w:tc>
        <w:tc>
          <w:tcPr>
            <w:tcW w:w="3326" w:type="dxa"/>
            <w:tcBorders>
              <w:top w:val="single" w:sz="4" w:space="0" w:color="auto"/>
              <w:left w:val="single" w:sz="4" w:space="0" w:color="auto"/>
              <w:bottom w:val="single" w:sz="4" w:space="0" w:color="auto"/>
              <w:right w:val="single" w:sz="4" w:space="0" w:color="auto"/>
            </w:tcBorders>
          </w:tcPr>
          <w:p w14:paraId="44251EDE" w14:textId="77777777" w:rsidR="0019518B" w:rsidRPr="0015004F" w:rsidRDefault="0019518B" w:rsidP="00D12D69">
            <w:pPr>
              <w:pStyle w:val="TableText0"/>
              <w:keepNext/>
              <w:widowControl/>
            </w:pPr>
            <w:r w:rsidRPr="0015004F">
              <w:t>Two-sided Wilcoxon test, nominal p-value</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5F1DF98C" w14:textId="77777777" w:rsidR="0019518B" w:rsidRPr="0015004F" w:rsidRDefault="0019518B" w:rsidP="00D12D69">
            <w:pPr>
              <w:pStyle w:val="TableText0"/>
              <w:keepNext/>
              <w:widowControl/>
              <w:jc w:val="center"/>
            </w:pPr>
            <w:r w:rsidRPr="0015004F">
              <w:t>&lt; 0.001</w:t>
            </w:r>
          </w:p>
        </w:tc>
      </w:tr>
      <w:tr w:rsidR="0019518B" w:rsidRPr="0015004F" w14:paraId="188271E8" w14:textId="77777777" w:rsidTr="00D12D69">
        <w:trPr>
          <w:trHeight w:val="142"/>
          <w:jc w:val="center"/>
        </w:trPr>
        <w:tc>
          <w:tcPr>
            <w:tcW w:w="1772" w:type="dxa"/>
            <w:vMerge w:val="restart"/>
            <w:tcBorders>
              <w:left w:val="single" w:sz="4" w:space="0" w:color="auto"/>
              <w:right w:val="single" w:sz="4" w:space="0" w:color="auto"/>
            </w:tcBorders>
          </w:tcPr>
          <w:p w14:paraId="13D0F7FC" w14:textId="77777777" w:rsidR="0019518B" w:rsidRPr="0015004F" w:rsidRDefault="0019518B" w:rsidP="00D12D69">
            <w:pPr>
              <w:pStyle w:val="TableText0"/>
              <w:keepNext/>
              <w:widowControl/>
              <w:ind w:left="-57" w:right="-57"/>
            </w:pPr>
            <w:r w:rsidRPr="0015004F">
              <w:t>Percentage reduction in monthly HAE attack rate during the treatment period</w:t>
            </w:r>
          </w:p>
        </w:tc>
        <w:tc>
          <w:tcPr>
            <w:tcW w:w="3326" w:type="dxa"/>
            <w:tcBorders>
              <w:top w:val="single" w:sz="4" w:space="0" w:color="auto"/>
              <w:left w:val="single" w:sz="4" w:space="0" w:color="auto"/>
              <w:right w:val="single" w:sz="4" w:space="0" w:color="auto"/>
            </w:tcBorders>
            <w:vAlign w:val="center"/>
          </w:tcPr>
          <w:p w14:paraId="52C63C70" w14:textId="77777777" w:rsidR="0019518B" w:rsidRPr="0015004F" w:rsidRDefault="0019518B" w:rsidP="00D12D69">
            <w:pPr>
              <w:pStyle w:val="TableText0"/>
              <w:keepNext/>
              <w:widowControl/>
            </w:pPr>
            <w:r w:rsidRPr="0015004F">
              <w:t xml:space="preserve">Responders with a ≥ 50% reduction of attack rate, n </w:t>
            </w:r>
          </w:p>
        </w:tc>
        <w:tc>
          <w:tcPr>
            <w:tcW w:w="1985" w:type="dxa"/>
            <w:tcBorders>
              <w:top w:val="single" w:sz="4" w:space="0" w:color="auto"/>
              <w:left w:val="single" w:sz="4" w:space="0" w:color="auto"/>
              <w:right w:val="single" w:sz="4" w:space="0" w:color="auto"/>
            </w:tcBorders>
          </w:tcPr>
          <w:p w14:paraId="1A096FE1" w14:textId="77777777" w:rsidR="0019518B" w:rsidRPr="0015004F" w:rsidRDefault="0019518B" w:rsidP="00D12D69">
            <w:pPr>
              <w:pStyle w:val="TableText0"/>
              <w:keepNext/>
              <w:widowControl/>
              <w:jc w:val="center"/>
            </w:pPr>
            <w:r w:rsidRPr="0015004F">
              <w:t>37</w:t>
            </w:r>
          </w:p>
        </w:tc>
        <w:tc>
          <w:tcPr>
            <w:tcW w:w="1984" w:type="dxa"/>
            <w:tcBorders>
              <w:top w:val="single" w:sz="4" w:space="0" w:color="auto"/>
              <w:left w:val="single" w:sz="4" w:space="0" w:color="auto"/>
              <w:right w:val="single" w:sz="4" w:space="0" w:color="auto"/>
            </w:tcBorders>
          </w:tcPr>
          <w:p w14:paraId="7715C062" w14:textId="77777777" w:rsidR="0019518B" w:rsidRPr="0015004F" w:rsidRDefault="0019518B" w:rsidP="00D12D69">
            <w:pPr>
              <w:pStyle w:val="TableText0"/>
              <w:keepNext/>
              <w:widowControl/>
              <w:jc w:val="center"/>
            </w:pPr>
            <w:r w:rsidRPr="0015004F">
              <w:t>8</w:t>
            </w:r>
          </w:p>
        </w:tc>
      </w:tr>
      <w:tr w:rsidR="0019518B" w:rsidRPr="0015004F" w14:paraId="160CE778" w14:textId="77777777" w:rsidTr="00D12D69">
        <w:trPr>
          <w:jc w:val="center"/>
        </w:trPr>
        <w:tc>
          <w:tcPr>
            <w:tcW w:w="1772" w:type="dxa"/>
            <w:vMerge/>
            <w:tcBorders>
              <w:left w:val="single" w:sz="4" w:space="0" w:color="auto"/>
              <w:right w:val="single" w:sz="4" w:space="0" w:color="auto"/>
            </w:tcBorders>
          </w:tcPr>
          <w:p w14:paraId="5F587FF6" w14:textId="77777777" w:rsidR="0019518B" w:rsidRPr="0015004F" w:rsidRDefault="0019518B" w:rsidP="00D12D69">
            <w:pPr>
              <w:pStyle w:val="TableText0"/>
              <w:keepNext/>
              <w:widowControl/>
              <w:ind w:left="-57" w:right="-57"/>
            </w:pPr>
          </w:p>
        </w:tc>
        <w:tc>
          <w:tcPr>
            <w:tcW w:w="3326" w:type="dxa"/>
            <w:tcBorders>
              <w:top w:val="single" w:sz="4" w:space="0" w:color="auto"/>
              <w:left w:val="single" w:sz="4" w:space="0" w:color="auto"/>
              <w:bottom w:val="single" w:sz="4" w:space="0" w:color="auto"/>
              <w:right w:val="single" w:sz="4" w:space="0" w:color="auto"/>
            </w:tcBorders>
          </w:tcPr>
          <w:p w14:paraId="6131E06C" w14:textId="1F4FDFDA" w:rsidR="0019518B" w:rsidRPr="0015004F" w:rsidRDefault="0019518B" w:rsidP="00D12D69">
            <w:pPr>
              <w:pStyle w:val="TableText0"/>
              <w:keepNext/>
              <w:widowControl/>
            </w:pPr>
            <w:r w:rsidRPr="0015004F">
              <w:t>Percentage of responders (95% CI)</w:t>
            </w:r>
            <w:r w:rsidRPr="0015004F">
              <w:rPr>
                <w:vertAlign w:val="superscript"/>
              </w:rPr>
              <w:t>d</w:t>
            </w:r>
            <w:r w:rsidRPr="0015004F">
              <w:t xml:space="preserve"> </w:t>
            </w:r>
          </w:p>
        </w:tc>
        <w:tc>
          <w:tcPr>
            <w:tcW w:w="1985" w:type="dxa"/>
            <w:tcBorders>
              <w:top w:val="single" w:sz="4" w:space="0" w:color="auto"/>
              <w:left w:val="single" w:sz="4" w:space="0" w:color="auto"/>
              <w:bottom w:val="single" w:sz="4" w:space="0" w:color="auto"/>
              <w:right w:val="single" w:sz="4" w:space="0" w:color="auto"/>
            </w:tcBorders>
          </w:tcPr>
          <w:p w14:paraId="517B8A31" w14:textId="77777777" w:rsidR="0019518B" w:rsidRPr="0015004F" w:rsidRDefault="0019518B" w:rsidP="00D12D69">
            <w:pPr>
              <w:pStyle w:val="TableText0"/>
              <w:keepNext/>
              <w:widowControl/>
              <w:jc w:val="center"/>
            </w:pPr>
            <w:r w:rsidRPr="0015004F">
              <w:t>94.9 (83.1, 98.6)</w:t>
            </w:r>
          </w:p>
        </w:tc>
        <w:tc>
          <w:tcPr>
            <w:tcW w:w="1984" w:type="dxa"/>
            <w:tcBorders>
              <w:top w:val="single" w:sz="4" w:space="0" w:color="auto"/>
              <w:left w:val="single" w:sz="4" w:space="0" w:color="auto"/>
              <w:bottom w:val="single" w:sz="4" w:space="0" w:color="auto"/>
              <w:right w:val="single" w:sz="4" w:space="0" w:color="auto"/>
            </w:tcBorders>
          </w:tcPr>
          <w:p w14:paraId="0B71566A" w14:textId="77777777" w:rsidR="0019518B" w:rsidRPr="0015004F" w:rsidRDefault="0019518B" w:rsidP="00D12D69">
            <w:pPr>
              <w:pStyle w:val="TableText0"/>
              <w:keepNext/>
              <w:widowControl/>
              <w:jc w:val="center"/>
            </w:pPr>
            <w:r w:rsidRPr="0015004F">
              <w:t>33.3 (18.0, 53.3)</w:t>
            </w:r>
          </w:p>
        </w:tc>
      </w:tr>
      <w:tr w:rsidR="0019518B" w:rsidRPr="0015004F" w14:paraId="4C0D38FA" w14:textId="77777777" w:rsidTr="00D12D69">
        <w:trPr>
          <w:jc w:val="center"/>
        </w:trPr>
        <w:tc>
          <w:tcPr>
            <w:tcW w:w="1772" w:type="dxa"/>
            <w:vMerge/>
            <w:tcBorders>
              <w:left w:val="single" w:sz="4" w:space="0" w:color="auto"/>
              <w:right w:val="single" w:sz="4" w:space="0" w:color="auto"/>
            </w:tcBorders>
          </w:tcPr>
          <w:p w14:paraId="08189A99" w14:textId="77777777" w:rsidR="0019518B" w:rsidRPr="0015004F" w:rsidRDefault="0019518B" w:rsidP="00D12D69">
            <w:pPr>
              <w:pStyle w:val="TableText0"/>
              <w:keepNext/>
              <w:widowControl/>
              <w:ind w:left="-57" w:right="-57"/>
            </w:pPr>
          </w:p>
        </w:tc>
        <w:tc>
          <w:tcPr>
            <w:tcW w:w="3326" w:type="dxa"/>
            <w:tcBorders>
              <w:top w:val="single" w:sz="4" w:space="0" w:color="auto"/>
              <w:left w:val="single" w:sz="4" w:space="0" w:color="auto"/>
              <w:bottom w:val="single" w:sz="4" w:space="0" w:color="auto"/>
              <w:right w:val="single" w:sz="4" w:space="0" w:color="auto"/>
            </w:tcBorders>
          </w:tcPr>
          <w:p w14:paraId="32EF954F" w14:textId="77777777" w:rsidR="0019518B" w:rsidRPr="0015004F" w:rsidRDefault="0019518B" w:rsidP="00D12D69">
            <w:pPr>
              <w:pStyle w:val="TableText0"/>
              <w:keepNext/>
              <w:widowControl/>
            </w:pPr>
            <w:r w:rsidRPr="0015004F">
              <w:t xml:space="preserve">Responders with a ≥ 70% reduction of attack rate, n </w:t>
            </w:r>
          </w:p>
        </w:tc>
        <w:tc>
          <w:tcPr>
            <w:tcW w:w="1985" w:type="dxa"/>
            <w:tcBorders>
              <w:top w:val="single" w:sz="4" w:space="0" w:color="auto"/>
              <w:left w:val="single" w:sz="4" w:space="0" w:color="auto"/>
              <w:bottom w:val="single" w:sz="4" w:space="0" w:color="auto"/>
              <w:right w:val="single" w:sz="4" w:space="0" w:color="auto"/>
            </w:tcBorders>
          </w:tcPr>
          <w:p w14:paraId="2C3FB43E" w14:textId="77777777" w:rsidR="0019518B" w:rsidRPr="0015004F" w:rsidRDefault="0019518B" w:rsidP="00D12D69">
            <w:pPr>
              <w:pStyle w:val="TableText0"/>
              <w:keepNext/>
              <w:widowControl/>
              <w:jc w:val="center"/>
            </w:pPr>
            <w:r w:rsidRPr="0015004F">
              <w:t>36</w:t>
            </w:r>
          </w:p>
        </w:tc>
        <w:tc>
          <w:tcPr>
            <w:tcW w:w="1984" w:type="dxa"/>
            <w:tcBorders>
              <w:top w:val="single" w:sz="4" w:space="0" w:color="auto"/>
              <w:left w:val="single" w:sz="4" w:space="0" w:color="auto"/>
              <w:bottom w:val="single" w:sz="4" w:space="0" w:color="auto"/>
              <w:right w:val="single" w:sz="4" w:space="0" w:color="auto"/>
            </w:tcBorders>
          </w:tcPr>
          <w:p w14:paraId="22F27F60" w14:textId="77777777" w:rsidR="0019518B" w:rsidRPr="0015004F" w:rsidRDefault="0019518B" w:rsidP="00D12D69">
            <w:pPr>
              <w:pStyle w:val="TableText0"/>
              <w:keepNext/>
              <w:widowControl/>
              <w:jc w:val="center"/>
            </w:pPr>
            <w:r w:rsidRPr="0015004F">
              <w:t>4</w:t>
            </w:r>
          </w:p>
        </w:tc>
      </w:tr>
      <w:tr w:rsidR="0019518B" w:rsidRPr="0015004F" w14:paraId="66E4D6CA" w14:textId="77777777" w:rsidTr="00D12D69">
        <w:trPr>
          <w:jc w:val="center"/>
        </w:trPr>
        <w:tc>
          <w:tcPr>
            <w:tcW w:w="1772" w:type="dxa"/>
            <w:vMerge/>
            <w:tcBorders>
              <w:left w:val="single" w:sz="4" w:space="0" w:color="auto"/>
              <w:right w:val="single" w:sz="4" w:space="0" w:color="auto"/>
            </w:tcBorders>
          </w:tcPr>
          <w:p w14:paraId="324FA404" w14:textId="77777777" w:rsidR="0019518B" w:rsidRPr="0015004F" w:rsidRDefault="0019518B" w:rsidP="00D12D69">
            <w:pPr>
              <w:pStyle w:val="TableText0"/>
              <w:keepNext/>
              <w:widowControl/>
              <w:ind w:left="-57" w:right="-57"/>
            </w:pPr>
          </w:p>
        </w:tc>
        <w:tc>
          <w:tcPr>
            <w:tcW w:w="3326" w:type="dxa"/>
            <w:tcBorders>
              <w:top w:val="single" w:sz="4" w:space="0" w:color="auto"/>
              <w:left w:val="single" w:sz="4" w:space="0" w:color="auto"/>
              <w:bottom w:val="single" w:sz="4" w:space="0" w:color="auto"/>
              <w:right w:val="single" w:sz="4" w:space="0" w:color="auto"/>
            </w:tcBorders>
          </w:tcPr>
          <w:p w14:paraId="3453F516" w14:textId="02567DF4" w:rsidR="0019518B" w:rsidRPr="0015004F" w:rsidRDefault="0019518B" w:rsidP="00D12D69">
            <w:pPr>
              <w:pStyle w:val="TableText0"/>
              <w:keepNext/>
              <w:widowControl/>
            </w:pPr>
            <w:r w:rsidRPr="0015004F">
              <w:t>Percentage of responders (95% CI)</w:t>
            </w:r>
            <w:r w:rsidRPr="0015004F">
              <w:rPr>
                <w:vertAlign w:val="superscript"/>
              </w:rPr>
              <w:t>d</w:t>
            </w:r>
            <w:r w:rsidRPr="0015004F">
              <w:t xml:space="preserve"> </w:t>
            </w:r>
          </w:p>
        </w:tc>
        <w:tc>
          <w:tcPr>
            <w:tcW w:w="1985" w:type="dxa"/>
            <w:tcBorders>
              <w:top w:val="single" w:sz="4" w:space="0" w:color="auto"/>
              <w:left w:val="single" w:sz="4" w:space="0" w:color="auto"/>
              <w:bottom w:val="single" w:sz="4" w:space="0" w:color="auto"/>
              <w:right w:val="single" w:sz="4" w:space="0" w:color="auto"/>
            </w:tcBorders>
          </w:tcPr>
          <w:p w14:paraId="13EE1959" w14:textId="77777777" w:rsidR="0019518B" w:rsidRPr="0015004F" w:rsidRDefault="0019518B" w:rsidP="00D12D69">
            <w:pPr>
              <w:pStyle w:val="TableText0"/>
              <w:keepNext/>
              <w:widowControl/>
              <w:jc w:val="center"/>
            </w:pPr>
            <w:r w:rsidRPr="0015004F">
              <w:t>92.3 (79.7, 97.4)</w:t>
            </w:r>
          </w:p>
        </w:tc>
        <w:tc>
          <w:tcPr>
            <w:tcW w:w="1984" w:type="dxa"/>
            <w:tcBorders>
              <w:top w:val="single" w:sz="4" w:space="0" w:color="auto"/>
              <w:left w:val="single" w:sz="4" w:space="0" w:color="auto"/>
              <w:bottom w:val="single" w:sz="4" w:space="0" w:color="auto"/>
              <w:right w:val="single" w:sz="4" w:space="0" w:color="auto"/>
            </w:tcBorders>
          </w:tcPr>
          <w:p w14:paraId="304F2255" w14:textId="77777777" w:rsidR="0019518B" w:rsidRPr="0015004F" w:rsidRDefault="0019518B" w:rsidP="00D12D69">
            <w:pPr>
              <w:pStyle w:val="TableText0"/>
              <w:keepNext/>
              <w:widowControl/>
              <w:jc w:val="center"/>
            </w:pPr>
            <w:r w:rsidRPr="0015004F">
              <w:t>16.7 (6.7, 35.9)</w:t>
            </w:r>
          </w:p>
        </w:tc>
      </w:tr>
      <w:tr w:rsidR="0019518B" w:rsidRPr="0015004F" w14:paraId="2935EB9D" w14:textId="77777777" w:rsidTr="00D12D69">
        <w:trPr>
          <w:jc w:val="center"/>
        </w:trPr>
        <w:tc>
          <w:tcPr>
            <w:tcW w:w="1772" w:type="dxa"/>
            <w:vMerge/>
            <w:tcBorders>
              <w:left w:val="single" w:sz="4" w:space="0" w:color="auto"/>
              <w:right w:val="single" w:sz="4" w:space="0" w:color="auto"/>
            </w:tcBorders>
          </w:tcPr>
          <w:p w14:paraId="74110142" w14:textId="77777777" w:rsidR="0019518B" w:rsidRPr="0015004F" w:rsidRDefault="0019518B" w:rsidP="00D12D69">
            <w:pPr>
              <w:pStyle w:val="TableText0"/>
              <w:keepNext/>
              <w:widowControl/>
              <w:ind w:left="-57" w:right="-57"/>
            </w:pPr>
          </w:p>
        </w:tc>
        <w:tc>
          <w:tcPr>
            <w:tcW w:w="3326" w:type="dxa"/>
            <w:tcBorders>
              <w:top w:val="single" w:sz="4" w:space="0" w:color="auto"/>
              <w:left w:val="single" w:sz="4" w:space="0" w:color="auto"/>
              <w:bottom w:val="single" w:sz="4" w:space="0" w:color="auto"/>
              <w:right w:val="single" w:sz="4" w:space="0" w:color="auto"/>
            </w:tcBorders>
          </w:tcPr>
          <w:p w14:paraId="4B6A472C" w14:textId="77777777" w:rsidR="0019518B" w:rsidRPr="0015004F" w:rsidRDefault="0019518B" w:rsidP="00D12D69">
            <w:pPr>
              <w:pStyle w:val="TableText0"/>
              <w:keepNext/>
              <w:widowControl/>
            </w:pPr>
            <w:r w:rsidRPr="0015004F">
              <w:t>Responders with a ≥ 90% reduction of attack rate, n</w:t>
            </w:r>
          </w:p>
        </w:tc>
        <w:tc>
          <w:tcPr>
            <w:tcW w:w="1985" w:type="dxa"/>
            <w:tcBorders>
              <w:top w:val="single" w:sz="4" w:space="0" w:color="auto"/>
              <w:left w:val="single" w:sz="4" w:space="0" w:color="auto"/>
              <w:bottom w:val="single" w:sz="4" w:space="0" w:color="auto"/>
              <w:right w:val="single" w:sz="4" w:space="0" w:color="auto"/>
            </w:tcBorders>
          </w:tcPr>
          <w:p w14:paraId="4739491D" w14:textId="77777777" w:rsidR="0019518B" w:rsidRPr="0015004F" w:rsidRDefault="0019518B" w:rsidP="00D12D69">
            <w:pPr>
              <w:pStyle w:val="TableText0"/>
              <w:keepNext/>
              <w:widowControl/>
              <w:jc w:val="center"/>
            </w:pPr>
            <w:r w:rsidRPr="0015004F">
              <w:t>29</w:t>
            </w:r>
          </w:p>
        </w:tc>
        <w:tc>
          <w:tcPr>
            <w:tcW w:w="1984" w:type="dxa"/>
            <w:tcBorders>
              <w:top w:val="single" w:sz="4" w:space="0" w:color="auto"/>
              <w:left w:val="single" w:sz="4" w:space="0" w:color="auto"/>
              <w:bottom w:val="single" w:sz="4" w:space="0" w:color="auto"/>
              <w:right w:val="single" w:sz="4" w:space="0" w:color="auto"/>
            </w:tcBorders>
          </w:tcPr>
          <w:p w14:paraId="7BB6A71D" w14:textId="77777777" w:rsidR="0019518B" w:rsidRPr="0015004F" w:rsidRDefault="0019518B" w:rsidP="00D12D69">
            <w:pPr>
              <w:pStyle w:val="TableText0"/>
              <w:keepNext/>
              <w:widowControl/>
              <w:jc w:val="center"/>
            </w:pPr>
            <w:r w:rsidRPr="0015004F">
              <w:t>2</w:t>
            </w:r>
          </w:p>
        </w:tc>
      </w:tr>
      <w:tr w:rsidR="0019518B" w:rsidRPr="0015004F" w14:paraId="2C92E679" w14:textId="77777777" w:rsidTr="00D12D69">
        <w:trPr>
          <w:jc w:val="center"/>
        </w:trPr>
        <w:tc>
          <w:tcPr>
            <w:tcW w:w="1772" w:type="dxa"/>
            <w:vMerge/>
            <w:tcBorders>
              <w:left w:val="single" w:sz="4" w:space="0" w:color="auto"/>
              <w:right w:val="single" w:sz="4" w:space="0" w:color="auto"/>
            </w:tcBorders>
          </w:tcPr>
          <w:p w14:paraId="149CA50E" w14:textId="77777777" w:rsidR="0019518B" w:rsidRPr="0015004F" w:rsidRDefault="0019518B" w:rsidP="00D12D69">
            <w:pPr>
              <w:pStyle w:val="TableText0"/>
              <w:keepNext/>
              <w:widowControl/>
              <w:ind w:left="-57" w:right="-57"/>
            </w:pPr>
          </w:p>
        </w:tc>
        <w:tc>
          <w:tcPr>
            <w:tcW w:w="3326" w:type="dxa"/>
            <w:tcBorders>
              <w:top w:val="single" w:sz="4" w:space="0" w:color="auto"/>
              <w:left w:val="single" w:sz="4" w:space="0" w:color="auto"/>
              <w:bottom w:val="single" w:sz="4" w:space="0" w:color="auto"/>
              <w:right w:val="single" w:sz="4" w:space="0" w:color="auto"/>
            </w:tcBorders>
          </w:tcPr>
          <w:p w14:paraId="5874B458" w14:textId="3B8B706B" w:rsidR="0019518B" w:rsidRPr="0015004F" w:rsidRDefault="0019518B" w:rsidP="00D12D69">
            <w:pPr>
              <w:pStyle w:val="TableText0"/>
              <w:keepNext/>
              <w:widowControl/>
            </w:pPr>
            <w:r w:rsidRPr="0015004F">
              <w:t>Percentage of responders (95% CI)</w:t>
            </w:r>
            <w:r w:rsidRPr="0015004F">
              <w:rPr>
                <w:vertAlign w:val="superscript"/>
              </w:rPr>
              <w:t xml:space="preserve">d </w:t>
            </w:r>
          </w:p>
        </w:tc>
        <w:tc>
          <w:tcPr>
            <w:tcW w:w="1985" w:type="dxa"/>
            <w:tcBorders>
              <w:top w:val="single" w:sz="4" w:space="0" w:color="auto"/>
              <w:left w:val="single" w:sz="4" w:space="0" w:color="auto"/>
              <w:bottom w:val="single" w:sz="4" w:space="0" w:color="auto"/>
              <w:right w:val="single" w:sz="4" w:space="0" w:color="auto"/>
            </w:tcBorders>
          </w:tcPr>
          <w:p w14:paraId="10377EE5" w14:textId="77777777" w:rsidR="0019518B" w:rsidRPr="0015004F" w:rsidRDefault="0019518B" w:rsidP="00D12D69">
            <w:pPr>
              <w:pStyle w:val="TableText0"/>
              <w:keepNext/>
              <w:widowControl/>
              <w:jc w:val="center"/>
            </w:pPr>
            <w:r w:rsidRPr="0015004F">
              <w:t>74.4 (58.9, 85.4)</w:t>
            </w:r>
          </w:p>
        </w:tc>
        <w:tc>
          <w:tcPr>
            <w:tcW w:w="1984" w:type="dxa"/>
            <w:tcBorders>
              <w:top w:val="single" w:sz="4" w:space="0" w:color="auto"/>
              <w:left w:val="single" w:sz="4" w:space="0" w:color="auto"/>
              <w:bottom w:val="single" w:sz="4" w:space="0" w:color="auto"/>
              <w:right w:val="single" w:sz="4" w:space="0" w:color="auto"/>
            </w:tcBorders>
          </w:tcPr>
          <w:p w14:paraId="3C0BD263" w14:textId="77777777" w:rsidR="0019518B" w:rsidRPr="0015004F" w:rsidRDefault="0019518B" w:rsidP="00D12D69">
            <w:pPr>
              <w:pStyle w:val="TableText0"/>
              <w:keepNext/>
              <w:widowControl/>
              <w:jc w:val="center"/>
            </w:pPr>
            <w:r w:rsidRPr="0015004F">
              <w:t>8.3 (2.3, 25.9)</w:t>
            </w:r>
          </w:p>
        </w:tc>
      </w:tr>
      <w:tr w:rsidR="0019518B" w:rsidRPr="0015004F" w14:paraId="31D512DB" w14:textId="77777777" w:rsidTr="00D12D69">
        <w:trPr>
          <w:jc w:val="center"/>
        </w:trPr>
        <w:tc>
          <w:tcPr>
            <w:tcW w:w="1772" w:type="dxa"/>
            <w:vMerge/>
            <w:tcBorders>
              <w:left w:val="single" w:sz="4" w:space="0" w:color="auto"/>
              <w:right w:val="single" w:sz="4" w:space="0" w:color="auto"/>
            </w:tcBorders>
          </w:tcPr>
          <w:p w14:paraId="1AA086E0" w14:textId="77777777" w:rsidR="0019518B" w:rsidRPr="0015004F" w:rsidRDefault="0019518B" w:rsidP="00D12D69">
            <w:pPr>
              <w:pStyle w:val="TableText0"/>
              <w:keepNext/>
              <w:widowControl/>
              <w:ind w:left="-57" w:right="-57"/>
            </w:pPr>
          </w:p>
        </w:tc>
        <w:tc>
          <w:tcPr>
            <w:tcW w:w="3326" w:type="dxa"/>
            <w:tcBorders>
              <w:top w:val="single" w:sz="4" w:space="0" w:color="auto"/>
              <w:left w:val="single" w:sz="4" w:space="0" w:color="auto"/>
              <w:bottom w:val="single" w:sz="4" w:space="0" w:color="auto"/>
              <w:right w:val="single" w:sz="4" w:space="0" w:color="auto"/>
            </w:tcBorders>
          </w:tcPr>
          <w:p w14:paraId="1B630DD4" w14:textId="77777777" w:rsidR="0019518B" w:rsidRPr="0015004F" w:rsidRDefault="0019518B" w:rsidP="00D12D69">
            <w:pPr>
              <w:pStyle w:val="TableText0"/>
              <w:keepNext/>
              <w:widowControl/>
            </w:pPr>
            <w:r w:rsidRPr="0015004F">
              <w:t xml:space="preserve">Responders with a 100% reduction (attack-free), n </w:t>
            </w:r>
          </w:p>
        </w:tc>
        <w:tc>
          <w:tcPr>
            <w:tcW w:w="1985" w:type="dxa"/>
            <w:tcBorders>
              <w:top w:val="single" w:sz="4" w:space="0" w:color="auto"/>
              <w:left w:val="single" w:sz="4" w:space="0" w:color="auto"/>
              <w:bottom w:val="single" w:sz="4" w:space="0" w:color="auto"/>
              <w:right w:val="single" w:sz="4" w:space="0" w:color="auto"/>
            </w:tcBorders>
          </w:tcPr>
          <w:p w14:paraId="4216384F" w14:textId="77777777" w:rsidR="0019518B" w:rsidRPr="0015004F" w:rsidRDefault="0019518B" w:rsidP="00D12D69">
            <w:pPr>
              <w:pStyle w:val="TableText0"/>
              <w:keepNext/>
              <w:widowControl/>
              <w:jc w:val="center"/>
            </w:pPr>
            <w:r w:rsidRPr="0015004F">
              <w:t>24</w:t>
            </w:r>
          </w:p>
        </w:tc>
        <w:tc>
          <w:tcPr>
            <w:tcW w:w="1984" w:type="dxa"/>
            <w:tcBorders>
              <w:top w:val="single" w:sz="4" w:space="0" w:color="auto"/>
              <w:left w:val="single" w:sz="4" w:space="0" w:color="auto"/>
              <w:bottom w:val="single" w:sz="4" w:space="0" w:color="auto"/>
              <w:right w:val="single" w:sz="4" w:space="0" w:color="auto"/>
            </w:tcBorders>
          </w:tcPr>
          <w:p w14:paraId="697B14AD" w14:textId="77777777" w:rsidR="0019518B" w:rsidRPr="0015004F" w:rsidRDefault="0019518B" w:rsidP="00D12D69">
            <w:pPr>
              <w:pStyle w:val="TableText0"/>
              <w:keepNext/>
              <w:widowControl/>
              <w:jc w:val="center"/>
            </w:pPr>
            <w:r w:rsidRPr="0015004F">
              <w:t>0</w:t>
            </w:r>
          </w:p>
        </w:tc>
      </w:tr>
      <w:tr w:rsidR="0019518B" w:rsidRPr="0015004F" w14:paraId="3A9A96BF" w14:textId="77777777" w:rsidTr="00D12D69">
        <w:trPr>
          <w:jc w:val="center"/>
        </w:trPr>
        <w:tc>
          <w:tcPr>
            <w:tcW w:w="1772" w:type="dxa"/>
            <w:vMerge/>
            <w:tcBorders>
              <w:left w:val="single" w:sz="4" w:space="0" w:color="auto"/>
              <w:right w:val="single" w:sz="4" w:space="0" w:color="auto"/>
            </w:tcBorders>
          </w:tcPr>
          <w:p w14:paraId="56412583" w14:textId="77777777" w:rsidR="0019518B" w:rsidRPr="0015004F" w:rsidRDefault="0019518B" w:rsidP="00D12D69">
            <w:pPr>
              <w:pStyle w:val="TableText0"/>
              <w:keepNext/>
              <w:widowControl/>
              <w:ind w:left="-57" w:right="-57"/>
            </w:pPr>
          </w:p>
        </w:tc>
        <w:tc>
          <w:tcPr>
            <w:tcW w:w="3326" w:type="dxa"/>
            <w:tcBorders>
              <w:top w:val="single" w:sz="4" w:space="0" w:color="auto"/>
              <w:left w:val="single" w:sz="4" w:space="0" w:color="auto"/>
              <w:bottom w:val="single" w:sz="4" w:space="0" w:color="auto"/>
              <w:right w:val="single" w:sz="4" w:space="0" w:color="auto"/>
            </w:tcBorders>
          </w:tcPr>
          <w:p w14:paraId="1C48F725" w14:textId="77777777" w:rsidR="0019518B" w:rsidRPr="0015004F" w:rsidRDefault="0019518B" w:rsidP="00D12D69">
            <w:pPr>
              <w:pStyle w:val="TableText0"/>
              <w:keepNext/>
              <w:widowControl/>
            </w:pPr>
            <w:r w:rsidRPr="0015004F">
              <w:t>Percentage of attack-free patients (95% CI)</w:t>
            </w:r>
            <w:r w:rsidRPr="0015004F">
              <w:rPr>
                <w:vertAlign w:val="superscript"/>
              </w:rPr>
              <w:t>d</w:t>
            </w:r>
            <w:r w:rsidRPr="0015004F">
              <w:t xml:space="preserve"> </w:t>
            </w:r>
          </w:p>
        </w:tc>
        <w:tc>
          <w:tcPr>
            <w:tcW w:w="1985" w:type="dxa"/>
            <w:tcBorders>
              <w:top w:val="single" w:sz="4" w:space="0" w:color="auto"/>
              <w:left w:val="single" w:sz="4" w:space="0" w:color="auto"/>
              <w:bottom w:val="single" w:sz="4" w:space="0" w:color="auto"/>
              <w:right w:val="single" w:sz="4" w:space="0" w:color="auto"/>
            </w:tcBorders>
          </w:tcPr>
          <w:p w14:paraId="363E1724" w14:textId="77777777" w:rsidR="0019518B" w:rsidRPr="0015004F" w:rsidRDefault="0019518B" w:rsidP="00D12D69">
            <w:pPr>
              <w:pStyle w:val="TableText0"/>
              <w:keepNext/>
              <w:widowControl/>
              <w:jc w:val="center"/>
            </w:pPr>
            <w:r w:rsidRPr="0015004F">
              <w:t>61.5 (45.9, 75.1)</w:t>
            </w:r>
          </w:p>
        </w:tc>
        <w:tc>
          <w:tcPr>
            <w:tcW w:w="1984" w:type="dxa"/>
            <w:tcBorders>
              <w:top w:val="single" w:sz="4" w:space="0" w:color="auto"/>
              <w:left w:val="single" w:sz="4" w:space="0" w:color="auto"/>
              <w:bottom w:val="single" w:sz="4" w:space="0" w:color="auto"/>
              <w:right w:val="single" w:sz="4" w:space="0" w:color="auto"/>
            </w:tcBorders>
          </w:tcPr>
          <w:p w14:paraId="070A8B9C" w14:textId="77777777" w:rsidR="0019518B" w:rsidRPr="0015004F" w:rsidRDefault="0019518B" w:rsidP="00D12D69">
            <w:pPr>
              <w:pStyle w:val="TableText0"/>
              <w:keepNext/>
              <w:widowControl/>
              <w:jc w:val="center"/>
            </w:pPr>
            <w:r w:rsidRPr="0015004F">
              <w:t>0.0 (0.0, 13.8)</w:t>
            </w:r>
          </w:p>
        </w:tc>
      </w:tr>
      <w:tr w:rsidR="0019518B" w:rsidRPr="0015004F" w14:paraId="6FA31C6E" w14:textId="77777777" w:rsidTr="00D12D69">
        <w:trPr>
          <w:jc w:val="center"/>
        </w:trPr>
        <w:tc>
          <w:tcPr>
            <w:tcW w:w="1772" w:type="dxa"/>
            <w:vMerge/>
            <w:tcBorders>
              <w:left w:val="single" w:sz="4" w:space="0" w:color="auto"/>
              <w:right w:val="single" w:sz="4" w:space="0" w:color="auto"/>
            </w:tcBorders>
          </w:tcPr>
          <w:p w14:paraId="5795E445" w14:textId="77777777" w:rsidR="0019518B" w:rsidRPr="0015004F" w:rsidRDefault="0019518B" w:rsidP="00D12D69">
            <w:pPr>
              <w:pStyle w:val="TableText0"/>
              <w:keepNext/>
              <w:widowControl/>
              <w:ind w:left="-57" w:right="-57"/>
            </w:pPr>
          </w:p>
        </w:tc>
        <w:tc>
          <w:tcPr>
            <w:tcW w:w="3326" w:type="dxa"/>
            <w:tcBorders>
              <w:top w:val="single" w:sz="4" w:space="0" w:color="auto"/>
              <w:left w:val="single" w:sz="4" w:space="0" w:color="auto"/>
              <w:bottom w:val="single" w:sz="4" w:space="0" w:color="auto"/>
              <w:right w:val="single" w:sz="4" w:space="0" w:color="auto"/>
            </w:tcBorders>
          </w:tcPr>
          <w:p w14:paraId="2C62FE77" w14:textId="77777777" w:rsidR="0019518B" w:rsidRPr="0015004F" w:rsidRDefault="0019518B" w:rsidP="00D12D69">
            <w:pPr>
              <w:pStyle w:val="TableText0"/>
              <w:keepNext/>
              <w:widowControl/>
            </w:pPr>
            <w:r w:rsidRPr="0015004F">
              <w:t xml:space="preserve">Fisher exact test, nominal p-value </w:t>
            </w:r>
          </w:p>
        </w:tc>
        <w:tc>
          <w:tcPr>
            <w:tcW w:w="3969" w:type="dxa"/>
            <w:gridSpan w:val="2"/>
            <w:tcBorders>
              <w:top w:val="single" w:sz="4" w:space="0" w:color="auto"/>
              <w:left w:val="single" w:sz="4" w:space="0" w:color="auto"/>
              <w:bottom w:val="single" w:sz="4" w:space="0" w:color="auto"/>
              <w:right w:val="single" w:sz="4" w:space="0" w:color="auto"/>
            </w:tcBorders>
          </w:tcPr>
          <w:p w14:paraId="6CC8D513" w14:textId="77777777" w:rsidR="0019518B" w:rsidRPr="0015004F" w:rsidRDefault="0019518B" w:rsidP="00D12D69">
            <w:pPr>
              <w:pStyle w:val="TableText0"/>
              <w:keepNext/>
              <w:widowControl/>
              <w:jc w:val="center"/>
            </w:pPr>
            <w:r w:rsidRPr="0015004F">
              <w:t>&lt; 0.001</w:t>
            </w:r>
          </w:p>
        </w:tc>
      </w:tr>
    </w:tbl>
    <w:p w14:paraId="2C12C467" w14:textId="2FA84B4B" w:rsidR="00270F00" w:rsidRPr="0015004F" w:rsidRDefault="00FE015B" w:rsidP="00106C2B">
      <w:pPr>
        <w:pStyle w:val="TableFigureFooter"/>
        <w:rPr>
          <w:b/>
          <w:bCs/>
        </w:rPr>
      </w:pPr>
      <w:r w:rsidRPr="0015004F">
        <w:t>Source: Complied during the evaluation, based on Tables 2.20 to 2.24, pp85-92 of the submission.</w:t>
      </w:r>
      <w:r w:rsidR="00DD53C2" w:rsidRPr="0015004F">
        <w:t xml:space="preserve"> </w:t>
      </w:r>
      <w:r w:rsidR="00DD53C2" w:rsidRPr="0015004F">
        <w:rPr>
          <w:b/>
          <w:bCs/>
        </w:rPr>
        <w:t>Results in bold are statistically significant</w:t>
      </w:r>
    </w:p>
    <w:p w14:paraId="200FE66D" w14:textId="77777777" w:rsidR="0019518B" w:rsidRPr="0015004F" w:rsidRDefault="0019518B" w:rsidP="0019518B">
      <w:pPr>
        <w:pStyle w:val="FooterTableFigure"/>
      </w:pPr>
      <w:r w:rsidRPr="0015004F">
        <w:t>CI = confidence interval; HAE = hereditary angioedema; ITT = intention-to-treat; Max = maximum; Min = minimum; QM = once per month; SD = standard deviation</w:t>
      </w:r>
    </w:p>
    <w:p w14:paraId="1D07A982" w14:textId="77777777" w:rsidR="0019518B" w:rsidRPr="0015004F" w:rsidRDefault="0019518B" w:rsidP="0019518B">
      <w:pPr>
        <w:pStyle w:val="FooterTableFigure"/>
      </w:pPr>
      <w:r w:rsidRPr="0015004F">
        <w:rPr>
          <w:vertAlign w:val="superscript"/>
        </w:rPr>
        <w:lastRenderedPageBreak/>
        <w:t>a</w:t>
      </w:r>
      <w:r w:rsidRPr="0015004F">
        <w:t xml:space="preserve"> Percentages were based on the ITT analysis set. The number of evaluable subjects included those with a treatment period of at least 30 day.</w:t>
      </w:r>
    </w:p>
    <w:p w14:paraId="49FEA5C2" w14:textId="77777777" w:rsidR="0019518B" w:rsidRPr="0015004F" w:rsidRDefault="0019518B" w:rsidP="0019518B">
      <w:pPr>
        <w:pStyle w:val="FooterTableFigure"/>
      </w:pPr>
      <w:r w:rsidRPr="0015004F">
        <w:rPr>
          <w:vertAlign w:val="superscript"/>
        </w:rPr>
        <w:t xml:space="preserve">b </w:t>
      </w:r>
      <w:r w:rsidRPr="0015004F">
        <w:t>The percentage reduction in the time-normalised number of HAE attacks was calculated within a subject as: 100 * [1 – (time-normalised number of HAE attacks per month during treatment period / time-normalised number of HAE attacks per month during run-in period)].</w:t>
      </w:r>
    </w:p>
    <w:p w14:paraId="4929F2E5" w14:textId="77777777" w:rsidR="0019518B" w:rsidRPr="0015004F" w:rsidRDefault="0019518B" w:rsidP="0019518B">
      <w:pPr>
        <w:pStyle w:val="FooterTableFigure"/>
      </w:pPr>
      <w:r w:rsidRPr="0015004F">
        <w:rPr>
          <w:vertAlign w:val="superscript"/>
        </w:rPr>
        <w:t xml:space="preserve">c </w:t>
      </w:r>
      <w:r w:rsidRPr="0015004F">
        <w:t>Percentages were based on number of HAE attacks during treatment period for respective treatment group</w:t>
      </w:r>
    </w:p>
    <w:p w14:paraId="7BD05E8B" w14:textId="14C3A33C" w:rsidR="00EC0598" w:rsidRPr="0015004F" w:rsidRDefault="0019518B" w:rsidP="00EC0598">
      <w:pPr>
        <w:pStyle w:val="FooterTableFigure"/>
      </w:pPr>
      <w:r w:rsidRPr="0015004F">
        <w:rPr>
          <w:vertAlign w:val="superscript"/>
        </w:rPr>
        <w:t>d</w:t>
      </w:r>
      <w:r w:rsidRPr="0015004F">
        <w:t xml:space="preserve"> The 95% CI was based on Wilson's asymptotic confidence limits.</w:t>
      </w:r>
    </w:p>
    <w:p w14:paraId="09BC1AE0" w14:textId="2BA97F63" w:rsidR="0019518B" w:rsidRPr="0015004F" w:rsidRDefault="0019518B" w:rsidP="0019518B">
      <w:pPr>
        <w:pStyle w:val="3-BodyText"/>
        <w:rPr>
          <w:color w:val="000000" w:themeColor="text1"/>
        </w:rPr>
      </w:pPr>
      <w:r w:rsidRPr="0015004F">
        <w:rPr>
          <w:color w:val="000000" w:themeColor="text1"/>
        </w:rPr>
        <w:t xml:space="preserve">Patients treated with garadacimab 200 mg SC QM for 6 months (182 days) had a lower time-normalised number of HAE attacks per month, compared to patients treated with placebo for the same length of time </w:t>
      </w:r>
      <w:r w:rsidR="256B9634" w:rsidRPr="0015004F">
        <w:rPr>
          <w:color w:val="000000" w:themeColor="text1"/>
        </w:rPr>
        <w:t>(mean 0.27</w:t>
      </w:r>
      <w:r w:rsidRPr="0015004F" w:rsidDel="0019518B">
        <w:rPr>
          <w:color w:val="000000" w:themeColor="text1"/>
        </w:rPr>
        <w:t xml:space="preserve"> </w:t>
      </w:r>
      <w:r w:rsidR="256B9634" w:rsidRPr="0015004F">
        <w:rPr>
          <w:color w:val="000000" w:themeColor="text1"/>
        </w:rPr>
        <w:t>[SD</w:t>
      </w:r>
      <w:r w:rsidRPr="0015004F">
        <w:rPr>
          <w:rStyle w:val="FootnoteReference"/>
          <w:color w:val="000000" w:themeColor="text1"/>
        </w:rPr>
        <w:footnoteReference w:id="5"/>
      </w:r>
      <w:r w:rsidR="256B9634" w:rsidRPr="0015004F">
        <w:rPr>
          <w:color w:val="000000" w:themeColor="text1"/>
        </w:rPr>
        <w:t xml:space="preserve"> 0.68]</w:t>
      </w:r>
      <w:r w:rsidRPr="0015004F" w:rsidDel="0019518B">
        <w:rPr>
          <w:color w:val="000000" w:themeColor="text1"/>
        </w:rPr>
        <w:t xml:space="preserve"> </w:t>
      </w:r>
      <w:r w:rsidR="256B9634" w:rsidRPr="0015004F">
        <w:rPr>
          <w:color w:val="000000" w:themeColor="text1"/>
        </w:rPr>
        <w:t>vs. 2.01 [SD 1.34])</w:t>
      </w:r>
      <w:r w:rsidR="00BD7BCB" w:rsidRPr="0015004F">
        <w:rPr>
          <w:color w:val="000000" w:themeColor="text1"/>
        </w:rPr>
        <w:t>.</w:t>
      </w:r>
      <w:r w:rsidRPr="0015004F">
        <w:rPr>
          <w:color w:val="000000" w:themeColor="text1"/>
        </w:rPr>
        <w:t xml:space="preserve"> Garadacimab was associated with a statistically significant reduction in the time-normalised number of HAE attacks per month (p &lt; 0.001, two-sided Wilcoxon test) compared with placebo.</w:t>
      </w:r>
    </w:p>
    <w:p w14:paraId="105FCA09" w14:textId="4F178A56" w:rsidR="0019518B" w:rsidRPr="0015004F" w:rsidRDefault="0019518B" w:rsidP="0019518B">
      <w:pPr>
        <w:pStyle w:val="3-BodyText"/>
        <w:rPr>
          <w:color w:val="000000" w:themeColor="text1"/>
        </w:rPr>
      </w:pPr>
      <w:r w:rsidRPr="0015004F">
        <w:rPr>
          <w:color w:val="000000" w:themeColor="text1"/>
        </w:rPr>
        <w:t>The mean reduction in the time-normalised number of HAE attacks during the 6</w:t>
      </w:r>
      <w:r w:rsidR="009B6299">
        <w:rPr>
          <w:color w:val="000000" w:themeColor="text1"/>
        </w:rPr>
        <w:noBreakHyphen/>
      </w:r>
      <w:r w:rsidRPr="0015004F">
        <w:rPr>
          <w:color w:val="000000" w:themeColor="text1"/>
        </w:rPr>
        <w:t>month treatment period compared to the run-in period was 90.7% (SD: 22.4%) in the garadacimab arm and 20.2% (SD: 42.7%) in the placebo arm (nominal p &lt; 0.001). Responder analysis showed that, during the entire 6-month treatment period, the proportions of patients who had a ≥ 50% reduction in the monthly attack rate and who were attack-free (i.e., 100% reduction in HAE attacks) were consistently higher in the garadacimab arm than in the placebo arm (≥ 50% reduction: 94.9% vs. 33.3%; attack-free: 61.5% vs. 0%); and the difference was statistically significant.</w:t>
      </w:r>
    </w:p>
    <w:p w14:paraId="45D679C2" w14:textId="00104208" w:rsidR="0019518B" w:rsidRPr="0015004F" w:rsidRDefault="0019518B" w:rsidP="0019518B">
      <w:pPr>
        <w:pStyle w:val="3-BodyText"/>
        <w:rPr>
          <w:color w:val="000000" w:themeColor="text1"/>
        </w:rPr>
      </w:pPr>
      <w:r w:rsidRPr="0015004F">
        <w:rPr>
          <w:color w:val="000000" w:themeColor="text1"/>
        </w:rPr>
        <w:t xml:space="preserve">In the garadacimab arm, </w:t>
      </w:r>
      <w:r w:rsidR="0AA71346" w:rsidRPr="0015004F">
        <w:rPr>
          <w:color w:val="000000" w:themeColor="text1"/>
        </w:rPr>
        <w:t>a total of</w:t>
      </w:r>
      <w:r w:rsidRPr="0015004F">
        <w:rPr>
          <w:color w:val="000000" w:themeColor="text1"/>
        </w:rPr>
        <w:t xml:space="preserve"> 63 HAE attacks </w:t>
      </w:r>
      <w:r w:rsidR="002C71C9" w:rsidRPr="0015004F">
        <w:rPr>
          <w:color w:val="000000" w:themeColor="text1"/>
        </w:rPr>
        <w:t xml:space="preserve">were </w:t>
      </w:r>
      <w:r w:rsidRPr="0015004F">
        <w:rPr>
          <w:color w:val="000000" w:themeColor="text1"/>
        </w:rPr>
        <w:t>experienced by 15 patients (38.5%) during the 6-month treatment period and 85.7% of these attacks (54 attacks) required on-demand treatment. In the placebo arm,</w:t>
      </w:r>
      <w:r w:rsidR="674F18EA" w:rsidRPr="0015004F">
        <w:rPr>
          <w:color w:val="000000" w:themeColor="text1"/>
        </w:rPr>
        <w:t xml:space="preserve"> a total</w:t>
      </w:r>
      <w:r w:rsidRPr="0015004F">
        <w:rPr>
          <w:color w:val="000000" w:themeColor="text1"/>
        </w:rPr>
        <w:t xml:space="preserve"> 264 HAE attacks were experienced by all 24 patients and 92.8% of these attacks (245 attacks) required on-demand treatment. </w:t>
      </w:r>
      <w:r w:rsidRPr="0015004F">
        <w:t xml:space="preserve">The mean time-normalised number of HAE attacks per month requiring on-demand treatment was significantly lower for garadacimab versus placebo (0.23 [SD: 0.66] vs. 1.86 [SD: 1.41]). Similar results were also reported for the time-normalised number of moderate or severe HAE attacks </w:t>
      </w:r>
      <w:r w:rsidRPr="0015004F">
        <w:rPr>
          <w:color w:val="000000" w:themeColor="text1"/>
        </w:rPr>
        <w:t>(0.13 [SD: 0.30] in garadacimab vs. 1.35 [SD: 1.17] in placebo).</w:t>
      </w:r>
    </w:p>
    <w:p w14:paraId="5009F40C" w14:textId="77777777" w:rsidR="0019518B" w:rsidRPr="0015004F" w:rsidRDefault="0019518B" w:rsidP="0019518B">
      <w:pPr>
        <w:pStyle w:val="3-BodyText"/>
        <w:rPr>
          <w:color w:val="0066FF"/>
        </w:rPr>
      </w:pPr>
      <w:r w:rsidRPr="0015004F">
        <w:t xml:space="preserve">At the end of the treatment period (Day 182), 65.8% and 15.8% of patients in the garadacimab arm rated the treatment as “excellent” and “good” by the </w:t>
      </w:r>
      <w:r w:rsidRPr="0015004F">
        <w:rPr>
          <w:color w:val="000000" w:themeColor="text1"/>
        </w:rPr>
        <w:t>Subject’s Global Assessment of Response to Therapy (SGART)</w:t>
      </w:r>
      <w:r w:rsidRPr="0015004F">
        <w:t xml:space="preserve">, respectively, compared to 12.5% and 20.8%, respectively, in the placebo group. </w:t>
      </w:r>
    </w:p>
    <w:p w14:paraId="28E451C5" w14:textId="77777777" w:rsidR="0019518B" w:rsidRPr="0015004F" w:rsidRDefault="0019518B" w:rsidP="0019518B">
      <w:pPr>
        <w:pStyle w:val="3-BodyText"/>
        <w:rPr>
          <w:color w:val="0066FF"/>
        </w:rPr>
      </w:pPr>
      <w:r w:rsidRPr="0015004F">
        <w:t>In general, patients receiving garadacimab had improved quality of life compared to patients receiving placebo. In the garadacimab arm</w:t>
      </w:r>
      <w:r w:rsidRPr="0015004F">
        <w:rPr>
          <w:color w:val="000000" w:themeColor="text1"/>
        </w:rPr>
        <w:t xml:space="preserve">, the reduction in the mean (SD) total score </w:t>
      </w:r>
      <w:r w:rsidRPr="0015004F">
        <w:t xml:space="preserve">in the </w:t>
      </w:r>
      <w:r w:rsidRPr="0015004F">
        <w:rPr>
          <w:color w:val="000000" w:themeColor="text1"/>
        </w:rPr>
        <w:t xml:space="preserve">Angioedema Quality of Life (Angioedema QoL) questionnaire (indicating better health status) was </w:t>
      </w:r>
      <w:r w:rsidRPr="0015004F">
        <w:rPr>
          <w:color w:val="000000" w:themeColor="text1"/>
        </w:rPr>
        <w:noBreakHyphen/>
        <w:t>23.7 (15.8) from baseline to Day 31 and -26.5 (17.9) from baseline to Day 182; both reductions were clinically meaningful</w:t>
      </w:r>
      <w:r w:rsidRPr="0015004F">
        <w:rPr>
          <w:rStyle w:val="FootnoteReference"/>
          <w:color w:val="000000" w:themeColor="text1"/>
        </w:rPr>
        <w:footnoteReference w:id="6"/>
      </w:r>
      <w:r w:rsidRPr="0015004F">
        <w:rPr>
          <w:color w:val="000000" w:themeColor="text1"/>
        </w:rPr>
        <w:t xml:space="preserve">. </w:t>
      </w:r>
      <w:r w:rsidRPr="0015004F">
        <w:t xml:space="preserve">On the </w:t>
      </w:r>
      <w:r w:rsidRPr="0015004F">
        <w:lastRenderedPageBreak/>
        <w:t xml:space="preserve">other hand, in the placebo arm, the reduction in the mean total score from baseline was less than 6 points at any timepoint during the entire treatment period. For the EuroQoL-5 Dimension-5 Level (EQ-5D-5L), there was some improvement in the mean </w:t>
      </w:r>
      <w:r w:rsidRPr="0015004F">
        <w:rPr>
          <w:color w:val="000000" w:themeColor="text1"/>
        </w:rPr>
        <w:t>health state utility value (HSV) and Visual Analogue Scale (VAS) scores in the garadacimab group compared to placebo.</w:t>
      </w:r>
    </w:p>
    <w:p w14:paraId="0E7DFA69" w14:textId="77777777" w:rsidR="006134B7" w:rsidRPr="0015004F" w:rsidRDefault="006134B7" w:rsidP="006134B7">
      <w:pPr>
        <w:pStyle w:val="5-SubsectionSubheading"/>
        <w:keepNext w:val="0"/>
        <w:keepLines w:val="0"/>
        <w:widowControl w:val="0"/>
        <w:spacing w:before="160" w:after="120"/>
      </w:pPr>
      <w:bookmarkStart w:id="24" w:name="_Toc177480624"/>
      <w:r w:rsidRPr="0015004F">
        <w:t>Indirect comparison of garadacimab versus lanadelumab</w:t>
      </w:r>
      <w:bookmarkEnd w:id="24"/>
    </w:p>
    <w:p w14:paraId="5B1789CA" w14:textId="5A373331" w:rsidR="0019518B" w:rsidRPr="0015004F" w:rsidRDefault="0019518B" w:rsidP="00DD725F">
      <w:pPr>
        <w:pStyle w:val="3-BodyText"/>
        <w:rPr>
          <w:rFonts w:eastAsia="Calibri"/>
        </w:rPr>
      </w:pPr>
      <w:r w:rsidRPr="0015004F">
        <w:rPr>
          <w:rFonts w:eastAsia="Calibri"/>
        </w:rPr>
        <w:t xml:space="preserve">The results of the ITCs </w:t>
      </w:r>
      <w:r w:rsidR="00545719">
        <w:rPr>
          <w:rFonts w:eastAsia="Calibri"/>
        </w:rPr>
        <w:t xml:space="preserve">for </w:t>
      </w:r>
      <w:r w:rsidRPr="0015004F">
        <w:rPr>
          <w:rFonts w:eastAsia="Calibri"/>
        </w:rPr>
        <w:t>the efficacy endpoints for garadacimab relative to lanadelumab are presented in</w:t>
      </w:r>
      <w:r w:rsidR="00517BC5" w:rsidRPr="0015004F">
        <w:rPr>
          <w:rFonts w:eastAsia="Calibri"/>
        </w:rPr>
        <w:t xml:space="preserve"> </w:t>
      </w:r>
      <w:r w:rsidR="00517BC5" w:rsidRPr="0015004F">
        <w:rPr>
          <w:rFonts w:eastAsia="Calibri"/>
        </w:rPr>
        <w:fldChar w:fldCharType="begin" w:fldLock="1"/>
      </w:r>
      <w:r w:rsidR="00517BC5" w:rsidRPr="0015004F">
        <w:rPr>
          <w:rFonts w:eastAsia="Calibri"/>
        </w:rPr>
        <w:instrText xml:space="preserve"> REF _Ref176796534 \h </w:instrText>
      </w:r>
      <w:r w:rsidR="00324372" w:rsidRPr="0015004F">
        <w:rPr>
          <w:rFonts w:eastAsia="Calibri"/>
        </w:rPr>
        <w:instrText xml:space="preserve"> \* MERGEFORMAT </w:instrText>
      </w:r>
      <w:r w:rsidR="00517BC5" w:rsidRPr="0015004F">
        <w:rPr>
          <w:rFonts w:eastAsia="Calibri"/>
        </w:rPr>
      </w:r>
      <w:r w:rsidR="00517BC5" w:rsidRPr="0015004F">
        <w:rPr>
          <w:rFonts w:eastAsia="Calibri"/>
        </w:rPr>
        <w:fldChar w:fldCharType="separate"/>
      </w:r>
      <w:r w:rsidR="00106090" w:rsidRPr="0015004F">
        <w:t xml:space="preserve">Table </w:t>
      </w:r>
      <w:r w:rsidR="00106090">
        <w:rPr>
          <w:noProof/>
        </w:rPr>
        <w:t>5</w:t>
      </w:r>
      <w:r w:rsidR="00517BC5" w:rsidRPr="0015004F">
        <w:rPr>
          <w:rFonts w:eastAsia="Calibri"/>
        </w:rPr>
        <w:fldChar w:fldCharType="end"/>
      </w:r>
      <w:r w:rsidR="00517BC5" w:rsidRPr="0015004F">
        <w:rPr>
          <w:rFonts w:eastAsia="Calibri"/>
        </w:rPr>
        <w:t xml:space="preserve"> and </w:t>
      </w:r>
      <w:r w:rsidR="00517BC5" w:rsidRPr="0015004F">
        <w:rPr>
          <w:rFonts w:eastAsia="Calibri"/>
        </w:rPr>
        <w:fldChar w:fldCharType="begin" w:fldLock="1"/>
      </w:r>
      <w:r w:rsidR="00517BC5" w:rsidRPr="0015004F">
        <w:rPr>
          <w:rFonts w:eastAsia="Calibri"/>
        </w:rPr>
        <w:instrText xml:space="preserve"> REF _Ref176796536 \h </w:instrText>
      </w:r>
      <w:r w:rsidR="00324372" w:rsidRPr="0015004F">
        <w:rPr>
          <w:rFonts w:eastAsia="Calibri"/>
        </w:rPr>
        <w:instrText xml:space="preserve"> \* MERGEFORMAT </w:instrText>
      </w:r>
      <w:r w:rsidR="00517BC5" w:rsidRPr="0015004F">
        <w:rPr>
          <w:rFonts w:eastAsia="Calibri"/>
        </w:rPr>
      </w:r>
      <w:r w:rsidR="00517BC5" w:rsidRPr="0015004F">
        <w:rPr>
          <w:rFonts w:eastAsia="Calibri"/>
        </w:rPr>
        <w:fldChar w:fldCharType="separate"/>
      </w:r>
      <w:r w:rsidR="00106090" w:rsidRPr="0015004F">
        <w:t xml:space="preserve">Table </w:t>
      </w:r>
      <w:r w:rsidR="00106090">
        <w:rPr>
          <w:noProof/>
        </w:rPr>
        <w:t>6</w:t>
      </w:r>
      <w:r w:rsidR="00517BC5" w:rsidRPr="0015004F">
        <w:rPr>
          <w:rFonts w:eastAsia="Calibri"/>
        </w:rPr>
        <w:fldChar w:fldCharType="end"/>
      </w:r>
      <w:r w:rsidRPr="0015004F">
        <w:rPr>
          <w:rFonts w:eastAsia="Calibri"/>
        </w:rPr>
        <w:t>.</w:t>
      </w:r>
    </w:p>
    <w:p w14:paraId="7A17C469" w14:textId="25366B86" w:rsidR="009568B7" w:rsidRPr="0015004F" w:rsidRDefault="008C4027" w:rsidP="0000146E">
      <w:pPr>
        <w:pStyle w:val="Caption"/>
        <w:ind w:left="709" w:hanging="709"/>
      </w:pPr>
      <w:bookmarkStart w:id="25" w:name="_Ref176796534"/>
      <w:r w:rsidRPr="0015004F">
        <w:t xml:space="preserve">Table </w:t>
      </w:r>
      <w:r w:rsidR="00106090">
        <w:fldChar w:fldCharType="begin" w:fldLock="1"/>
      </w:r>
      <w:r w:rsidR="00106090">
        <w:instrText xml:space="preserve"> SEQ Table \* ARABIC </w:instrText>
      </w:r>
      <w:r w:rsidR="00106090">
        <w:fldChar w:fldCharType="separate"/>
      </w:r>
      <w:r w:rsidR="00106090">
        <w:rPr>
          <w:noProof/>
        </w:rPr>
        <w:t>5</w:t>
      </w:r>
      <w:r w:rsidR="00106090">
        <w:rPr>
          <w:noProof/>
        </w:rPr>
        <w:fldChar w:fldCharType="end"/>
      </w:r>
      <w:bookmarkEnd w:id="25"/>
      <w:r w:rsidRPr="0015004F">
        <w:t xml:space="preserve">: </w:t>
      </w:r>
      <w:r w:rsidR="009568B7" w:rsidRPr="0015004F">
        <w:t xml:space="preserve">Indirect comparison of time-normalised numbers of HAE attacks, attacks requiring on-demand treatment, and moderate and/or severe attacks during the treatment period in VANGUARD and HELP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704"/>
        <w:gridCol w:w="1248"/>
        <w:gridCol w:w="1273"/>
        <w:gridCol w:w="1129"/>
        <w:gridCol w:w="1161"/>
        <w:gridCol w:w="1378"/>
        <w:gridCol w:w="1124"/>
      </w:tblGrid>
      <w:tr w:rsidR="0019518B" w:rsidRPr="0015004F" w14:paraId="5EF8AF69" w14:textId="77777777" w:rsidTr="00D12D69">
        <w:trPr>
          <w:trHeight w:val="20"/>
        </w:trPr>
        <w:tc>
          <w:tcPr>
            <w:tcW w:w="945" w:type="pct"/>
            <w:vMerge w:val="restart"/>
            <w:shd w:val="clear" w:color="auto" w:fill="FFFFFF" w:themeFill="background1"/>
            <w:vAlign w:val="center"/>
          </w:tcPr>
          <w:p w14:paraId="4874043D" w14:textId="77777777" w:rsidR="0019518B" w:rsidRPr="0015004F" w:rsidRDefault="0019518B" w:rsidP="0000146E">
            <w:pPr>
              <w:keepNext/>
              <w:keepLines/>
              <w:widowControl w:val="0"/>
              <w:jc w:val="left"/>
              <w:rPr>
                <w:rFonts w:ascii="Arial Narrow" w:hAnsi="Arial Narrow" w:cs="Calibri"/>
                <w:b/>
                <w:bCs/>
                <w:color w:val="000000"/>
                <w:sz w:val="20"/>
                <w:szCs w:val="20"/>
              </w:rPr>
            </w:pPr>
          </w:p>
        </w:tc>
        <w:tc>
          <w:tcPr>
            <w:tcW w:w="1398" w:type="pct"/>
            <w:gridSpan w:val="2"/>
            <w:shd w:val="clear" w:color="auto" w:fill="FFFFFF" w:themeFill="background1"/>
            <w:vAlign w:val="center"/>
            <w:hideMark/>
          </w:tcPr>
          <w:p w14:paraId="25D37F57" w14:textId="77777777" w:rsidR="0019518B" w:rsidRPr="0015004F" w:rsidRDefault="0019518B" w:rsidP="0000146E">
            <w:pPr>
              <w:keepNext/>
              <w:keepLines/>
              <w:widowControl w:val="0"/>
              <w:jc w:val="center"/>
              <w:rPr>
                <w:rFonts w:ascii="Arial Narrow" w:hAnsi="Arial Narrow" w:cs="Calibri"/>
                <w:b/>
                <w:bCs/>
                <w:color w:val="000000"/>
                <w:sz w:val="20"/>
                <w:szCs w:val="20"/>
              </w:rPr>
            </w:pPr>
            <w:r w:rsidRPr="0015004F">
              <w:rPr>
                <w:rFonts w:ascii="Arial Narrow" w:hAnsi="Arial Narrow" w:cs="Calibri"/>
                <w:b/>
                <w:bCs/>
                <w:color w:val="000000"/>
                <w:sz w:val="20"/>
                <w:szCs w:val="20"/>
              </w:rPr>
              <w:t>VANGUARD</w:t>
            </w:r>
          </w:p>
        </w:tc>
        <w:tc>
          <w:tcPr>
            <w:tcW w:w="2657" w:type="pct"/>
            <w:gridSpan w:val="4"/>
            <w:shd w:val="clear" w:color="auto" w:fill="FFFFFF" w:themeFill="background1"/>
          </w:tcPr>
          <w:p w14:paraId="3DC8E4A7" w14:textId="77777777" w:rsidR="0019518B" w:rsidRPr="0015004F" w:rsidRDefault="0019518B" w:rsidP="0000146E">
            <w:pPr>
              <w:keepNext/>
              <w:keepLines/>
              <w:widowControl w:val="0"/>
              <w:jc w:val="center"/>
              <w:rPr>
                <w:rFonts w:ascii="Arial Narrow" w:hAnsi="Arial Narrow" w:cs="Calibri"/>
                <w:b/>
                <w:bCs/>
                <w:color w:val="000000"/>
                <w:sz w:val="20"/>
                <w:szCs w:val="20"/>
              </w:rPr>
            </w:pPr>
            <w:r w:rsidRPr="0015004F">
              <w:rPr>
                <w:rFonts w:ascii="Arial Narrow" w:hAnsi="Arial Narrow" w:cs="Calibri"/>
                <w:b/>
                <w:bCs/>
                <w:color w:val="000000"/>
                <w:sz w:val="20"/>
                <w:szCs w:val="20"/>
              </w:rPr>
              <w:t xml:space="preserve">HELP </w:t>
            </w:r>
          </w:p>
        </w:tc>
      </w:tr>
      <w:tr w:rsidR="0019518B" w:rsidRPr="0015004F" w14:paraId="78D82362" w14:textId="77777777" w:rsidTr="00D12D69">
        <w:trPr>
          <w:trHeight w:val="20"/>
        </w:trPr>
        <w:tc>
          <w:tcPr>
            <w:tcW w:w="945" w:type="pct"/>
            <w:vMerge/>
            <w:shd w:val="clear" w:color="auto" w:fill="FFFFFF" w:themeFill="background1"/>
            <w:vAlign w:val="center"/>
          </w:tcPr>
          <w:p w14:paraId="056E39B2" w14:textId="77777777" w:rsidR="0019518B" w:rsidRPr="0015004F" w:rsidRDefault="0019518B" w:rsidP="0000146E">
            <w:pPr>
              <w:keepNext/>
              <w:keepLines/>
              <w:widowControl w:val="0"/>
              <w:jc w:val="left"/>
              <w:rPr>
                <w:rFonts w:ascii="Arial Narrow" w:hAnsi="Arial Narrow" w:cs="Calibri"/>
                <w:b/>
                <w:bCs/>
                <w:color w:val="000000"/>
                <w:sz w:val="20"/>
                <w:szCs w:val="20"/>
              </w:rPr>
            </w:pPr>
          </w:p>
        </w:tc>
        <w:tc>
          <w:tcPr>
            <w:tcW w:w="692" w:type="pct"/>
            <w:shd w:val="clear" w:color="auto" w:fill="FFFFFF" w:themeFill="background1"/>
            <w:vAlign w:val="center"/>
            <w:hideMark/>
          </w:tcPr>
          <w:p w14:paraId="70A82060" w14:textId="77777777" w:rsidR="0019518B" w:rsidRPr="0015004F" w:rsidRDefault="0019518B" w:rsidP="0000146E">
            <w:pPr>
              <w:keepNext/>
              <w:keepLines/>
              <w:widowControl w:val="0"/>
              <w:jc w:val="center"/>
              <w:rPr>
                <w:rFonts w:ascii="Arial Narrow" w:hAnsi="Arial Narrow" w:cs="Calibri"/>
                <w:b/>
                <w:bCs/>
                <w:color w:val="000000"/>
                <w:sz w:val="20"/>
                <w:szCs w:val="20"/>
              </w:rPr>
            </w:pPr>
            <w:r w:rsidRPr="0015004F">
              <w:rPr>
                <w:rFonts w:ascii="Arial Narrow" w:hAnsi="Arial Narrow" w:cs="Calibri"/>
                <w:b/>
                <w:bCs/>
                <w:color w:val="000000"/>
                <w:sz w:val="20"/>
                <w:szCs w:val="20"/>
              </w:rPr>
              <w:t>GARA 200 mg QM (N=39)</w:t>
            </w:r>
          </w:p>
        </w:tc>
        <w:tc>
          <w:tcPr>
            <w:tcW w:w="706" w:type="pct"/>
            <w:shd w:val="clear" w:color="auto" w:fill="FFFFFF" w:themeFill="background1"/>
            <w:vAlign w:val="center"/>
            <w:hideMark/>
          </w:tcPr>
          <w:p w14:paraId="7CEF0459" w14:textId="77777777" w:rsidR="0019518B" w:rsidRPr="0015004F" w:rsidRDefault="0019518B" w:rsidP="0000146E">
            <w:pPr>
              <w:keepNext/>
              <w:keepLines/>
              <w:widowControl w:val="0"/>
              <w:jc w:val="center"/>
              <w:rPr>
                <w:rFonts w:ascii="Arial Narrow" w:hAnsi="Arial Narrow" w:cs="Calibri"/>
                <w:b/>
                <w:bCs/>
                <w:color w:val="000000"/>
                <w:sz w:val="20"/>
                <w:szCs w:val="20"/>
              </w:rPr>
            </w:pPr>
            <w:r w:rsidRPr="0015004F">
              <w:rPr>
                <w:rFonts w:ascii="Arial Narrow" w:hAnsi="Arial Narrow" w:cs="Calibri"/>
                <w:b/>
                <w:bCs/>
                <w:color w:val="000000"/>
                <w:sz w:val="20"/>
                <w:szCs w:val="20"/>
              </w:rPr>
              <w:t>PBO</w:t>
            </w:r>
          </w:p>
          <w:p w14:paraId="7886C5BC" w14:textId="77777777" w:rsidR="0019518B" w:rsidRPr="0015004F" w:rsidRDefault="0019518B" w:rsidP="0000146E">
            <w:pPr>
              <w:keepNext/>
              <w:keepLines/>
              <w:widowControl w:val="0"/>
              <w:jc w:val="center"/>
              <w:rPr>
                <w:rFonts w:ascii="Arial Narrow" w:hAnsi="Arial Narrow" w:cs="Calibri"/>
                <w:b/>
                <w:bCs/>
                <w:color w:val="000000"/>
                <w:sz w:val="20"/>
                <w:szCs w:val="20"/>
              </w:rPr>
            </w:pPr>
            <w:r w:rsidRPr="0015004F">
              <w:rPr>
                <w:rFonts w:ascii="Arial Narrow" w:hAnsi="Arial Narrow" w:cs="Calibri"/>
                <w:b/>
                <w:bCs/>
                <w:color w:val="000000"/>
                <w:sz w:val="20"/>
                <w:szCs w:val="20"/>
              </w:rPr>
              <w:t xml:space="preserve"> (N=24)</w:t>
            </w:r>
          </w:p>
        </w:tc>
        <w:tc>
          <w:tcPr>
            <w:tcW w:w="626" w:type="pct"/>
            <w:shd w:val="clear" w:color="auto" w:fill="FFFFFF" w:themeFill="background1"/>
          </w:tcPr>
          <w:p w14:paraId="655CC3CB" w14:textId="77777777" w:rsidR="0019518B" w:rsidRPr="0015004F" w:rsidRDefault="0019518B" w:rsidP="0000146E">
            <w:pPr>
              <w:keepNext/>
              <w:keepLines/>
              <w:widowControl w:val="0"/>
              <w:jc w:val="center"/>
              <w:rPr>
                <w:rFonts w:ascii="Arial Narrow" w:hAnsi="Arial Narrow" w:cs="Calibri"/>
                <w:b/>
                <w:bCs/>
                <w:color w:val="000000"/>
                <w:sz w:val="20"/>
                <w:szCs w:val="20"/>
              </w:rPr>
            </w:pPr>
            <w:r w:rsidRPr="0015004F">
              <w:rPr>
                <w:rFonts w:ascii="Arial Narrow" w:hAnsi="Arial Narrow" w:cs="Calibri"/>
                <w:b/>
                <w:bCs/>
                <w:color w:val="000000"/>
                <w:sz w:val="20"/>
                <w:szCs w:val="20"/>
              </w:rPr>
              <w:t>LANA 300 mg Q2W (N=27)</w:t>
            </w:r>
          </w:p>
        </w:tc>
        <w:tc>
          <w:tcPr>
            <w:tcW w:w="644" w:type="pct"/>
            <w:shd w:val="clear" w:color="auto" w:fill="FFFFFF" w:themeFill="background1"/>
          </w:tcPr>
          <w:p w14:paraId="32D01E62" w14:textId="77777777" w:rsidR="0019518B" w:rsidRPr="0015004F" w:rsidRDefault="0019518B" w:rsidP="0000146E">
            <w:pPr>
              <w:keepNext/>
              <w:keepLines/>
              <w:widowControl w:val="0"/>
              <w:jc w:val="center"/>
              <w:rPr>
                <w:rFonts w:ascii="Arial Narrow" w:hAnsi="Arial Narrow" w:cs="Calibri"/>
                <w:b/>
                <w:bCs/>
                <w:color w:val="000000"/>
                <w:sz w:val="20"/>
                <w:szCs w:val="20"/>
              </w:rPr>
            </w:pPr>
            <w:r w:rsidRPr="0015004F">
              <w:rPr>
                <w:rFonts w:ascii="Arial Narrow" w:hAnsi="Arial Narrow" w:cs="Calibri"/>
                <w:b/>
                <w:bCs/>
                <w:color w:val="000000"/>
                <w:sz w:val="20"/>
                <w:szCs w:val="20"/>
              </w:rPr>
              <w:t xml:space="preserve">PBO </w:t>
            </w:r>
          </w:p>
          <w:p w14:paraId="752A750F" w14:textId="77777777" w:rsidR="0019518B" w:rsidRPr="0015004F" w:rsidRDefault="0019518B" w:rsidP="0000146E">
            <w:pPr>
              <w:keepNext/>
              <w:keepLines/>
              <w:widowControl w:val="0"/>
              <w:jc w:val="center"/>
              <w:rPr>
                <w:rFonts w:ascii="Arial Narrow" w:hAnsi="Arial Narrow" w:cs="Calibri"/>
                <w:b/>
                <w:bCs/>
                <w:color w:val="000000"/>
                <w:sz w:val="20"/>
                <w:szCs w:val="20"/>
              </w:rPr>
            </w:pPr>
            <w:r w:rsidRPr="0015004F">
              <w:rPr>
                <w:rFonts w:ascii="Arial Narrow" w:hAnsi="Arial Narrow" w:cs="Calibri"/>
                <w:b/>
                <w:bCs/>
                <w:color w:val="000000"/>
                <w:sz w:val="20"/>
                <w:szCs w:val="20"/>
              </w:rPr>
              <w:t>(N=41)</w:t>
            </w:r>
          </w:p>
        </w:tc>
        <w:tc>
          <w:tcPr>
            <w:tcW w:w="764" w:type="pct"/>
            <w:shd w:val="clear" w:color="auto" w:fill="FFFFFF" w:themeFill="background1"/>
          </w:tcPr>
          <w:p w14:paraId="78D9AA05" w14:textId="77777777" w:rsidR="0019518B" w:rsidRPr="0015004F" w:rsidRDefault="0019518B" w:rsidP="0000146E">
            <w:pPr>
              <w:keepNext/>
              <w:keepLines/>
              <w:widowControl w:val="0"/>
              <w:jc w:val="center"/>
              <w:rPr>
                <w:rFonts w:ascii="Arial Narrow" w:hAnsi="Arial Narrow" w:cs="Calibri"/>
                <w:b/>
                <w:bCs/>
                <w:color w:val="000000"/>
                <w:sz w:val="20"/>
                <w:szCs w:val="20"/>
              </w:rPr>
            </w:pPr>
            <w:r w:rsidRPr="0015004F">
              <w:rPr>
                <w:rFonts w:ascii="Arial Narrow" w:hAnsi="Arial Narrow" w:cs="Calibri"/>
                <w:b/>
                <w:bCs/>
                <w:color w:val="000000"/>
                <w:sz w:val="20"/>
                <w:szCs w:val="20"/>
              </w:rPr>
              <w:t>LANA 300 mg Q4W (N=29)</w:t>
            </w:r>
          </w:p>
        </w:tc>
        <w:tc>
          <w:tcPr>
            <w:tcW w:w="623" w:type="pct"/>
            <w:shd w:val="clear" w:color="auto" w:fill="FFFFFF" w:themeFill="background1"/>
          </w:tcPr>
          <w:p w14:paraId="515C7F78" w14:textId="77777777" w:rsidR="0019518B" w:rsidRPr="0015004F" w:rsidRDefault="0019518B" w:rsidP="0000146E">
            <w:pPr>
              <w:keepNext/>
              <w:keepLines/>
              <w:widowControl w:val="0"/>
              <w:jc w:val="center"/>
              <w:rPr>
                <w:rFonts w:ascii="Arial Narrow" w:hAnsi="Arial Narrow" w:cs="Calibri"/>
                <w:b/>
                <w:bCs/>
                <w:color w:val="000000"/>
                <w:sz w:val="20"/>
                <w:szCs w:val="20"/>
              </w:rPr>
            </w:pPr>
            <w:r w:rsidRPr="0015004F">
              <w:rPr>
                <w:rFonts w:ascii="Arial Narrow" w:hAnsi="Arial Narrow" w:cs="Calibri"/>
                <w:b/>
                <w:bCs/>
                <w:color w:val="000000"/>
                <w:sz w:val="20"/>
                <w:szCs w:val="20"/>
              </w:rPr>
              <w:t>PBO</w:t>
            </w:r>
          </w:p>
          <w:p w14:paraId="64930FF5" w14:textId="77777777" w:rsidR="0019518B" w:rsidRPr="0015004F" w:rsidRDefault="0019518B" w:rsidP="0000146E">
            <w:pPr>
              <w:keepNext/>
              <w:keepLines/>
              <w:widowControl w:val="0"/>
              <w:jc w:val="center"/>
              <w:rPr>
                <w:rFonts w:ascii="Arial Narrow" w:hAnsi="Arial Narrow" w:cs="Calibri"/>
                <w:b/>
                <w:bCs/>
                <w:color w:val="000000"/>
                <w:sz w:val="20"/>
                <w:szCs w:val="20"/>
              </w:rPr>
            </w:pPr>
            <w:r w:rsidRPr="0015004F">
              <w:rPr>
                <w:rFonts w:ascii="Arial Narrow" w:hAnsi="Arial Narrow" w:cs="Calibri"/>
                <w:b/>
                <w:bCs/>
                <w:color w:val="000000"/>
                <w:sz w:val="20"/>
                <w:szCs w:val="20"/>
              </w:rPr>
              <w:t xml:space="preserve"> (N=41)</w:t>
            </w:r>
          </w:p>
        </w:tc>
      </w:tr>
      <w:tr w:rsidR="0019518B" w:rsidRPr="0015004F" w14:paraId="223A2D84" w14:textId="77777777" w:rsidTr="00D12D69">
        <w:trPr>
          <w:trHeight w:val="20"/>
        </w:trPr>
        <w:tc>
          <w:tcPr>
            <w:tcW w:w="5000" w:type="pct"/>
            <w:gridSpan w:val="7"/>
            <w:tcBorders>
              <w:bottom w:val="single" w:sz="4" w:space="0" w:color="auto"/>
            </w:tcBorders>
            <w:shd w:val="clear" w:color="auto" w:fill="FFFFFF" w:themeFill="background1"/>
            <w:vAlign w:val="center"/>
          </w:tcPr>
          <w:p w14:paraId="16D270B2" w14:textId="77777777" w:rsidR="0019518B" w:rsidRPr="0015004F" w:rsidRDefault="0019518B" w:rsidP="0000146E">
            <w:pPr>
              <w:keepNext/>
              <w:keepLines/>
              <w:widowControl w:val="0"/>
              <w:rPr>
                <w:rFonts w:ascii="Arial Narrow" w:hAnsi="Arial Narrow" w:cs="Calibri"/>
                <w:b/>
                <w:color w:val="000000"/>
                <w:sz w:val="20"/>
                <w:szCs w:val="20"/>
              </w:rPr>
            </w:pPr>
            <w:r w:rsidRPr="0015004F">
              <w:rPr>
                <w:rFonts w:ascii="Arial Narrow" w:hAnsi="Arial Narrow" w:cs="Calibri"/>
                <w:b/>
                <w:color w:val="000000"/>
                <w:sz w:val="20"/>
                <w:szCs w:val="20"/>
              </w:rPr>
              <w:t>Time-normalised number of HAE attacks per month during the treatment period</w:t>
            </w:r>
          </w:p>
        </w:tc>
      </w:tr>
      <w:tr w:rsidR="0019518B" w:rsidRPr="0015004F" w14:paraId="38F12BD1" w14:textId="77777777" w:rsidTr="00D12D69">
        <w:trPr>
          <w:trHeight w:val="20"/>
        </w:trPr>
        <w:tc>
          <w:tcPr>
            <w:tcW w:w="945" w:type="pct"/>
            <w:shd w:val="clear" w:color="auto" w:fill="FFFFFF" w:themeFill="background1"/>
            <w:vAlign w:val="center"/>
          </w:tcPr>
          <w:p w14:paraId="2CF0D40E" w14:textId="77777777" w:rsidR="0019518B" w:rsidRPr="0015004F" w:rsidRDefault="0019518B" w:rsidP="0000146E">
            <w:pPr>
              <w:keepNext/>
              <w:keepLines/>
              <w:widowControl w:val="0"/>
              <w:jc w:val="left"/>
              <w:rPr>
                <w:rFonts w:ascii="Arial Narrow" w:hAnsi="Arial Narrow" w:cs="Calibri"/>
                <w:color w:val="000000"/>
                <w:sz w:val="20"/>
                <w:szCs w:val="20"/>
              </w:rPr>
            </w:pPr>
            <w:r w:rsidRPr="0015004F">
              <w:rPr>
                <w:rFonts w:ascii="Arial Narrow" w:hAnsi="Arial Narrow" w:cs="Calibri"/>
                <w:color w:val="000000"/>
                <w:sz w:val="20"/>
                <w:szCs w:val="20"/>
              </w:rPr>
              <w:t>Mean (95% CI)</w:t>
            </w:r>
          </w:p>
        </w:tc>
        <w:tc>
          <w:tcPr>
            <w:tcW w:w="692" w:type="pct"/>
            <w:shd w:val="clear" w:color="auto" w:fill="FFFFFF" w:themeFill="background1"/>
            <w:vAlign w:val="center"/>
          </w:tcPr>
          <w:p w14:paraId="2E03F248"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 xml:space="preserve">0.3 </w:t>
            </w:r>
            <w:r w:rsidRPr="0015004F">
              <w:rPr>
                <w:rFonts w:ascii="Arial Narrow" w:hAnsi="Arial Narrow" w:cs="Calibri"/>
                <w:color w:val="000000"/>
                <w:sz w:val="20"/>
                <w:szCs w:val="20"/>
              </w:rPr>
              <w:br/>
              <w:t>(0.05, 0.49)</w:t>
            </w:r>
          </w:p>
        </w:tc>
        <w:tc>
          <w:tcPr>
            <w:tcW w:w="706" w:type="pct"/>
            <w:shd w:val="clear" w:color="auto" w:fill="FFFFFF" w:themeFill="background1"/>
            <w:vAlign w:val="center"/>
          </w:tcPr>
          <w:p w14:paraId="68727BC9"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 xml:space="preserve">2.01 </w:t>
            </w:r>
            <w:r w:rsidRPr="0015004F">
              <w:rPr>
                <w:rFonts w:ascii="Arial Narrow" w:hAnsi="Arial Narrow" w:cs="Calibri"/>
                <w:color w:val="000000"/>
                <w:sz w:val="20"/>
                <w:szCs w:val="20"/>
              </w:rPr>
              <w:br/>
              <w:t>(1.44, 2.57)</w:t>
            </w:r>
          </w:p>
        </w:tc>
        <w:tc>
          <w:tcPr>
            <w:tcW w:w="626" w:type="pct"/>
            <w:shd w:val="clear" w:color="auto" w:fill="FFFFFF" w:themeFill="background1"/>
            <w:vAlign w:val="center"/>
          </w:tcPr>
          <w:p w14:paraId="0B03C0BD"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 xml:space="preserve">0.26 </w:t>
            </w:r>
            <w:r w:rsidRPr="0015004F">
              <w:rPr>
                <w:rFonts w:ascii="Arial Narrow" w:hAnsi="Arial Narrow" w:cs="Calibri"/>
                <w:color w:val="000000"/>
                <w:sz w:val="20"/>
                <w:szCs w:val="20"/>
              </w:rPr>
              <w:br/>
              <w:t>(0.14, 0.46)</w:t>
            </w:r>
          </w:p>
        </w:tc>
        <w:tc>
          <w:tcPr>
            <w:tcW w:w="644" w:type="pct"/>
            <w:shd w:val="clear" w:color="auto" w:fill="FFFFFF" w:themeFill="background1"/>
            <w:vAlign w:val="center"/>
          </w:tcPr>
          <w:p w14:paraId="2A05C9A9"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 xml:space="preserve">1.97 </w:t>
            </w:r>
            <w:r w:rsidRPr="0015004F">
              <w:rPr>
                <w:rFonts w:ascii="Arial Narrow" w:hAnsi="Arial Narrow" w:cs="Calibri"/>
                <w:color w:val="000000"/>
                <w:sz w:val="20"/>
                <w:szCs w:val="20"/>
              </w:rPr>
              <w:br/>
              <w:t>(1.64. 2.36)</w:t>
            </w:r>
          </w:p>
        </w:tc>
        <w:tc>
          <w:tcPr>
            <w:tcW w:w="764" w:type="pct"/>
            <w:shd w:val="clear" w:color="auto" w:fill="FFFFFF" w:themeFill="background1"/>
          </w:tcPr>
          <w:p w14:paraId="3B16184F"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 xml:space="preserve">0.53 </w:t>
            </w:r>
            <w:r w:rsidRPr="0015004F">
              <w:rPr>
                <w:rFonts w:ascii="Arial Narrow" w:hAnsi="Arial Narrow" w:cs="Calibri"/>
                <w:color w:val="000000"/>
                <w:sz w:val="20"/>
                <w:szCs w:val="20"/>
              </w:rPr>
              <w:br/>
              <w:t>(0.36, 0.77)</w:t>
            </w:r>
          </w:p>
        </w:tc>
        <w:tc>
          <w:tcPr>
            <w:tcW w:w="623" w:type="pct"/>
            <w:shd w:val="clear" w:color="auto" w:fill="FFFFFF" w:themeFill="background1"/>
          </w:tcPr>
          <w:p w14:paraId="59AF6637"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 xml:space="preserve">1.97 </w:t>
            </w:r>
            <w:r w:rsidRPr="0015004F">
              <w:rPr>
                <w:rFonts w:ascii="Arial Narrow" w:hAnsi="Arial Narrow" w:cs="Calibri"/>
                <w:color w:val="000000"/>
                <w:sz w:val="20"/>
                <w:szCs w:val="20"/>
              </w:rPr>
              <w:br/>
              <w:t>(1.64. 2.36)</w:t>
            </w:r>
          </w:p>
        </w:tc>
      </w:tr>
      <w:tr w:rsidR="0019518B" w:rsidRPr="0015004F" w14:paraId="531318EF" w14:textId="77777777" w:rsidTr="00D12D69">
        <w:trPr>
          <w:trHeight w:val="20"/>
        </w:trPr>
        <w:tc>
          <w:tcPr>
            <w:tcW w:w="945" w:type="pct"/>
            <w:shd w:val="clear" w:color="auto" w:fill="FFFFFF" w:themeFill="background1"/>
            <w:vAlign w:val="center"/>
          </w:tcPr>
          <w:p w14:paraId="172AB09E" w14:textId="77777777" w:rsidR="0019518B" w:rsidRPr="0015004F" w:rsidRDefault="0019518B" w:rsidP="0000146E">
            <w:pPr>
              <w:keepNext/>
              <w:keepLines/>
              <w:widowControl w:val="0"/>
              <w:jc w:val="left"/>
              <w:rPr>
                <w:rFonts w:ascii="Arial Narrow" w:hAnsi="Arial Narrow" w:cs="Calibri"/>
                <w:color w:val="000000"/>
                <w:sz w:val="20"/>
                <w:szCs w:val="20"/>
              </w:rPr>
            </w:pPr>
            <w:r w:rsidRPr="0015004F">
              <w:rPr>
                <w:rFonts w:ascii="Arial Narrow" w:hAnsi="Arial Narrow" w:cs="Calibri"/>
                <w:color w:val="000000"/>
                <w:sz w:val="20"/>
                <w:szCs w:val="20"/>
              </w:rPr>
              <w:t>Difference (95% CI)</w:t>
            </w:r>
          </w:p>
        </w:tc>
        <w:tc>
          <w:tcPr>
            <w:tcW w:w="1398" w:type="pct"/>
            <w:gridSpan w:val="2"/>
            <w:shd w:val="clear" w:color="auto" w:fill="FFFFFF" w:themeFill="background1"/>
            <w:vAlign w:val="center"/>
          </w:tcPr>
          <w:p w14:paraId="5BC66002" w14:textId="77777777" w:rsidR="0019518B" w:rsidRPr="0015004F" w:rsidRDefault="0019518B" w:rsidP="0000146E">
            <w:pPr>
              <w:keepNext/>
              <w:keepLines/>
              <w:widowControl w:val="0"/>
              <w:jc w:val="center"/>
              <w:rPr>
                <w:rFonts w:ascii="Arial Narrow" w:hAnsi="Arial Narrow" w:cs="Calibri"/>
                <w:bCs/>
                <w:color w:val="000000"/>
                <w:sz w:val="20"/>
                <w:szCs w:val="20"/>
              </w:rPr>
            </w:pPr>
            <w:r w:rsidRPr="0015004F">
              <w:rPr>
                <w:rFonts w:ascii="Arial Narrow" w:hAnsi="Arial Narrow" w:cs="Calibri"/>
                <w:bCs/>
                <w:color w:val="000000"/>
                <w:sz w:val="20"/>
                <w:szCs w:val="20"/>
              </w:rPr>
              <w:t>-1.7 (-2.3, -1.2)</w:t>
            </w:r>
          </w:p>
        </w:tc>
        <w:tc>
          <w:tcPr>
            <w:tcW w:w="1270" w:type="pct"/>
            <w:gridSpan w:val="2"/>
            <w:shd w:val="clear" w:color="auto" w:fill="FFFFFF" w:themeFill="background1"/>
          </w:tcPr>
          <w:p w14:paraId="645E18EC" w14:textId="77777777" w:rsidR="0019518B" w:rsidRPr="0015004F" w:rsidRDefault="0019518B" w:rsidP="0000146E">
            <w:pPr>
              <w:keepNext/>
              <w:keepLines/>
              <w:widowControl w:val="0"/>
              <w:jc w:val="center"/>
              <w:rPr>
                <w:rFonts w:ascii="Arial Narrow" w:hAnsi="Arial Narrow" w:cs="Calibri"/>
                <w:bCs/>
                <w:color w:val="000000"/>
                <w:sz w:val="20"/>
                <w:szCs w:val="20"/>
              </w:rPr>
            </w:pPr>
            <w:r w:rsidRPr="0015004F">
              <w:rPr>
                <w:rFonts w:ascii="Arial Narrow" w:hAnsi="Arial Narrow" w:cs="Calibri"/>
                <w:bCs/>
                <w:color w:val="000000"/>
                <w:sz w:val="20"/>
                <w:szCs w:val="20"/>
              </w:rPr>
              <w:t>-1.7 (-2.1, -1.3)</w:t>
            </w:r>
          </w:p>
        </w:tc>
        <w:tc>
          <w:tcPr>
            <w:tcW w:w="1387" w:type="pct"/>
            <w:gridSpan w:val="2"/>
            <w:shd w:val="clear" w:color="auto" w:fill="FFFFFF" w:themeFill="background1"/>
          </w:tcPr>
          <w:p w14:paraId="08EEFAAB" w14:textId="77777777" w:rsidR="0019518B" w:rsidRPr="0015004F" w:rsidRDefault="0019518B" w:rsidP="0000146E">
            <w:pPr>
              <w:keepNext/>
              <w:keepLines/>
              <w:widowControl w:val="0"/>
              <w:jc w:val="center"/>
              <w:rPr>
                <w:rFonts w:ascii="Arial Narrow" w:hAnsi="Arial Narrow" w:cs="Calibri"/>
                <w:bCs/>
                <w:color w:val="000000"/>
                <w:sz w:val="20"/>
                <w:szCs w:val="20"/>
              </w:rPr>
            </w:pPr>
            <w:r w:rsidRPr="0015004F">
              <w:rPr>
                <w:rFonts w:ascii="Arial Narrow" w:hAnsi="Arial Narrow" w:cs="Calibri"/>
                <w:bCs/>
                <w:color w:val="000000"/>
                <w:sz w:val="20"/>
                <w:szCs w:val="20"/>
              </w:rPr>
              <w:t>-1.4 (-1.8, -1.0)</w:t>
            </w:r>
          </w:p>
        </w:tc>
      </w:tr>
      <w:tr w:rsidR="0019518B" w:rsidRPr="0015004F" w14:paraId="1E886253" w14:textId="77777777" w:rsidTr="00D12D69">
        <w:trPr>
          <w:trHeight w:hRule="exact" w:val="522"/>
        </w:trPr>
        <w:tc>
          <w:tcPr>
            <w:tcW w:w="945" w:type="pct"/>
            <w:shd w:val="clear" w:color="auto" w:fill="FFFFFF" w:themeFill="background1"/>
            <w:vAlign w:val="center"/>
          </w:tcPr>
          <w:p w14:paraId="1EB0661D" w14:textId="77777777" w:rsidR="0019518B" w:rsidRPr="0015004F" w:rsidRDefault="0019518B" w:rsidP="0000146E">
            <w:pPr>
              <w:keepNext/>
              <w:keepLines/>
              <w:widowControl w:val="0"/>
              <w:ind w:right="-57"/>
              <w:jc w:val="left"/>
              <w:rPr>
                <w:rFonts w:ascii="Arial Narrow" w:hAnsi="Arial Narrow" w:cs="Calibri"/>
                <w:color w:val="000000"/>
                <w:sz w:val="20"/>
                <w:szCs w:val="20"/>
              </w:rPr>
            </w:pPr>
            <w:r w:rsidRPr="0015004F">
              <w:rPr>
                <w:rFonts w:ascii="Arial Narrow" w:hAnsi="Arial Narrow" w:cs="Calibri"/>
                <w:color w:val="000000"/>
                <w:sz w:val="20"/>
                <w:szCs w:val="20"/>
              </w:rPr>
              <w:t>ITC: GARA vs. LANA</w:t>
            </w:r>
          </w:p>
        </w:tc>
        <w:tc>
          <w:tcPr>
            <w:tcW w:w="2668" w:type="pct"/>
            <w:gridSpan w:val="4"/>
            <w:shd w:val="clear" w:color="auto" w:fill="FFFFFF" w:themeFill="background1"/>
            <w:vAlign w:val="center"/>
          </w:tcPr>
          <w:p w14:paraId="704A1F7A"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 xml:space="preserve">GARA vs. LANA 300mg Q2W: </w:t>
            </w:r>
            <w:r w:rsidRPr="0015004F">
              <w:rPr>
                <w:rFonts w:ascii="Arial Narrow" w:hAnsi="Arial Narrow" w:cs="Calibri"/>
                <w:color w:val="000000"/>
                <w:sz w:val="20"/>
                <w:szCs w:val="20"/>
              </w:rPr>
              <w:br/>
              <w:t>0.0 (-0.7, 0.7)</w:t>
            </w:r>
          </w:p>
        </w:tc>
        <w:tc>
          <w:tcPr>
            <w:tcW w:w="1387" w:type="pct"/>
            <w:gridSpan w:val="2"/>
            <w:shd w:val="clear" w:color="auto" w:fill="FFFFFF" w:themeFill="background1"/>
          </w:tcPr>
          <w:p w14:paraId="66A68D52"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 xml:space="preserve">GARA vs. LANA 300mg Q4W: </w:t>
            </w:r>
            <w:r w:rsidRPr="0015004F">
              <w:rPr>
                <w:rFonts w:ascii="Arial Narrow" w:hAnsi="Arial Narrow" w:cs="Calibri"/>
                <w:color w:val="000000"/>
                <w:sz w:val="20"/>
                <w:szCs w:val="20"/>
              </w:rPr>
              <w:br/>
              <w:t>-0.3 (-1.0, 0.4)</w:t>
            </w:r>
          </w:p>
        </w:tc>
      </w:tr>
      <w:tr w:rsidR="0019518B" w:rsidRPr="0015004F" w14:paraId="5F4F8520" w14:textId="77777777" w:rsidTr="00D12D69">
        <w:trPr>
          <w:trHeight w:hRule="exact" w:val="266"/>
        </w:trPr>
        <w:tc>
          <w:tcPr>
            <w:tcW w:w="945" w:type="pct"/>
            <w:shd w:val="clear" w:color="auto" w:fill="FFFFFF" w:themeFill="background1"/>
            <w:vAlign w:val="center"/>
          </w:tcPr>
          <w:p w14:paraId="7130D454" w14:textId="77777777" w:rsidR="0019518B" w:rsidRPr="0015004F" w:rsidRDefault="0019518B" w:rsidP="0000146E">
            <w:pPr>
              <w:keepNext/>
              <w:keepLines/>
              <w:widowControl w:val="0"/>
              <w:ind w:right="-57"/>
              <w:jc w:val="left"/>
              <w:rPr>
                <w:rFonts w:ascii="Arial Narrow" w:hAnsi="Arial Narrow" w:cs="Calibri"/>
                <w:color w:val="000000"/>
                <w:sz w:val="20"/>
                <w:szCs w:val="20"/>
              </w:rPr>
            </w:pPr>
            <w:r w:rsidRPr="0015004F">
              <w:rPr>
                <w:rFonts w:ascii="Arial Narrow" w:hAnsi="Arial Narrow" w:cs="Calibri"/>
                <w:color w:val="000000"/>
                <w:sz w:val="20"/>
                <w:szCs w:val="20"/>
              </w:rPr>
              <w:t>p-value</w:t>
            </w:r>
          </w:p>
        </w:tc>
        <w:tc>
          <w:tcPr>
            <w:tcW w:w="2668" w:type="pct"/>
            <w:gridSpan w:val="4"/>
            <w:shd w:val="clear" w:color="auto" w:fill="FFFFFF" w:themeFill="background1"/>
            <w:vAlign w:val="center"/>
          </w:tcPr>
          <w:p w14:paraId="794E93F9"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0.94</w:t>
            </w:r>
          </w:p>
        </w:tc>
        <w:tc>
          <w:tcPr>
            <w:tcW w:w="1387" w:type="pct"/>
            <w:gridSpan w:val="2"/>
            <w:shd w:val="clear" w:color="auto" w:fill="FFFFFF" w:themeFill="background1"/>
            <w:vAlign w:val="center"/>
          </w:tcPr>
          <w:p w14:paraId="568FA23B"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0.41</w:t>
            </w:r>
          </w:p>
        </w:tc>
      </w:tr>
      <w:tr w:rsidR="0019518B" w:rsidRPr="0015004F" w14:paraId="59C7A9CD" w14:textId="77777777" w:rsidTr="00D12D69">
        <w:trPr>
          <w:trHeight w:val="20"/>
        </w:trPr>
        <w:tc>
          <w:tcPr>
            <w:tcW w:w="5000" w:type="pct"/>
            <w:gridSpan w:val="7"/>
            <w:tcBorders>
              <w:bottom w:val="single" w:sz="4" w:space="0" w:color="auto"/>
            </w:tcBorders>
            <w:shd w:val="clear" w:color="auto" w:fill="FFFFFF" w:themeFill="background1"/>
            <w:vAlign w:val="center"/>
          </w:tcPr>
          <w:p w14:paraId="08B318B6" w14:textId="77777777" w:rsidR="0019518B" w:rsidRPr="0015004F" w:rsidRDefault="0019518B" w:rsidP="0000146E">
            <w:pPr>
              <w:keepNext/>
              <w:keepLines/>
              <w:widowControl w:val="0"/>
              <w:rPr>
                <w:rFonts w:ascii="Arial Narrow" w:hAnsi="Arial Narrow" w:cs="Calibri"/>
                <w:b/>
                <w:color w:val="000000"/>
                <w:sz w:val="20"/>
                <w:szCs w:val="20"/>
              </w:rPr>
            </w:pPr>
            <w:r w:rsidRPr="0015004F">
              <w:rPr>
                <w:rFonts w:ascii="Arial Narrow" w:hAnsi="Arial Narrow" w:cs="Calibri"/>
                <w:b/>
                <w:color w:val="000000"/>
                <w:sz w:val="20"/>
                <w:szCs w:val="20"/>
              </w:rPr>
              <w:t>Time-normalised number of HAE attacks per month requiring on-demand treatment during the treatment period</w:t>
            </w:r>
          </w:p>
        </w:tc>
      </w:tr>
      <w:tr w:rsidR="0019518B" w:rsidRPr="0015004F" w14:paraId="22945A0C" w14:textId="77777777" w:rsidTr="00D12D69">
        <w:trPr>
          <w:trHeight w:val="20"/>
        </w:trPr>
        <w:tc>
          <w:tcPr>
            <w:tcW w:w="945" w:type="pct"/>
            <w:shd w:val="clear" w:color="auto" w:fill="FFFFFF" w:themeFill="background1"/>
            <w:vAlign w:val="center"/>
          </w:tcPr>
          <w:p w14:paraId="5BC9F357" w14:textId="77777777" w:rsidR="0019518B" w:rsidRPr="0015004F" w:rsidRDefault="0019518B" w:rsidP="0000146E">
            <w:pPr>
              <w:keepNext/>
              <w:keepLines/>
              <w:widowControl w:val="0"/>
              <w:jc w:val="left"/>
              <w:rPr>
                <w:rFonts w:ascii="Arial Narrow" w:hAnsi="Arial Narrow" w:cs="Calibri"/>
                <w:color w:val="000000"/>
                <w:sz w:val="20"/>
                <w:szCs w:val="20"/>
              </w:rPr>
            </w:pPr>
            <w:r w:rsidRPr="0015004F">
              <w:rPr>
                <w:rFonts w:ascii="Arial Narrow" w:hAnsi="Arial Narrow" w:cs="Calibri"/>
                <w:color w:val="000000"/>
                <w:sz w:val="20"/>
                <w:szCs w:val="20"/>
              </w:rPr>
              <w:t>Mean (95% CI)</w:t>
            </w:r>
          </w:p>
        </w:tc>
        <w:tc>
          <w:tcPr>
            <w:tcW w:w="692" w:type="pct"/>
            <w:shd w:val="clear" w:color="auto" w:fill="FFFFFF" w:themeFill="background1"/>
            <w:vAlign w:val="center"/>
          </w:tcPr>
          <w:p w14:paraId="6D893096"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 xml:space="preserve">0.23 </w:t>
            </w:r>
            <w:r w:rsidRPr="0015004F">
              <w:rPr>
                <w:rFonts w:ascii="Arial Narrow" w:hAnsi="Arial Narrow" w:cs="Calibri"/>
                <w:color w:val="000000"/>
                <w:sz w:val="20"/>
                <w:szCs w:val="20"/>
              </w:rPr>
              <w:br/>
              <w:t>(0.02, 0.45)</w:t>
            </w:r>
          </w:p>
        </w:tc>
        <w:tc>
          <w:tcPr>
            <w:tcW w:w="706" w:type="pct"/>
            <w:shd w:val="clear" w:color="auto" w:fill="FFFFFF" w:themeFill="background1"/>
            <w:vAlign w:val="center"/>
          </w:tcPr>
          <w:p w14:paraId="4319DE7B"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 xml:space="preserve">1.86 </w:t>
            </w:r>
            <w:r w:rsidRPr="0015004F">
              <w:rPr>
                <w:rFonts w:ascii="Arial Narrow" w:hAnsi="Arial Narrow" w:cs="Calibri"/>
                <w:color w:val="000000"/>
                <w:sz w:val="20"/>
                <w:szCs w:val="20"/>
              </w:rPr>
              <w:br/>
              <w:t>(1.26, 2.46)</w:t>
            </w:r>
          </w:p>
        </w:tc>
        <w:tc>
          <w:tcPr>
            <w:tcW w:w="626" w:type="pct"/>
            <w:shd w:val="clear" w:color="auto" w:fill="FFFFFF" w:themeFill="background1"/>
            <w:vAlign w:val="center"/>
          </w:tcPr>
          <w:p w14:paraId="5278F56A"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 xml:space="preserve">0.21 </w:t>
            </w:r>
            <w:r w:rsidRPr="0015004F">
              <w:rPr>
                <w:rFonts w:ascii="Arial Narrow" w:hAnsi="Arial Narrow" w:cs="Calibri"/>
                <w:color w:val="000000"/>
                <w:sz w:val="20"/>
                <w:szCs w:val="20"/>
              </w:rPr>
              <w:br/>
              <w:t>(0.11, 0.40)</w:t>
            </w:r>
          </w:p>
        </w:tc>
        <w:tc>
          <w:tcPr>
            <w:tcW w:w="644" w:type="pct"/>
            <w:shd w:val="clear" w:color="auto" w:fill="FFFFFF" w:themeFill="background1"/>
            <w:vAlign w:val="center"/>
          </w:tcPr>
          <w:p w14:paraId="056BD075"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 xml:space="preserve">1.64 </w:t>
            </w:r>
            <w:r w:rsidRPr="0015004F">
              <w:rPr>
                <w:rFonts w:ascii="Arial Narrow" w:hAnsi="Arial Narrow" w:cs="Calibri"/>
                <w:color w:val="000000"/>
                <w:sz w:val="20"/>
                <w:szCs w:val="20"/>
              </w:rPr>
              <w:br/>
              <w:t>(1.34, 2.01)</w:t>
            </w:r>
          </w:p>
        </w:tc>
        <w:tc>
          <w:tcPr>
            <w:tcW w:w="764" w:type="pct"/>
            <w:shd w:val="clear" w:color="auto" w:fill="FFFFFF" w:themeFill="background1"/>
          </w:tcPr>
          <w:p w14:paraId="1428D007"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 xml:space="preserve">0.42 </w:t>
            </w:r>
            <w:r w:rsidRPr="0015004F">
              <w:rPr>
                <w:rFonts w:ascii="Arial Narrow" w:hAnsi="Arial Narrow" w:cs="Calibri"/>
                <w:color w:val="000000"/>
                <w:sz w:val="20"/>
                <w:szCs w:val="20"/>
              </w:rPr>
              <w:br/>
              <w:t>(0.28, 0.65)</w:t>
            </w:r>
          </w:p>
        </w:tc>
        <w:tc>
          <w:tcPr>
            <w:tcW w:w="623" w:type="pct"/>
            <w:shd w:val="clear" w:color="auto" w:fill="FFFFFF" w:themeFill="background1"/>
          </w:tcPr>
          <w:p w14:paraId="7CC166DE"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 xml:space="preserve">1.64 </w:t>
            </w:r>
            <w:r w:rsidRPr="0015004F">
              <w:rPr>
                <w:rFonts w:ascii="Arial Narrow" w:hAnsi="Arial Narrow" w:cs="Calibri"/>
                <w:color w:val="000000"/>
                <w:sz w:val="20"/>
                <w:szCs w:val="20"/>
              </w:rPr>
              <w:br/>
              <w:t>(1.34, 2.01)</w:t>
            </w:r>
          </w:p>
        </w:tc>
      </w:tr>
      <w:tr w:rsidR="0019518B" w:rsidRPr="0015004F" w14:paraId="24AAAF37" w14:textId="77777777" w:rsidTr="00D12D69">
        <w:trPr>
          <w:trHeight w:val="20"/>
        </w:trPr>
        <w:tc>
          <w:tcPr>
            <w:tcW w:w="945" w:type="pct"/>
            <w:shd w:val="clear" w:color="auto" w:fill="FFFFFF" w:themeFill="background1"/>
            <w:vAlign w:val="center"/>
          </w:tcPr>
          <w:p w14:paraId="304F3A87" w14:textId="77777777" w:rsidR="0019518B" w:rsidRPr="0015004F" w:rsidRDefault="0019518B" w:rsidP="0000146E">
            <w:pPr>
              <w:keepNext/>
              <w:keepLines/>
              <w:widowControl w:val="0"/>
              <w:jc w:val="left"/>
              <w:rPr>
                <w:rFonts w:ascii="Arial Narrow" w:hAnsi="Arial Narrow" w:cs="Calibri"/>
                <w:color w:val="000000"/>
                <w:sz w:val="20"/>
                <w:szCs w:val="20"/>
              </w:rPr>
            </w:pPr>
            <w:r w:rsidRPr="0015004F">
              <w:rPr>
                <w:rFonts w:ascii="Arial Narrow" w:hAnsi="Arial Narrow" w:cs="Calibri"/>
                <w:color w:val="000000"/>
                <w:sz w:val="20"/>
                <w:szCs w:val="20"/>
              </w:rPr>
              <w:t>Difference (95% CI)</w:t>
            </w:r>
          </w:p>
        </w:tc>
        <w:tc>
          <w:tcPr>
            <w:tcW w:w="1398" w:type="pct"/>
            <w:gridSpan w:val="2"/>
            <w:shd w:val="clear" w:color="auto" w:fill="FFFFFF" w:themeFill="background1"/>
            <w:vAlign w:val="center"/>
          </w:tcPr>
          <w:p w14:paraId="6A852169" w14:textId="77777777" w:rsidR="0019518B" w:rsidRPr="0015004F" w:rsidRDefault="0019518B" w:rsidP="0000146E">
            <w:pPr>
              <w:keepNext/>
              <w:keepLines/>
              <w:widowControl w:val="0"/>
              <w:jc w:val="center"/>
              <w:rPr>
                <w:rFonts w:ascii="Arial Narrow" w:hAnsi="Arial Narrow" w:cs="Calibri"/>
                <w:bCs/>
                <w:color w:val="000000"/>
                <w:sz w:val="20"/>
                <w:szCs w:val="20"/>
              </w:rPr>
            </w:pPr>
            <w:r w:rsidRPr="0015004F">
              <w:rPr>
                <w:rFonts w:ascii="Arial Narrow" w:hAnsi="Arial Narrow" w:cs="Calibri"/>
                <w:bCs/>
                <w:color w:val="000000"/>
                <w:sz w:val="20"/>
                <w:szCs w:val="20"/>
              </w:rPr>
              <w:t>-1.6 (-2.2, -1.0)</w:t>
            </w:r>
          </w:p>
        </w:tc>
        <w:tc>
          <w:tcPr>
            <w:tcW w:w="1270" w:type="pct"/>
            <w:gridSpan w:val="2"/>
            <w:shd w:val="clear" w:color="auto" w:fill="FFFFFF" w:themeFill="background1"/>
          </w:tcPr>
          <w:p w14:paraId="105FA738" w14:textId="77777777" w:rsidR="0019518B" w:rsidRPr="0015004F" w:rsidRDefault="0019518B" w:rsidP="0000146E">
            <w:pPr>
              <w:keepNext/>
              <w:keepLines/>
              <w:widowControl w:val="0"/>
              <w:jc w:val="center"/>
              <w:rPr>
                <w:rFonts w:ascii="Arial Narrow" w:hAnsi="Arial Narrow" w:cs="Calibri"/>
                <w:bCs/>
                <w:color w:val="000000"/>
                <w:sz w:val="20"/>
                <w:szCs w:val="20"/>
              </w:rPr>
            </w:pPr>
            <w:r w:rsidRPr="0015004F">
              <w:rPr>
                <w:rFonts w:ascii="Arial Narrow" w:hAnsi="Arial Narrow" w:cs="Calibri"/>
                <w:bCs/>
                <w:color w:val="000000"/>
                <w:sz w:val="20"/>
                <w:szCs w:val="20"/>
              </w:rPr>
              <w:t>-1.4 (-1.8, -1.1)</w:t>
            </w:r>
          </w:p>
        </w:tc>
        <w:tc>
          <w:tcPr>
            <w:tcW w:w="1387" w:type="pct"/>
            <w:gridSpan w:val="2"/>
            <w:shd w:val="clear" w:color="auto" w:fill="FFFFFF" w:themeFill="background1"/>
          </w:tcPr>
          <w:p w14:paraId="409EBC4D" w14:textId="77777777" w:rsidR="0019518B" w:rsidRPr="0015004F" w:rsidRDefault="0019518B" w:rsidP="0000146E">
            <w:pPr>
              <w:keepNext/>
              <w:keepLines/>
              <w:widowControl w:val="0"/>
              <w:jc w:val="center"/>
              <w:rPr>
                <w:rFonts w:ascii="Arial Narrow" w:hAnsi="Arial Narrow" w:cs="Calibri"/>
                <w:bCs/>
                <w:color w:val="000000"/>
                <w:sz w:val="20"/>
                <w:szCs w:val="20"/>
              </w:rPr>
            </w:pPr>
            <w:r w:rsidRPr="0015004F">
              <w:rPr>
                <w:rFonts w:ascii="Arial Narrow" w:hAnsi="Arial Narrow" w:cs="Calibri"/>
                <w:bCs/>
                <w:color w:val="000000"/>
                <w:sz w:val="20"/>
                <w:szCs w:val="20"/>
              </w:rPr>
              <w:t>-1.2 (-1.6, -0.9)</w:t>
            </w:r>
          </w:p>
        </w:tc>
      </w:tr>
      <w:tr w:rsidR="0019518B" w:rsidRPr="0015004F" w14:paraId="34AB6164" w14:textId="77777777" w:rsidTr="00D12D69">
        <w:trPr>
          <w:trHeight w:hRule="exact" w:val="522"/>
        </w:trPr>
        <w:tc>
          <w:tcPr>
            <w:tcW w:w="945" w:type="pct"/>
            <w:shd w:val="clear" w:color="auto" w:fill="FFFFFF" w:themeFill="background1"/>
            <w:vAlign w:val="center"/>
          </w:tcPr>
          <w:p w14:paraId="43109145" w14:textId="77777777" w:rsidR="0019518B" w:rsidRPr="0015004F" w:rsidRDefault="0019518B" w:rsidP="0000146E">
            <w:pPr>
              <w:keepNext/>
              <w:keepLines/>
              <w:widowControl w:val="0"/>
              <w:ind w:right="-57"/>
              <w:jc w:val="left"/>
              <w:rPr>
                <w:rFonts w:ascii="Arial Narrow" w:hAnsi="Arial Narrow" w:cs="Calibri"/>
                <w:color w:val="000000"/>
                <w:sz w:val="20"/>
                <w:szCs w:val="20"/>
              </w:rPr>
            </w:pPr>
            <w:r w:rsidRPr="0015004F">
              <w:rPr>
                <w:rFonts w:ascii="Arial Narrow" w:hAnsi="Arial Narrow" w:cs="Calibri"/>
                <w:color w:val="000000"/>
                <w:sz w:val="20"/>
                <w:szCs w:val="20"/>
              </w:rPr>
              <w:t>ITC: GARA vs. LANA</w:t>
            </w:r>
          </w:p>
        </w:tc>
        <w:tc>
          <w:tcPr>
            <w:tcW w:w="2668" w:type="pct"/>
            <w:gridSpan w:val="4"/>
            <w:shd w:val="clear" w:color="auto" w:fill="FFFFFF" w:themeFill="background1"/>
            <w:vAlign w:val="center"/>
          </w:tcPr>
          <w:p w14:paraId="6DA1D80F"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 xml:space="preserve">GARA vs. LANA 300mg Q2W: </w:t>
            </w:r>
            <w:r w:rsidRPr="0015004F">
              <w:rPr>
                <w:rFonts w:ascii="Arial Narrow" w:hAnsi="Arial Narrow" w:cs="Calibri"/>
                <w:color w:val="000000"/>
                <w:sz w:val="20"/>
                <w:szCs w:val="20"/>
              </w:rPr>
              <w:br/>
              <w:t>-0.2 (-0.9, 0.5)</w:t>
            </w:r>
          </w:p>
        </w:tc>
        <w:tc>
          <w:tcPr>
            <w:tcW w:w="1387" w:type="pct"/>
            <w:gridSpan w:val="2"/>
            <w:shd w:val="clear" w:color="auto" w:fill="FFFFFF" w:themeFill="background1"/>
            <w:vAlign w:val="center"/>
          </w:tcPr>
          <w:p w14:paraId="74EAA90A"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GARA vs. LANA 300mg Q4W:</w:t>
            </w:r>
          </w:p>
          <w:p w14:paraId="6963CC8E"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 xml:space="preserve">-0.4 (-1.1, 0.3) </w:t>
            </w:r>
          </w:p>
        </w:tc>
      </w:tr>
      <w:tr w:rsidR="0019518B" w:rsidRPr="0015004F" w14:paraId="0F8C20CF" w14:textId="77777777" w:rsidTr="00D12D69">
        <w:trPr>
          <w:trHeight w:hRule="exact" w:val="293"/>
        </w:trPr>
        <w:tc>
          <w:tcPr>
            <w:tcW w:w="945" w:type="pct"/>
            <w:shd w:val="clear" w:color="auto" w:fill="FFFFFF" w:themeFill="background1"/>
            <w:vAlign w:val="center"/>
          </w:tcPr>
          <w:p w14:paraId="2DC41232" w14:textId="77777777" w:rsidR="0019518B" w:rsidRPr="0015004F" w:rsidRDefault="0019518B" w:rsidP="0000146E">
            <w:pPr>
              <w:keepNext/>
              <w:keepLines/>
              <w:widowControl w:val="0"/>
              <w:ind w:right="-57"/>
              <w:jc w:val="left"/>
              <w:rPr>
                <w:rFonts w:ascii="Arial Narrow" w:hAnsi="Arial Narrow" w:cs="Calibri"/>
                <w:color w:val="000000"/>
                <w:sz w:val="20"/>
                <w:szCs w:val="20"/>
              </w:rPr>
            </w:pPr>
            <w:r w:rsidRPr="0015004F">
              <w:rPr>
                <w:rFonts w:ascii="Arial Narrow" w:hAnsi="Arial Narrow" w:cs="Calibri"/>
                <w:color w:val="000000"/>
                <w:sz w:val="20"/>
                <w:szCs w:val="20"/>
              </w:rPr>
              <w:t>p-value</w:t>
            </w:r>
          </w:p>
        </w:tc>
        <w:tc>
          <w:tcPr>
            <w:tcW w:w="2668" w:type="pct"/>
            <w:gridSpan w:val="4"/>
            <w:shd w:val="clear" w:color="auto" w:fill="FFFFFF" w:themeFill="background1"/>
            <w:vAlign w:val="center"/>
          </w:tcPr>
          <w:p w14:paraId="55FACBF9"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0.58</w:t>
            </w:r>
          </w:p>
        </w:tc>
        <w:tc>
          <w:tcPr>
            <w:tcW w:w="1387" w:type="pct"/>
            <w:gridSpan w:val="2"/>
            <w:shd w:val="clear" w:color="auto" w:fill="FFFFFF" w:themeFill="background1"/>
            <w:vAlign w:val="center"/>
          </w:tcPr>
          <w:p w14:paraId="116FF80F"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0.24</w:t>
            </w:r>
          </w:p>
        </w:tc>
      </w:tr>
      <w:tr w:rsidR="0019518B" w:rsidRPr="0015004F" w14:paraId="7EFDE207" w14:textId="77777777" w:rsidTr="00D12D69">
        <w:trPr>
          <w:trHeight w:val="20"/>
        </w:trPr>
        <w:tc>
          <w:tcPr>
            <w:tcW w:w="5000" w:type="pct"/>
            <w:gridSpan w:val="7"/>
            <w:tcBorders>
              <w:bottom w:val="single" w:sz="4" w:space="0" w:color="auto"/>
            </w:tcBorders>
            <w:shd w:val="clear" w:color="auto" w:fill="FFFFFF" w:themeFill="background1"/>
            <w:vAlign w:val="center"/>
          </w:tcPr>
          <w:p w14:paraId="0DD35202" w14:textId="77777777" w:rsidR="0019518B" w:rsidRPr="0015004F" w:rsidRDefault="0019518B" w:rsidP="0000146E">
            <w:pPr>
              <w:keepNext/>
              <w:keepLines/>
              <w:widowControl w:val="0"/>
              <w:rPr>
                <w:rFonts w:ascii="Arial Narrow" w:hAnsi="Arial Narrow" w:cs="Calibri"/>
                <w:b/>
                <w:color w:val="000000"/>
                <w:sz w:val="20"/>
                <w:szCs w:val="20"/>
              </w:rPr>
            </w:pPr>
            <w:r w:rsidRPr="0015004F">
              <w:rPr>
                <w:rFonts w:ascii="Arial Narrow" w:hAnsi="Arial Narrow" w:cs="Calibri"/>
                <w:b/>
                <w:color w:val="000000"/>
                <w:sz w:val="20"/>
                <w:szCs w:val="20"/>
              </w:rPr>
              <w:t>Time-normalised number of moderate/severe HAE attacks per month during the treatment period</w:t>
            </w:r>
          </w:p>
        </w:tc>
      </w:tr>
      <w:tr w:rsidR="0019518B" w:rsidRPr="0015004F" w14:paraId="122285BF" w14:textId="77777777" w:rsidTr="00D12D69">
        <w:trPr>
          <w:trHeight w:val="20"/>
        </w:trPr>
        <w:tc>
          <w:tcPr>
            <w:tcW w:w="945" w:type="pct"/>
            <w:shd w:val="clear" w:color="auto" w:fill="FFFFFF" w:themeFill="background1"/>
            <w:vAlign w:val="center"/>
          </w:tcPr>
          <w:p w14:paraId="6CD5156F" w14:textId="77777777" w:rsidR="0019518B" w:rsidRPr="0015004F" w:rsidRDefault="0019518B" w:rsidP="0000146E">
            <w:pPr>
              <w:keepNext/>
              <w:keepLines/>
              <w:widowControl w:val="0"/>
              <w:jc w:val="left"/>
              <w:rPr>
                <w:rFonts w:ascii="Arial Narrow" w:hAnsi="Arial Narrow" w:cs="Calibri"/>
                <w:color w:val="000000"/>
                <w:sz w:val="20"/>
                <w:szCs w:val="20"/>
              </w:rPr>
            </w:pPr>
            <w:r w:rsidRPr="0015004F">
              <w:rPr>
                <w:rFonts w:ascii="Arial Narrow" w:hAnsi="Arial Narrow" w:cs="Calibri"/>
                <w:color w:val="000000"/>
                <w:sz w:val="20"/>
                <w:szCs w:val="20"/>
              </w:rPr>
              <w:t>Mean (95% CI)</w:t>
            </w:r>
          </w:p>
        </w:tc>
        <w:tc>
          <w:tcPr>
            <w:tcW w:w="692" w:type="pct"/>
            <w:shd w:val="clear" w:color="auto" w:fill="FFFFFF" w:themeFill="background1"/>
            <w:vAlign w:val="center"/>
          </w:tcPr>
          <w:p w14:paraId="45A43CEF"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sz w:val="20"/>
                <w:szCs w:val="20"/>
              </w:rPr>
              <w:t xml:space="preserve">0.13 </w:t>
            </w:r>
            <w:r w:rsidRPr="0015004F">
              <w:rPr>
                <w:rFonts w:ascii="Arial Narrow" w:hAnsi="Arial Narrow"/>
                <w:sz w:val="20"/>
                <w:szCs w:val="20"/>
              </w:rPr>
              <w:br/>
              <w:t>(0.03, 0.22)</w:t>
            </w:r>
          </w:p>
        </w:tc>
        <w:tc>
          <w:tcPr>
            <w:tcW w:w="706" w:type="pct"/>
            <w:shd w:val="clear" w:color="auto" w:fill="FFFFFF" w:themeFill="background1"/>
            <w:vAlign w:val="center"/>
          </w:tcPr>
          <w:p w14:paraId="48C26F2C"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sz w:val="20"/>
                <w:szCs w:val="20"/>
              </w:rPr>
              <w:t xml:space="preserve">1.35 </w:t>
            </w:r>
            <w:r w:rsidRPr="0015004F">
              <w:rPr>
                <w:rFonts w:ascii="Arial Narrow" w:hAnsi="Arial Narrow"/>
                <w:sz w:val="20"/>
                <w:szCs w:val="20"/>
              </w:rPr>
              <w:br/>
              <w:t>(0.86, 1.84)</w:t>
            </w:r>
          </w:p>
        </w:tc>
        <w:tc>
          <w:tcPr>
            <w:tcW w:w="626" w:type="pct"/>
            <w:shd w:val="clear" w:color="auto" w:fill="FFFFFF" w:themeFill="background1"/>
            <w:vAlign w:val="center"/>
          </w:tcPr>
          <w:p w14:paraId="662FB65C"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sz w:val="20"/>
                <w:szCs w:val="20"/>
              </w:rPr>
              <w:t xml:space="preserve">0.20 </w:t>
            </w:r>
            <w:r w:rsidRPr="0015004F">
              <w:rPr>
                <w:rFonts w:ascii="Arial Narrow" w:hAnsi="Arial Narrow"/>
                <w:sz w:val="20"/>
                <w:szCs w:val="20"/>
              </w:rPr>
              <w:br/>
              <w:t>(0.11, 0.39)</w:t>
            </w:r>
          </w:p>
        </w:tc>
        <w:tc>
          <w:tcPr>
            <w:tcW w:w="644" w:type="pct"/>
            <w:shd w:val="clear" w:color="auto" w:fill="FFFFFF" w:themeFill="background1"/>
            <w:vAlign w:val="center"/>
          </w:tcPr>
          <w:p w14:paraId="4F73DD49"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sz w:val="20"/>
                <w:szCs w:val="20"/>
              </w:rPr>
              <w:t xml:space="preserve">1.22 </w:t>
            </w:r>
            <w:r w:rsidRPr="0015004F">
              <w:rPr>
                <w:rFonts w:ascii="Arial Narrow" w:hAnsi="Arial Narrow"/>
                <w:sz w:val="20"/>
                <w:szCs w:val="20"/>
              </w:rPr>
              <w:br/>
              <w:t>(0.97, 1.52)</w:t>
            </w:r>
          </w:p>
        </w:tc>
        <w:tc>
          <w:tcPr>
            <w:tcW w:w="764" w:type="pct"/>
            <w:shd w:val="clear" w:color="auto" w:fill="FFFFFF" w:themeFill="background1"/>
            <w:vAlign w:val="center"/>
          </w:tcPr>
          <w:p w14:paraId="2AFD08A5"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sz w:val="20"/>
                <w:szCs w:val="20"/>
              </w:rPr>
              <w:t xml:space="preserve">0.32 </w:t>
            </w:r>
            <w:r w:rsidRPr="0015004F">
              <w:rPr>
                <w:rFonts w:ascii="Arial Narrow" w:hAnsi="Arial Narrow"/>
                <w:sz w:val="20"/>
                <w:szCs w:val="20"/>
              </w:rPr>
              <w:br/>
              <w:t>(0.20, 0.53)</w:t>
            </w:r>
          </w:p>
        </w:tc>
        <w:tc>
          <w:tcPr>
            <w:tcW w:w="623" w:type="pct"/>
            <w:shd w:val="clear" w:color="auto" w:fill="FFFFFF" w:themeFill="background1"/>
            <w:vAlign w:val="center"/>
          </w:tcPr>
          <w:p w14:paraId="48417496"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sz w:val="20"/>
                <w:szCs w:val="20"/>
              </w:rPr>
              <w:t xml:space="preserve">1.22 </w:t>
            </w:r>
            <w:r w:rsidRPr="0015004F">
              <w:rPr>
                <w:rFonts w:ascii="Arial Narrow" w:hAnsi="Arial Narrow"/>
                <w:sz w:val="20"/>
                <w:szCs w:val="20"/>
              </w:rPr>
              <w:br/>
              <w:t>(0.97, 1.52)</w:t>
            </w:r>
          </w:p>
        </w:tc>
      </w:tr>
      <w:tr w:rsidR="0019518B" w:rsidRPr="0015004F" w14:paraId="75EA8FF2" w14:textId="77777777" w:rsidTr="00D12D69">
        <w:trPr>
          <w:trHeight w:val="20"/>
        </w:trPr>
        <w:tc>
          <w:tcPr>
            <w:tcW w:w="945" w:type="pct"/>
            <w:shd w:val="clear" w:color="auto" w:fill="FFFFFF" w:themeFill="background1"/>
            <w:vAlign w:val="center"/>
          </w:tcPr>
          <w:p w14:paraId="5171AF67" w14:textId="77777777" w:rsidR="0019518B" w:rsidRPr="0015004F" w:rsidRDefault="0019518B" w:rsidP="0000146E">
            <w:pPr>
              <w:keepNext/>
              <w:keepLines/>
              <w:widowControl w:val="0"/>
              <w:jc w:val="left"/>
              <w:rPr>
                <w:rFonts w:ascii="Arial Narrow" w:hAnsi="Arial Narrow" w:cs="Calibri"/>
                <w:color w:val="000000"/>
                <w:sz w:val="20"/>
                <w:szCs w:val="20"/>
              </w:rPr>
            </w:pPr>
            <w:r w:rsidRPr="0015004F">
              <w:rPr>
                <w:rFonts w:ascii="Arial Narrow" w:hAnsi="Arial Narrow" w:cs="Calibri"/>
                <w:color w:val="000000"/>
                <w:sz w:val="20"/>
                <w:szCs w:val="20"/>
              </w:rPr>
              <w:t>Difference (95% CI)</w:t>
            </w:r>
          </w:p>
        </w:tc>
        <w:tc>
          <w:tcPr>
            <w:tcW w:w="1398" w:type="pct"/>
            <w:gridSpan w:val="2"/>
            <w:shd w:val="clear" w:color="auto" w:fill="FFFFFF" w:themeFill="background1"/>
            <w:vAlign w:val="center"/>
          </w:tcPr>
          <w:p w14:paraId="1162D30B" w14:textId="77777777" w:rsidR="0019518B" w:rsidRPr="0015004F" w:rsidRDefault="0019518B" w:rsidP="0000146E">
            <w:pPr>
              <w:keepNext/>
              <w:keepLines/>
              <w:widowControl w:val="0"/>
              <w:jc w:val="center"/>
              <w:rPr>
                <w:rFonts w:ascii="Arial Narrow" w:hAnsi="Arial Narrow" w:cs="Calibri"/>
                <w:bCs/>
                <w:color w:val="000000"/>
                <w:sz w:val="20"/>
                <w:szCs w:val="20"/>
              </w:rPr>
            </w:pPr>
            <w:r w:rsidRPr="0015004F">
              <w:rPr>
                <w:rFonts w:ascii="Arial Narrow" w:hAnsi="Arial Narrow" w:cs="Calibri"/>
                <w:bCs/>
                <w:color w:val="000000"/>
                <w:sz w:val="20"/>
                <w:szCs w:val="20"/>
              </w:rPr>
              <w:t>-1.2 (-1.7, -0.8)</w:t>
            </w:r>
          </w:p>
        </w:tc>
        <w:tc>
          <w:tcPr>
            <w:tcW w:w="1270" w:type="pct"/>
            <w:gridSpan w:val="2"/>
            <w:shd w:val="clear" w:color="auto" w:fill="FFFFFF" w:themeFill="background1"/>
          </w:tcPr>
          <w:p w14:paraId="1747118F" w14:textId="77777777" w:rsidR="0019518B" w:rsidRPr="0015004F" w:rsidRDefault="0019518B" w:rsidP="0000146E">
            <w:pPr>
              <w:keepNext/>
              <w:keepLines/>
              <w:widowControl w:val="0"/>
              <w:jc w:val="center"/>
              <w:rPr>
                <w:rFonts w:ascii="Arial Narrow" w:hAnsi="Arial Narrow" w:cs="Calibri"/>
                <w:bCs/>
                <w:color w:val="000000"/>
                <w:sz w:val="20"/>
                <w:szCs w:val="20"/>
              </w:rPr>
            </w:pPr>
            <w:r w:rsidRPr="0015004F">
              <w:rPr>
                <w:rFonts w:ascii="Arial Narrow" w:hAnsi="Arial Narrow" w:cs="Calibri"/>
                <w:bCs/>
                <w:color w:val="000000"/>
                <w:sz w:val="20"/>
                <w:szCs w:val="20"/>
              </w:rPr>
              <w:t>-1.0 (-1.3, -0.7)</w:t>
            </w:r>
          </w:p>
        </w:tc>
        <w:tc>
          <w:tcPr>
            <w:tcW w:w="1387" w:type="pct"/>
            <w:gridSpan w:val="2"/>
            <w:shd w:val="clear" w:color="auto" w:fill="FFFFFF" w:themeFill="background1"/>
          </w:tcPr>
          <w:p w14:paraId="1C795625" w14:textId="77777777" w:rsidR="0019518B" w:rsidRPr="0015004F" w:rsidRDefault="0019518B" w:rsidP="0000146E">
            <w:pPr>
              <w:keepNext/>
              <w:keepLines/>
              <w:widowControl w:val="0"/>
              <w:jc w:val="center"/>
              <w:rPr>
                <w:rFonts w:ascii="Arial Narrow" w:hAnsi="Arial Narrow" w:cs="Calibri"/>
                <w:bCs/>
                <w:color w:val="000000"/>
                <w:sz w:val="20"/>
                <w:szCs w:val="20"/>
              </w:rPr>
            </w:pPr>
            <w:r w:rsidRPr="0015004F">
              <w:rPr>
                <w:rFonts w:ascii="Arial Narrow" w:hAnsi="Arial Narrow" w:cs="Calibri"/>
                <w:bCs/>
                <w:color w:val="000000"/>
                <w:sz w:val="20"/>
                <w:szCs w:val="20"/>
              </w:rPr>
              <w:t>-0.9 (-1.2, -0.6)</w:t>
            </w:r>
          </w:p>
        </w:tc>
      </w:tr>
      <w:tr w:rsidR="0019518B" w:rsidRPr="0015004F" w14:paraId="235E90CD" w14:textId="77777777" w:rsidTr="00D12D69">
        <w:trPr>
          <w:trHeight w:hRule="exact" w:val="522"/>
        </w:trPr>
        <w:tc>
          <w:tcPr>
            <w:tcW w:w="945" w:type="pct"/>
            <w:shd w:val="clear" w:color="auto" w:fill="FFFFFF" w:themeFill="background1"/>
            <w:vAlign w:val="center"/>
          </w:tcPr>
          <w:p w14:paraId="42A13432" w14:textId="77777777" w:rsidR="0019518B" w:rsidRPr="0015004F" w:rsidRDefault="0019518B" w:rsidP="0000146E">
            <w:pPr>
              <w:keepNext/>
              <w:keepLines/>
              <w:widowControl w:val="0"/>
              <w:ind w:right="-57"/>
              <w:jc w:val="left"/>
              <w:rPr>
                <w:rFonts w:ascii="Arial Narrow" w:hAnsi="Arial Narrow" w:cs="Calibri"/>
                <w:color w:val="000000"/>
                <w:sz w:val="20"/>
                <w:szCs w:val="20"/>
              </w:rPr>
            </w:pPr>
            <w:r w:rsidRPr="0015004F">
              <w:rPr>
                <w:rFonts w:ascii="Arial Narrow" w:hAnsi="Arial Narrow" w:cs="Calibri"/>
                <w:color w:val="000000"/>
                <w:sz w:val="20"/>
                <w:szCs w:val="20"/>
              </w:rPr>
              <w:t>ITC: GARA vs. LANA</w:t>
            </w:r>
          </w:p>
        </w:tc>
        <w:tc>
          <w:tcPr>
            <w:tcW w:w="2668" w:type="pct"/>
            <w:gridSpan w:val="4"/>
            <w:shd w:val="clear" w:color="auto" w:fill="FFFFFF" w:themeFill="background1"/>
            <w:vAlign w:val="center"/>
          </w:tcPr>
          <w:p w14:paraId="3D5C309D"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 xml:space="preserve">GARA vs. LANA 300mg Q2W: </w:t>
            </w:r>
            <w:r w:rsidRPr="0015004F">
              <w:rPr>
                <w:rFonts w:ascii="Arial Narrow" w:hAnsi="Arial Narrow" w:cs="Calibri"/>
                <w:color w:val="000000"/>
                <w:sz w:val="20"/>
                <w:szCs w:val="20"/>
              </w:rPr>
              <w:br/>
              <w:t>-0.2 (-0.8, 0.3)</w:t>
            </w:r>
          </w:p>
        </w:tc>
        <w:tc>
          <w:tcPr>
            <w:tcW w:w="1387" w:type="pct"/>
            <w:gridSpan w:val="2"/>
            <w:shd w:val="clear" w:color="auto" w:fill="FFFFFF" w:themeFill="background1"/>
            <w:vAlign w:val="center"/>
          </w:tcPr>
          <w:p w14:paraId="14C1D7B2"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GARA vs. LANA 300mg Q4W:</w:t>
            </w:r>
          </w:p>
          <w:p w14:paraId="6B7C8747"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 xml:space="preserve">-0.3 (-0.9, 0.2) </w:t>
            </w:r>
          </w:p>
        </w:tc>
      </w:tr>
      <w:tr w:rsidR="0019518B" w:rsidRPr="0015004F" w14:paraId="713C7BFD" w14:textId="77777777" w:rsidTr="00D12D69">
        <w:trPr>
          <w:trHeight w:hRule="exact" w:val="277"/>
        </w:trPr>
        <w:tc>
          <w:tcPr>
            <w:tcW w:w="945" w:type="pct"/>
            <w:shd w:val="clear" w:color="auto" w:fill="FFFFFF" w:themeFill="background1"/>
            <w:vAlign w:val="center"/>
          </w:tcPr>
          <w:p w14:paraId="7DE5D26C" w14:textId="77777777" w:rsidR="0019518B" w:rsidRPr="0015004F" w:rsidRDefault="0019518B" w:rsidP="0000146E">
            <w:pPr>
              <w:keepNext/>
              <w:keepLines/>
              <w:widowControl w:val="0"/>
              <w:ind w:right="-57"/>
              <w:jc w:val="left"/>
              <w:rPr>
                <w:rFonts w:ascii="Arial Narrow" w:hAnsi="Arial Narrow" w:cs="Calibri"/>
                <w:color w:val="000000"/>
                <w:sz w:val="20"/>
                <w:szCs w:val="20"/>
              </w:rPr>
            </w:pPr>
            <w:r w:rsidRPr="0015004F">
              <w:rPr>
                <w:rFonts w:ascii="Arial Narrow" w:hAnsi="Arial Narrow" w:cs="Calibri"/>
                <w:color w:val="000000"/>
                <w:sz w:val="20"/>
                <w:szCs w:val="20"/>
              </w:rPr>
              <w:t>p-value</w:t>
            </w:r>
          </w:p>
        </w:tc>
        <w:tc>
          <w:tcPr>
            <w:tcW w:w="2668" w:type="pct"/>
            <w:gridSpan w:val="4"/>
            <w:shd w:val="clear" w:color="auto" w:fill="FFFFFF" w:themeFill="background1"/>
            <w:vAlign w:val="center"/>
          </w:tcPr>
          <w:p w14:paraId="74C68426"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0.47</w:t>
            </w:r>
          </w:p>
        </w:tc>
        <w:tc>
          <w:tcPr>
            <w:tcW w:w="1387" w:type="pct"/>
            <w:gridSpan w:val="2"/>
            <w:shd w:val="clear" w:color="auto" w:fill="FFFFFF" w:themeFill="background1"/>
            <w:vAlign w:val="center"/>
          </w:tcPr>
          <w:p w14:paraId="7EC89D03" w14:textId="77777777" w:rsidR="0019518B" w:rsidRPr="0015004F" w:rsidRDefault="0019518B" w:rsidP="0000146E">
            <w:pPr>
              <w:keepNext/>
              <w:keepLines/>
              <w:widowControl w:val="0"/>
              <w:jc w:val="center"/>
              <w:rPr>
                <w:rFonts w:ascii="Arial Narrow" w:hAnsi="Arial Narrow" w:cs="Calibri"/>
                <w:color w:val="000000"/>
                <w:sz w:val="20"/>
                <w:szCs w:val="20"/>
              </w:rPr>
            </w:pPr>
            <w:r w:rsidRPr="0015004F">
              <w:rPr>
                <w:rFonts w:ascii="Arial Narrow" w:hAnsi="Arial Narrow" w:cs="Calibri"/>
                <w:color w:val="000000"/>
                <w:sz w:val="20"/>
                <w:szCs w:val="20"/>
              </w:rPr>
              <w:t>0.25</w:t>
            </w:r>
          </w:p>
        </w:tc>
      </w:tr>
    </w:tbl>
    <w:p w14:paraId="558122BB" w14:textId="77777777" w:rsidR="00270F00" w:rsidRPr="0015004F" w:rsidRDefault="00FE015B" w:rsidP="0000146E">
      <w:pPr>
        <w:pStyle w:val="TableFigureFooter"/>
        <w:keepNext/>
      </w:pPr>
      <w:r w:rsidRPr="0015004F">
        <w:t>Source: Table complied during the evaluation, based on Tables 2.51, 2.52 and 2.55, pp127-128, 131 of the submission.</w:t>
      </w:r>
    </w:p>
    <w:p w14:paraId="5FF3BB24" w14:textId="77777777" w:rsidR="0019518B" w:rsidRPr="0015004F" w:rsidRDefault="0019518B" w:rsidP="0000146E">
      <w:pPr>
        <w:pStyle w:val="TableFigureFooter"/>
        <w:keepNext/>
      </w:pPr>
      <w:r w:rsidRPr="0015004F">
        <w:t>CI = confidence interval; GARA = garadacimab; HAE = hereditary angioedema; LANA = lanadelumab; N = number of patients in the treatment arm; PBO = placebo; QM = once per month; Q2W = once every 2 weeks; Q4W = once every 4 weeks</w:t>
      </w:r>
    </w:p>
    <w:p w14:paraId="245F4A04" w14:textId="77777777" w:rsidR="0019518B" w:rsidRPr="0015004F" w:rsidRDefault="0019518B" w:rsidP="00106C2B">
      <w:pPr>
        <w:pStyle w:val="TableFigureFooter"/>
      </w:pPr>
      <w:r w:rsidRPr="0015004F">
        <w:t>Note: an ITC result of &lt; 0 indicates a result favouring garadacimab</w:t>
      </w:r>
    </w:p>
    <w:p w14:paraId="238C0196" w14:textId="474992FB" w:rsidR="009568B7" w:rsidRPr="0015004F" w:rsidRDefault="007068ED" w:rsidP="009568B7">
      <w:pPr>
        <w:pStyle w:val="Caption"/>
      </w:pPr>
      <w:bookmarkStart w:id="26" w:name="_Ref176796536"/>
      <w:r w:rsidRPr="0015004F">
        <w:lastRenderedPageBreak/>
        <w:t xml:space="preserve">Table </w:t>
      </w:r>
      <w:r w:rsidR="00106090">
        <w:fldChar w:fldCharType="begin" w:fldLock="1"/>
      </w:r>
      <w:r w:rsidR="00106090">
        <w:instrText xml:space="preserve"> SEQ Table \* ARABIC </w:instrText>
      </w:r>
      <w:r w:rsidR="00106090">
        <w:fldChar w:fldCharType="separate"/>
      </w:r>
      <w:r w:rsidR="00106090">
        <w:rPr>
          <w:noProof/>
        </w:rPr>
        <w:t>6</w:t>
      </w:r>
      <w:r w:rsidR="00106090">
        <w:rPr>
          <w:noProof/>
        </w:rPr>
        <w:fldChar w:fldCharType="end"/>
      </w:r>
      <w:bookmarkEnd w:id="26"/>
      <w:r w:rsidRPr="0015004F">
        <w:t xml:space="preserve">: </w:t>
      </w:r>
      <w:r w:rsidR="009568B7" w:rsidRPr="0015004F">
        <w:t xml:space="preserve">Indirect comparison of attack-free patients </w:t>
      </w:r>
      <w:r w:rsidR="009568B7" w:rsidRPr="0015004F">
        <w:rPr>
          <w:rFonts w:cs="Calibri"/>
          <w:color w:val="000000"/>
          <w:szCs w:val="20"/>
        </w:rPr>
        <w:t>during the treatment period</w:t>
      </w:r>
      <w:r w:rsidR="009568B7" w:rsidRPr="0015004F">
        <w:t xml:space="preserve"> in VANGUARD and HELP</w:t>
      </w:r>
    </w:p>
    <w:tbl>
      <w:tblPr>
        <w:tblStyle w:val="TableGrid"/>
        <w:tblW w:w="9084" w:type="dxa"/>
        <w:tblInd w:w="-5" w:type="dxa"/>
        <w:tblLayout w:type="fixed"/>
        <w:tblLook w:val="04A0" w:firstRow="1" w:lastRow="0" w:firstColumn="1" w:lastColumn="0" w:noHBand="0" w:noVBand="1"/>
      </w:tblPr>
      <w:tblGrid>
        <w:gridCol w:w="1134"/>
        <w:gridCol w:w="1701"/>
        <w:gridCol w:w="993"/>
        <w:gridCol w:w="1134"/>
        <w:gridCol w:w="1276"/>
        <w:gridCol w:w="1418"/>
        <w:gridCol w:w="1421"/>
        <w:gridCol w:w="7"/>
      </w:tblGrid>
      <w:tr w:rsidR="00FA70FD" w:rsidRPr="0015004F" w14:paraId="0C24F74D" w14:textId="77777777" w:rsidTr="003134EF">
        <w:trPr>
          <w:gridAfter w:val="1"/>
          <w:wAfter w:w="7" w:type="dxa"/>
        </w:trPr>
        <w:tc>
          <w:tcPr>
            <w:tcW w:w="1134" w:type="dxa"/>
            <w:shd w:val="clear" w:color="auto" w:fill="auto"/>
          </w:tcPr>
          <w:p w14:paraId="0BF03663" w14:textId="77777777" w:rsidR="0019518B" w:rsidRPr="0015004F" w:rsidRDefault="0019518B" w:rsidP="00D12D69">
            <w:pPr>
              <w:keepNext/>
              <w:keepLines/>
              <w:widowControl w:val="0"/>
              <w:rPr>
                <w:rFonts w:ascii="Arial Narrow" w:hAnsi="Arial Narrow" w:cstheme="minorHAnsi"/>
                <w:b/>
                <w:bCs/>
                <w:sz w:val="20"/>
                <w:szCs w:val="20"/>
              </w:rPr>
            </w:pPr>
            <w:r w:rsidRPr="0015004F">
              <w:rPr>
                <w:rFonts w:ascii="Arial Narrow" w:hAnsi="Arial Narrow" w:cstheme="minorHAnsi"/>
                <w:b/>
                <w:bCs/>
                <w:sz w:val="20"/>
                <w:szCs w:val="20"/>
              </w:rPr>
              <w:t>Trial ID</w:t>
            </w:r>
          </w:p>
        </w:tc>
        <w:tc>
          <w:tcPr>
            <w:tcW w:w="1701" w:type="dxa"/>
            <w:shd w:val="clear" w:color="auto" w:fill="auto"/>
          </w:tcPr>
          <w:p w14:paraId="1963353B" w14:textId="77777777" w:rsidR="0019518B" w:rsidRPr="0015004F" w:rsidRDefault="0019518B" w:rsidP="00D12D69">
            <w:pPr>
              <w:keepNext/>
              <w:keepLines/>
              <w:widowControl w:val="0"/>
              <w:jc w:val="center"/>
              <w:rPr>
                <w:rFonts w:ascii="Arial Narrow" w:hAnsi="Arial Narrow" w:cstheme="minorHAnsi"/>
                <w:b/>
                <w:bCs/>
                <w:sz w:val="20"/>
                <w:szCs w:val="20"/>
              </w:rPr>
            </w:pPr>
            <w:r w:rsidRPr="0015004F">
              <w:rPr>
                <w:rFonts w:ascii="Arial Narrow" w:hAnsi="Arial Narrow" w:cstheme="minorHAnsi"/>
                <w:b/>
                <w:bCs/>
                <w:sz w:val="20"/>
                <w:szCs w:val="20"/>
              </w:rPr>
              <w:t>Comparison</w:t>
            </w:r>
          </w:p>
        </w:tc>
        <w:tc>
          <w:tcPr>
            <w:tcW w:w="993" w:type="dxa"/>
            <w:shd w:val="clear" w:color="auto" w:fill="auto"/>
          </w:tcPr>
          <w:p w14:paraId="0DFDD3EE" w14:textId="77777777" w:rsidR="0019518B" w:rsidRPr="0015004F" w:rsidRDefault="0019518B" w:rsidP="00D12D69">
            <w:pPr>
              <w:keepNext/>
              <w:keepLines/>
              <w:widowControl w:val="0"/>
              <w:ind w:left="-110" w:right="-103"/>
              <w:jc w:val="center"/>
              <w:rPr>
                <w:rFonts w:ascii="Arial Narrow" w:hAnsi="Arial Narrow" w:cstheme="minorHAnsi"/>
                <w:b/>
                <w:bCs/>
                <w:sz w:val="20"/>
                <w:szCs w:val="20"/>
              </w:rPr>
            </w:pPr>
            <w:r w:rsidRPr="0015004F">
              <w:rPr>
                <w:rFonts w:ascii="Arial Narrow" w:hAnsi="Arial Narrow" w:cstheme="minorHAnsi"/>
                <w:b/>
                <w:bCs/>
                <w:sz w:val="20"/>
                <w:szCs w:val="20"/>
              </w:rPr>
              <w:t xml:space="preserve">Intervention </w:t>
            </w:r>
          </w:p>
          <w:p w14:paraId="5DB80D7A" w14:textId="77777777" w:rsidR="0019518B" w:rsidRPr="0015004F" w:rsidRDefault="0019518B" w:rsidP="00D12D69">
            <w:pPr>
              <w:keepNext/>
              <w:keepLines/>
              <w:widowControl w:val="0"/>
              <w:ind w:left="-110" w:right="-103"/>
              <w:jc w:val="center"/>
              <w:rPr>
                <w:rFonts w:ascii="Arial Narrow" w:hAnsi="Arial Narrow" w:cstheme="minorHAnsi"/>
                <w:b/>
                <w:bCs/>
                <w:sz w:val="20"/>
                <w:szCs w:val="20"/>
              </w:rPr>
            </w:pPr>
            <w:r w:rsidRPr="0015004F">
              <w:rPr>
                <w:rFonts w:ascii="Arial Narrow" w:hAnsi="Arial Narrow" w:cstheme="minorHAnsi"/>
                <w:b/>
                <w:bCs/>
                <w:sz w:val="20"/>
                <w:szCs w:val="20"/>
              </w:rPr>
              <w:t>n/N (%)</w:t>
            </w:r>
          </w:p>
        </w:tc>
        <w:tc>
          <w:tcPr>
            <w:tcW w:w="1134" w:type="dxa"/>
            <w:shd w:val="clear" w:color="auto" w:fill="auto"/>
          </w:tcPr>
          <w:p w14:paraId="78E9EE1D" w14:textId="77777777" w:rsidR="0019518B" w:rsidRPr="0015004F" w:rsidRDefault="0019518B" w:rsidP="00D12D69">
            <w:pPr>
              <w:keepNext/>
              <w:keepLines/>
              <w:widowControl w:val="0"/>
              <w:jc w:val="center"/>
              <w:rPr>
                <w:rFonts w:ascii="Arial Narrow" w:hAnsi="Arial Narrow" w:cstheme="minorHAnsi"/>
                <w:b/>
                <w:bCs/>
                <w:sz w:val="20"/>
                <w:szCs w:val="20"/>
              </w:rPr>
            </w:pPr>
            <w:r w:rsidRPr="0015004F">
              <w:rPr>
                <w:rFonts w:ascii="Arial Narrow" w:hAnsi="Arial Narrow" w:cstheme="minorHAnsi"/>
                <w:b/>
                <w:bCs/>
                <w:sz w:val="20"/>
                <w:szCs w:val="20"/>
              </w:rPr>
              <w:t>Placebo n/N (%)</w:t>
            </w:r>
          </w:p>
        </w:tc>
        <w:tc>
          <w:tcPr>
            <w:tcW w:w="1276" w:type="dxa"/>
            <w:shd w:val="clear" w:color="auto" w:fill="auto"/>
          </w:tcPr>
          <w:p w14:paraId="4160C4D9" w14:textId="77777777" w:rsidR="0019518B" w:rsidRPr="0015004F" w:rsidRDefault="0019518B" w:rsidP="00D12D69">
            <w:pPr>
              <w:keepNext/>
              <w:keepLines/>
              <w:widowControl w:val="0"/>
              <w:ind w:left="-111"/>
              <w:jc w:val="center"/>
              <w:rPr>
                <w:rFonts w:ascii="Arial Narrow" w:hAnsi="Arial Narrow" w:cstheme="minorHAnsi"/>
                <w:b/>
                <w:bCs/>
                <w:sz w:val="20"/>
                <w:szCs w:val="20"/>
              </w:rPr>
            </w:pPr>
            <w:r w:rsidRPr="0015004F">
              <w:rPr>
                <w:rFonts w:ascii="Arial Narrow" w:hAnsi="Arial Narrow" w:cstheme="minorHAnsi"/>
                <w:b/>
                <w:bCs/>
                <w:sz w:val="20"/>
                <w:szCs w:val="20"/>
              </w:rPr>
              <w:t>OR</w:t>
            </w:r>
          </w:p>
          <w:p w14:paraId="386C8B7B" w14:textId="77777777" w:rsidR="0019518B" w:rsidRPr="0015004F" w:rsidRDefault="0019518B" w:rsidP="00D12D69">
            <w:pPr>
              <w:keepNext/>
              <w:keepLines/>
              <w:widowControl w:val="0"/>
              <w:ind w:left="-111"/>
              <w:jc w:val="center"/>
              <w:rPr>
                <w:rFonts w:ascii="Arial Narrow" w:hAnsi="Arial Narrow" w:cstheme="minorHAnsi"/>
                <w:b/>
                <w:bCs/>
                <w:sz w:val="20"/>
                <w:szCs w:val="20"/>
                <w:highlight w:val="yellow"/>
              </w:rPr>
            </w:pPr>
            <w:r w:rsidRPr="0015004F">
              <w:rPr>
                <w:rFonts w:ascii="Arial Narrow" w:hAnsi="Arial Narrow" w:cstheme="minorHAnsi"/>
                <w:b/>
                <w:bCs/>
                <w:sz w:val="20"/>
                <w:szCs w:val="20"/>
              </w:rPr>
              <w:t>(95% CI)</w:t>
            </w:r>
          </w:p>
        </w:tc>
        <w:tc>
          <w:tcPr>
            <w:tcW w:w="1418" w:type="dxa"/>
            <w:shd w:val="clear" w:color="auto" w:fill="auto"/>
          </w:tcPr>
          <w:p w14:paraId="372FAE93" w14:textId="77777777" w:rsidR="0019518B" w:rsidRPr="0015004F" w:rsidRDefault="0019518B" w:rsidP="00D12D69">
            <w:pPr>
              <w:keepNext/>
              <w:keepLines/>
              <w:widowControl w:val="0"/>
              <w:jc w:val="center"/>
              <w:rPr>
                <w:rFonts w:ascii="Arial Narrow" w:hAnsi="Arial Narrow" w:cstheme="minorHAnsi"/>
                <w:b/>
                <w:bCs/>
                <w:sz w:val="20"/>
                <w:szCs w:val="20"/>
              </w:rPr>
            </w:pPr>
            <w:r w:rsidRPr="0015004F">
              <w:rPr>
                <w:rFonts w:ascii="Arial Narrow" w:hAnsi="Arial Narrow" w:cstheme="minorHAnsi"/>
                <w:b/>
                <w:bCs/>
                <w:sz w:val="20"/>
                <w:szCs w:val="20"/>
              </w:rPr>
              <w:t>RR</w:t>
            </w:r>
          </w:p>
          <w:p w14:paraId="3B48FC6B" w14:textId="77777777" w:rsidR="0019518B" w:rsidRPr="0015004F" w:rsidRDefault="0019518B" w:rsidP="00D12D69">
            <w:pPr>
              <w:keepNext/>
              <w:keepLines/>
              <w:widowControl w:val="0"/>
              <w:jc w:val="center"/>
              <w:rPr>
                <w:rFonts w:ascii="Arial Narrow" w:hAnsi="Arial Narrow" w:cstheme="minorHAnsi"/>
                <w:b/>
                <w:bCs/>
                <w:sz w:val="20"/>
                <w:szCs w:val="20"/>
                <w:highlight w:val="yellow"/>
              </w:rPr>
            </w:pPr>
            <w:r w:rsidRPr="0015004F">
              <w:rPr>
                <w:rFonts w:ascii="Arial Narrow" w:hAnsi="Arial Narrow" w:cstheme="minorHAnsi"/>
                <w:b/>
                <w:bCs/>
                <w:sz w:val="20"/>
                <w:szCs w:val="20"/>
              </w:rPr>
              <w:t>(95% CI)</w:t>
            </w:r>
          </w:p>
        </w:tc>
        <w:tc>
          <w:tcPr>
            <w:tcW w:w="1421" w:type="dxa"/>
            <w:shd w:val="clear" w:color="auto" w:fill="auto"/>
          </w:tcPr>
          <w:p w14:paraId="7A08657E" w14:textId="77777777" w:rsidR="0019518B" w:rsidRPr="0015004F" w:rsidRDefault="0019518B" w:rsidP="00D12D69">
            <w:pPr>
              <w:keepNext/>
              <w:keepLines/>
              <w:widowControl w:val="0"/>
              <w:jc w:val="center"/>
              <w:rPr>
                <w:rFonts w:ascii="Arial Narrow" w:hAnsi="Arial Narrow" w:cstheme="minorHAnsi"/>
                <w:b/>
                <w:bCs/>
                <w:sz w:val="20"/>
                <w:szCs w:val="20"/>
              </w:rPr>
            </w:pPr>
            <w:r w:rsidRPr="0015004F">
              <w:rPr>
                <w:rFonts w:ascii="Arial Narrow" w:hAnsi="Arial Narrow" w:cstheme="minorHAnsi"/>
                <w:b/>
                <w:bCs/>
                <w:sz w:val="20"/>
                <w:szCs w:val="20"/>
              </w:rPr>
              <w:t>RD</w:t>
            </w:r>
          </w:p>
          <w:p w14:paraId="2F2A7DB3" w14:textId="77777777" w:rsidR="0019518B" w:rsidRPr="0015004F" w:rsidRDefault="0019518B" w:rsidP="00D12D69">
            <w:pPr>
              <w:keepNext/>
              <w:keepLines/>
              <w:widowControl w:val="0"/>
              <w:jc w:val="center"/>
              <w:rPr>
                <w:rFonts w:ascii="Arial Narrow" w:hAnsi="Arial Narrow" w:cstheme="minorHAnsi"/>
                <w:b/>
                <w:bCs/>
                <w:sz w:val="20"/>
                <w:szCs w:val="20"/>
              </w:rPr>
            </w:pPr>
            <w:r w:rsidRPr="0015004F">
              <w:rPr>
                <w:rFonts w:ascii="Arial Narrow" w:hAnsi="Arial Narrow" w:cstheme="minorHAnsi"/>
                <w:b/>
                <w:bCs/>
                <w:sz w:val="20"/>
                <w:szCs w:val="20"/>
              </w:rPr>
              <w:t>(95% CI)</w:t>
            </w:r>
          </w:p>
        </w:tc>
      </w:tr>
      <w:tr w:rsidR="009F4F6F" w:rsidRPr="0015004F" w14:paraId="2680DACA" w14:textId="77777777" w:rsidTr="003134EF">
        <w:tc>
          <w:tcPr>
            <w:tcW w:w="9084" w:type="dxa"/>
            <w:gridSpan w:val="8"/>
          </w:tcPr>
          <w:p w14:paraId="012FEC17" w14:textId="77777777" w:rsidR="0019518B" w:rsidRPr="0015004F" w:rsidRDefault="0019518B" w:rsidP="00D12D69">
            <w:pPr>
              <w:keepNext/>
              <w:keepLines/>
              <w:widowControl w:val="0"/>
              <w:rPr>
                <w:rFonts w:ascii="Arial Narrow" w:hAnsi="Arial Narrow" w:cstheme="minorHAnsi"/>
                <w:sz w:val="20"/>
                <w:szCs w:val="20"/>
              </w:rPr>
            </w:pPr>
            <w:r w:rsidRPr="0015004F">
              <w:rPr>
                <w:rFonts w:ascii="Arial Narrow" w:hAnsi="Arial Narrow" w:cstheme="minorHAnsi"/>
                <w:b/>
                <w:bCs/>
                <w:sz w:val="20"/>
                <w:szCs w:val="20"/>
              </w:rPr>
              <w:t>GARA 200 QM vs LANA 300 Q2W</w:t>
            </w:r>
          </w:p>
        </w:tc>
      </w:tr>
      <w:tr w:rsidR="00EE66C0" w:rsidRPr="0015004F" w14:paraId="56878EC8" w14:textId="77777777" w:rsidTr="003134EF">
        <w:trPr>
          <w:gridAfter w:val="1"/>
          <w:wAfter w:w="7" w:type="dxa"/>
        </w:trPr>
        <w:tc>
          <w:tcPr>
            <w:tcW w:w="1134" w:type="dxa"/>
          </w:tcPr>
          <w:p w14:paraId="38564636" w14:textId="77777777" w:rsidR="0019518B" w:rsidRPr="0015004F" w:rsidRDefault="0019518B" w:rsidP="00D12D69">
            <w:pPr>
              <w:keepNext/>
              <w:keepLines/>
              <w:widowControl w:val="0"/>
              <w:ind w:left="-57" w:right="-109"/>
              <w:rPr>
                <w:rFonts w:ascii="Arial Narrow" w:hAnsi="Arial Narrow" w:cstheme="minorHAnsi"/>
                <w:sz w:val="20"/>
                <w:szCs w:val="20"/>
              </w:rPr>
            </w:pPr>
            <w:r w:rsidRPr="0015004F">
              <w:rPr>
                <w:rFonts w:ascii="Arial Narrow" w:hAnsi="Arial Narrow" w:cstheme="minorHAnsi"/>
                <w:sz w:val="20"/>
                <w:szCs w:val="20"/>
              </w:rPr>
              <w:t>VANGUARD</w:t>
            </w:r>
          </w:p>
        </w:tc>
        <w:tc>
          <w:tcPr>
            <w:tcW w:w="1701" w:type="dxa"/>
            <w:vAlign w:val="center"/>
          </w:tcPr>
          <w:p w14:paraId="60D047E4" w14:textId="77777777" w:rsidR="0019518B" w:rsidRPr="0015004F" w:rsidRDefault="0019518B" w:rsidP="00D12D69">
            <w:pPr>
              <w:keepNext/>
              <w:keepLines/>
              <w:widowControl w:val="0"/>
              <w:ind w:left="-113" w:right="-156"/>
              <w:jc w:val="center"/>
              <w:rPr>
                <w:rFonts w:ascii="Arial Narrow" w:hAnsi="Arial Narrow" w:cstheme="minorHAnsi"/>
                <w:sz w:val="20"/>
                <w:szCs w:val="20"/>
              </w:rPr>
            </w:pPr>
            <w:r w:rsidRPr="0015004F" w:rsidDel="008E4B4B">
              <w:rPr>
                <w:rFonts w:ascii="Arial Narrow" w:hAnsi="Arial Narrow" w:cstheme="minorHAnsi"/>
                <w:sz w:val="20"/>
                <w:szCs w:val="20"/>
              </w:rPr>
              <w:t xml:space="preserve">GARA 200 </w:t>
            </w:r>
            <w:r w:rsidRPr="0015004F">
              <w:rPr>
                <w:rFonts w:ascii="Arial Narrow" w:hAnsi="Arial Narrow" w:cstheme="minorHAnsi"/>
                <w:sz w:val="20"/>
                <w:szCs w:val="20"/>
              </w:rPr>
              <w:t>QM vs Placebo</w:t>
            </w:r>
          </w:p>
        </w:tc>
        <w:tc>
          <w:tcPr>
            <w:tcW w:w="993" w:type="dxa"/>
            <w:vAlign w:val="center"/>
          </w:tcPr>
          <w:p w14:paraId="3162D5E3"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24/39 (61.5%)</w:t>
            </w:r>
          </w:p>
        </w:tc>
        <w:tc>
          <w:tcPr>
            <w:tcW w:w="1134" w:type="dxa"/>
            <w:vAlign w:val="center"/>
          </w:tcPr>
          <w:p w14:paraId="37B43A0F"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 xml:space="preserve">0/25 </w:t>
            </w:r>
          </w:p>
          <w:p w14:paraId="18242E10"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(0.0%)</w:t>
            </w:r>
          </w:p>
        </w:tc>
        <w:tc>
          <w:tcPr>
            <w:tcW w:w="1276" w:type="dxa"/>
          </w:tcPr>
          <w:p w14:paraId="3F07E2C5" w14:textId="77777777" w:rsidR="0019518B" w:rsidRPr="0015004F" w:rsidRDefault="0019518B" w:rsidP="00D12D69">
            <w:pPr>
              <w:keepNext/>
              <w:keepLines/>
              <w:widowControl w:val="0"/>
              <w:ind w:left="-57" w:right="-57"/>
              <w:jc w:val="center"/>
              <w:rPr>
                <w:rFonts w:ascii="Arial Narrow" w:hAnsi="Arial Narrow" w:cstheme="minorHAnsi"/>
                <w:sz w:val="20"/>
                <w:szCs w:val="20"/>
              </w:rPr>
            </w:pPr>
            <w:r w:rsidRPr="0015004F">
              <w:rPr>
                <w:rFonts w:ascii="Arial Narrow" w:hAnsi="Arial Narrow" w:cstheme="minorHAnsi"/>
                <w:sz w:val="20"/>
                <w:szCs w:val="20"/>
              </w:rPr>
              <w:t xml:space="preserve">80.61 </w:t>
            </w:r>
          </w:p>
          <w:p w14:paraId="2C9379EE" w14:textId="77777777" w:rsidR="0019518B" w:rsidRPr="0015004F" w:rsidRDefault="0019518B" w:rsidP="00D12D69">
            <w:pPr>
              <w:keepNext/>
              <w:keepLines/>
              <w:widowControl w:val="0"/>
              <w:ind w:left="-57" w:right="-57"/>
              <w:jc w:val="center"/>
              <w:rPr>
                <w:rFonts w:ascii="Arial Narrow" w:hAnsi="Arial Narrow" w:cstheme="minorHAnsi"/>
                <w:sz w:val="20"/>
                <w:szCs w:val="20"/>
              </w:rPr>
            </w:pPr>
            <w:r w:rsidRPr="0015004F">
              <w:rPr>
                <w:rFonts w:ascii="Arial Narrow" w:hAnsi="Arial Narrow" w:cstheme="minorHAnsi"/>
                <w:sz w:val="20"/>
                <w:szCs w:val="20"/>
              </w:rPr>
              <w:t>(4.57, 1422.09)</w:t>
            </w:r>
          </w:p>
        </w:tc>
        <w:tc>
          <w:tcPr>
            <w:tcW w:w="1418" w:type="dxa"/>
          </w:tcPr>
          <w:p w14:paraId="30B97B8D"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 xml:space="preserve">31.85 </w:t>
            </w:r>
          </w:p>
          <w:p w14:paraId="56C58CC3"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(2.02, 501.25)</w:t>
            </w:r>
          </w:p>
        </w:tc>
        <w:tc>
          <w:tcPr>
            <w:tcW w:w="1421" w:type="dxa"/>
          </w:tcPr>
          <w:p w14:paraId="73B60C0C" w14:textId="77777777" w:rsidR="0019518B" w:rsidRPr="0015004F" w:rsidRDefault="0019518B" w:rsidP="00D12D69">
            <w:pPr>
              <w:keepNext/>
              <w:keepLines/>
              <w:widowControl w:val="0"/>
              <w:ind w:left="-114" w:right="-114"/>
              <w:jc w:val="center"/>
              <w:rPr>
                <w:rFonts w:ascii="Arial Narrow" w:hAnsi="Arial Narrow" w:cstheme="minorHAnsi"/>
                <w:sz w:val="20"/>
                <w:szCs w:val="20"/>
              </w:rPr>
            </w:pPr>
            <w:r w:rsidRPr="0015004F">
              <w:rPr>
                <w:rFonts w:ascii="Arial Narrow" w:hAnsi="Arial Narrow" w:cstheme="minorHAnsi"/>
                <w:sz w:val="20"/>
                <w:szCs w:val="20"/>
              </w:rPr>
              <w:t xml:space="preserve">61.5% </w:t>
            </w:r>
          </w:p>
          <w:p w14:paraId="29F92830" w14:textId="77777777" w:rsidR="0019518B" w:rsidRPr="0015004F" w:rsidRDefault="0019518B" w:rsidP="00D12D69">
            <w:pPr>
              <w:keepNext/>
              <w:keepLines/>
              <w:widowControl w:val="0"/>
              <w:ind w:left="-114" w:right="-114"/>
              <w:jc w:val="center"/>
              <w:rPr>
                <w:rFonts w:ascii="Arial Narrow" w:hAnsi="Arial Narrow" w:cstheme="minorHAnsi"/>
                <w:sz w:val="20"/>
                <w:szCs w:val="20"/>
              </w:rPr>
            </w:pPr>
            <w:r w:rsidRPr="0015004F">
              <w:rPr>
                <w:rFonts w:ascii="Arial Narrow" w:hAnsi="Arial Narrow" w:cstheme="minorHAnsi"/>
                <w:sz w:val="20"/>
                <w:szCs w:val="20"/>
              </w:rPr>
              <w:t>(46.3%, 76.8%)</w:t>
            </w:r>
          </w:p>
        </w:tc>
      </w:tr>
      <w:tr w:rsidR="00EE66C0" w:rsidRPr="0015004F" w14:paraId="01F68FEF" w14:textId="77777777" w:rsidTr="003134EF">
        <w:trPr>
          <w:gridAfter w:val="1"/>
          <w:wAfter w:w="7" w:type="dxa"/>
        </w:trPr>
        <w:tc>
          <w:tcPr>
            <w:tcW w:w="1134" w:type="dxa"/>
          </w:tcPr>
          <w:p w14:paraId="297D643A" w14:textId="77777777" w:rsidR="0019518B" w:rsidRPr="0015004F" w:rsidRDefault="0019518B" w:rsidP="00D12D69">
            <w:pPr>
              <w:keepNext/>
              <w:keepLines/>
              <w:widowControl w:val="0"/>
              <w:ind w:left="-57" w:right="-109"/>
              <w:rPr>
                <w:rFonts w:ascii="Arial Narrow" w:hAnsi="Arial Narrow" w:cstheme="minorHAnsi"/>
                <w:sz w:val="20"/>
                <w:szCs w:val="20"/>
              </w:rPr>
            </w:pPr>
            <w:r w:rsidRPr="0015004F">
              <w:rPr>
                <w:rFonts w:ascii="Arial Narrow" w:hAnsi="Arial Narrow" w:cstheme="minorHAnsi"/>
                <w:sz w:val="20"/>
                <w:szCs w:val="20"/>
              </w:rPr>
              <w:t>HELP</w:t>
            </w:r>
          </w:p>
        </w:tc>
        <w:tc>
          <w:tcPr>
            <w:tcW w:w="1701" w:type="dxa"/>
            <w:vAlign w:val="center"/>
          </w:tcPr>
          <w:p w14:paraId="4A7AC92E" w14:textId="77777777" w:rsidR="0019518B" w:rsidRPr="0015004F" w:rsidRDefault="0019518B" w:rsidP="00D12D69">
            <w:pPr>
              <w:keepNext/>
              <w:keepLines/>
              <w:widowControl w:val="0"/>
              <w:ind w:left="-113" w:right="-156"/>
              <w:jc w:val="center"/>
              <w:rPr>
                <w:rFonts w:ascii="Arial Narrow" w:hAnsi="Arial Narrow" w:cstheme="minorHAnsi"/>
                <w:sz w:val="20"/>
                <w:szCs w:val="20"/>
              </w:rPr>
            </w:pPr>
            <w:r w:rsidRPr="0015004F">
              <w:rPr>
                <w:rFonts w:ascii="Arial Narrow" w:hAnsi="Arial Narrow" w:cstheme="minorHAnsi"/>
                <w:sz w:val="20"/>
                <w:szCs w:val="20"/>
              </w:rPr>
              <w:t>LANA 300 Q2W vs Placebo</w:t>
            </w:r>
          </w:p>
        </w:tc>
        <w:tc>
          <w:tcPr>
            <w:tcW w:w="993" w:type="dxa"/>
            <w:vAlign w:val="center"/>
          </w:tcPr>
          <w:p w14:paraId="6384C7D2"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12/27 (44.4%)</w:t>
            </w:r>
          </w:p>
        </w:tc>
        <w:tc>
          <w:tcPr>
            <w:tcW w:w="1134" w:type="dxa"/>
            <w:vAlign w:val="center"/>
          </w:tcPr>
          <w:p w14:paraId="77F2A285"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 xml:space="preserve">1/41 </w:t>
            </w:r>
          </w:p>
          <w:p w14:paraId="3251C35A"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(2.4%)</w:t>
            </w:r>
          </w:p>
        </w:tc>
        <w:tc>
          <w:tcPr>
            <w:tcW w:w="1276" w:type="dxa"/>
          </w:tcPr>
          <w:p w14:paraId="05C01111" w14:textId="77777777" w:rsidR="0019518B" w:rsidRPr="0015004F" w:rsidRDefault="0019518B" w:rsidP="00D12D69">
            <w:pPr>
              <w:keepNext/>
              <w:keepLines/>
              <w:widowControl w:val="0"/>
              <w:ind w:left="-57"/>
              <w:jc w:val="center"/>
              <w:rPr>
                <w:rFonts w:ascii="Arial Narrow" w:hAnsi="Arial Narrow" w:cstheme="minorHAnsi"/>
                <w:sz w:val="20"/>
                <w:szCs w:val="20"/>
              </w:rPr>
            </w:pPr>
            <w:r w:rsidRPr="0015004F">
              <w:rPr>
                <w:rFonts w:ascii="Arial Narrow" w:hAnsi="Arial Narrow" w:cstheme="minorHAnsi"/>
                <w:sz w:val="20"/>
                <w:szCs w:val="20"/>
              </w:rPr>
              <w:t>32.00</w:t>
            </w:r>
          </w:p>
          <w:p w14:paraId="345B6396" w14:textId="77777777" w:rsidR="0019518B" w:rsidRPr="0015004F" w:rsidRDefault="0019518B" w:rsidP="00D12D69">
            <w:pPr>
              <w:keepNext/>
              <w:keepLines/>
              <w:widowControl w:val="0"/>
              <w:ind w:left="-57"/>
              <w:jc w:val="center"/>
              <w:rPr>
                <w:rFonts w:ascii="Arial Narrow" w:hAnsi="Arial Narrow" w:cstheme="minorHAnsi"/>
                <w:sz w:val="20"/>
                <w:szCs w:val="20"/>
              </w:rPr>
            </w:pPr>
            <w:r w:rsidRPr="0015004F">
              <w:rPr>
                <w:rFonts w:ascii="Arial Narrow" w:hAnsi="Arial Narrow" w:cstheme="minorHAnsi"/>
                <w:sz w:val="20"/>
                <w:szCs w:val="20"/>
              </w:rPr>
              <w:t>(3.82, 267.82)</w:t>
            </w:r>
          </w:p>
        </w:tc>
        <w:tc>
          <w:tcPr>
            <w:tcW w:w="1418" w:type="dxa"/>
          </w:tcPr>
          <w:p w14:paraId="310843FD"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 xml:space="preserve">18.22 </w:t>
            </w:r>
          </w:p>
          <w:p w14:paraId="25251A3A"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(2.51, 132.16)</w:t>
            </w:r>
          </w:p>
        </w:tc>
        <w:tc>
          <w:tcPr>
            <w:tcW w:w="1421" w:type="dxa"/>
          </w:tcPr>
          <w:p w14:paraId="1B6BEA54" w14:textId="77777777" w:rsidR="0019518B" w:rsidRPr="0015004F" w:rsidRDefault="0019518B" w:rsidP="00D12D69">
            <w:pPr>
              <w:keepNext/>
              <w:keepLines/>
              <w:widowControl w:val="0"/>
              <w:ind w:left="-114" w:right="-114"/>
              <w:jc w:val="center"/>
              <w:rPr>
                <w:rFonts w:ascii="Arial Narrow" w:hAnsi="Arial Narrow" w:cstheme="minorHAnsi"/>
                <w:sz w:val="20"/>
                <w:szCs w:val="20"/>
              </w:rPr>
            </w:pPr>
            <w:r w:rsidRPr="0015004F">
              <w:rPr>
                <w:rFonts w:ascii="Arial Narrow" w:hAnsi="Arial Narrow" w:cstheme="minorHAnsi"/>
                <w:sz w:val="20"/>
                <w:szCs w:val="20"/>
              </w:rPr>
              <w:t xml:space="preserve">42.0% </w:t>
            </w:r>
          </w:p>
          <w:p w14:paraId="16096864" w14:textId="77777777" w:rsidR="0019518B" w:rsidRPr="0015004F" w:rsidRDefault="0019518B" w:rsidP="00D12D69">
            <w:pPr>
              <w:keepNext/>
              <w:keepLines/>
              <w:widowControl w:val="0"/>
              <w:ind w:left="-114" w:right="-114"/>
              <w:jc w:val="center"/>
              <w:rPr>
                <w:rFonts w:ascii="Arial Narrow" w:hAnsi="Arial Narrow" w:cstheme="minorHAnsi"/>
                <w:sz w:val="20"/>
                <w:szCs w:val="20"/>
              </w:rPr>
            </w:pPr>
            <w:r w:rsidRPr="0015004F">
              <w:rPr>
                <w:rFonts w:ascii="Arial Narrow" w:hAnsi="Arial Narrow" w:cstheme="minorHAnsi"/>
                <w:sz w:val="20"/>
                <w:szCs w:val="20"/>
              </w:rPr>
              <w:t>(22.7%, 61.3%)</w:t>
            </w:r>
          </w:p>
        </w:tc>
      </w:tr>
      <w:tr w:rsidR="003F3423" w:rsidRPr="0015004F" w14:paraId="5FA02F3D" w14:textId="77777777" w:rsidTr="003134EF">
        <w:trPr>
          <w:gridAfter w:val="1"/>
          <w:wAfter w:w="7" w:type="dxa"/>
        </w:trPr>
        <w:tc>
          <w:tcPr>
            <w:tcW w:w="1134" w:type="dxa"/>
          </w:tcPr>
          <w:p w14:paraId="6AFC81DD" w14:textId="77777777" w:rsidR="0019518B" w:rsidRPr="0015004F" w:rsidRDefault="0019518B" w:rsidP="00D12D69">
            <w:pPr>
              <w:keepNext/>
              <w:keepLines/>
              <w:widowControl w:val="0"/>
              <w:ind w:left="-57" w:right="-109"/>
              <w:rPr>
                <w:rFonts w:ascii="Arial Narrow" w:hAnsi="Arial Narrow" w:cstheme="minorHAnsi"/>
                <w:sz w:val="20"/>
                <w:szCs w:val="20"/>
              </w:rPr>
            </w:pPr>
            <w:r w:rsidRPr="0015004F">
              <w:rPr>
                <w:rFonts w:ascii="Arial Narrow" w:hAnsi="Arial Narrow" w:cstheme="minorHAnsi"/>
                <w:sz w:val="20"/>
                <w:szCs w:val="20"/>
              </w:rPr>
              <w:t>Indirect comparison</w:t>
            </w:r>
          </w:p>
        </w:tc>
        <w:tc>
          <w:tcPr>
            <w:tcW w:w="3828" w:type="dxa"/>
            <w:gridSpan w:val="3"/>
          </w:tcPr>
          <w:p w14:paraId="740EE469" w14:textId="77777777" w:rsidR="0019518B" w:rsidRPr="0015004F" w:rsidRDefault="0019518B" w:rsidP="00D12D69">
            <w:pPr>
              <w:keepNext/>
              <w:keepLines/>
              <w:widowControl w:val="0"/>
              <w:jc w:val="center"/>
              <w:rPr>
                <w:rFonts w:ascii="Arial Narrow" w:hAnsi="Arial Narrow" w:cstheme="minorHAnsi"/>
                <w:sz w:val="20"/>
                <w:szCs w:val="20"/>
                <w:lang w:val="es-CO"/>
              </w:rPr>
            </w:pPr>
            <w:r w:rsidRPr="0015004F" w:rsidDel="008E4B4B">
              <w:rPr>
                <w:rFonts w:ascii="Arial Narrow" w:hAnsi="Arial Narrow" w:cstheme="minorHAnsi"/>
                <w:sz w:val="20"/>
                <w:szCs w:val="20"/>
                <w:lang w:val="es-CO"/>
              </w:rPr>
              <w:t xml:space="preserve">GARA 200 </w:t>
            </w:r>
            <w:r w:rsidRPr="0015004F">
              <w:rPr>
                <w:rFonts w:ascii="Arial Narrow" w:hAnsi="Arial Narrow" w:cstheme="minorHAnsi"/>
                <w:sz w:val="20"/>
                <w:szCs w:val="20"/>
                <w:lang w:val="es-CO"/>
              </w:rPr>
              <w:t xml:space="preserve">QM vs LANA 300 Q2W </w:t>
            </w:r>
          </w:p>
        </w:tc>
        <w:tc>
          <w:tcPr>
            <w:tcW w:w="1276" w:type="dxa"/>
          </w:tcPr>
          <w:p w14:paraId="7A5D7AEA" w14:textId="77777777" w:rsidR="0019518B" w:rsidRPr="0015004F" w:rsidRDefault="0019518B" w:rsidP="00D12D69">
            <w:pPr>
              <w:keepNext/>
              <w:keepLines/>
              <w:widowControl w:val="0"/>
              <w:ind w:left="-57" w:right="-296" w:hanging="287"/>
              <w:jc w:val="center"/>
              <w:rPr>
                <w:rFonts w:ascii="Arial Narrow" w:hAnsi="Arial Narrow" w:cstheme="minorHAnsi"/>
                <w:sz w:val="20"/>
                <w:szCs w:val="20"/>
              </w:rPr>
            </w:pPr>
            <w:r w:rsidRPr="0015004F">
              <w:rPr>
                <w:rFonts w:ascii="Arial Narrow" w:hAnsi="Arial Narrow" w:cstheme="minorHAnsi"/>
                <w:sz w:val="20"/>
                <w:szCs w:val="20"/>
              </w:rPr>
              <w:t xml:space="preserve">2.52 </w:t>
            </w:r>
          </w:p>
          <w:p w14:paraId="6F415D10" w14:textId="77777777" w:rsidR="0019518B" w:rsidRPr="0015004F" w:rsidRDefault="0019518B" w:rsidP="00D12D69">
            <w:pPr>
              <w:keepNext/>
              <w:keepLines/>
              <w:widowControl w:val="0"/>
              <w:ind w:left="-57" w:right="-296" w:hanging="287"/>
              <w:jc w:val="center"/>
              <w:rPr>
                <w:rFonts w:ascii="Arial Narrow" w:hAnsi="Arial Narrow" w:cstheme="minorHAnsi"/>
                <w:sz w:val="20"/>
                <w:szCs w:val="20"/>
              </w:rPr>
            </w:pPr>
            <w:r w:rsidRPr="0015004F">
              <w:rPr>
                <w:rFonts w:ascii="Arial Narrow" w:hAnsi="Arial Narrow" w:cstheme="minorHAnsi"/>
                <w:sz w:val="20"/>
                <w:szCs w:val="20"/>
              </w:rPr>
              <w:t>(0.07, 89.58)</w:t>
            </w:r>
          </w:p>
        </w:tc>
        <w:tc>
          <w:tcPr>
            <w:tcW w:w="1418" w:type="dxa"/>
          </w:tcPr>
          <w:p w14:paraId="399C2AF8"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1.75</w:t>
            </w:r>
          </w:p>
          <w:p w14:paraId="3729452F"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(0.06, 52.14)</w:t>
            </w:r>
          </w:p>
        </w:tc>
        <w:tc>
          <w:tcPr>
            <w:tcW w:w="1421" w:type="dxa"/>
          </w:tcPr>
          <w:p w14:paraId="454FF4CA" w14:textId="77777777" w:rsidR="0019518B" w:rsidRPr="0015004F" w:rsidRDefault="0019518B" w:rsidP="00D12D69">
            <w:pPr>
              <w:keepNext/>
              <w:keepLines/>
              <w:widowControl w:val="0"/>
              <w:ind w:left="-114" w:right="-114"/>
              <w:jc w:val="center"/>
              <w:rPr>
                <w:rFonts w:ascii="Arial Narrow" w:hAnsi="Arial Narrow" w:cstheme="minorHAnsi"/>
                <w:sz w:val="20"/>
                <w:szCs w:val="20"/>
              </w:rPr>
            </w:pPr>
            <w:r w:rsidRPr="0015004F">
              <w:rPr>
                <w:rFonts w:ascii="Arial Narrow" w:hAnsi="Arial Narrow" w:cstheme="minorHAnsi"/>
                <w:sz w:val="20"/>
                <w:szCs w:val="20"/>
              </w:rPr>
              <w:t xml:space="preserve">19.5% </w:t>
            </w:r>
          </w:p>
          <w:p w14:paraId="276EC59F" w14:textId="77777777" w:rsidR="0019518B" w:rsidRPr="0015004F" w:rsidRDefault="0019518B" w:rsidP="00D12D69">
            <w:pPr>
              <w:keepNext/>
              <w:keepLines/>
              <w:widowControl w:val="0"/>
              <w:ind w:left="-114" w:right="-114"/>
              <w:jc w:val="center"/>
              <w:rPr>
                <w:rFonts w:ascii="Arial Narrow" w:hAnsi="Arial Narrow" w:cstheme="minorHAnsi"/>
                <w:sz w:val="20"/>
                <w:szCs w:val="20"/>
              </w:rPr>
            </w:pPr>
            <w:r w:rsidRPr="0015004F">
              <w:rPr>
                <w:rFonts w:ascii="Arial Narrow" w:hAnsi="Arial Narrow" w:cstheme="minorHAnsi"/>
                <w:sz w:val="20"/>
                <w:szCs w:val="20"/>
              </w:rPr>
              <w:t>(-5.1%, 44.2%)</w:t>
            </w:r>
          </w:p>
        </w:tc>
      </w:tr>
      <w:tr w:rsidR="003F3423" w:rsidRPr="0015004F" w14:paraId="6CCAE9C7" w14:textId="77777777" w:rsidTr="003134EF">
        <w:trPr>
          <w:gridAfter w:val="1"/>
          <w:wAfter w:w="7" w:type="dxa"/>
        </w:trPr>
        <w:tc>
          <w:tcPr>
            <w:tcW w:w="1134" w:type="dxa"/>
          </w:tcPr>
          <w:p w14:paraId="1F412622" w14:textId="77777777" w:rsidR="0019518B" w:rsidRPr="0015004F" w:rsidRDefault="0019518B" w:rsidP="00D12D69">
            <w:pPr>
              <w:keepNext/>
              <w:keepLines/>
              <w:widowControl w:val="0"/>
              <w:rPr>
                <w:rFonts w:ascii="Arial Narrow" w:hAnsi="Arial Narrow" w:cstheme="minorHAnsi"/>
                <w:sz w:val="20"/>
                <w:szCs w:val="20"/>
              </w:rPr>
            </w:pPr>
            <w:r w:rsidRPr="0015004F">
              <w:rPr>
                <w:rFonts w:ascii="Arial Narrow" w:hAnsi="Arial Narrow" w:cstheme="minorHAnsi"/>
                <w:sz w:val="20"/>
                <w:szCs w:val="20"/>
              </w:rPr>
              <w:t>p-value</w:t>
            </w:r>
          </w:p>
        </w:tc>
        <w:tc>
          <w:tcPr>
            <w:tcW w:w="3828" w:type="dxa"/>
            <w:gridSpan w:val="3"/>
          </w:tcPr>
          <w:p w14:paraId="21609A34"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w:t>
            </w:r>
          </w:p>
        </w:tc>
        <w:tc>
          <w:tcPr>
            <w:tcW w:w="4115" w:type="dxa"/>
            <w:gridSpan w:val="3"/>
          </w:tcPr>
          <w:p w14:paraId="12088B0B"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&gt;0.05</w:t>
            </w:r>
          </w:p>
        </w:tc>
      </w:tr>
      <w:tr w:rsidR="009F4F6F" w:rsidRPr="0015004F" w14:paraId="63BA65B2" w14:textId="77777777" w:rsidTr="003134EF">
        <w:tc>
          <w:tcPr>
            <w:tcW w:w="9084" w:type="dxa"/>
            <w:gridSpan w:val="8"/>
          </w:tcPr>
          <w:p w14:paraId="3F776DC1" w14:textId="77777777" w:rsidR="0019518B" w:rsidRPr="0015004F" w:rsidRDefault="0019518B" w:rsidP="00D12D69">
            <w:pPr>
              <w:keepNext/>
              <w:keepLines/>
              <w:widowControl w:val="0"/>
              <w:rPr>
                <w:rFonts w:ascii="Arial Narrow" w:hAnsi="Arial Narrow" w:cstheme="minorHAnsi"/>
                <w:sz w:val="20"/>
                <w:szCs w:val="20"/>
              </w:rPr>
            </w:pPr>
            <w:r w:rsidRPr="0015004F">
              <w:rPr>
                <w:rFonts w:ascii="Arial Narrow" w:hAnsi="Arial Narrow" w:cstheme="minorHAnsi"/>
                <w:b/>
                <w:bCs/>
                <w:sz w:val="20"/>
                <w:szCs w:val="20"/>
              </w:rPr>
              <w:t>GARA 200 QM vs LANA 300 Q4W</w:t>
            </w:r>
          </w:p>
        </w:tc>
      </w:tr>
      <w:tr w:rsidR="00EE66C0" w:rsidRPr="0015004F" w14:paraId="376A952B" w14:textId="77777777" w:rsidTr="003134EF">
        <w:trPr>
          <w:gridAfter w:val="1"/>
          <w:wAfter w:w="7" w:type="dxa"/>
        </w:trPr>
        <w:tc>
          <w:tcPr>
            <w:tcW w:w="1134" w:type="dxa"/>
          </w:tcPr>
          <w:p w14:paraId="00DC3CAD" w14:textId="77777777" w:rsidR="0019518B" w:rsidRPr="0015004F" w:rsidRDefault="0019518B" w:rsidP="00D12D69">
            <w:pPr>
              <w:keepNext/>
              <w:keepLines/>
              <w:widowControl w:val="0"/>
              <w:ind w:left="-57" w:right="-106"/>
              <w:rPr>
                <w:rFonts w:ascii="Arial Narrow" w:hAnsi="Arial Narrow" w:cstheme="minorHAnsi"/>
                <w:sz w:val="20"/>
                <w:szCs w:val="20"/>
              </w:rPr>
            </w:pPr>
            <w:r w:rsidRPr="0015004F">
              <w:rPr>
                <w:rFonts w:ascii="Arial Narrow" w:hAnsi="Arial Narrow" w:cstheme="minorHAnsi"/>
                <w:sz w:val="20"/>
                <w:szCs w:val="20"/>
              </w:rPr>
              <w:t>VANGUARD</w:t>
            </w:r>
          </w:p>
        </w:tc>
        <w:tc>
          <w:tcPr>
            <w:tcW w:w="1701" w:type="dxa"/>
            <w:vAlign w:val="center"/>
          </w:tcPr>
          <w:p w14:paraId="1C10789D" w14:textId="77777777" w:rsidR="0019518B" w:rsidRPr="0015004F" w:rsidRDefault="0019518B" w:rsidP="00D12D69">
            <w:pPr>
              <w:keepNext/>
              <w:keepLines/>
              <w:widowControl w:val="0"/>
              <w:ind w:left="-107" w:right="-108"/>
              <w:jc w:val="center"/>
              <w:rPr>
                <w:rFonts w:ascii="Arial Narrow" w:hAnsi="Arial Narrow" w:cstheme="minorHAnsi"/>
                <w:sz w:val="20"/>
                <w:szCs w:val="20"/>
              </w:rPr>
            </w:pPr>
            <w:r w:rsidRPr="0015004F" w:rsidDel="008E4B4B">
              <w:rPr>
                <w:rFonts w:ascii="Arial Narrow" w:hAnsi="Arial Narrow" w:cstheme="minorHAnsi"/>
                <w:sz w:val="20"/>
                <w:szCs w:val="20"/>
              </w:rPr>
              <w:t xml:space="preserve">GARA 200 </w:t>
            </w:r>
            <w:r w:rsidRPr="0015004F">
              <w:rPr>
                <w:rFonts w:ascii="Arial Narrow" w:hAnsi="Arial Narrow" w:cstheme="minorHAnsi"/>
                <w:sz w:val="20"/>
                <w:szCs w:val="20"/>
              </w:rPr>
              <w:t>QM vs Placebo</w:t>
            </w:r>
          </w:p>
        </w:tc>
        <w:tc>
          <w:tcPr>
            <w:tcW w:w="993" w:type="dxa"/>
            <w:vAlign w:val="center"/>
          </w:tcPr>
          <w:p w14:paraId="3EEFE89E"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24/39 (61.5%)</w:t>
            </w:r>
          </w:p>
        </w:tc>
        <w:tc>
          <w:tcPr>
            <w:tcW w:w="1134" w:type="dxa"/>
            <w:vAlign w:val="center"/>
          </w:tcPr>
          <w:p w14:paraId="14BBC29D"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 xml:space="preserve">0/25 </w:t>
            </w:r>
          </w:p>
          <w:p w14:paraId="0225CEAA"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(0.0%)</w:t>
            </w:r>
          </w:p>
        </w:tc>
        <w:tc>
          <w:tcPr>
            <w:tcW w:w="1276" w:type="dxa"/>
          </w:tcPr>
          <w:p w14:paraId="7F760A20"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 xml:space="preserve">80.61 </w:t>
            </w:r>
          </w:p>
          <w:p w14:paraId="6E6F5A92" w14:textId="77777777" w:rsidR="0019518B" w:rsidRPr="0015004F" w:rsidRDefault="0019518B" w:rsidP="00D12D69">
            <w:pPr>
              <w:keepNext/>
              <w:keepLines/>
              <w:widowControl w:val="0"/>
              <w:ind w:left="-57" w:right="-57"/>
              <w:jc w:val="center"/>
              <w:rPr>
                <w:rFonts w:ascii="Arial Narrow" w:hAnsi="Arial Narrow" w:cstheme="minorHAnsi"/>
                <w:sz w:val="20"/>
                <w:szCs w:val="20"/>
              </w:rPr>
            </w:pPr>
            <w:r w:rsidRPr="0015004F">
              <w:rPr>
                <w:rFonts w:ascii="Arial Narrow" w:hAnsi="Arial Narrow" w:cstheme="minorHAnsi"/>
                <w:sz w:val="20"/>
                <w:szCs w:val="20"/>
              </w:rPr>
              <w:t>(4.57, 1422.09)</w:t>
            </w:r>
          </w:p>
        </w:tc>
        <w:tc>
          <w:tcPr>
            <w:tcW w:w="1418" w:type="dxa"/>
          </w:tcPr>
          <w:p w14:paraId="40F28801"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 xml:space="preserve">31.85 </w:t>
            </w:r>
          </w:p>
          <w:p w14:paraId="335856AC"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(2.02, 501.25)</w:t>
            </w:r>
          </w:p>
        </w:tc>
        <w:tc>
          <w:tcPr>
            <w:tcW w:w="1421" w:type="dxa"/>
          </w:tcPr>
          <w:p w14:paraId="5F01C2D3" w14:textId="77777777" w:rsidR="0019518B" w:rsidRPr="0015004F" w:rsidRDefault="0019518B" w:rsidP="00D12D69">
            <w:pPr>
              <w:keepNext/>
              <w:keepLines/>
              <w:widowControl w:val="0"/>
              <w:ind w:left="-114" w:right="-114"/>
              <w:jc w:val="center"/>
              <w:rPr>
                <w:rFonts w:ascii="Arial Narrow" w:hAnsi="Arial Narrow" w:cstheme="minorHAnsi"/>
                <w:sz w:val="20"/>
                <w:szCs w:val="20"/>
              </w:rPr>
            </w:pPr>
            <w:r w:rsidRPr="0015004F">
              <w:rPr>
                <w:rFonts w:ascii="Arial Narrow" w:hAnsi="Arial Narrow" w:cstheme="minorHAnsi"/>
                <w:sz w:val="20"/>
                <w:szCs w:val="20"/>
              </w:rPr>
              <w:t xml:space="preserve">61.5% </w:t>
            </w:r>
          </w:p>
          <w:p w14:paraId="619BF749" w14:textId="77777777" w:rsidR="0019518B" w:rsidRPr="0015004F" w:rsidRDefault="0019518B" w:rsidP="00D12D69">
            <w:pPr>
              <w:keepNext/>
              <w:keepLines/>
              <w:widowControl w:val="0"/>
              <w:ind w:left="-114" w:right="-114"/>
              <w:jc w:val="center"/>
              <w:rPr>
                <w:rFonts w:ascii="Arial Narrow" w:hAnsi="Arial Narrow" w:cstheme="minorHAnsi"/>
                <w:sz w:val="20"/>
                <w:szCs w:val="20"/>
              </w:rPr>
            </w:pPr>
            <w:r w:rsidRPr="0015004F">
              <w:rPr>
                <w:rFonts w:ascii="Arial Narrow" w:hAnsi="Arial Narrow" w:cstheme="minorHAnsi"/>
                <w:sz w:val="20"/>
                <w:szCs w:val="20"/>
              </w:rPr>
              <w:t>(46.3%, 76.8%)</w:t>
            </w:r>
          </w:p>
        </w:tc>
      </w:tr>
      <w:tr w:rsidR="00EE66C0" w:rsidRPr="0015004F" w14:paraId="5BBBCEE1" w14:textId="77777777" w:rsidTr="003134EF">
        <w:trPr>
          <w:gridAfter w:val="1"/>
          <w:wAfter w:w="7" w:type="dxa"/>
        </w:trPr>
        <w:tc>
          <w:tcPr>
            <w:tcW w:w="1134" w:type="dxa"/>
          </w:tcPr>
          <w:p w14:paraId="0EE970CF" w14:textId="77777777" w:rsidR="0019518B" w:rsidRPr="0015004F" w:rsidRDefault="0019518B" w:rsidP="00D12D69">
            <w:pPr>
              <w:keepNext/>
              <w:keepLines/>
              <w:widowControl w:val="0"/>
              <w:ind w:left="-57"/>
              <w:rPr>
                <w:rFonts w:ascii="Arial Narrow" w:hAnsi="Arial Narrow" w:cstheme="minorHAnsi"/>
                <w:sz w:val="20"/>
                <w:szCs w:val="20"/>
              </w:rPr>
            </w:pPr>
            <w:r w:rsidRPr="0015004F">
              <w:rPr>
                <w:rFonts w:ascii="Arial Narrow" w:hAnsi="Arial Narrow" w:cstheme="minorHAnsi"/>
                <w:sz w:val="20"/>
                <w:szCs w:val="20"/>
              </w:rPr>
              <w:t>HELP</w:t>
            </w:r>
          </w:p>
        </w:tc>
        <w:tc>
          <w:tcPr>
            <w:tcW w:w="1701" w:type="dxa"/>
            <w:vAlign w:val="center"/>
          </w:tcPr>
          <w:p w14:paraId="2C99750A" w14:textId="77777777" w:rsidR="0019518B" w:rsidRPr="0015004F" w:rsidRDefault="0019518B" w:rsidP="00D12D69">
            <w:pPr>
              <w:keepNext/>
              <w:keepLines/>
              <w:widowControl w:val="0"/>
              <w:ind w:left="-107" w:right="-108"/>
              <w:jc w:val="center"/>
              <w:rPr>
                <w:rFonts w:ascii="Arial Narrow" w:hAnsi="Arial Narrow" w:cstheme="minorHAnsi"/>
                <w:sz w:val="20"/>
                <w:szCs w:val="20"/>
              </w:rPr>
            </w:pPr>
            <w:r w:rsidRPr="0015004F">
              <w:rPr>
                <w:rFonts w:ascii="Arial Narrow" w:hAnsi="Arial Narrow" w:cstheme="minorHAnsi"/>
                <w:sz w:val="20"/>
                <w:szCs w:val="20"/>
              </w:rPr>
              <w:t>LANA 300 Q4W vs Placebo</w:t>
            </w:r>
          </w:p>
        </w:tc>
        <w:tc>
          <w:tcPr>
            <w:tcW w:w="993" w:type="dxa"/>
            <w:vAlign w:val="center"/>
          </w:tcPr>
          <w:p w14:paraId="162BD12F"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9/29 (31.0%)</w:t>
            </w:r>
          </w:p>
        </w:tc>
        <w:tc>
          <w:tcPr>
            <w:tcW w:w="1134" w:type="dxa"/>
            <w:vAlign w:val="center"/>
          </w:tcPr>
          <w:p w14:paraId="2A04B5AB"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 xml:space="preserve">1/41 </w:t>
            </w:r>
          </w:p>
          <w:p w14:paraId="11BA2070"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(2.4%)</w:t>
            </w:r>
          </w:p>
        </w:tc>
        <w:tc>
          <w:tcPr>
            <w:tcW w:w="1276" w:type="dxa"/>
          </w:tcPr>
          <w:p w14:paraId="2C7B2ED2"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 xml:space="preserve">18.00 </w:t>
            </w:r>
          </w:p>
          <w:p w14:paraId="0CC008BB"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(2.13, 152.17)</w:t>
            </w:r>
          </w:p>
        </w:tc>
        <w:tc>
          <w:tcPr>
            <w:tcW w:w="1418" w:type="dxa"/>
          </w:tcPr>
          <w:p w14:paraId="3E1BAAA0"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 xml:space="preserve">12.72 </w:t>
            </w:r>
          </w:p>
          <w:p w14:paraId="466D9AE9"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(1.70, 95.02)</w:t>
            </w:r>
          </w:p>
        </w:tc>
        <w:tc>
          <w:tcPr>
            <w:tcW w:w="1421" w:type="dxa"/>
          </w:tcPr>
          <w:p w14:paraId="75DCADDD" w14:textId="77777777" w:rsidR="0019518B" w:rsidRPr="0015004F" w:rsidRDefault="0019518B" w:rsidP="00D12D69">
            <w:pPr>
              <w:keepNext/>
              <w:keepLines/>
              <w:widowControl w:val="0"/>
              <w:ind w:left="-114" w:right="-114"/>
              <w:jc w:val="center"/>
              <w:rPr>
                <w:rFonts w:ascii="Arial Narrow" w:hAnsi="Arial Narrow" w:cstheme="minorHAnsi"/>
                <w:sz w:val="20"/>
                <w:szCs w:val="20"/>
              </w:rPr>
            </w:pPr>
            <w:r w:rsidRPr="0015004F">
              <w:rPr>
                <w:rFonts w:ascii="Arial Narrow" w:hAnsi="Arial Narrow" w:cstheme="minorHAnsi"/>
                <w:sz w:val="20"/>
                <w:szCs w:val="20"/>
              </w:rPr>
              <w:t xml:space="preserve">28.6% </w:t>
            </w:r>
          </w:p>
          <w:p w14:paraId="2E06F398" w14:textId="77777777" w:rsidR="0019518B" w:rsidRPr="0015004F" w:rsidRDefault="0019518B" w:rsidP="00D12D69">
            <w:pPr>
              <w:keepNext/>
              <w:keepLines/>
              <w:widowControl w:val="0"/>
              <w:ind w:left="-114" w:right="-114"/>
              <w:jc w:val="center"/>
              <w:rPr>
                <w:rFonts w:ascii="Arial Narrow" w:hAnsi="Arial Narrow" w:cstheme="minorHAnsi"/>
                <w:sz w:val="20"/>
                <w:szCs w:val="20"/>
              </w:rPr>
            </w:pPr>
            <w:r w:rsidRPr="0015004F">
              <w:rPr>
                <w:rFonts w:ascii="Arial Narrow" w:hAnsi="Arial Narrow" w:cstheme="minorHAnsi"/>
                <w:sz w:val="20"/>
                <w:szCs w:val="20"/>
              </w:rPr>
              <w:t>(11.1%, 46.1%)</w:t>
            </w:r>
          </w:p>
        </w:tc>
      </w:tr>
      <w:tr w:rsidR="003F3423" w:rsidRPr="0015004F" w14:paraId="55102C43" w14:textId="77777777" w:rsidTr="003134EF">
        <w:trPr>
          <w:gridAfter w:val="1"/>
          <w:wAfter w:w="7" w:type="dxa"/>
        </w:trPr>
        <w:tc>
          <w:tcPr>
            <w:tcW w:w="1134" w:type="dxa"/>
          </w:tcPr>
          <w:p w14:paraId="4EFC8493" w14:textId="77777777" w:rsidR="0019518B" w:rsidRPr="0015004F" w:rsidRDefault="0019518B" w:rsidP="00D12D69">
            <w:pPr>
              <w:keepNext/>
              <w:keepLines/>
              <w:widowControl w:val="0"/>
              <w:ind w:left="-57" w:right="-109"/>
              <w:rPr>
                <w:rFonts w:ascii="Arial Narrow" w:hAnsi="Arial Narrow" w:cstheme="minorHAnsi"/>
                <w:sz w:val="20"/>
                <w:szCs w:val="20"/>
              </w:rPr>
            </w:pPr>
            <w:r w:rsidRPr="0015004F">
              <w:rPr>
                <w:rFonts w:ascii="Arial Narrow" w:hAnsi="Arial Narrow" w:cstheme="minorHAnsi"/>
                <w:sz w:val="20"/>
                <w:szCs w:val="20"/>
              </w:rPr>
              <w:t>Indirect comparison</w:t>
            </w:r>
          </w:p>
        </w:tc>
        <w:tc>
          <w:tcPr>
            <w:tcW w:w="3828" w:type="dxa"/>
            <w:gridSpan w:val="3"/>
          </w:tcPr>
          <w:p w14:paraId="4876D863" w14:textId="77777777" w:rsidR="0019518B" w:rsidRPr="0015004F" w:rsidRDefault="0019518B" w:rsidP="00D12D69">
            <w:pPr>
              <w:keepNext/>
              <w:keepLines/>
              <w:widowControl w:val="0"/>
              <w:jc w:val="center"/>
              <w:rPr>
                <w:rFonts w:ascii="Arial Narrow" w:hAnsi="Arial Narrow" w:cstheme="minorHAnsi"/>
                <w:sz w:val="20"/>
                <w:szCs w:val="20"/>
                <w:lang w:val="es-CO"/>
              </w:rPr>
            </w:pPr>
            <w:r w:rsidRPr="0015004F" w:rsidDel="008E4B4B">
              <w:rPr>
                <w:rFonts w:ascii="Arial Narrow" w:hAnsi="Arial Narrow" w:cstheme="minorHAnsi"/>
                <w:sz w:val="20"/>
                <w:szCs w:val="20"/>
                <w:lang w:val="es-CO"/>
              </w:rPr>
              <w:t xml:space="preserve">GARA 200 </w:t>
            </w:r>
            <w:r w:rsidRPr="0015004F">
              <w:rPr>
                <w:rFonts w:ascii="Arial Narrow" w:hAnsi="Arial Narrow" w:cstheme="minorHAnsi"/>
                <w:sz w:val="20"/>
                <w:szCs w:val="20"/>
                <w:lang w:val="es-CO"/>
              </w:rPr>
              <w:t xml:space="preserve">QM vs LANA 300 Q4W </w:t>
            </w:r>
          </w:p>
        </w:tc>
        <w:tc>
          <w:tcPr>
            <w:tcW w:w="1276" w:type="dxa"/>
          </w:tcPr>
          <w:p w14:paraId="125837C4"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4.48</w:t>
            </w:r>
          </w:p>
          <w:p w14:paraId="5D601FF6"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(0.13, 160.15)</w:t>
            </w:r>
          </w:p>
        </w:tc>
        <w:tc>
          <w:tcPr>
            <w:tcW w:w="1418" w:type="dxa"/>
          </w:tcPr>
          <w:p w14:paraId="4BB6FE54"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 xml:space="preserve">2.50 </w:t>
            </w:r>
          </w:p>
          <w:p w14:paraId="4647ADD0"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(0.08, 76.0)</w:t>
            </w:r>
          </w:p>
        </w:tc>
        <w:tc>
          <w:tcPr>
            <w:tcW w:w="1421" w:type="dxa"/>
          </w:tcPr>
          <w:p w14:paraId="46E3E179" w14:textId="77777777" w:rsidR="0019518B" w:rsidRPr="0015004F" w:rsidRDefault="0019518B" w:rsidP="00D12D69">
            <w:pPr>
              <w:keepNext/>
              <w:keepLines/>
              <w:widowControl w:val="0"/>
              <w:ind w:left="-114" w:right="-114"/>
              <w:jc w:val="center"/>
              <w:rPr>
                <w:rFonts w:ascii="Arial Narrow" w:hAnsi="Arial Narrow" w:cstheme="minorHAnsi"/>
                <w:sz w:val="20"/>
                <w:szCs w:val="20"/>
              </w:rPr>
            </w:pPr>
            <w:r w:rsidRPr="0015004F">
              <w:rPr>
                <w:rFonts w:ascii="Arial Narrow" w:hAnsi="Arial Narrow" w:cstheme="minorHAnsi"/>
                <w:sz w:val="20"/>
                <w:szCs w:val="20"/>
              </w:rPr>
              <w:t xml:space="preserve">32.9% </w:t>
            </w:r>
          </w:p>
          <w:p w14:paraId="2F4DC1CA" w14:textId="77777777" w:rsidR="0019518B" w:rsidRPr="0015004F" w:rsidRDefault="0019518B" w:rsidP="00D12D69">
            <w:pPr>
              <w:keepNext/>
              <w:keepLines/>
              <w:widowControl w:val="0"/>
              <w:ind w:left="-114" w:right="-114"/>
              <w:jc w:val="center"/>
              <w:rPr>
                <w:rFonts w:ascii="Arial Narrow" w:hAnsi="Arial Narrow" w:cstheme="minorHAnsi"/>
                <w:sz w:val="20"/>
                <w:szCs w:val="20"/>
              </w:rPr>
            </w:pPr>
            <w:r w:rsidRPr="0015004F">
              <w:rPr>
                <w:rFonts w:ascii="Arial Narrow" w:hAnsi="Arial Narrow" w:cstheme="minorHAnsi"/>
                <w:sz w:val="20"/>
                <w:szCs w:val="20"/>
              </w:rPr>
              <w:t>(9.7%, 56.2%)</w:t>
            </w:r>
          </w:p>
        </w:tc>
      </w:tr>
      <w:tr w:rsidR="003F3423" w:rsidRPr="0015004F" w14:paraId="3445E6B4" w14:textId="77777777" w:rsidTr="003134EF">
        <w:trPr>
          <w:gridAfter w:val="1"/>
          <w:wAfter w:w="7" w:type="dxa"/>
        </w:trPr>
        <w:tc>
          <w:tcPr>
            <w:tcW w:w="1134" w:type="dxa"/>
          </w:tcPr>
          <w:p w14:paraId="687EE3EC" w14:textId="77777777" w:rsidR="0019518B" w:rsidRPr="0015004F" w:rsidRDefault="0019518B" w:rsidP="00D12D69">
            <w:pPr>
              <w:keepNext/>
              <w:keepLines/>
              <w:widowControl w:val="0"/>
              <w:rPr>
                <w:rFonts w:ascii="Arial Narrow" w:hAnsi="Arial Narrow" w:cstheme="minorHAnsi"/>
                <w:sz w:val="20"/>
                <w:szCs w:val="20"/>
              </w:rPr>
            </w:pPr>
            <w:r w:rsidRPr="0015004F">
              <w:rPr>
                <w:rFonts w:ascii="Arial Narrow" w:hAnsi="Arial Narrow" w:cstheme="minorHAnsi"/>
                <w:sz w:val="20"/>
                <w:szCs w:val="20"/>
              </w:rPr>
              <w:t>p-value</w:t>
            </w:r>
          </w:p>
        </w:tc>
        <w:tc>
          <w:tcPr>
            <w:tcW w:w="3828" w:type="dxa"/>
            <w:gridSpan w:val="3"/>
          </w:tcPr>
          <w:p w14:paraId="66FACFEA"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w:t>
            </w:r>
          </w:p>
        </w:tc>
        <w:tc>
          <w:tcPr>
            <w:tcW w:w="2694" w:type="dxa"/>
            <w:gridSpan w:val="2"/>
          </w:tcPr>
          <w:p w14:paraId="3F073586"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&gt;0.05</w:t>
            </w:r>
          </w:p>
        </w:tc>
        <w:tc>
          <w:tcPr>
            <w:tcW w:w="1421" w:type="dxa"/>
          </w:tcPr>
          <w:p w14:paraId="129D36A4" w14:textId="77777777" w:rsidR="0019518B" w:rsidRPr="0015004F" w:rsidRDefault="0019518B" w:rsidP="00D12D69">
            <w:pPr>
              <w:keepNext/>
              <w:keepLines/>
              <w:widowControl w:val="0"/>
              <w:jc w:val="center"/>
              <w:rPr>
                <w:rFonts w:ascii="Arial Narrow" w:hAnsi="Arial Narrow" w:cstheme="minorHAnsi"/>
                <w:sz w:val="20"/>
                <w:szCs w:val="20"/>
              </w:rPr>
            </w:pPr>
            <w:r w:rsidRPr="0015004F">
              <w:rPr>
                <w:rFonts w:ascii="Arial Narrow" w:hAnsi="Arial Narrow" w:cstheme="minorHAnsi"/>
                <w:sz w:val="20"/>
                <w:szCs w:val="20"/>
              </w:rPr>
              <w:t>0.00545</w:t>
            </w:r>
          </w:p>
        </w:tc>
      </w:tr>
    </w:tbl>
    <w:p w14:paraId="561E3833" w14:textId="77777777" w:rsidR="00270F00" w:rsidRPr="0015004F" w:rsidRDefault="00FE015B" w:rsidP="00106C2B">
      <w:pPr>
        <w:pStyle w:val="TableFigureFooter"/>
      </w:pPr>
      <w:r w:rsidRPr="0015004F">
        <w:t>Source: Table 2.53, p129 of the submission</w:t>
      </w:r>
    </w:p>
    <w:p w14:paraId="204FD476" w14:textId="77777777" w:rsidR="0019518B" w:rsidRPr="0015004F" w:rsidRDefault="0019518B" w:rsidP="00106C2B">
      <w:pPr>
        <w:pStyle w:val="TableFigureFooter"/>
      </w:pPr>
      <w:r w:rsidRPr="0015004F">
        <w:t>CI = confidence interval; GARA = garadacimab; LANA = lanadelumab; N = number of patients in the treatment arm; n = number of attack-free patients; OR = odds ratio; QM = once per month; Q2W = once every 2 weeks; Q4W = once every 4 weeks; RD = risk difference; RR = relative risk</w:t>
      </w:r>
    </w:p>
    <w:p w14:paraId="37C9E169" w14:textId="5522E081" w:rsidR="00B62EF2" w:rsidRPr="009B6299" w:rsidRDefault="0019518B" w:rsidP="009B6299">
      <w:pPr>
        <w:pStyle w:val="TableFigureFooter"/>
        <w:spacing w:after="120"/>
      </w:pPr>
      <w:r w:rsidRPr="0015004F">
        <w:t xml:space="preserve">Note: An indirect RD of &gt; 0 or an indirect RR/OR of &gt; 1 indicates a result favouring garadacimab </w:t>
      </w:r>
    </w:p>
    <w:p w14:paraId="1412B0E9" w14:textId="464714DE" w:rsidR="0019518B" w:rsidRPr="0015004F" w:rsidRDefault="0019518B" w:rsidP="0019518B">
      <w:pPr>
        <w:pStyle w:val="3-BodyText"/>
        <w:rPr>
          <w:rFonts w:eastAsia="Calibri"/>
        </w:rPr>
      </w:pPr>
      <w:r w:rsidRPr="0015004F">
        <w:rPr>
          <w:rFonts w:eastAsia="Calibri"/>
        </w:rPr>
        <w:t xml:space="preserve">The ITC results of the time-normalised numbers of HAE attacks, HAE attacks requiring on-demand treatment, and moderate/severe HAE attacks numerically favoured garadacimab 200 mg QM compared with lanadelumab 300 mg Q2W, and the 95%CIs did not include a worsening of outcomes which was clinically relevant. The point estimates of the indirect risk differences (RDs), relative risks (RRs) and odds ratios (ORs) for attack-free patients also </w:t>
      </w:r>
      <w:r w:rsidR="0B62456B" w:rsidRPr="0015004F">
        <w:rPr>
          <w:rFonts w:eastAsia="Calibri"/>
        </w:rPr>
        <w:t>numerically</w:t>
      </w:r>
      <w:r w:rsidRPr="0015004F">
        <w:rPr>
          <w:rFonts w:eastAsia="Calibri"/>
        </w:rPr>
        <w:t xml:space="preserve"> favoured garadacimab 200 mg QM versus lanadelumab 300 mg Q2W. However,</w:t>
      </w:r>
      <w:r w:rsidR="002D39BC" w:rsidRPr="0015004F">
        <w:rPr>
          <w:rFonts w:eastAsia="Calibri"/>
        </w:rPr>
        <w:t xml:space="preserve"> the evaluation considered that</w:t>
      </w:r>
      <w:r w:rsidRPr="0015004F">
        <w:rPr>
          <w:rFonts w:eastAsia="Calibri"/>
        </w:rPr>
        <w:t xml:space="preserve"> the wide 95% CIs suggested that the ITC was not sufficiently powered to reliably assess the relative treatment effect for this outcome. Similar results were reported for the ITCs of garadacimab 200 mg QM versus lanadelumab 300 mg Q4W. </w:t>
      </w:r>
      <w:r w:rsidR="00E423B2" w:rsidRPr="0015004F">
        <w:rPr>
          <w:rFonts w:eastAsia="Calibri"/>
        </w:rPr>
        <w:t xml:space="preserve">The ESC noted the uncertainty </w:t>
      </w:r>
      <w:r w:rsidR="00B7773D" w:rsidRPr="0015004F">
        <w:rPr>
          <w:rFonts w:eastAsia="Calibri"/>
        </w:rPr>
        <w:t>arising</w:t>
      </w:r>
      <w:r w:rsidR="00E423B2" w:rsidRPr="0015004F">
        <w:rPr>
          <w:rFonts w:eastAsia="Calibri"/>
        </w:rPr>
        <w:t xml:space="preserve"> from </w:t>
      </w:r>
      <w:r w:rsidR="003A2C51" w:rsidRPr="0015004F">
        <w:rPr>
          <w:rFonts w:eastAsia="Calibri"/>
        </w:rPr>
        <w:t xml:space="preserve">the </w:t>
      </w:r>
      <w:r w:rsidR="00E423B2" w:rsidRPr="0015004F">
        <w:rPr>
          <w:rFonts w:eastAsia="Calibri"/>
        </w:rPr>
        <w:t xml:space="preserve">small </w:t>
      </w:r>
      <w:r w:rsidR="003A2C51" w:rsidRPr="0015004F">
        <w:rPr>
          <w:rFonts w:eastAsia="Calibri"/>
        </w:rPr>
        <w:t xml:space="preserve">number of </w:t>
      </w:r>
      <w:r w:rsidR="00E423B2" w:rsidRPr="0015004F">
        <w:rPr>
          <w:rFonts w:eastAsia="Calibri"/>
        </w:rPr>
        <w:t>patients</w:t>
      </w:r>
      <w:r w:rsidR="00B7773D" w:rsidRPr="0015004F">
        <w:rPr>
          <w:rFonts w:eastAsia="Calibri"/>
        </w:rPr>
        <w:t xml:space="preserve"> in the HAE trials</w:t>
      </w:r>
      <w:r w:rsidR="00E423B2" w:rsidRPr="0015004F">
        <w:rPr>
          <w:rFonts w:eastAsia="Calibri"/>
        </w:rPr>
        <w:t>, but considered the</w:t>
      </w:r>
      <w:r w:rsidR="00E67B3A" w:rsidRPr="0015004F">
        <w:rPr>
          <w:rFonts w:eastAsia="Calibri"/>
        </w:rPr>
        <w:t xml:space="preserve"> results were generally supportive of non-inferior efficacy. </w:t>
      </w:r>
    </w:p>
    <w:p w14:paraId="413C468F" w14:textId="13FE1FF0" w:rsidR="002D39BC" w:rsidRPr="0015004F" w:rsidRDefault="002D39BC" w:rsidP="0019518B">
      <w:pPr>
        <w:pStyle w:val="3-BodyText"/>
        <w:rPr>
          <w:rFonts w:eastAsia="Calibri"/>
        </w:rPr>
      </w:pPr>
      <w:r w:rsidRPr="0015004F">
        <w:rPr>
          <w:rFonts w:eastAsia="Calibri"/>
        </w:rPr>
        <w:t>The evaluation considered that k</w:t>
      </w:r>
      <w:r w:rsidR="0019518B" w:rsidRPr="0015004F">
        <w:rPr>
          <w:rFonts w:eastAsia="Calibri"/>
        </w:rPr>
        <w:t>ey uncertainties relating to the ITCs for the efficacy between garadacimab 200 mg QM and lanadelumab 300 mg Q2M or Q4W included</w:t>
      </w:r>
      <w:r w:rsidRPr="0015004F">
        <w:rPr>
          <w:rFonts w:eastAsia="Calibri"/>
        </w:rPr>
        <w:t>:</w:t>
      </w:r>
    </w:p>
    <w:p w14:paraId="7BDF8501" w14:textId="266519D4" w:rsidR="002D39BC" w:rsidRPr="0015004F" w:rsidRDefault="0019518B" w:rsidP="00857266">
      <w:pPr>
        <w:pStyle w:val="3-BodyText"/>
        <w:numPr>
          <w:ilvl w:val="0"/>
          <w:numId w:val="10"/>
        </w:numPr>
        <w:ind w:left="1134"/>
        <w:rPr>
          <w:rFonts w:eastAsia="Calibri"/>
        </w:rPr>
      </w:pPr>
      <w:r w:rsidRPr="0015004F">
        <w:rPr>
          <w:rFonts w:eastAsia="Calibri"/>
        </w:rPr>
        <w:t>the transitivity concerns</w:t>
      </w:r>
      <w:r w:rsidR="008D0FEE" w:rsidRPr="0015004F">
        <w:rPr>
          <w:rFonts w:eastAsia="Calibri"/>
        </w:rPr>
        <w:t xml:space="preserve"> and</w:t>
      </w:r>
      <w:r w:rsidRPr="0015004F">
        <w:rPr>
          <w:rFonts w:eastAsia="Calibri"/>
        </w:rPr>
        <w:t xml:space="preserve"> small number of patients in individual trials</w:t>
      </w:r>
      <w:r w:rsidR="002D39BC" w:rsidRPr="0015004F">
        <w:rPr>
          <w:rFonts w:eastAsia="Calibri"/>
        </w:rPr>
        <w:t>;</w:t>
      </w:r>
    </w:p>
    <w:p w14:paraId="2C199517" w14:textId="04F5608D" w:rsidR="0019518B" w:rsidRPr="0015004F" w:rsidRDefault="0007248F" w:rsidP="00857266">
      <w:pPr>
        <w:pStyle w:val="3-BodyText"/>
        <w:numPr>
          <w:ilvl w:val="0"/>
          <w:numId w:val="10"/>
        </w:numPr>
        <w:ind w:left="1134"/>
        <w:rPr>
          <w:rFonts w:eastAsia="Calibri"/>
        </w:rPr>
      </w:pPr>
      <w:r w:rsidRPr="0015004F">
        <w:rPr>
          <w:rFonts w:eastAsia="Calibri"/>
        </w:rPr>
        <w:t>n</w:t>
      </w:r>
      <w:r w:rsidR="008D0FEE" w:rsidRPr="0015004F">
        <w:rPr>
          <w:rFonts w:eastAsia="Calibri"/>
        </w:rPr>
        <w:t xml:space="preserve">ot all endpoints reported in </w:t>
      </w:r>
      <w:r w:rsidR="00E710E2" w:rsidRPr="0015004F">
        <w:rPr>
          <w:rFonts w:eastAsia="Calibri"/>
        </w:rPr>
        <w:t>VANGUARD</w:t>
      </w:r>
      <w:r w:rsidR="008D0FEE" w:rsidRPr="0015004F">
        <w:rPr>
          <w:rFonts w:eastAsia="Calibri"/>
        </w:rPr>
        <w:t xml:space="preserve"> were included in the ITC, and the rationale of the </w:t>
      </w:r>
      <w:r w:rsidR="008D0FEE" w:rsidRPr="0015004F">
        <w:rPr>
          <w:rFonts w:cstheme="minorHAnsi"/>
        </w:rPr>
        <w:t>selection</w:t>
      </w:r>
      <w:r w:rsidR="008D0FEE" w:rsidRPr="0015004F">
        <w:rPr>
          <w:rFonts w:eastAsia="Calibri"/>
        </w:rPr>
        <w:t xml:space="preserve"> of the endpoints </w:t>
      </w:r>
      <w:r w:rsidR="000E4FDE" w:rsidRPr="0015004F">
        <w:rPr>
          <w:rFonts w:eastAsia="Calibri"/>
        </w:rPr>
        <w:t xml:space="preserve">(for example, </w:t>
      </w:r>
      <w:r w:rsidR="00E710E2" w:rsidRPr="0015004F">
        <w:rPr>
          <w:rFonts w:eastAsia="Calibri"/>
        </w:rPr>
        <w:t xml:space="preserve">selecting the outcome of responders with reduction </w:t>
      </w:r>
      <w:r w:rsidR="00161283" w:rsidRPr="0015004F">
        <w:rPr>
          <w:rFonts w:eastAsia="Calibri"/>
        </w:rPr>
        <w:t xml:space="preserve">in HAE attacks </w:t>
      </w:r>
      <w:r w:rsidR="00E710E2" w:rsidRPr="0015004F">
        <w:rPr>
          <w:rFonts w:eastAsia="Calibri"/>
        </w:rPr>
        <w:t xml:space="preserve">of </w:t>
      </w:r>
      <w:r w:rsidR="000E4FDE" w:rsidRPr="0015004F">
        <w:rPr>
          <w:rFonts w:eastAsia="Calibri"/>
        </w:rPr>
        <w:t>100%</w:t>
      </w:r>
      <w:r w:rsidR="00E710E2" w:rsidRPr="0015004F">
        <w:rPr>
          <w:rFonts w:eastAsia="Calibri"/>
        </w:rPr>
        <w:t xml:space="preserve">, i.e. attack-free, instead of </w:t>
      </w:r>
      <w:r w:rsidR="000E4FDE" w:rsidRPr="0015004F">
        <w:rPr>
          <w:rFonts w:eastAsia="Calibri"/>
        </w:rPr>
        <w:t xml:space="preserve">other </w:t>
      </w:r>
      <w:r w:rsidR="00E710E2" w:rsidRPr="0015004F">
        <w:rPr>
          <w:rFonts w:eastAsia="Calibri"/>
        </w:rPr>
        <w:t>responder thr</w:t>
      </w:r>
      <w:r w:rsidR="000E4FDE" w:rsidRPr="0015004F">
        <w:rPr>
          <w:rFonts w:eastAsia="Calibri"/>
        </w:rPr>
        <w:t xml:space="preserve">esholds) </w:t>
      </w:r>
      <w:r w:rsidR="008D0FEE" w:rsidRPr="0015004F">
        <w:rPr>
          <w:rFonts w:eastAsia="Calibri"/>
        </w:rPr>
        <w:t xml:space="preserve">was not provided in the submission. </w:t>
      </w:r>
    </w:p>
    <w:p w14:paraId="3ABA974D" w14:textId="562B46AB" w:rsidR="003E3521" w:rsidRPr="0015004F" w:rsidRDefault="003E3521" w:rsidP="0019357F">
      <w:pPr>
        <w:pStyle w:val="3-BodyText"/>
        <w:rPr>
          <w:rFonts w:eastAsia="Calibri"/>
        </w:rPr>
      </w:pPr>
      <w:r w:rsidRPr="0015004F">
        <w:rPr>
          <w:rFonts w:eastAsia="Calibri"/>
        </w:rPr>
        <w:t xml:space="preserve">The PSCR provided </w:t>
      </w:r>
      <w:r w:rsidR="003A2C51" w:rsidRPr="0015004F">
        <w:rPr>
          <w:rFonts w:eastAsia="Calibri"/>
        </w:rPr>
        <w:t xml:space="preserve">the </w:t>
      </w:r>
      <w:r w:rsidRPr="0015004F">
        <w:rPr>
          <w:rFonts w:eastAsia="Calibri"/>
        </w:rPr>
        <w:t xml:space="preserve">results of subgroup analyses from the VANGUARD trial in order to address the concerns raised in the evaluation regarding differences in baseline characteristics between the </w:t>
      </w:r>
      <w:r w:rsidR="003A2C51" w:rsidRPr="0015004F">
        <w:rPr>
          <w:rFonts w:eastAsia="Calibri"/>
        </w:rPr>
        <w:t xml:space="preserve">VANGUARD and HELP </w:t>
      </w:r>
      <w:r w:rsidRPr="0015004F">
        <w:rPr>
          <w:rFonts w:eastAsia="Calibri"/>
        </w:rPr>
        <w:t>trials. The subgroup</w:t>
      </w:r>
      <w:r w:rsidR="00545719">
        <w:rPr>
          <w:rFonts w:eastAsia="Calibri"/>
        </w:rPr>
        <w:t xml:space="preserve"> analyse</w:t>
      </w:r>
      <w:r w:rsidRPr="0015004F">
        <w:rPr>
          <w:rFonts w:eastAsia="Calibri"/>
        </w:rPr>
        <w:t xml:space="preserve">s </w:t>
      </w:r>
      <w:r w:rsidRPr="0015004F">
        <w:rPr>
          <w:rFonts w:eastAsia="Calibri"/>
        </w:rPr>
        <w:lastRenderedPageBreak/>
        <w:t>included the number of HAE attacks at baseline and prior LTP use. The PSCR stated that these analyses showed that the primary outcome ‘was stable across all subgroups, with no significant treatment interaction effect detected for any subgroup</w:t>
      </w:r>
      <w:r w:rsidR="00F72F69" w:rsidRPr="0015004F">
        <w:rPr>
          <w:rFonts w:eastAsia="Calibri"/>
        </w:rPr>
        <w:t>.</w:t>
      </w:r>
      <w:r w:rsidRPr="0015004F">
        <w:rPr>
          <w:rFonts w:eastAsia="Calibri"/>
        </w:rPr>
        <w:t xml:space="preserve">’ The ESC considered that the subgroup analyses provided with the PSCR were generally supportive of transitivity between </w:t>
      </w:r>
      <w:r w:rsidR="003A2C51" w:rsidRPr="0015004F">
        <w:rPr>
          <w:rFonts w:eastAsia="Calibri"/>
        </w:rPr>
        <w:t xml:space="preserve">the </w:t>
      </w:r>
      <w:r w:rsidRPr="0015004F">
        <w:rPr>
          <w:rFonts w:eastAsia="Calibri"/>
        </w:rPr>
        <w:t>trials.</w:t>
      </w:r>
    </w:p>
    <w:p w14:paraId="6A135F05" w14:textId="1CED153C" w:rsidR="00FD5D1D" w:rsidRPr="0015004F" w:rsidRDefault="003E3521" w:rsidP="0019518B">
      <w:pPr>
        <w:pStyle w:val="3-BodyText"/>
        <w:rPr>
          <w:rFonts w:eastAsia="Calibri"/>
        </w:rPr>
      </w:pPr>
      <w:r w:rsidRPr="0015004F">
        <w:rPr>
          <w:rFonts w:eastAsia="Calibri"/>
        </w:rPr>
        <w:t>Overall, t</w:t>
      </w:r>
      <w:r w:rsidR="00FD5D1D" w:rsidRPr="0015004F">
        <w:rPr>
          <w:rFonts w:eastAsia="Calibri"/>
        </w:rPr>
        <w:t xml:space="preserve">he ESC noted the similar </w:t>
      </w:r>
      <w:r w:rsidR="003A2C51" w:rsidRPr="0015004F">
        <w:rPr>
          <w:rFonts w:eastAsia="Calibri"/>
        </w:rPr>
        <w:t xml:space="preserve">rates of </w:t>
      </w:r>
      <w:r w:rsidR="00982498" w:rsidRPr="0015004F">
        <w:rPr>
          <w:rFonts w:eastAsia="Calibri"/>
        </w:rPr>
        <w:t xml:space="preserve">on-trial </w:t>
      </w:r>
      <w:r w:rsidR="00FD5D1D" w:rsidRPr="0015004F">
        <w:rPr>
          <w:rFonts w:eastAsia="Calibri"/>
        </w:rPr>
        <w:t>HAE attack</w:t>
      </w:r>
      <w:r w:rsidR="003A2C51" w:rsidRPr="0015004F">
        <w:rPr>
          <w:rFonts w:eastAsia="Calibri"/>
        </w:rPr>
        <w:t xml:space="preserve">s in the </w:t>
      </w:r>
      <w:r w:rsidR="00FD5D1D" w:rsidRPr="0015004F">
        <w:rPr>
          <w:rFonts w:eastAsia="Calibri"/>
        </w:rPr>
        <w:t>placebo group</w:t>
      </w:r>
      <w:r w:rsidRPr="0015004F">
        <w:rPr>
          <w:rFonts w:eastAsia="Calibri"/>
        </w:rPr>
        <w:t>s</w:t>
      </w:r>
      <w:r w:rsidR="00FD5D1D" w:rsidRPr="0015004F">
        <w:rPr>
          <w:rFonts w:eastAsia="Calibri"/>
        </w:rPr>
        <w:t xml:space="preserve"> in both trials, including</w:t>
      </w:r>
      <w:r w:rsidR="003A2C51" w:rsidRPr="0015004F">
        <w:rPr>
          <w:rFonts w:eastAsia="Calibri"/>
        </w:rPr>
        <w:t xml:space="preserve"> similar</w:t>
      </w:r>
      <w:r w:rsidR="00E67B3A" w:rsidRPr="0015004F">
        <w:rPr>
          <w:rFonts w:eastAsia="Calibri"/>
        </w:rPr>
        <w:t xml:space="preserve"> rates of</w:t>
      </w:r>
      <w:r w:rsidR="00FD5D1D" w:rsidRPr="0015004F">
        <w:rPr>
          <w:rFonts w:eastAsia="Calibri"/>
        </w:rPr>
        <w:t xml:space="preserve"> moderate and severe attacks, and </w:t>
      </w:r>
      <w:r w:rsidR="00F72F69" w:rsidRPr="0015004F">
        <w:rPr>
          <w:rFonts w:eastAsia="Calibri"/>
        </w:rPr>
        <w:t>thus</w:t>
      </w:r>
      <w:r w:rsidR="00FD5D1D" w:rsidRPr="0015004F">
        <w:rPr>
          <w:rFonts w:eastAsia="Calibri"/>
        </w:rPr>
        <w:t xml:space="preserve"> considered it </w:t>
      </w:r>
      <w:r w:rsidR="00F72F69" w:rsidRPr="0015004F">
        <w:rPr>
          <w:rFonts w:eastAsia="Calibri"/>
        </w:rPr>
        <w:t>wa</w:t>
      </w:r>
      <w:r w:rsidR="00FD5D1D" w:rsidRPr="0015004F">
        <w:rPr>
          <w:rFonts w:eastAsia="Calibri"/>
        </w:rPr>
        <w:t xml:space="preserve">s likely that </w:t>
      </w:r>
      <w:r w:rsidR="00AB3D8A" w:rsidRPr="0015004F">
        <w:rPr>
          <w:rFonts w:eastAsia="Calibri"/>
        </w:rPr>
        <w:t xml:space="preserve">patients in the VANGUARD trial had </w:t>
      </w:r>
      <w:r w:rsidR="00982498" w:rsidRPr="0015004F">
        <w:rPr>
          <w:rFonts w:eastAsia="Calibri"/>
        </w:rPr>
        <w:t>similar</w:t>
      </w:r>
      <w:r w:rsidR="00AB3D8A" w:rsidRPr="0015004F">
        <w:rPr>
          <w:rFonts w:eastAsia="Calibri"/>
        </w:rPr>
        <w:t xml:space="preserve"> disease</w:t>
      </w:r>
      <w:r w:rsidR="00806095" w:rsidRPr="0015004F">
        <w:rPr>
          <w:rFonts w:eastAsia="Calibri"/>
        </w:rPr>
        <w:t xml:space="preserve"> </w:t>
      </w:r>
      <w:r w:rsidR="00982498" w:rsidRPr="0015004F">
        <w:rPr>
          <w:rFonts w:eastAsia="Calibri"/>
        </w:rPr>
        <w:t xml:space="preserve">severity compared to </w:t>
      </w:r>
      <w:r w:rsidR="00806095" w:rsidRPr="0015004F">
        <w:rPr>
          <w:rFonts w:eastAsia="Calibri"/>
        </w:rPr>
        <w:t>those in the HELP trial</w:t>
      </w:r>
      <w:r w:rsidR="00FD5D1D" w:rsidRPr="0015004F">
        <w:rPr>
          <w:rFonts w:eastAsia="Calibri"/>
        </w:rPr>
        <w:t xml:space="preserve">. </w:t>
      </w:r>
    </w:p>
    <w:p w14:paraId="37ABB57E" w14:textId="52718019" w:rsidR="00DB2063" w:rsidRPr="001E389F" w:rsidRDefault="00E67B3A" w:rsidP="00D86231">
      <w:pPr>
        <w:pStyle w:val="3-BodyText"/>
      </w:pPr>
      <w:r w:rsidRPr="0015004F">
        <w:rPr>
          <w:rFonts w:eastAsia="Calibri"/>
        </w:rPr>
        <w:t xml:space="preserve">The PSCR also presented </w:t>
      </w:r>
      <w:r w:rsidR="00CC32F6" w:rsidRPr="0015004F">
        <w:rPr>
          <w:rFonts w:eastAsia="Calibri"/>
        </w:rPr>
        <w:t xml:space="preserve">the results of </w:t>
      </w:r>
      <w:r w:rsidRPr="0015004F">
        <w:rPr>
          <w:rFonts w:eastAsia="Calibri"/>
        </w:rPr>
        <w:t xml:space="preserve">a </w:t>
      </w:r>
      <w:r w:rsidR="00CC32F6" w:rsidRPr="0015004F">
        <w:rPr>
          <w:rFonts w:eastAsia="Calibri"/>
        </w:rPr>
        <w:t>m</w:t>
      </w:r>
      <w:r w:rsidRPr="0015004F">
        <w:rPr>
          <w:rFonts w:eastAsia="Calibri"/>
        </w:rPr>
        <w:t xml:space="preserve">atching adjusted indirect comparison (MAIC) </w:t>
      </w:r>
      <w:r w:rsidR="00CC32F6" w:rsidRPr="0015004F">
        <w:rPr>
          <w:rFonts w:eastAsia="Calibri"/>
        </w:rPr>
        <w:t xml:space="preserve">between garadacimab and lanadelumab. The PSCR stated that the results of the MAIC were generally favourable towards garadacimab for many of the outcomes, however the </w:t>
      </w:r>
      <w:r w:rsidR="00056D99" w:rsidRPr="0015004F">
        <w:rPr>
          <w:rFonts w:eastAsia="Calibri"/>
        </w:rPr>
        <w:t xml:space="preserve">analysis could not be evaluated as the </w:t>
      </w:r>
      <w:r w:rsidR="00CC32F6" w:rsidRPr="0015004F">
        <w:rPr>
          <w:rFonts w:eastAsia="Calibri"/>
        </w:rPr>
        <w:t xml:space="preserve">PSCR did not provide any </w:t>
      </w:r>
      <w:r w:rsidR="00F72F69" w:rsidRPr="0015004F">
        <w:rPr>
          <w:rFonts w:eastAsia="Calibri"/>
        </w:rPr>
        <w:t xml:space="preserve">information about the </w:t>
      </w:r>
      <w:r w:rsidR="00CC32F6" w:rsidRPr="0015004F">
        <w:rPr>
          <w:rFonts w:eastAsia="Calibri"/>
        </w:rPr>
        <w:t>methodology.</w:t>
      </w:r>
      <w:bookmarkStart w:id="27" w:name="_Toc22897642"/>
      <w:bookmarkStart w:id="28" w:name="_Toc177480625"/>
    </w:p>
    <w:p w14:paraId="1452C351" w14:textId="14CB2750" w:rsidR="00B60939" w:rsidRPr="0015004F" w:rsidRDefault="00B60939" w:rsidP="00D86231">
      <w:pPr>
        <w:pStyle w:val="4-SubsectionHeading"/>
        <w:rPr>
          <w:i w:val="0"/>
        </w:rPr>
      </w:pPr>
      <w:r w:rsidRPr="0015004F">
        <w:rPr>
          <w:i w:val="0"/>
        </w:rPr>
        <w:t>Comparative harms</w:t>
      </w:r>
      <w:bookmarkEnd w:id="27"/>
      <w:bookmarkEnd w:id="28"/>
    </w:p>
    <w:bookmarkStart w:id="29" w:name="_Hlk104801403"/>
    <w:p w14:paraId="614B1237" w14:textId="18F277B8" w:rsidR="0019518B" w:rsidRPr="0015004F" w:rsidRDefault="0019518B" w:rsidP="0019518B">
      <w:pPr>
        <w:pStyle w:val="3-BodyText"/>
        <w:rPr>
          <w:color w:val="0066FF"/>
        </w:rPr>
      </w:pPr>
      <w:r w:rsidRPr="0015004F">
        <w:rPr>
          <w:color w:val="000000" w:themeColor="text1"/>
        </w:rPr>
        <w:fldChar w:fldCharType="begin" w:fldLock="1"/>
      </w:r>
      <w:r w:rsidRPr="0015004F">
        <w:rPr>
          <w:color w:val="000000" w:themeColor="text1"/>
        </w:rPr>
        <w:instrText xml:space="preserve"> REF _Ref176541555 \h </w:instrText>
      </w:r>
      <w:r w:rsidR="00324372" w:rsidRPr="0015004F">
        <w:rPr>
          <w:color w:val="000000" w:themeColor="text1"/>
        </w:rPr>
        <w:instrText xml:space="preserve"> \* MERGEFORMAT </w:instrText>
      </w:r>
      <w:r w:rsidRPr="0015004F">
        <w:rPr>
          <w:color w:val="000000" w:themeColor="text1"/>
        </w:rPr>
      </w:r>
      <w:r w:rsidRPr="0015004F">
        <w:rPr>
          <w:color w:val="000000" w:themeColor="text1"/>
        </w:rPr>
        <w:fldChar w:fldCharType="separate"/>
      </w:r>
      <w:r w:rsidR="00106090" w:rsidRPr="0015004F">
        <w:t xml:space="preserve">Table </w:t>
      </w:r>
      <w:r w:rsidR="00106090">
        <w:rPr>
          <w:noProof/>
        </w:rPr>
        <w:t>7</w:t>
      </w:r>
      <w:r w:rsidRPr="0015004F">
        <w:rPr>
          <w:color w:val="000000" w:themeColor="text1"/>
        </w:rPr>
        <w:fldChar w:fldCharType="end"/>
      </w:r>
      <w:r w:rsidRPr="0015004F">
        <w:rPr>
          <w:color w:val="000000" w:themeColor="text1"/>
        </w:rPr>
        <w:t xml:space="preserve"> summarises the overall treatment-emergent adverse events (TEAEs) in the garadacimab treatment arm and the placebo arm in VANGUARD.</w:t>
      </w:r>
    </w:p>
    <w:p w14:paraId="310946F4" w14:textId="52ECE0EE" w:rsidR="00E6346D" w:rsidRPr="0015004F" w:rsidRDefault="00E6346D" w:rsidP="00F24DC1">
      <w:pPr>
        <w:pStyle w:val="Caption"/>
      </w:pPr>
      <w:bookmarkStart w:id="30" w:name="_Ref176541555"/>
      <w:bookmarkStart w:id="31" w:name="_Hlk176796143"/>
      <w:r w:rsidRPr="0015004F">
        <w:t xml:space="preserve">Table </w:t>
      </w:r>
      <w:r w:rsidR="00106090">
        <w:fldChar w:fldCharType="begin" w:fldLock="1"/>
      </w:r>
      <w:r w:rsidR="00106090">
        <w:instrText xml:space="preserve"> SEQ Table \* ARABIC </w:instrText>
      </w:r>
      <w:r w:rsidR="00106090">
        <w:fldChar w:fldCharType="separate"/>
      </w:r>
      <w:r w:rsidR="00106090">
        <w:rPr>
          <w:noProof/>
        </w:rPr>
        <w:t>7</w:t>
      </w:r>
      <w:r w:rsidR="00106090">
        <w:rPr>
          <w:noProof/>
        </w:rPr>
        <w:fldChar w:fldCharType="end"/>
      </w:r>
      <w:bookmarkEnd w:id="30"/>
      <w:r w:rsidRPr="0015004F">
        <w:t xml:space="preserve">: </w:t>
      </w:r>
      <w:bookmarkEnd w:id="31"/>
      <w:r w:rsidRPr="0015004F">
        <w:t>Summary of overall TEAEs in the VANGUARD study</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2268"/>
        <w:gridCol w:w="2075"/>
      </w:tblGrid>
      <w:tr w:rsidR="00E6346D" w:rsidRPr="0015004F" w14:paraId="1D1EDA07" w14:textId="77777777" w:rsidTr="00D12D69">
        <w:trPr>
          <w:tblHeader/>
        </w:trPr>
        <w:tc>
          <w:tcPr>
            <w:tcW w:w="2562" w:type="pct"/>
            <w:vAlign w:val="center"/>
          </w:tcPr>
          <w:p w14:paraId="4BF3BEA1" w14:textId="77777777" w:rsidR="00E6346D" w:rsidRPr="0015004F" w:rsidRDefault="00E6346D" w:rsidP="00F24DC1">
            <w:pPr>
              <w:pStyle w:val="In-tableHeading"/>
              <w:rPr>
                <w:iCs w:val="0"/>
              </w:rPr>
            </w:pPr>
          </w:p>
        </w:tc>
        <w:tc>
          <w:tcPr>
            <w:tcW w:w="1273" w:type="pct"/>
            <w:vAlign w:val="center"/>
          </w:tcPr>
          <w:p w14:paraId="60E504F9" w14:textId="77777777" w:rsidR="00E6346D" w:rsidRPr="0015004F" w:rsidRDefault="00E6346D" w:rsidP="00F24DC1">
            <w:pPr>
              <w:pStyle w:val="In-tableHeading"/>
              <w:rPr>
                <w:iCs w:val="0"/>
              </w:rPr>
            </w:pPr>
            <w:r w:rsidRPr="0015004F">
              <w:rPr>
                <w:iCs w:val="0"/>
              </w:rPr>
              <w:t>Garadacimab 200 mg QM</w:t>
            </w:r>
          </w:p>
          <w:p w14:paraId="4CFCA02B" w14:textId="77777777" w:rsidR="00E6346D" w:rsidRPr="0015004F" w:rsidRDefault="00E6346D" w:rsidP="00F24DC1">
            <w:pPr>
              <w:pStyle w:val="In-tableHeading"/>
              <w:rPr>
                <w:iCs w:val="0"/>
              </w:rPr>
            </w:pPr>
            <w:r w:rsidRPr="0015004F">
              <w:rPr>
                <w:iCs w:val="0"/>
              </w:rPr>
              <w:t>(N = 39)</w:t>
            </w:r>
          </w:p>
          <w:p w14:paraId="1299780D" w14:textId="77777777" w:rsidR="00E6346D" w:rsidRPr="0015004F" w:rsidRDefault="00E6346D" w:rsidP="00F24DC1">
            <w:pPr>
              <w:pStyle w:val="In-tableHeading"/>
              <w:rPr>
                <w:iCs w:val="0"/>
              </w:rPr>
            </w:pPr>
            <w:r w:rsidRPr="0015004F">
              <w:rPr>
                <w:iCs w:val="0"/>
              </w:rPr>
              <w:t>n (%)</w:t>
            </w:r>
            <w:r w:rsidRPr="0015004F">
              <w:rPr>
                <w:iCs w:val="0"/>
                <w:vertAlign w:val="superscript"/>
              </w:rPr>
              <w:t xml:space="preserve"> </w:t>
            </w:r>
          </w:p>
        </w:tc>
        <w:tc>
          <w:tcPr>
            <w:tcW w:w="1165" w:type="pct"/>
            <w:vAlign w:val="center"/>
          </w:tcPr>
          <w:p w14:paraId="249F49D0" w14:textId="77777777" w:rsidR="00E6346D" w:rsidRPr="0015004F" w:rsidRDefault="00E6346D" w:rsidP="00F24DC1">
            <w:pPr>
              <w:pStyle w:val="In-tableHeading"/>
              <w:rPr>
                <w:iCs w:val="0"/>
              </w:rPr>
            </w:pPr>
            <w:r w:rsidRPr="0015004F">
              <w:rPr>
                <w:iCs w:val="0"/>
              </w:rPr>
              <w:t>Placebo</w:t>
            </w:r>
          </w:p>
          <w:p w14:paraId="0DDF8828" w14:textId="77777777" w:rsidR="00E6346D" w:rsidRPr="0015004F" w:rsidRDefault="00E6346D" w:rsidP="00F24DC1">
            <w:pPr>
              <w:pStyle w:val="In-tableHeading"/>
              <w:rPr>
                <w:iCs w:val="0"/>
              </w:rPr>
            </w:pPr>
            <w:r w:rsidRPr="0015004F">
              <w:rPr>
                <w:iCs w:val="0"/>
              </w:rPr>
              <w:t>(N = 25)</w:t>
            </w:r>
          </w:p>
          <w:p w14:paraId="537726F8" w14:textId="77777777" w:rsidR="00E6346D" w:rsidRPr="0015004F" w:rsidRDefault="00E6346D" w:rsidP="00F24DC1">
            <w:pPr>
              <w:pStyle w:val="In-tableHeading"/>
              <w:rPr>
                <w:iCs w:val="0"/>
              </w:rPr>
            </w:pPr>
            <w:r w:rsidRPr="0015004F">
              <w:rPr>
                <w:iCs w:val="0"/>
              </w:rPr>
              <w:t>n (%)</w:t>
            </w:r>
            <w:r w:rsidRPr="0015004F">
              <w:rPr>
                <w:iCs w:val="0"/>
                <w:vertAlign w:val="superscript"/>
              </w:rPr>
              <w:t xml:space="preserve"> </w:t>
            </w:r>
          </w:p>
        </w:tc>
      </w:tr>
      <w:tr w:rsidR="00E6346D" w:rsidRPr="0015004F" w14:paraId="362FB7AC" w14:textId="77777777" w:rsidTr="00D12D69">
        <w:tc>
          <w:tcPr>
            <w:tcW w:w="2562" w:type="pct"/>
          </w:tcPr>
          <w:p w14:paraId="439F0187" w14:textId="77777777" w:rsidR="00E6346D" w:rsidRPr="0015004F" w:rsidRDefault="00E6346D" w:rsidP="00F24DC1">
            <w:pPr>
              <w:pStyle w:val="TableText0"/>
              <w:keepNext/>
            </w:pPr>
            <w:r w:rsidRPr="0015004F">
              <w:t xml:space="preserve">Any TEAE </w:t>
            </w:r>
          </w:p>
        </w:tc>
        <w:tc>
          <w:tcPr>
            <w:tcW w:w="1273" w:type="pct"/>
          </w:tcPr>
          <w:p w14:paraId="460A80B8" w14:textId="77777777" w:rsidR="00E6346D" w:rsidRPr="0015004F" w:rsidRDefault="00E6346D" w:rsidP="00F24DC1">
            <w:pPr>
              <w:pStyle w:val="TableText0"/>
              <w:keepNext/>
              <w:jc w:val="center"/>
            </w:pPr>
            <w:r w:rsidRPr="0015004F">
              <w:t xml:space="preserve">25 (64.1) </w:t>
            </w:r>
          </w:p>
        </w:tc>
        <w:tc>
          <w:tcPr>
            <w:tcW w:w="1165" w:type="pct"/>
          </w:tcPr>
          <w:p w14:paraId="1BF8E32B" w14:textId="77777777" w:rsidR="00E6346D" w:rsidRPr="0015004F" w:rsidRDefault="00E6346D" w:rsidP="00F24DC1">
            <w:pPr>
              <w:pStyle w:val="TableText0"/>
              <w:keepNext/>
              <w:jc w:val="center"/>
            </w:pPr>
            <w:r w:rsidRPr="0015004F">
              <w:t xml:space="preserve">15 (60.0) </w:t>
            </w:r>
          </w:p>
        </w:tc>
      </w:tr>
      <w:tr w:rsidR="00E6346D" w:rsidRPr="0015004F" w14:paraId="73D665E6" w14:textId="77777777" w:rsidTr="00D12D69">
        <w:tc>
          <w:tcPr>
            <w:tcW w:w="2562" w:type="pct"/>
          </w:tcPr>
          <w:p w14:paraId="5FA60D29" w14:textId="77777777" w:rsidR="00E6346D" w:rsidRPr="0015004F" w:rsidRDefault="00E6346D" w:rsidP="00F24DC1">
            <w:pPr>
              <w:pStyle w:val="TableText0"/>
              <w:keepNext/>
            </w:pPr>
            <w:r w:rsidRPr="0015004F">
              <w:t xml:space="preserve">    Occurring within 24 hours after SC loading dose </w:t>
            </w:r>
          </w:p>
        </w:tc>
        <w:tc>
          <w:tcPr>
            <w:tcW w:w="1273" w:type="pct"/>
          </w:tcPr>
          <w:p w14:paraId="0053C945" w14:textId="77777777" w:rsidR="00E6346D" w:rsidRPr="0015004F" w:rsidRDefault="00E6346D" w:rsidP="00F24DC1">
            <w:pPr>
              <w:pStyle w:val="TableText0"/>
              <w:keepNext/>
              <w:jc w:val="center"/>
            </w:pPr>
            <w:r w:rsidRPr="0015004F">
              <w:t xml:space="preserve">2 (5.1) </w:t>
            </w:r>
          </w:p>
        </w:tc>
        <w:tc>
          <w:tcPr>
            <w:tcW w:w="1165" w:type="pct"/>
          </w:tcPr>
          <w:p w14:paraId="295D1AB5" w14:textId="77777777" w:rsidR="00E6346D" w:rsidRPr="0015004F" w:rsidRDefault="00E6346D" w:rsidP="00F24DC1">
            <w:pPr>
              <w:pStyle w:val="TableText0"/>
              <w:keepNext/>
              <w:jc w:val="center"/>
            </w:pPr>
            <w:r w:rsidRPr="0015004F">
              <w:t xml:space="preserve">2 (8.0) </w:t>
            </w:r>
          </w:p>
        </w:tc>
      </w:tr>
      <w:tr w:rsidR="00E6346D" w:rsidRPr="0015004F" w14:paraId="54B56F76" w14:textId="77777777" w:rsidTr="00D12D69">
        <w:tc>
          <w:tcPr>
            <w:tcW w:w="2562" w:type="pct"/>
          </w:tcPr>
          <w:p w14:paraId="0310101C" w14:textId="77777777" w:rsidR="00E6346D" w:rsidRPr="0015004F" w:rsidRDefault="00E6346D" w:rsidP="00F24DC1">
            <w:pPr>
              <w:pStyle w:val="TableText0"/>
              <w:keepNext/>
            </w:pPr>
            <w:r w:rsidRPr="0015004F">
              <w:t xml:space="preserve">    Occurring Within 24 hours after any SC dose </w:t>
            </w:r>
          </w:p>
        </w:tc>
        <w:tc>
          <w:tcPr>
            <w:tcW w:w="1273" w:type="pct"/>
          </w:tcPr>
          <w:p w14:paraId="1A46B6D9" w14:textId="77777777" w:rsidR="00E6346D" w:rsidRPr="0015004F" w:rsidRDefault="00E6346D" w:rsidP="00F24DC1">
            <w:pPr>
              <w:pStyle w:val="TableText0"/>
              <w:keepNext/>
              <w:jc w:val="center"/>
            </w:pPr>
            <w:r w:rsidRPr="0015004F">
              <w:t xml:space="preserve">6 (15.4) </w:t>
            </w:r>
          </w:p>
        </w:tc>
        <w:tc>
          <w:tcPr>
            <w:tcW w:w="1165" w:type="pct"/>
          </w:tcPr>
          <w:p w14:paraId="25E170E9" w14:textId="77777777" w:rsidR="00E6346D" w:rsidRPr="0015004F" w:rsidRDefault="00E6346D" w:rsidP="00F24DC1">
            <w:pPr>
              <w:pStyle w:val="TableText0"/>
              <w:keepNext/>
              <w:jc w:val="center"/>
            </w:pPr>
            <w:r w:rsidRPr="0015004F">
              <w:t xml:space="preserve">6 (24.0) </w:t>
            </w:r>
          </w:p>
        </w:tc>
      </w:tr>
      <w:tr w:rsidR="00E6346D" w:rsidRPr="0015004F" w14:paraId="7BBDEE35" w14:textId="77777777" w:rsidTr="00D12D69">
        <w:tc>
          <w:tcPr>
            <w:tcW w:w="2562" w:type="pct"/>
          </w:tcPr>
          <w:p w14:paraId="4F81F362" w14:textId="77777777" w:rsidR="00E6346D" w:rsidRPr="0015004F" w:rsidRDefault="00E6346D" w:rsidP="00F24DC1">
            <w:pPr>
              <w:pStyle w:val="TableText0"/>
              <w:keepNext/>
            </w:pPr>
            <w:r w:rsidRPr="0015004F">
              <w:t xml:space="preserve">    Related to study treatment </w:t>
            </w:r>
          </w:p>
        </w:tc>
        <w:tc>
          <w:tcPr>
            <w:tcW w:w="1273" w:type="pct"/>
          </w:tcPr>
          <w:p w14:paraId="4762D78F" w14:textId="77777777" w:rsidR="00E6346D" w:rsidRPr="0015004F" w:rsidRDefault="00E6346D" w:rsidP="00F24DC1">
            <w:pPr>
              <w:pStyle w:val="TableText0"/>
              <w:keepNext/>
              <w:jc w:val="center"/>
            </w:pPr>
            <w:r w:rsidRPr="0015004F">
              <w:t xml:space="preserve">4 (10.3) </w:t>
            </w:r>
          </w:p>
        </w:tc>
        <w:tc>
          <w:tcPr>
            <w:tcW w:w="1165" w:type="pct"/>
          </w:tcPr>
          <w:p w14:paraId="35F46470" w14:textId="77777777" w:rsidR="00E6346D" w:rsidRPr="0015004F" w:rsidRDefault="00E6346D" w:rsidP="00F24DC1">
            <w:pPr>
              <w:pStyle w:val="TableText0"/>
              <w:keepNext/>
              <w:jc w:val="center"/>
            </w:pPr>
            <w:r w:rsidRPr="0015004F">
              <w:t xml:space="preserve">3 (12.0) </w:t>
            </w:r>
          </w:p>
        </w:tc>
      </w:tr>
      <w:tr w:rsidR="00E6346D" w:rsidRPr="0015004F" w14:paraId="5F83EBFE" w14:textId="77777777" w:rsidTr="00D12D69">
        <w:tc>
          <w:tcPr>
            <w:tcW w:w="2562" w:type="pct"/>
          </w:tcPr>
          <w:p w14:paraId="40685912" w14:textId="77777777" w:rsidR="00E6346D" w:rsidRPr="0015004F" w:rsidRDefault="00E6346D" w:rsidP="00F24DC1">
            <w:pPr>
              <w:pStyle w:val="TableText0"/>
              <w:keepNext/>
            </w:pPr>
            <w:r w:rsidRPr="0015004F">
              <w:t xml:space="preserve">    Leading to study discontinuation </w:t>
            </w:r>
          </w:p>
        </w:tc>
        <w:tc>
          <w:tcPr>
            <w:tcW w:w="1273" w:type="pct"/>
          </w:tcPr>
          <w:p w14:paraId="7E2DDE14" w14:textId="77777777" w:rsidR="00E6346D" w:rsidRPr="0015004F" w:rsidRDefault="00E6346D" w:rsidP="00F24DC1">
            <w:pPr>
              <w:pStyle w:val="TableText0"/>
              <w:keepNext/>
              <w:jc w:val="center"/>
            </w:pPr>
            <w:r w:rsidRPr="0015004F">
              <w:t>0</w:t>
            </w:r>
          </w:p>
        </w:tc>
        <w:tc>
          <w:tcPr>
            <w:tcW w:w="1165" w:type="pct"/>
          </w:tcPr>
          <w:p w14:paraId="40AD9D9A" w14:textId="77777777" w:rsidR="00E6346D" w:rsidRPr="0015004F" w:rsidRDefault="00E6346D" w:rsidP="00F24DC1">
            <w:pPr>
              <w:pStyle w:val="TableText0"/>
              <w:keepNext/>
              <w:jc w:val="center"/>
            </w:pPr>
            <w:r w:rsidRPr="0015004F">
              <w:t>0</w:t>
            </w:r>
          </w:p>
        </w:tc>
      </w:tr>
      <w:tr w:rsidR="00E6346D" w:rsidRPr="0015004F" w14:paraId="46FF256F" w14:textId="77777777" w:rsidTr="00D12D69">
        <w:tc>
          <w:tcPr>
            <w:tcW w:w="5000" w:type="pct"/>
            <w:gridSpan w:val="3"/>
          </w:tcPr>
          <w:p w14:paraId="63016150" w14:textId="77777777" w:rsidR="00E6346D" w:rsidRPr="0015004F" w:rsidRDefault="00E6346D" w:rsidP="00F24DC1">
            <w:pPr>
              <w:pStyle w:val="TableText0"/>
              <w:keepNext/>
            </w:pPr>
            <w:r w:rsidRPr="0015004F">
              <w:t>TEAEs by severity</w:t>
            </w:r>
          </w:p>
        </w:tc>
      </w:tr>
      <w:tr w:rsidR="00E6346D" w:rsidRPr="0015004F" w14:paraId="5EFA5BA2" w14:textId="77777777" w:rsidTr="00D12D69">
        <w:tc>
          <w:tcPr>
            <w:tcW w:w="2562" w:type="pct"/>
          </w:tcPr>
          <w:p w14:paraId="454BF854" w14:textId="77777777" w:rsidR="00E6346D" w:rsidRPr="0015004F" w:rsidRDefault="00E6346D" w:rsidP="00F24DC1">
            <w:pPr>
              <w:pStyle w:val="TableText0"/>
              <w:keepNext/>
            </w:pPr>
            <w:r w:rsidRPr="0015004F">
              <w:t xml:space="preserve">    Mild </w:t>
            </w:r>
          </w:p>
        </w:tc>
        <w:tc>
          <w:tcPr>
            <w:tcW w:w="1273" w:type="pct"/>
          </w:tcPr>
          <w:p w14:paraId="0E8282AA" w14:textId="77777777" w:rsidR="00E6346D" w:rsidRPr="0015004F" w:rsidRDefault="00E6346D" w:rsidP="00F24DC1">
            <w:pPr>
              <w:pStyle w:val="TableText0"/>
              <w:keepNext/>
              <w:jc w:val="center"/>
            </w:pPr>
            <w:r w:rsidRPr="0015004F">
              <w:t xml:space="preserve">16 (41.0) </w:t>
            </w:r>
          </w:p>
        </w:tc>
        <w:tc>
          <w:tcPr>
            <w:tcW w:w="1165" w:type="pct"/>
          </w:tcPr>
          <w:p w14:paraId="3FDB668F" w14:textId="77777777" w:rsidR="00E6346D" w:rsidRPr="0015004F" w:rsidRDefault="00E6346D" w:rsidP="00F24DC1">
            <w:pPr>
              <w:pStyle w:val="TableText0"/>
              <w:keepNext/>
              <w:jc w:val="center"/>
            </w:pPr>
            <w:r w:rsidRPr="0015004F">
              <w:t xml:space="preserve">15 (60.0) </w:t>
            </w:r>
          </w:p>
        </w:tc>
      </w:tr>
      <w:tr w:rsidR="00E6346D" w:rsidRPr="0015004F" w14:paraId="767A3D64" w14:textId="77777777" w:rsidTr="00D12D69">
        <w:tc>
          <w:tcPr>
            <w:tcW w:w="2562" w:type="pct"/>
          </w:tcPr>
          <w:p w14:paraId="459A2DF8" w14:textId="77777777" w:rsidR="00E6346D" w:rsidRPr="0015004F" w:rsidRDefault="00E6346D" w:rsidP="00F24DC1">
            <w:pPr>
              <w:pStyle w:val="TableText0"/>
              <w:keepNext/>
              <w:ind w:left="177"/>
            </w:pPr>
            <w:r w:rsidRPr="0015004F">
              <w:t xml:space="preserve">    Related to study treatment </w:t>
            </w:r>
          </w:p>
        </w:tc>
        <w:tc>
          <w:tcPr>
            <w:tcW w:w="1273" w:type="pct"/>
          </w:tcPr>
          <w:p w14:paraId="46E24DF2" w14:textId="77777777" w:rsidR="00E6346D" w:rsidRPr="0015004F" w:rsidRDefault="00E6346D" w:rsidP="00F24DC1">
            <w:pPr>
              <w:pStyle w:val="TableText0"/>
              <w:keepNext/>
              <w:jc w:val="center"/>
            </w:pPr>
            <w:r w:rsidRPr="0015004F">
              <w:t xml:space="preserve">3 (7.7) </w:t>
            </w:r>
          </w:p>
        </w:tc>
        <w:tc>
          <w:tcPr>
            <w:tcW w:w="1165" w:type="pct"/>
          </w:tcPr>
          <w:p w14:paraId="72D5285C" w14:textId="77777777" w:rsidR="00E6346D" w:rsidRPr="0015004F" w:rsidRDefault="00E6346D" w:rsidP="00F24DC1">
            <w:pPr>
              <w:pStyle w:val="TableText0"/>
              <w:keepNext/>
              <w:jc w:val="center"/>
            </w:pPr>
            <w:r w:rsidRPr="0015004F">
              <w:t>3 (12.0)</w:t>
            </w:r>
          </w:p>
        </w:tc>
      </w:tr>
      <w:tr w:rsidR="00E6346D" w:rsidRPr="0015004F" w14:paraId="08F7E6CB" w14:textId="77777777" w:rsidTr="00D12D69">
        <w:tc>
          <w:tcPr>
            <w:tcW w:w="2562" w:type="pct"/>
          </w:tcPr>
          <w:p w14:paraId="4A921BCA" w14:textId="77777777" w:rsidR="00E6346D" w:rsidRPr="0015004F" w:rsidRDefault="00E6346D" w:rsidP="00F24DC1">
            <w:pPr>
              <w:pStyle w:val="TableText0"/>
              <w:keepNext/>
            </w:pPr>
            <w:r w:rsidRPr="0015004F">
              <w:t xml:space="preserve">    Moderate </w:t>
            </w:r>
          </w:p>
        </w:tc>
        <w:tc>
          <w:tcPr>
            <w:tcW w:w="1273" w:type="pct"/>
          </w:tcPr>
          <w:p w14:paraId="6240F4F7" w14:textId="77777777" w:rsidR="00E6346D" w:rsidRPr="0015004F" w:rsidRDefault="00E6346D" w:rsidP="00F24DC1">
            <w:pPr>
              <w:pStyle w:val="TableText0"/>
              <w:keepNext/>
              <w:jc w:val="center"/>
            </w:pPr>
            <w:r w:rsidRPr="0015004F">
              <w:t xml:space="preserve">16 (41.0) </w:t>
            </w:r>
          </w:p>
        </w:tc>
        <w:tc>
          <w:tcPr>
            <w:tcW w:w="1165" w:type="pct"/>
          </w:tcPr>
          <w:p w14:paraId="710286BD" w14:textId="77777777" w:rsidR="00E6346D" w:rsidRPr="0015004F" w:rsidRDefault="00E6346D" w:rsidP="00F24DC1">
            <w:pPr>
              <w:pStyle w:val="TableText0"/>
              <w:keepNext/>
              <w:jc w:val="center"/>
            </w:pPr>
            <w:r w:rsidRPr="0015004F">
              <w:t xml:space="preserve">7 (28.0) </w:t>
            </w:r>
          </w:p>
        </w:tc>
      </w:tr>
      <w:tr w:rsidR="00E6346D" w:rsidRPr="0015004F" w14:paraId="7DED79EA" w14:textId="77777777" w:rsidTr="00D12D69">
        <w:tc>
          <w:tcPr>
            <w:tcW w:w="2562" w:type="pct"/>
          </w:tcPr>
          <w:p w14:paraId="295D9D0A" w14:textId="77777777" w:rsidR="00E6346D" w:rsidRPr="0015004F" w:rsidRDefault="00E6346D" w:rsidP="00F24DC1">
            <w:pPr>
              <w:pStyle w:val="TableText0"/>
              <w:keepNext/>
              <w:ind w:left="177"/>
            </w:pPr>
            <w:r w:rsidRPr="0015004F">
              <w:t xml:space="preserve">    Related to study treatment </w:t>
            </w:r>
          </w:p>
        </w:tc>
        <w:tc>
          <w:tcPr>
            <w:tcW w:w="1273" w:type="pct"/>
          </w:tcPr>
          <w:p w14:paraId="075E5151" w14:textId="77777777" w:rsidR="00E6346D" w:rsidRPr="0015004F" w:rsidRDefault="00E6346D" w:rsidP="00F24DC1">
            <w:pPr>
              <w:pStyle w:val="TableText0"/>
              <w:keepNext/>
              <w:jc w:val="center"/>
            </w:pPr>
            <w:r w:rsidRPr="0015004F">
              <w:t xml:space="preserve">1 (2.6) </w:t>
            </w:r>
          </w:p>
        </w:tc>
        <w:tc>
          <w:tcPr>
            <w:tcW w:w="1165" w:type="pct"/>
          </w:tcPr>
          <w:p w14:paraId="48624B3F" w14:textId="77777777" w:rsidR="00E6346D" w:rsidRPr="0015004F" w:rsidRDefault="00E6346D" w:rsidP="00F24DC1">
            <w:pPr>
              <w:pStyle w:val="TableText0"/>
              <w:keepNext/>
              <w:jc w:val="center"/>
            </w:pPr>
            <w:r w:rsidRPr="0015004F">
              <w:t>0</w:t>
            </w:r>
          </w:p>
        </w:tc>
      </w:tr>
      <w:tr w:rsidR="00E6346D" w:rsidRPr="0015004F" w14:paraId="7DA07C94" w14:textId="77777777" w:rsidTr="00D12D69">
        <w:tc>
          <w:tcPr>
            <w:tcW w:w="2562" w:type="pct"/>
          </w:tcPr>
          <w:p w14:paraId="1A6AF188" w14:textId="77777777" w:rsidR="00E6346D" w:rsidRPr="0015004F" w:rsidRDefault="00E6346D" w:rsidP="00F24DC1">
            <w:pPr>
              <w:pStyle w:val="TableText0"/>
              <w:keepNext/>
            </w:pPr>
            <w:r w:rsidRPr="0015004F">
              <w:t xml:space="preserve">    Severe </w:t>
            </w:r>
          </w:p>
        </w:tc>
        <w:tc>
          <w:tcPr>
            <w:tcW w:w="1273" w:type="pct"/>
          </w:tcPr>
          <w:p w14:paraId="13C0BB10" w14:textId="77777777" w:rsidR="00E6346D" w:rsidRPr="0015004F" w:rsidRDefault="00E6346D" w:rsidP="00F24DC1">
            <w:pPr>
              <w:pStyle w:val="TableText0"/>
              <w:keepNext/>
              <w:jc w:val="center"/>
            </w:pPr>
            <w:r w:rsidRPr="0015004F">
              <w:t xml:space="preserve">1 (2.6) </w:t>
            </w:r>
          </w:p>
        </w:tc>
        <w:tc>
          <w:tcPr>
            <w:tcW w:w="1165" w:type="pct"/>
          </w:tcPr>
          <w:p w14:paraId="63D50151" w14:textId="77777777" w:rsidR="00E6346D" w:rsidRPr="0015004F" w:rsidRDefault="00E6346D" w:rsidP="00F24DC1">
            <w:pPr>
              <w:pStyle w:val="TableText0"/>
              <w:keepNext/>
              <w:jc w:val="center"/>
            </w:pPr>
            <w:r w:rsidRPr="0015004F">
              <w:t>0</w:t>
            </w:r>
          </w:p>
        </w:tc>
      </w:tr>
      <w:tr w:rsidR="00E6346D" w:rsidRPr="0015004F" w14:paraId="5AD0AB36" w14:textId="77777777" w:rsidTr="00D12D69">
        <w:tc>
          <w:tcPr>
            <w:tcW w:w="2562" w:type="pct"/>
          </w:tcPr>
          <w:p w14:paraId="10D83926" w14:textId="77777777" w:rsidR="00E6346D" w:rsidRPr="0015004F" w:rsidRDefault="00E6346D" w:rsidP="00F24DC1">
            <w:pPr>
              <w:pStyle w:val="TableText0"/>
              <w:keepNext/>
              <w:ind w:left="177"/>
            </w:pPr>
            <w:r w:rsidRPr="0015004F">
              <w:t xml:space="preserve">    Related to study treatment </w:t>
            </w:r>
          </w:p>
        </w:tc>
        <w:tc>
          <w:tcPr>
            <w:tcW w:w="1273" w:type="pct"/>
          </w:tcPr>
          <w:p w14:paraId="52151230" w14:textId="77777777" w:rsidR="00E6346D" w:rsidRPr="0015004F" w:rsidRDefault="00E6346D" w:rsidP="00F24DC1">
            <w:pPr>
              <w:pStyle w:val="TableText0"/>
              <w:keepNext/>
              <w:jc w:val="center"/>
            </w:pPr>
            <w:r w:rsidRPr="0015004F">
              <w:t>0</w:t>
            </w:r>
          </w:p>
        </w:tc>
        <w:tc>
          <w:tcPr>
            <w:tcW w:w="1165" w:type="pct"/>
          </w:tcPr>
          <w:p w14:paraId="0D679BCC" w14:textId="77777777" w:rsidR="00E6346D" w:rsidRPr="0015004F" w:rsidRDefault="00E6346D" w:rsidP="00F24DC1">
            <w:pPr>
              <w:pStyle w:val="TableText0"/>
              <w:keepNext/>
              <w:jc w:val="center"/>
            </w:pPr>
            <w:r w:rsidRPr="0015004F">
              <w:t>0</w:t>
            </w:r>
          </w:p>
        </w:tc>
      </w:tr>
      <w:tr w:rsidR="00E6346D" w:rsidRPr="0015004F" w14:paraId="0246DFA2" w14:textId="77777777" w:rsidTr="00D12D69">
        <w:tc>
          <w:tcPr>
            <w:tcW w:w="5000" w:type="pct"/>
            <w:gridSpan w:val="3"/>
          </w:tcPr>
          <w:p w14:paraId="1245291C" w14:textId="77777777" w:rsidR="00E6346D" w:rsidRPr="0015004F" w:rsidRDefault="00E6346D" w:rsidP="00F24DC1">
            <w:pPr>
              <w:pStyle w:val="TableText0"/>
              <w:keepNext/>
            </w:pPr>
            <w:r w:rsidRPr="0015004F">
              <w:t>TEAEs by outcome</w:t>
            </w:r>
          </w:p>
        </w:tc>
      </w:tr>
      <w:tr w:rsidR="00E6346D" w:rsidRPr="0015004F" w14:paraId="72C691E9" w14:textId="77777777" w:rsidTr="00D12D69">
        <w:tc>
          <w:tcPr>
            <w:tcW w:w="2562" w:type="pct"/>
          </w:tcPr>
          <w:p w14:paraId="73FDEFC3" w14:textId="77777777" w:rsidR="00E6346D" w:rsidRPr="0015004F" w:rsidRDefault="00E6346D" w:rsidP="00F24DC1">
            <w:pPr>
              <w:pStyle w:val="TableText0"/>
              <w:keepNext/>
            </w:pPr>
            <w:r w:rsidRPr="0015004F">
              <w:t xml:space="preserve">    Death</w:t>
            </w:r>
          </w:p>
        </w:tc>
        <w:tc>
          <w:tcPr>
            <w:tcW w:w="1273" w:type="pct"/>
          </w:tcPr>
          <w:p w14:paraId="6FE40898" w14:textId="77777777" w:rsidR="00E6346D" w:rsidRPr="0015004F" w:rsidRDefault="00E6346D" w:rsidP="00F24DC1">
            <w:pPr>
              <w:pStyle w:val="TableText0"/>
              <w:keepNext/>
              <w:jc w:val="center"/>
            </w:pPr>
            <w:r w:rsidRPr="0015004F">
              <w:t>0</w:t>
            </w:r>
          </w:p>
        </w:tc>
        <w:tc>
          <w:tcPr>
            <w:tcW w:w="1165" w:type="pct"/>
          </w:tcPr>
          <w:p w14:paraId="1A2AB09F" w14:textId="77777777" w:rsidR="00E6346D" w:rsidRPr="0015004F" w:rsidRDefault="00E6346D" w:rsidP="00F24DC1">
            <w:pPr>
              <w:pStyle w:val="TableText0"/>
              <w:keepNext/>
              <w:jc w:val="center"/>
            </w:pPr>
            <w:r w:rsidRPr="0015004F">
              <w:t>0</w:t>
            </w:r>
          </w:p>
        </w:tc>
      </w:tr>
      <w:tr w:rsidR="00E6346D" w:rsidRPr="0015004F" w14:paraId="00AD85CC" w14:textId="77777777" w:rsidTr="00D12D69">
        <w:tc>
          <w:tcPr>
            <w:tcW w:w="2562" w:type="pct"/>
          </w:tcPr>
          <w:p w14:paraId="46D882CB" w14:textId="77777777" w:rsidR="00E6346D" w:rsidRPr="0015004F" w:rsidRDefault="00E6346D" w:rsidP="00F24DC1">
            <w:pPr>
              <w:pStyle w:val="TableText0"/>
              <w:keepNext/>
            </w:pPr>
            <w:r w:rsidRPr="0015004F">
              <w:t xml:space="preserve">    Not recovered or not resolved </w:t>
            </w:r>
          </w:p>
        </w:tc>
        <w:tc>
          <w:tcPr>
            <w:tcW w:w="1273" w:type="pct"/>
          </w:tcPr>
          <w:p w14:paraId="7B1E75FE" w14:textId="77777777" w:rsidR="00E6346D" w:rsidRPr="0015004F" w:rsidRDefault="00E6346D" w:rsidP="00F24DC1">
            <w:pPr>
              <w:pStyle w:val="TableText0"/>
              <w:keepNext/>
              <w:jc w:val="center"/>
            </w:pPr>
            <w:r w:rsidRPr="0015004F">
              <w:t xml:space="preserve">3 (7.7) </w:t>
            </w:r>
          </w:p>
        </w:tc>
        <w:tc>
          <w:tcPr>
            <w:tcW w:w="1165" w:type="pct"/>
          </w:tcPr>
          <w:p w14:paraId="5AA17FB7" w14:textId="77777777" w:rsidR="00E6346D" w:rsidRPr="0015004F" w:rsidRDefault="00E6346D" w:rsidP="00F24DC1">
            <w:pPr>
              <w:pStyle w:val="TableText0"/>
              <w:keepNext/>
              <w:jc w:val="center"/>
            </w:pPr>
            <w:r w:rsidRPr="0015004F">
              <w:t xml:space="preserve">3 (12.0) </w:t>
            </w:r>
          </w:p>
        </w:tc>
      </w:tr>
      <w:tr w:rsidR="00E6346D" w:rsidRPr="0015004F" w14:paraId="4F0034F9" w14:textId="77777777" w:rsidTr="00D12D69">
        <w:tc>
          <w:tcPr>
            <w:tcW w:w="2562" w:type="pct"/>
          </w:tcPr>
          <w:p w14:paraId="1BF28F52" w14:textId="77777777" w:rsidR="00E6346D" w:rsidRPr="0015004F" w:rsidRDefault="00E6346D" w:rsidP="00F24DC1">
            <w:pPr>
              <w:pStyle w:val="TableText0"/>
              <w:keepNext/>
            </w:pPr>
            <w:r w:rsidRPr="0015004F">
              <w:t xml:space="preserve">    Recovered or resolved </w:t>
            </w:r>
          </w:p>
        </w:tc>
        <w:tc>
          <w:tcPr>
            <w:tcW w:w="1273" w:type="pct"/>
          </w:tcPr>
          <w:p w14:paraId="4370F6B6" w14:textId="77777777" w:rsidR="00E6346D" w:rsidRPr="0015004F" w:rsidRDefault="00E6346D" w:rsidP="00F24DC1">
            <w:pPr>
              <w:pStyle w:val="TableText0"/>
              <w:keepNext/>
              <w:jc w:val="center"/>
            </w:pPr>
            <w:r w:rsidRPr="0015004F">
              <w:t xml:space="preserve">24 (61.5) </w:t>
            </w:r>
          </w:p>
        </w:tc>
        <w:tc>
          <w:tcPr>
            <w:tcW w:w="1165" w:type="pct"/>
          </w:tcPr>
          <w:p w14:paraId="5FB572C1" w14:textId="77777777" w:rsidR="00E6346D" w:rsidRPr="0015004F" w:rsidRDefault="00E6346D" w:rsidP="00F24DC1">
            <w:pPr>
              <w:pStyle w:val="TableText0"/>
              <w:keepNext/>
              <w:jc w:val="center"/>
            </w:pPr>
            <w:r w:rsidRPr="0015004F">
              <w:t xml:space="preserve">14 (56.0) </w:t>
            </w:r>
          </w:p>
        </w:tc>
      </w:tr>
      <w:tr w:rsidR="00E6346D" w:rsidRPr="0015004F" w14:paraId="475EFEA0" w14:textId="77777777" w:rsidTr="00D12D69">
        <w:tc>
          <w:tcPr>
            <w:tcW w:w="2562" w:type="pct"/>
          </w:tcPr>
          <w:p w14:paraId="55FD0CA6" w14:textId="77777777" w:rsidR="00E6346D" w:rsidRPr="0015004F" w:rsidRDefault="00E6346D" w:rsidP="00F24DC1">
            <w:pPr>
              <w:pStyle w:val="TableText0"/>
              <w:keepNext/>
            </w:pPr>
            <w:r w:rsidRPr="0015004F">
              <w:t xml:space="preserve">    Recovered or resolved with sequelae </w:t>
            </w:r>
          </w:p>
        </w:tc>
        <w:tc>
          <w:tcPr>
            <w:tcW w:w="1273" w:type="pct"/>
          </w:tcPr>
          <w:p w14:paraId="67DB0E20" w14:textId="77777777" w:rsidR="00E6346D" w:rsidRPr="0015004F" w:rsidRDefault="00E6346D" w:rsidP="00F24DC1">
            <w:pPr>
              <w:pStyle w:val="TableText0"/>
              <w:keepNext/>
              <w:jc w:val="center"/>
            </w:pPr>
            <w:r w:rsidRPr="0015004F">
              <w:t xml:space="preserve">2 (5.1) </w:t>
            </w:r>
          </w:p>
        </w:tc>
        <w:tc>
          <w:tcPr>
            <w:tcW w:w="1165" w:type="pct"/>
          </w:tcPr>
          <w:p w14:paraId="59B9C8F3" w14:textId="77777777" w:rsidR="00E6346D" w:rsidRPr="0015004F" w:rsidRDefault="00E6346D" w:rsidP="00F24DC1">
            <w:pPr>
              <w:pStyle w:val="TableText0"/>
              <w:keepNext/>
              <w:jc w:val="center"/>
            </w:pPr>
            <w:r w:rsidRPr="0015004F">
              <w:t>0</w:t>
            </w:r>
          </w:p>
        </w:tc>
      </w:tr>
      <w:tr w:rsidR="00E6346D" w:rsidRPr="0015004F" w14:paraId="5DC2F155" w14:textId="77777777" w:rsidTr="00D12D69">
        <w:tc>
          <w:tcPr>
            <w:tcW w:w="2562" w:type="pct"/>
          </w:tcPr>
          <w:p w14:paraId="225B0CA1" w14:textId="77777777" w:rsidR="00E6346D" w:rsidRPr="0015004F" w:rsidRDefault="00E6346D" w:rsidP="00F24DC1">
            <w:pPr>
              <w:pStyle w:val="TableText0"/>
              <w:keepNext/>
            </w:pPr>
            <w:r w:rsidRPr="0015004F">
              <w:t xml:space="preserve">    Recovering or resolving </w:t>
            </w:r>
          </w:p>
        </w:tc>
        <w:tc>
          <w:tcPr>
            <w:tcW w:w="1273" w:type="pct"/>
          </w:tcPr>
          <w:p w14:paraId="1A00416D" w14:textId="77777777" w:rsidR="00E6346D" w:rsidRPr="0015004F" w:rsidRDefault="00E6346D" w:rsidP="00F24DC1">
            <w:pPr>
              <w:pStyle w:val="TableText0"/>
              <w:keepNext/>
              <w:jc w:val="center"/>
            </w:pPr>
            <w:r w:rsidRPr="0015004F">
              <w:t xml:space="preserve">3 (7.7) </w:t>
            </w:r>
          </w:p>
        </w:tc>
        <w:tc>
          <w:tcPr>
            <w:tcW w:w="1165" w:type="pct"/>
          </w:tcPr>
          <w:p w14:paraId="16DAAA46" w14:textId="77777777" w:rsidR="00E6346D" w:rsidRPr="0015004F" w:rsidRDefault="00E6346D" w:rsidP="00F24DC1">
            <w:pPr>
              <w:pStyle w:val="TableText0"/>
              <w:keepNext/>
              <w:jc w:val="center"/>
            </w:pPr>
            <w:r w:rsidRPr="0015004F">
              <w:t xml:space="preserve">2 (8.0) </w:t>
            </w:r>
          </w:p>
        </w:tc>
      </w:tr>
      <w:tr w:rsidR="00E6346D" w:rsidRPr="0015004F" w14:paraId="22064B5B" w14:textId="77777777" w:rsidTr="00D12D69">
        <w:tc>
          <w:tcPr>
            <w:tcW w:w="2562" w:type="pct"/>
          </w:tcPr>
          <w:p w14:paraId="1AB122AC" w14:textId="77777777" w:rsidR="00E6346D" w:rsidRPr="0015004F" w:rsidRDefault="00E6346D" w:rsidP="00F24DC1">
            <w:pPr>
              <w:pStyle w:val="TableText0"/>
              <w:keepNext/>
            </w:pPr>
            <w:r w:rsidRPr="0015004F">
              <w:t>TEAEs identified as ISR</w:t>
            </w:r>
          </w:p>
        </w:tc>
        <w:tc>
          <w:tcPr>
            <w:tcW w:w="1273" w:type="pct"/>
          </w:tcPr>
          <w:p w14:paraId="188BDD54" w14:textId="77777777" w:rsidR="00E6346D" w:rsidRPr="0015004F" w:rsidRDefault="00E6346D" w:rsidP="00F24DC1">
            <w:pPr>
              <w:pStyle w:val="TableText0"/>
              <w:keepNext/>
              <w:jc w:val="center"/>
            </w:pPr>
            <w:r w:rsidRPr="0015004F">
              <w:t xml:space="preserve">2 (5.1) </w:t>
            </w:r>
          </w:p>
        </w:tc>
        <w:tc>
          <w:tcPr>
            <w:tcW w:w="1165" w:type="pct"/>
          </w:tcPr>
          <w:p w14:paraId="48B6A5E0" w14:textId="77777777" w:rsidR="00E6346D" w:rsidRPr="0015004F" w:rsidRDefault="00E6346D" w:rsidP="00F24DC1">
            <w:pPr>
              <w:pStyle w:val="TableText0"/>
              <w:keepNext/>
              <w:jc w:val="center"/>
            </w:pPr>
            <w:r w:rsidRPr="0015004F">
              <w:t xml:space="preserve">3 (12.0) </w:t>
            </w:r>
          </w:p>
        </w:tc>
      </w:tr>
      <w:tr w:rsidR="00E6346D" w:rsidRPr="0015004F" w14:paraId="6DA26E93" w14:textId="77777777" w:rsidTr="00D12D69">
        <w:tc>
          <w:tcPr>
            <w:tcW w:w="2562" w:type="pct"/>
          </w:tcPr>
          <w:p w14:paraId="6685B8C0" w14:textId="77777777" w:rsidR="00E6346D" w:rsidRPr="0015004F" w:rsidRDefault="00E6346D" w:rsidP="00F24DC1">
            <w:pPr>
              <w:pStyle w:val="TableText0"/>
              <w:keepNext/>
            </w:pPr>
            <w:r w:rsidRPr="0015004F">
              <w:t xml:space="preserve">    Related to study treatment </w:t>
            </w:r>
          </w:p>
        </w:tc>
        <w:tc>
          <w:tcPr>
            <w:tcW w:w="1273" w:type="pct"/>
          </w:tcPr>
          <w:p w14:paraId="330D7DA9" w14:textId="77777777" w:rsidR="00E6346D" w:rsidRPr="0015004F" w:rsidRDefault="00E6346D" w:rsidP="00F24DC1">
            <w:pPr>
              <w:pStyle w:val="TableText0"/>
              <w:keepNext/>
              <w:jc w:val="center"/>
            </w:pPr>
            <w:r w:rsidRPr="0015004F">
              <w:t xml:space="preserve">2 (5.1) </w:t>
            </w:r>
          </w:p>
        </w:tc>
        <w:tc>
          <w:tcPr>
            <w:tcW w:w="1165" w:type="pct"/>
          </w:tcPr>
          <w:p w14:paraId="279A830E" w14:textId="77777777" w:rsidR="00E6346D" w:rsidRPr="0015004F" w:rsidRDefault="00E6346D" w:rsidP="00F24DC1">
            <w:pPr>
              <w:pStyle w:val="TableText0"/>
              <w:keepNext/>
              <w:jc w:val="center"/>
            </w:pPr>
            <w:r w:rsidRPr="0015004F">
              <w:t xml:space="preserve">2 (8.0) </w:t>
            </w:r>
          </w:p>
        </w:tc>
      </w:tr>
      <w:tr w:rsidR="00E6346D" w:rsidRPr="0015004F" w14:paraId="6E989C64" w14:textId="77777777" w:rsidTr="00D12D69">
        <w:tc>
          <w:tcPr>
            <w:tcW w:w="2562" w:type="pct"/>
          </w:tcPr>
          <w:p w14:paraId="0B78E9FA" w14:textId="77777777" w:rsidR="00E6346D" w:rsidRPr="0015004F" w:rsidRDefault="00E6346D" w:rsidP="00F24DC1">
            <w:pPr>
              <w:pStyle w:val="TableText0"/>
              <w:keepNext/>
            </w:pPr>
            <w:r w:rsidRPr="0015004F">
              <w:t xml:space="preserve">Treatment-emergent AESI as identified by the investigator </w:t>
            </w:r>
          </w:p>
        </w:tc>
        <w:tc>
          <w:tcPr>
            <w:tcW w:w="1273" w:type="pct"/>
          </w:tcPr>
          <w:p w14:paraId="38B4D6F1" w14:textId="77777777" w:rsidR="00E6346D" w:rsidRPr="0015004F" w:rsidRDefault="00E6346D" w:rsidP="00F24DC1">
            <w:pPr>
              <w:pStyle w:val="TableText0"/>
              <w:keepNext/>
              <w:jc w:val="center"/>
            </w:pPr>
            <w:r w:rsidRPr="0015004F">
              <w:t>0</w:t>
            </w:r>
          </w:p>
        </w:tc>
        <w:tc>
          <w:tcPr>
            <w:tcW w:w="1165" w:type="pct"/>
          </w:tcPr>
          <w:p w14:paraId="0CA69B18" w14:textId="77777777" w:rsidR="00E6346D" w:rsidRPr="0015004F" w:rsidRDefault="00E6346D" w:rsidP="00F24DC1">
            <w:pPr>
              <w:pStyle w:val="TableText0"/>
              <w:keepNext/>
              <w:jc w:val="center"/>
            </w:pPr>
            <w:r w:rsidRPr="0015004F">
              <w:t>0</w:t>
            </w:r>
          </w:p>
        </w:tc>
      </w:tr>
      <w:tr w:rsidR="00E6346D" w:rsidRPr="0015004F" w14:paraId="47394A26" w14:textId="77777777" w:rsidTr="00D12D69">
        <w:tc>
          <w:tcPr>
            <w:tcW w:w="2562" w:type="pct"/>
          </w:tcPr>
          <w:p w14:paraId="6FB49CC4" w14:textId="77777777" w:rsidR="00E6346D" w:rsidRPr="0015004F" w:rsidRDefault="00E6346D" w:rsidP="00F24DC1">
            <w:pPr>
              <w:pStyle w:val="TableText0"/>
              <w:keepNext/>
            </w:pPr>
            <w:r w:rsidRPr="0015004F">
              <w:t xml:space="preserve">Serious TEAEs </w:t>
            </w:r>
          </w:p>
        </w:tc>
        <w:tc>
          <w:tcPr>
            <w:tcW w:w="1273" w:type="pct"/>
          </w:tcPr>
          <w:p w14:paraId="7EEEEF87" w14:textId="77777777" w:rsidR="00E6346D" w:rsidRPr="0015004F" w:rsidRDefault="00E6346D" w:rsidP="00F24DC1">
            <w:pPr>
              <w:pStyle w:val="TableText0"/>
              <w:keepNext/>
              <w:jc w:val="center"/>
            </w:pPr>
            <w:r w:rsidRPr="0015004F">
              <w:t xml:space="preserve">1 (2.6) </w:t>
            </w:r>
          </w:p>
        </w:tc>
        <w:tc>
          <w:tcPr>
            <w:tcW w:w="1165" w:type="pct"/>
          </w:tcPr>
          <w:p w14:paraId="2F6816A3" w14:textId="77777777" w:rsidR="00E6346D" w:rsidRPr="0015004F" w:rsidRDefault="00E6346D" w:rsidP="00F24DC1">
            <w:pPr>
              <w:pStyle w:val="TableText0"/>
              <w:keepNext/>
              <w:jc w:val="center"/>
            </w:pPr>
            <w:r w:rsidRPr="0015004F">
              <w:t>0</w:t>
            </w:r>
          </w:p>
        </w:tc>
      </w:tr>
    </w:tbl>
    <w:p w14:paraId="605ED551" w14:textId="77777777" w:rsidR="00270F00" w:rsidRPr="0015004F" w:rsidRDefault="00FE015B" w:rsidP="00F24DC1">
      <w:pPr>
        <w:pStyle w:val="TableFigureFooter"/>
        <w:keepNext/>
      </w:pPr>
      <w:r w:rsidRPr="0015004F">
        <w:t>Source: Table 2.40, p113 of the submission</w:t>
      </w:r>
    </w:p>
    <w:p w14:paraId="1FED3B6F" w14:textId="77777777" w:rsidR="00E6346D" w:rsidRPr="0015004F" w:rsidRDefault="00E6346D" w:rsidP="009B6299">
      <w:pPr>
        <w:keepLines/>
        <w:spacing w:after="120"/>
        <w:rPr>
          <w:rFonts w:ascii="Arial Narrow" w:hAnsi="Arial Narrow" w:cstheme="minorHAnsi"/>
          <w:sz w:val="18"/>
          <w:szCs w:val="18"/>
        </w:rPr>
      </w:pPr>
      <w:r w:rsidRPr="0015004F">
        <w:rPr>
          <w:rFonts w:ascii="Arial Narrow" w:hAnsi="Arial Narrow" w:cstheme="minorHAnsi"/>
          <w:sz w:val="18"/>
          <w:szCs w:val="18"/>
        </w:rPr>
        <w:t>AESI = adverse events of special interest; ISR = injection site reaction; N = number of subjects in the safety analysis set; n = number of subjects with at least 1 event; QM = once per month; SC = subcutaneous; TEAE = treatment-emergent adverse event.</w:t>
      </w:r>
    </w:p>
    <w:bookmarkEnd w:id="29"/>
    <w:p w14:paraId="13EEBA54" w14:textId="77777777" w:rsidR="00E6346D" w:rsidRPr="0015004F" w:rsidRDefault="00E6346D" w:rsidP="00E6346D">
      <w:pPr>
        <w:pStyle w:val="3-BodyText"/>
        <w:rPr>
          <w:rFonts w:eastAsia="Calibri"/>
        </w:rPr>
      </w:pPr>
      <w:r w:rsidRPr="0015004F">
        <w:rPr>
          <w:rFonts w:eastAsia="Calibri"/>
        </w:rPr>
        <w:lastRenderedPageBreak/>
        <w:t>In VANGUARD, 25 patients (64.1%) in the garadacimab arm and 15 patients (60.0%) in the placebo arm experienced at least one TEAE. The incidence of moderate TEAEs was higher in the garadacimab arm than in the placebo arm (41.0% vs. 28.0%). There was one severe TEAE occurred in one (2.6%) garadacimab-treated patient, but this event was considered not related to study treatment. No TEAEs caused death in either treatment arm.</w:t>
      </w:r>
    </w:p>
    <w:p w14:paraId="486ED53F" w14:textId="77777777" w:rsidR="00E6346D" w:rsidRPr="0015004F" w:rsidRDefault="00E6346D" w:rsidP="00E6346D">
      <w:pPr>
        <w:pStyle w:val="3-BodyText"/>
        <w:rPr>
          <w:rFonts w:eastAsia="Calibri"/>
        </w:rPr>
      </w:pPr>
      <w:r w:rsidRPr="0015004F">
        <w:rPr>
          <w:rFonts w:eastAsia="Calibri"/>
        </w:rPr>
        <w:t>Injection site reactions (ISRs) were reported in two (5.1%) garadacimab-treated patients and two (8.0%) placebo-treated patients. No patients in the study experienced an adverse event of special interest (AESI)</w:t>
      </w:r>
      <w:r w:rsidRPr="0015004F">
        <w:rPr>
          <w:rStyle w:val="FootnoteReference"/>
          <w:rFonts w:eastAsia="Calibri"/>
        </w:rPr>
        <w:footnoteReference w:id="7"/>
      </w:r>
      <w:r w:rsidRPr="0015004F">
        <w:rPr>
          <w:rFonts w:eastAsia="Calibri"/>
        </w:rPr>
        <w:t>.</w:t>
      </w:r>
      <w:r w:rsidRPr="0015004F">
        <w:t xml:space="preserve"> </w:t>
      </w:r>
    </w:p>
    <w:p w14:paraId="5EF7BC95" w14:textId="77777777" w:rsidR="00E6346D" w:rsidRPr="0015004F" w:rsidRDefault="00E6346D" w:rsidP="00E6346D">
      <w:pPr>
        <w:pStyle w:val="3-BodyText"/>
        <w:rPr>
          <w:rFonts w:eastAsia="Calibri"/>
        </w:rPr>
      </w:pPr>
      <w:r w:rsidRPr="0015004F">
        <w:rPr>
          <w:rFonts w:eastAsia="Calibri"/>
        </w:rPr>
        <w:t xml:space="preserve">The most common AEs experienced by studied patients in VANGUARD were headache, upper respiratory tract infection, and nasopharyngitis. Of these, headache occurred more frequently in the placebo arm than in the garadacimab arm (16.0% vs. 7.7%). Conjunctivitis, sinusitis, urinary tract infection and abdominal pain occurred in patients treated with garadacimab only (5.1% for each AE), but not in the placebo group. On the contrary, fatigue (12.0%), nausea (8.0%), and pain in extremity (8.0%) were reported in patients receiving placebo, but not in the garadacimab group. </w:t>
      </w:r>
    </w:p>
    <w:p w14:paraId="5D54BBF2" w14:textId="7FCFB433" w:rsidR="005E0A36" w:rsidRPr="0015004F" w:rsidRDefault="00E6346D" w:rsidP="00E6346D">
      <w:pPr>
        <w:pStyle w:val="3-BodyText"/>
        <w:rPr>
          <w:rFonts w:eastAsia="Calibri"/>
        </w:rPr>
      </w:pPr>
      <w:r w:rsidRPr="0015004F">
        <w:rPr>
          <w:rFonts w:eastAsia="Calibri"/>
        </w:rPr>
        <w:t>A total of 14 study treatment-related TEAEs were reported in VANGUARD. They were experienced by 4 patients (10.3%) in the garadacimab arm (9 events) and 3 patients (12.0%) in the placebo arm (5 events). All of the 5 treatment-related TEAEs in the placebo arm were mild adverse events (AEs). Among the 9 treatment-related TEAEs reported in the garadacimab arm, 4 were mild AEs and the remaining 5 were moderate AEs (all occurred in the same patient). No severe treatment-related TEAEs were reported in the trial.</w:t>
      </w:r>
      <w:r w:rsidR="00806095" w:rsidRPr="0015004F">
        <w:rPr>
          <w:rFonts w:eastAsia="Calibri"/>
        </w:rPr>
        <w:t xml:space="preserve"> F</w:t>
      </w:r>
      <w:r w:rsidRPr="0015004F">
        <w:rPr>
          <w:rFonts w:eastAsia="Calibri"/>
        </w:rPr>
        <w:t>rom the VANGUARD Clinical Study Report</w:t>
      </w:r>
      <w:r w:rsidR="005E0A36" w:rsidRPr="0015004F">
        <w:rPr>
          <w:rFonts w:eastAsia="Calibri"/>
        </w:rPr>
        <w:t>:</w:t>
      </w:r>
    </w:p>
    <w:p w14:paraId="67A4E0DE" w14:textId="66420DE0" w:rsidR="005E0A36" w:rsidRPr="0015004F" w:rsidRDefault="005E0A36" w:rsidP="00857266">
      <w:pPr>
        <w:pStyle w:val="3-BodyText"/>
        <w:numPr>
          <w:ilvl w:val="0"/>
          <w:numId w:val="10"/>
        </w:numPr>
        <w:ind w:left="1134"/>
        <w:rPr>
          <w:rFonts w:eastAsia="Calibri"/>
        </w:rPr>
      </w:pPr>
      <w:r w:rsidRPr="0015004F">
        <w:rPr>
          <w:rFonts w:eastAsia="Calibri"/>
        </w:rPr>
        <w:t>a</w:t>
      </w:r>
      <w:r w:rsidR="00E6346D" w:rsidRPr="0015004F">
        <w:rPr>
          <w:rFonts w:eastAsia="Calibri"/>
        </w:rPr>
        <w:t>ll treatment-related TEAEs had an outcome of recovered or resolved, except for one (2.6%) patient in the garadacimab arm who experienced a mild event of prothrombin fragment 1.2 increase that had an outcome of not recovered or not resolved</w:t>
      </w:r>
      <w:r w:rsidRPr="0015004F">
        <w:rPr>
          <w:rFonts w:eastAsia="Calibri"/>
        </w:rPr>
        <w:t>;</w:t>
      </w:r>
      <w:r w:rsidR="00E6346D" w:rsidRPr="0015004F">
        <w:rPr>
          <w:rFonts w:eastAsia="Calibri"/>
        </w:rPr>
        <w:t xml:space="preserve"> </w:t>
      </w:r>
    </w:p>
    <w:p w14:paraId="52909A1F" w14:textId="0F1B2F6B" w:rsidR="00E6346D" w:rsidRPr="0015004F" w:rsidRDefault="005E0A36" w:rsidP="00857266">
      <w:pPr>
        <w:pStyle w:val="3-BodyText"/>
        <w:numPr>
          <w:ilvl w:val="0"/>
          <w:numId w:val="10"/>
        </w:numPr>
        <w:ind w:left="1134"/>
        <w:rPr>
          <w:rFonts w:eastAsia="Calibri"/>
        </w:rPr>
      </w:pPr>
      <w:r w:rsidRPr="0015004F">
        <w:rPr>
          <w:rFonts w:eastAsia="Calibri"/>
        </w:rPr>
        <w:t>t</w:t>
      </w:r>
      <w:r w:rsidR="00E6346D" w:rsidRPr="0015004F">
        <w:rPr>
          <w:rFonts w:eastAsia="Calibri"/>
        </w:rPr>
        <w:t>he most common study treatment-related TEAEs reported were ISRs and headache. Treatment-related ISRs occurred in 2 patients in each treatment arm (5.1% for garadacimab vs. 8.0% for placebo). The 5 treatment-related headache events were all with moderate severity, occurred in the same patient within 24 hours after SC dose and resolved within 2 to 3 days.</w:t>
      </w:r>
    </w:p>
    <w:p w14:paraId="4D8AEC87" w14:textId="0ED84BFD" w:rsidR="00496CE5" w:rsidRPr="0015004F" w:rsidRDefault="00E6346D" w:rsidP="00E6346D">
      <w:pPr>
        <w:pStyle w:val="3-BodyText"/>
        <w:rPr>
          <w:rFonts w:eastAsia="Calibri"/>
        </w:rPr>
      </w:pPr>
      <w:bookmarkStart w:id="32" w:name="_Ref179872543"/>
      <w:r w:rsidRPr="0015004F">
        <w:rPr>
          <w:rFonts w:eastAsia="Calibri"/>
        </w:rPr>
        <w:t xml:space="preserve">The </w:t>
      </w:r>
      <w:r w:rsidR="005E0A36" w:rsidRPr="0015004F">
        <w:rPr>
          <w:rFonts w:eastAsia="Calibri"/>
        </w:rPr>
        <w:t xml:space="preserve">evaluation considered that </w:t>
      </w:r>
      <w:r w:rsidRPr="0015004F">
        <w:rPr>
          <w:rFonts w:eastAsia="Calibri"/>
        </w:rPr>
        <w:t xml:space="preserve">interpretation of the safety data from VANGUARD </w:t>
      </w:r>
      <w:r w:rsidR="00806095" w:rsidRPr="0015004F">
        <w:rPr>
          <w:rFonts w:eastAsia="Calibri"/>
        </w:rPr>
        <w:t>was</w:t>
      </w:r>
      <w:r w:rsidRPr="0015004F">
        <w:rPr>
          <w:rFonts w:eastAsia="Calibri"/>
        </w:rPr>
        <w:t xml:space="preserve"> hindered by the small number of patients in each treatment arm. </w:t>
      </w:r>
      <w:r w:rsidR="005E0A36" w:rsidRPr="0015004F">
        <w:rPr>
          <w:rFonts w:eastAsia="Calibri"/>
        </w:rPr>
        <w:t>It considered that t</w:t>
      </w:r>
      <w:r w:rsidRPr="0015004F">
        <w:rPr>
          <w:rFonts w:eastAsia="Calibri"/>
        </w:rPr>
        <w:t>he study was too small to identify rare AEs, such as AESIs which included thromboembolic events, bleeding events and severe hypersensitivity/anaphylaxis.</w:t>
      </w:r>
      <w:bookmarkEnd w:id="32"/>
      <w:r w:rsidRPr="0015004F">
        <w:rPr>
          <w:rFonts w:eastAsia="Calibri"/>
        </w:rPr>
        <w:t xml:space="preserve">  </w:t>
      </w:r>
    </w:p>
    <w:p w14:paraId="000678DA" w14:textId="77777777" w:rsidR="00496CE5" w:rsidRPr="0015004F" w:rsidRDefault="00496CE5" w:rsidP="00496CE5">
      <w:pPr>
        <w:pStyle w:val="5-SubsectionSubheading"/>
        <w:keepNext w:val="0"/>
        <w:keepLines w:val="0"/>
        <w:widowControl w:val="0"/>
        <w:spacing w:before="160" w:after="120"/>
      </w:pPr>
      <w:bookmarkStart w:id="33" w:name="_Toc177480626"/>
      <w:bookmarkStart w:id="34" w:name="_Hlk176360974"/>
      <w:r w:rsidRPr="0015004F">
        <w:lastRenderedPageBreak/>
        <w:t>Indirect comparison of garadacimab versus lanadelumab</w:t>
      </w:r>
      <w:bookmarkEnd w:id="33"/>
    </w:p>
    <w:bookmarkStart w:id="35" w:name="_Ref175934545"/>
    <w:bookmarkEnd w:id="34"/>
    <w:p w14:paraId="7DDBD809" w14:textId="03848897" w:rsidR="00E6346D" w:rsidRPr="0015004F" w:rsidRDefault="00E6346D" w:rsidP="00E6346D">
      <w:pPr>
        <w:pStyle w:val="3-BodyText"/>
        <w:rPr>
          <w:rFonts w:eastAsia="Calibri"/>
        </w:rPr>
      </w:pPr>
      <w:r w:rsidRPr="0015004F">
        <w:rPr>
          <w:rFonts w:eastAsia="Calibri"/>
        </w:rPr>
        <w:fldChar w:fldCharType="begin" w:fldLock="1"/>
      </w:r>
      <w:r w:rsidRPr="0015004F">
        <w:rPr>
          <w:rFonts w:eastAsia="Calibri"/>
        </w:rPr>
        <w:instrText xml:space="preserve"> REF _Ref176544181 \h </w:instrText>
      </w:r>
      <w:r w:rsidR="0015004F" w:rsidRPr="0015004F">
        <w:rPr>
          <w:rFonts w:eastAsia="Calibri"/>
        </w:rPr>
        <w:instrText xml:space="preserve"> \* MERGEFORMAT </w:instrText>
      </w:r>
      <w:r w:rsidRPr="0015004F">
        <w:rPr>
          <w:rFonts w:eastAsia="Calibri"/>
        </w:rPr>
      </w:r>
      <w:r w:rsidRPr="0015004F">
        <w:rPr>
          <w:rFonts w:eastAsia="Calibri"/>
        </w:rPr>
        <w:fldChar w:fldCharType="separate"/>
      </w:r>
      <w:r w:rsidR="00106090" w:rsidRPr="0015004F">
        <w:t xml:space="preserve">Table </w:t>
      </w:r>
      <w:r w:rsidR="00106090">
        <w:rPr>
          <w:noProof/>
        </w:rPr>
        <w:t>8</w:t>
      </w:r>
      <w:r w:rsidRPr="0015004F">
        <w:rPr>
          <w:rFonts w:eastAsia="Calibri"/>
        </w:rPr>
        <w:fldChar w:fldCharType="end"/>
      </w:r>
      <w:r w:rsidRPr="0015004F">
        <w:rPr>
          <w:rFonts w:eastAsia="Calibri"/>
        </w:rPr>
        <w:t xml:space="preserve"> and </w:t>
      </w:r>
      <w:r w:rsidRPr="0015004F">
        <w:rPr>
          <w:rFonts w:eastAsia="Calibri"/>
        </w:rPr>
        <w:fldChar w:fldCharType="begin" w:fldLock="1"/>
      </w:r>
      <w:r w:rsidRPr="0015004F">
        <w:rPr>
          <w:rFonts w:eastAsia="Calibri"/>
        </w:rPr>
        <w:instrText xml:space="preserve"> REF _Ref176544183 \h </w:instrText>
      </w:r>
      <w:r w:rsidR="0015004F" w:rsidRPr="0015004F">
        <w:rPr>
          <w:rFonts w:eastAsia="Calibri"/>
        </w:rPr>
        <w:instrText xml:space="preserve"> \* MERGEFORMAT </w:instrText>
      </w:r>
      <w:r w:rsidRPr="0015004F">
        <w:rPr>
          <w:rFonts w:eastAsia="Calibri"/>
        </w:rPr>
      </w:r>
      <w:r w:rsidRPr="0015004F">
        <w:rPr>
          <w:rFonts w:eastAsia="Calibri"/>
        </w:rPr>
        <w:fldChar w:fldCharType="separate"/>
      </w:r>
      <w:r w:rsidR="00106090" w:rsidRPr="0015004F">
        <w:t xml:space="preserve">Table </w:t>
      </w:r>
      <w:r w:rsidR="00106090">
        <w:rPr>
          <w:noProof/>
        </w:rPr>
        <w:t>9</w:t>
      </w:r>
      <w:r w:rsidRPr="0015004F">
        <w:rPr>
          <w:rFonts w:eastAsia="Calibri"/>
        </w:rPr>
        <w:fldChar w:fldCharType="end"/>
      </w:r>
      <w:r w:rsidRPr="0015004F">
        <w:rPr>
          <w:rFonts w:eastAsia="Calibri"/>
        </w:rPr>
        <w:t xml:space="preserve"> summarise the results of the ITCs of TEAEs and serious AEs for garadacimab versus lanadelumab.</w:t>
      </w:r>
    </w:p>
    <w:p w14:paraId="4273E149" w14:textId="43D329D6" w:rsidR="00E6346D" w:rsidRPr="0015004F" w:rsidRDefault="00E6346D" w:rsidP="0000146E">
      <w:pPr>
        <w:pStyle w:val="Caption"/>
      </w:pPr>
      <w:bookmarkStart w:id="36" w:name="_Ref176544181"/>
      <w:bookmarkEnd w:id="35"/>
      <w:r w:rsidRPr="0015004F">
        <w:t xml:space="preserve">Table </w:t>
      </w:r>
      <w:r w:rsidR="00106090">
        <w:fldChar w:fldCharType="begin" w:fldLock="1"/>
      </w:r>
      <w:r w:rsidR="00106090">
        <w:instrText xml:space="preserve"> SEQ Table \* ARABIC </w:instrText>
      </w:r>
      <w:r w:rsidR="00106090">
        <w:fldChar w:fldCharType="separate"/>
      </w:r>
      <w:r w:rsidR="00106090">
        <w:rPr>
          <w:noProof/>
        </w:rPr>
        <w:t>8</w:t>
      </w:r>
      <w:r w:rsidR="00106090">
        <w:rPr>
          <w:noProof/>
        </w:rPr>
        <w:fldChar w:fldCharType="end"/>
      </w:r>
      <w:bookmarkEnd w:id="36"/>
      <w:r w:rsidRPr="0015004F">
        <w:t>: Indirect comparison of TEAEs during the treatment period in VANGUARD and HELP</w:t>
      </w:r>
    </w:p>
    <w:tbl>
      <w:tblPr>
        <w:tblStyle w:val="TableGrid"/>
        <w:tblW w:w="5000" w:type="pct"/>
        <w:tblInd w:w="-5" w:type="dxa"/>
        <w:tblLook w:val="04A0" w:firstRow="1" w:lastRow="0" w:firstColumn="1" w:lastColumn="0" w:noHBand="0" w:noVBand="1"/>
      </w:tblPr>
      <w:tblGrid>
        <w:gridCol w:w="1287"/>
        <w:gridCol w:w="1830"/>
        <w:gridCol w:w="1134"/>
        <w:gridCol w:w="874"/>
        <w:gridCol w:w="1212"/>
        <w:gridCol w:w="1266"/>
        <w:gridCol w:w="1414"/>
      </w:tblGrid>
      <w:tr w:rsidR="00B75FC3" w:rsidRPr="0015004F" w14:paraId="4D7FBCC9" w14:textId="77777777" w:rsidTr="003134EF">
        <w:tc>
          <w:tcPr>
            <w:tcW w:w="1287" w:type="dxa"/>
            <w:shd w:val="clear" w:color="auto" w:fill="auto"/>
          </w:tcPr>
          <w:p w14:paraId="729678AB" w14:textId="77777777" w:rsidR="00E6346D" w:rsidRPr="0015004F" w:rsidRDefault="00E6346D" w:rsidP="0000146E">
            <w:pPr>
              <w:keepNext/>
              <w:rPr>
                <w:rFonts w:ascii="Arial Narrow" w:hAnsi="Arial Narrow" w:cstheme="minorHAnsi"/>
                <w:b/>
                <w:bCs/>
                <w:sz w:val="20"/>
                <w:szCs w:val="20"/>
              </w:rPr>
            </w:pPr>
            <w:r w:rsidRPr="0015004F">
              <w:rPr>
                <w:rFonts w:ascii="Arial Narrow" w:hAnsi="Arial Narrow" w:cstheme="minorHAnsi"/>
                <w:b/>
                <w:bCs/>
                <w:sz w:val="20"/>
                <w:szCs w:val="20"/>
              </w:rPr>
              <w:t>Trial ID</w:t>
            </w:r>
          </w:p>
        </w:tc>
        <w:tc>
          <w:tcPr>
            <w:tcW w:w="1830" w:type="dxa"/>
            <w:shd w:val="clear" w:color="auto" w:fill="auto"/>
          </w:tcPr>
          <w:p w14:paraId="11A03F72" w14:textId="77777777" w:rsidR="00E6346D" w:rsidRPr="0015004F" w:rsidRDefault="00E6346D" w:rsidP="0000146E">
            <w:pPr>
              <w:keepNext/>
              <w:jc w:val="center"/>
              <w:rPr>
                <w:rFonts w:ascii="Arial Narrow" w:hAnsi="Arial Narrow" w:cstheme="minorHAnsi"/>
                <w:b/>
                <w:bCs/>
                <w:sz w:val="20"/>
                <w:szCs w:val="20"/>
              </w:rPr>
            </w:pPr>
            <w:r w:rsidRPr="0015004F">
              <w:rPr>
                <w:rFonts w:ascii="Arial Narrow" w:hAnsi="Arial Narrow" w:cstheme="minorHAnsi"/>
                <w:b/>
                <w:bCs/>
                <w:sz w:val="20"/>
                <w:szCs w:val="20"/>
              </w:rPr>
              <w:t>Comparison</w:t>
            </w:r>
          </w:p>
        </w:tc>
        <w:tc>
          <w:tcPr>
            <w:tcW w:w="1134" w:type="dxa"/>
            <w:shd w:val="clear" w:color="auto" w:fill="auto"/>
          </w:tcPr>
          <w:p w14:paraId="4BAEADB0" w14:textId="77777777" w:rsidR="00E6346D" w:rsidRPr="0015004F" w:rsidRDefault="00E6346D" w:rsidP="0000146E">
            <w:pPr>
              <w:keepNext/>
              <w:ind w:left="-80" w:right="-17"/>
              <w:jc w:val="center"/>
              <w:rPr>
                <w:rFonts w:ascii="Arial Narrow" w:hAnsi="Arial Narrow" w:cstheme="minorHAnsi"/>
                <w:b/>
                <w:bCs/>
                <w:sz w:val="20"/>
                <w:szCs w:val="20"/>
              </w:rPr>
            </w:pPr>
            <w:r w:rsidRPr="0015004F">
              <w:rPr>
                <w:rFonts w:ascii="Arial Narrow" w:hAnsi="Arial Narrow" w:cstheme="minorHAnsi"/>
                <w:b/>
                <w:bCs/>
                <w:sz w:val="20"/>
                <w:szCs w:val="20"/>
              </w:rPr>
              <w:t>Intervention n/N (%)</w:t>
            </w:r>
          </w:p>
        </w:tc>
        <w:tc>
          <w:tcPr>
            <w:tcW w:w="874" w:type="dxa"/>
            <w:shd w:val="clear" w:color="auto" w:fill="auto"/>
          </w:tcPr>
          <w:p w14:paraId="074A1866" w14:textId="77777777" w:rsidR="00E6346D" w:rsidRPr="0015004F" w:rsidRDefault="00E6346D" w:rsidP="0000146E">
            <w:pPr>
              <w:keepNext/>
              <w:ind w:left="-80" w:right="-80"/>
              <w:jc w:val="center"/>
              <w:rPr>
                <w:rFonts w:ascii="Arial Narrow" w:hAnsi="Arial Narrow" w:cstheme="minorHAnsi"/>
                <w:b/>
                <w:bCs/>
                <w:sz w:val="20"/>
                <w:szCs w:val="20"/>
              </w:rPr>
            </w:pPr>
            <w:r w:rsidRPr="0015004F">
              <w:rPr>
                <w:rFonts w:ascii="Arial Narrow" w:hAnsi="Arial Narrow" w:cstheme="minorHAnsi"/>
                <w:b/>
                <w:bCs/>
                <w:sz w:val="20"/>
                <w:szCs w:val="20"/>
              </w:rPr>
              <w:t xml:space="preserve">Placebo </w:t>
            </w:r>
          </w:p>
          <w:p w14:paraId="4096C444" w14:textId="77777777" w:rsidR="00E6346D" w:rsidRPr="0015004F" w:rsidRDefault="00E6346D" w:rsidP="0000146E">
            <w:pPr>
              <w:keepNext/>
              <w:ind w:left="-80" w:right="-80"/>
              <w:jc w:val="center"/>
              <w:rPr>
                <w:rFonts w:ascii="Arial Narrow" w:hAnsi="Arial Narrow" w:cstheme="minorHAnsi"/>
                <w:b/>
                <w:bCs/>
                <w:sz w:val="20"/>
                <w:szCs w:val="20"/>
              </w:rPr>
            </w:pPr>
            <w:r w:rsidRPr="0015004F">
              <w:rPr>
                <w:rFonts w:ascii="Arial Narrow" w:hAnsi="Arial Narrow" w:cstheme="minorHAnsi"/>
                <w:b/>
                <w:bCs/>
                <w:sz w:val="20"/>
                <w:szCs w:val="20"/>
              </w:rPr>
              <w:t>n/N (%)</w:t>
            </w:r>
          </w:p>
        </w:tc>
        <w:tc>
          <w:tcPr>
            <w:tcW w:w="1212" w:type="dxa"/>
            <w:shd w:val="clear" w:color="auto" w:fill="auto"/>
          </w:tcPr>
          <w:p w14:paraId="72F43BEB" w14:textId="77777777" w:rsidR="00E6346D" w:rsidRPr="0015004F" w:rsidRDefault="00E6346D" w:rsidP="0000146E">
            <w:pPr>
              <w:keepNext/>
              <w:jc w:val="center"/>
              <w:rPr>
                <w:rFonts w:ascii="Arial Narrow" w:hAnsi="Arial Narrow" w:cstheme="minorHAnsi"/>
                <w:b/>
                <w:bCs/>
                <w:sz w:val="20"/>
                <w:szCs w:val="20"/>
              </w:rPr>
            </w:pPr>
            <w:r w:rsidRPr="0015004F">
              <w:rPr>
                <w:rFonts w:ascii="Arial Narrow" w:hAnsi="Arial Narrow" w:cstheme="minorHAnsi"/>
                <w:b/>
                <w:bCs/>
                <w:sz w:val="20"/>
                <w:szCs w:val="20"/>
              </w:rPr>
              <w:t>OR</w:t>
            </w:r>
          </w:p>
          <w:p w14:paraId="1EAB90B2" w14:textId="77777777" w:rsidR="00E6346D" w:rsidRPr="0015004F" w:rsidRDefault="00E6346D" w:rsidP="0000146E">
            <w:pPr>
              <w:keepNext/>
              <w:jc w:val="center"/>
              <w:rPr>
                <w:rFonts w:ascii="Arial Narrow" w:hAnsi="Arial Narrow" w:cstheme="minorHAnsi"/>
                <w:b/>
                <w:bCs/>
                <w:sz w:val="20"/>
                <w:szCs w:val="20"/>
                <w:highlight w:val="yellow"/>
              </w:rPr>
            </w:pPr>
            <w:r w:rsidRPr="0015004F">
              <w:rPr>
                <w:rFonts w:ascii="Arial Narrow" w:hAnsi="Arial Narrow" w:cstheme="minorHAnsi"/>
                <w:b/>
                <w:bCs/>
                <w:sz w:val="20"/>
                <w:szCs w:val="20"/>
              </w:rPr>
              <w:t>(95% CI)</w:t>
            </w:r>
          </w:p>
        </w:tc>
        <w:tc>
          <w:tcPr>
            <w:tcW w:w="1266" w:type="dxa"/>
            <w:shd w:val="clear" w:color="auto" w:fill="auto"/>
          </w:tcPr>
          <w:p w14:paraId="36DACCEA" w14:textId="77777777" w:rsidR="00E6346D" w:rsidRPr="0015004F" w:rsidRDefault="00E6346D" w:rsidP="0000146E">
            <w:pPr>
              <w:keepNext/>
              <w:jc w:val="center"/>
              <w:rPr>
                <w:rFonts w:ascii="Arial Narrow" w:hAnsi="Arial Narrow" w:cstheme="minorHAnsi"/>
                <w:b/>
                <w:bCs/>
                <w:sz w:val="20"/>
                <w:szCs w:val="20"/>
              </w:rPr>
            </w:pPr>
            <w:r w:rsidRPr="0015004F">
              <w:rPr>
                <w:rFonts w:ascii="Arial Narrow" w:hAnsi="Arial Narrow" w:cstheme="minorHAnsi"/>
                <w:b/>
                <w:bCs/>
                <w:sz w:val="20"/>
                <w:szCs w:val="20"/>
              </w:rPr>
              <w:t xml:space="preserve">RR </w:t>
            </w:r>
          </w:p>
          <w:p w14:paraId="02F3F518" w14:textId="77777777" w:rsidR="00E6346D" w:rsidRPr="0015004F" w:rsidRDefault="00E6346D" w:rsidP="0000146E">
            <w:pPr>
              <w:keepNext/>
              <w:jc w:val="center"/>
              <w:rPr>
                <w:rFonts w:ascii="Arial Narrow" w:hAnsi="Arial Narrow" w:cstheme="minorHAnsi"/>
                <w:b/>
                <w:bCs/>
                <w:sz w:val="20"/>
                <w:szCs w:val="20"/>
                <w:highlight w:val="yellow"/>
              </w:rPr>
            </w:pPr>
            <w:r w:rsidRPr="0015004F">
              <w:rPr>
                <w:rFonts w:ascii="Arial Narrow" w:hAnsi="Arial Narrow" w:cstheme="minorHAnsi"/>
                <w:b/>
                <w:bCs/>
                <w:sz w:val="20"/>
                <w:szCs w:val="20"/>
              </w:rPr>
              <w:t>(95% CI)</w:t>
            </w:r>
          </w:p>
        </w:tc>
        <w:tc>
          <w:tcPr>
            <w:tcW w:w="1414" w:type="dxa"/>
            <w:shd w:val="clear" w:color="auto" w:fill="auto"/>
          </w:tcPr>
          <w:p w14:paraId="640E4327" w14:textId="77777777" w:rsidR="00E6346D" w:rsidRPr="0015004F" w:rsidRDefault="00E6346D" w:rsidP="0000146E">
            <w:pPr>
              <w:keepNext/>
              <w:jc w:val="center"/>
              <w:rPr>
                <w:rFonts w:ascii="Arial Narrow" w:hAnsi="Arial Narrow" w:cstheme="minorHAnsi"/>
                <w:b/>
                <w:bCs/>
                <w:sz w:val="20"/>
                <w:szCs w:val="20"/>
              </w:rPr>
            </w:pPr>
            <w:r w:rsidRPr="0015004F">
              <w:rPr>
                <w:rFonts w:ascii="Arial Narrow" w:hAnsi="Arial Narrow" w:cstheme="minorHAnsi"/>
                <w:b/>
                <w:bCs/>
                <w:sz w:val="20"/>
                <w:szCs w:val="20"/>
              </w:rPr>
              <w:t xml:space="preserve">RD </w:t>
            </w:r>
          </w:p>
          <w:p w14:paraId="12331A2C" w14:textId="77777777" w:rsidR="00E6346D" w:rsidRPr="0015004F" w:rsidRDefault="00E6346D" w:rsidP="0000146E">
            <w:pPr>
              <w:keepNext/>
              <w:jc w:val="center"/>
              <w:rPr>
                <w:rFonts w:ascii="Arial Narrow" w:hAnsi="Arial Narrow" w:cstheme="minorHAnsi"/>
                <w:b/>
                <w:bCs/>
                <w:sz w:val="20"/>
                <w:szCs w:val="20"/>
              </w:rPr>
            </w:pPr>
            <w:r w:rsidRPr="0015004F">
              <w:rPr>
                <w:rFonts w:ascii="Arial Narrow" w:hAnsi="Arial Narrow" w:cstheme="minorHAnsi"/>
                <w:b/>
                <w:bCs/>
                <w:sz w:val="20"/>
                <w:szCs w:val="20"/>
              </w:rPr>
              <w:t>(95% CI)</w:t>
            </w:r>
          </w:p>
        </w:tc>
      </w:tr>
      <w:tr w:rsidR="008576A9" w:rsidRPr="0015004F" w14:paraId="4690B382" w14:textId="77777777" w:rsidTr="003134EF">
        <w:tc>
          <w:tcPr>
            <w:tcW w:w="9017" w:type="dxa"/>
            <w:gridSpan w:val="7"/>
            <w:shd w:val="clear" w:color="auto" w:fill="auto"/>
          </w:tcPr>
          <w:p w14:paraId="387A4AB4" w14:textId="77777777" w:rsidR="00E6346D" w:rsidRPr="0015004F" w:rsidRDefault="00E6346D" w:rsidP="0000146E">
            <w:pPr>
              <w:keepNext/>
              <w:rPr>
                <w:rFonts w:ascii="Arial Narrow" w:hAnsi="Arial Narrow" w:cstheme="minorHAnsi"/>
                <w:b/>
                <w:bCs/>
                <w:sz w:val="20"/>
                <w:szCs w:val="20"/>
              </w:rPr>
            </w:pPr>
            <w:r w:rsidRPr="0015004F">
              <w:rPr>
                <w:rFonts w:ascii="Arial Narrow" w:hAnsi="Arial Narrow" w:cstheme="minorHAnsi"/>
                <w:b/>
                <w:bCs/>
                <w:sz w:val="20"/>
                <w:szCs w:val="20"/>
              </w:rPr>
              <w:t>GARA 200 QM vs LANA 300 Q2W</w:t>
            </w:r>
          </w:p>
        </w:tc>
      </w:tr>
      <w:tr w:rsidR="0051224C" w:rsidRPr="0015004F" w14:paraId="11A2A796" w14:textId="77777777" w:rsidTr="003134EF">
        <w:tc>
          <w:tcPr>
            <w:tcW w:w="1287" w:type="dxa"/>
          </w:tcPr>
          <w:p w14:paraId="38434D15" w14:textId="77777777" w:rsidR="00E6346D" w:rsidRPr="0015004F" w:rsidRDefault="00E6346D" w:rsidP="0000146E">
            <w:pPr>
              <w:keepNext/>
              <w:ind w:right="-86"/>
              <w:rPr>
                <w:rFonts w:ascii="Arial Narrow" w:hAnsi="Arial Narrow" w:cstheme="minorHAnsi"/>
                <w:sz w:val="20"/>
                <w:szCs w:val="20"/>
              </w:rPr>
            </w:pPr>
            <w:r w:rsidRPr="0015004F">
              <w:rPr>
                <w:rFonts w:ascii="Arial Narrow" w:hAnsi="Arial Narrow" w:cstheme="minorHAnsi"/>
                <w:sz w:val="20"/>
                <w:szCs w:val="20"/>
              </w:rPr>
              <w:t>VANGUARD</w:t>
            </w:r>
          </w:p>
        </w:tc>
        <w:tc>
          <w:tcPr>
            <w:tcW w:w="1830" w:type="dxa"/>
          </w:tcPr>
          <w:p w14:paraId="08F0E3B7" w14:textId="77777777" w:rsidR="00E6346D" w:rsidRPr="0015004F" w:rsidRDefault="00E6346D" w:rsidP="0000146E">
            <w:pPr>
              <w:keepNext/>
              <w:jc w:val="center"/>
              <w:rPr>
                <w:rFonts w:ascii="Arial Narrow" w:hAnsi="Arial Narrow" w:cstheme="minorHAnsi"/>
                <w:sz w:val="20"/>
                <w:szCs w:val="20"/>
              </w:rPr>
            </w:pPr>
            <w:r w:rsidRPr="0015004F" w:rsidDel="008E4B4B">
              <w:rPr>
                <w:rFonts w:ascii="Arial Narrow" w:hAnsi="Arial Narrow" w:cstheme="minorHAnsi"/>
                <w:sz w:val="20"/>
                <w:szCs w:val="20"/>
              </w:rPr>
              <w:t xml:space="preserve">GARA 200 </w:t>
            </w:r>
            <w:r w:rsidRPr="0015004F">
              <w:rPr>
                <w:rFonts w:ascii="Arial Narrow" w:hAnsi="Arial Narrow" w:cstheme="minorHAnsi"/>
                <w:sz w:val="20"/>
                <w:szCs w:val="20"/>
              </w:rPr>
              <w:t>QM vs Placebo</w:t>
            </w:r>
          </w:p>
        </w:tc>
        <w:tc>
          <w:tcPr>
            <w:tcW w:w="1134" w:type="dxa"/>
          </w:tcPr>
          <w:p w14:paraId="1C5CA917"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 xml:space="preserve">25/39 </w:t>
            </w:r>
            <w:r w:rsidRPr="0015004F">
              <w:rPr>
                <w:rFonts w:ascii="Arial Narrow" w:hAnsi="Arial Narrow" w:cstheme="minorHAnsi"/>
                <w:sz w:val="20"/>
                <w:szCs w:val="20"/>
              </w:rPr>
              <w:br/>
              <w:t>(64.1%)</w:t>
            </w:r>
          </w:p>
        </w:tc>
        <w:tc>
          <w:tcPr>
            <w:tcW w:w="874" w:type="dxa"/>
          </w:tcPr>
          <w:p w14:paraId="29CFA761"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15/25 (60.0%)</w:t>
            </w:r>
          </w:p>
        </w:tc>
        <w:tc>
          <w:tcPr>
            <w:tcW w:w="1212" w:type="dxa"/>
          </w:tcPr>
          <w:p w14:paraId="1E550DC8"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 xml:space="preserve">1.19 </w:t>
            </w:r>
          </w:p>
          <w:p w14:paraId="3FFE6775"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(0.42, 3.35)</w:t>
            </w:r>
          </w:p>
        </w:tc>
        <w:tc>
          <w:tcPr>
            <w:tcW w:w="1266" w:type="dxa"/>
          </w:tcPr>
          <w:p w14:paraId="1DD3B704"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 xml:space="preserve">1.07 </w:t>
            </w:r>
          </w:p>
          <w:p w14:paraId="5E20E12E"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(0.72, 1.59)</w:t>
            </w:r>
          </w:p>
        </w:tc>
        <w:tc>
          <w:tcPr>
            <w:tcW w:w="1414" w:type="dxa"/>
          </w:tcPr>
          <w:p w14:paraId="2E6B7B8D"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 xml:space="preserve">4.1% </w:t>
            </w:r>
          </w:p>
          <w:p w14:paraId="6C6FA1E4" w14:textId="77777777" w:rsidR="00E6346D" w:rsidRPr="0015004F" w:rsidRDefault="00E6346D" w:rsidP="0000146E">
            <w:pPr>
              <w:keepNext/>
              <w:rPr>
                <w:rFonts w:ascii="Arial Narrow" w:hAnsi="Arial Narrow" w:cstheme="minorHAnsi"/>
                <w:sz w:val="20"/>
                <w:szCs w:val="20"/>
              </w:rPr>
            </w:pPr>
            <w:r w:rsidRPr="0015004F">
              <w:rPr>
                <w:rFonts w:ascii="Arial Narrow" w:hAnsi="Arial Narrow" w:cstheme="minorHAnsi"/>
                <w:sz w:val="20"/>
                <w:szCs w:val="20"/>
              </w:rPr>
              <w:t>(-20.3%, 28.5%)</w:t>
            </w:r>
          </w:p>
        </w:tc>
      </w:tr>
      <w:tr w:rsidR="0051224C" w:rsidRPr="0015004F" w14:paraId="69B0A5EB" w14:textId="77777777" w:rsidTr="003134EF">
        <w:tc>
          <w:tcPr>
            <w:tcW w:w="1287" w:type="dxa"/>
          </w:tcPr>
          <w:p w14:paraId="2803CD6E" w14:textId="77777777" w:rsidR="00E6346D" w:rsidRPr="0015004F" w:rsidRDefault="00E6346D" w:rsidP="0000146E">
            <w:pPr>
              <w:keepNext/>
              <w:ind w:right="-86"/>
              <w:rPr>
                <w:rFonts w:ascii="Arial Narrow" w:hAnsi="Arial Narrow" w:cstheme="minorHAnsi"/>
                <w:sz w:val="20"/>
                <w:szCs w:val="20"/>
              </w:rPr>
            </w:pPr>
            <w:r w:rsidRPr="0015004F">
              <w:rPr>
                <w:rFonts w:ascii="Arial Narrow" w:hAnsi="Arial Narrow" w:cstheme="minorHAnsi"/>
                <w:sz w:val="20"/>
                <w:szCs w:val="20"/>
              </w:rPr>
              <w:t>HELP</w:t>
            </w:r>
          </w:p>
        </w:tc>
        <w:tc>
          <w:tcPr>
            <w:tcW w:w="1830" w:type="dxa"/>
          </w:tcPr>
          <w:p w14:paraId="34ECC7AF"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LANA 300 Q2W vs Placebo</w:t>
            </w:r>
          </w:p>
        </w:tc>
        <w:tc>
          <w:tcPr>
            <w:tcW w:w="1134" w:type="dxa"/>
          </w:tcPr>
          <w:p w14:paraId="7AB54C6D"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 xml:space="preserve">26/27 </w:t>
            </w:r>
            <w:r w:rsidRPr="0015004F">
              <w:rPr>
                <w:rFonts w:ascii="Arial Narrow" w:hAnsi="Arial Narrow" w:cstheme="minorHAnsi"/>
                <w:sz w:val="20"/>
                <w:szCs w:val="20"/>
              </w:rPr>
              <w:br/>
              <w:t>(96.3%)</w:t>
            </w:r>
          </w:p>
        </w:tc>
        <w:tc>
          <w:tcPr>
            <w:tcW w:w="874" w:type="dxa"/>
          </w:tcPr>
          <w:p w14:paraId="1841F938"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31/41 (75.6%)</w:t>
            </w:r>
          </w:p>
        </w:tc>
        <w:tc>
          <w:tcPr>
            <w:tcW w:w="1212" w:type="dxa"/>
          </w:tcPr>
          <w:p w14:paraId="3602AA7E" w14:textId="77777777" w:rsidR="00E6346D" w:rsidRPr="0015004F" w:rsidRDefault="00E6346D" w:rsidP="0000146E">
            <w:pPr>
              <w:keepNext/>
              <w:ind w:left="-57" w:right="-57"/>
              <w:jc w:val="center"/>
              <w:rPr>
                <w:rFonts w:ascii="Arial Narrow" w:hAnsi="Arial Narrow" w:cstheme="minorHAnsi"/>
                <w:sz w:val="20"/>
                <w:szCs w:val="20"/>
              </w:rPr>
            </w:pPr>
            <w:r w:rsidRPr="0015004F">
              <w:rPr>
                <w:rFonts w:ascii="Arial Narrow" w:hAnsi="Arial Narrow" w:cstheme="minorHAnsi"/>
                <w:sz w:val="20"/>
                <w:szCs w:val="20"/>
              </w:rPr>
              <w:t xml:space="preserve">8.39 </w:t>
            </w:r>
          </w:p>
          <w:p w14:paraId="1F5372C0" w14:textId="77777777" w:rsidR="00E6346D" w:rsidRPr="0015004F" w:rsidRDefault="00E6346D" w:rsidP="0000146E">
            <w:pPr>
              <w:keepNext/>
              <w:ind w:left="-57" w:right="-57"/>
              <w:jc w:val="center"/>
              <w:rPr>
                <w:rFonts w:ascii="Arial Narrow" w:hAnsi="Arial Narrow" w:cstheme="minorHAnsi"/>
                <w:sz w:val="20"/>
                <w:szCs w:val="20"/>
              </w:rPr>
            </w:pPr>
            <w:r w:rsidRPr="0015004F">
              <w:rPr>
                <w:rFonts w:ascii="Arial Narrow" w:hAnsi="Arial Narrow" w:cstheme="minorHAnsi"/>
                <w:sz w:val="20"/>
                <w:szCs w:val="20"/>
              </w:rPr>
              <w:t>(1.01, 69.92)</w:t>
            </w:r>
          </w:p>
        </w:tc>
        <w:tc>
          <w:tcPr>
            <w:tcW w:w="1266" w:type="dxa"/>
          </w:tcPr>
          <w:p w14:paraId="5F65F475" w14:textId="77777777" w:rsidR="00E6346D" w:rsidRPr="0015004F" w:rsidRDefault="00E6346D" w:rsidP="0000146E">
            <w:pPr>
              <w:keepNext/>
              <w:ind w:left="-57" w:right="-57"/>
              <w:jc w:val="center"/>
              <w:rPr>
                <w:rFonts w:ascii="Arial Narrow" w:hAnsi="Arial Narrow" w:cstheme="minorHAnsi"/>
                <w:sz w:val="20"/>
                <w:szCs w:val="20"/>
              </w:rPr>
            </w:pPr>
            <w:r w:rsidRPr="0015004F">
              <w:rPr>
                <w:rFonts w:ascii="Arial Narrow" w:hAnsi="Arial Narrow" w:cstheme="minorHAnsi"/>
                <w:sz w:val="20"/>
                <w:szCs w:val="20"/>
              </w:rPr>
              <w:t xml:space="preserve">1.27 </w:t>
            </w:r>
          </w:p>
          <w:p w14:paraId="65601BFF" w14:textId="77777777" w:rsidR="00E6346D" w:rsidRPr="0015004F" w:rsidRDefault="00E6346D" w:rsidP="0000146E">
            <w:pPr>
              <w:keepNext/>
              <w:ind w:left="-57" w:right="-57"/>
              <w:jc w:val="center"/>
              <w:rPr>
                <w:rFonts w:ascii="Arial Narrow" w:hAnsi="Arial Narrow" w:cstheme="minorHAnsi"/>
                <w:sz w:val="20"/>
                <w:szCs w:val="20"/>
              </w:rPr>
            </w:pPr>
            <w:r w:rsidRPr="0015004F">
              <w:rPr>
                <w:rFonts w:ascii="Arial Narrow" w:hAnsi="Arial Narrow" w:cstheme="minorHAnsi"/>
                <w:sz w:val="20"/>
                <w:szCs w:val="20"/>
              </w:rPr>
              <w:t>(1.05, 1.54)</w:t>
            </w:r>
          </w:p>
        </w:tc>
        <w:tc>
          <w:tcPr>
            <w:tcW w:w="1414" w:type="dxa"/>
          </w:tcPr>
          <w:p w14:paraId="331EEA44" w14:textId="77777777" w:rsidR="00E6346D" w:rsidRPr="0015004F" w:rsidRDefault="00E6346D" w:rsidP="0000146E">
            <w:pPr>
              <w:keepNext/>
              <w:ind w:left="-57" w:right="-57"/>
              <w:jc w:val="center"/>
              <w:rPr>
                <w:rFonts w:ascii="Arial Narrow" w:hAnsi="Arial Narrow" w:cstheme="minorHAnsi"/>
                <w:sz w:val="20"/>
                <w:szCs w:val="20"/>
              </w:rPr>
            </w:pPr>
            <w:r w:rsidRPr="0015004F">
              <w:rPr>
                <w:rFonts w:ascii="Arial Narrow" w:hAnsi="Arial Narrow" w:cstheme="minorHAnsi"/>
                <w:sz w:val="20"/>
                <w:szCs w:val="20"/>
              </w:rPr>
              <w:t xml:space="preserve">20.7% </w:t>
            </w:r>
          </w:p>
          <w:p w14:paraId="440E0A5F" w14:textId="77777777" w:rsidR="00E6346D" w:rsidRPr="0015004F" w:rsidRDefault="00E6346D" w:rsidP="0000146E">
            <w:pPr>
              <w:keepNext/>
              <w:ind w:left="-57" w:right="-57"/>
              <w:jc w:val="center"/>
              <w:rPr>
                <w:rFonts w:ascii="Arial Narrow" w:hAnsi="Arial Narrow" w:cstheme="minorHAnsi"/>
                <w:sz w:val="20"/>
                <w:szCs w:val="20"/>
              </w:rPr>
            </w:pPr>
            <w:r w:rsidRPr="0015004F">
              <w:rPr>
                <w:rFonts w:ascii="Arial Narrow" w:hAnsi="Arial Narrow" w:cstheme="minorHAnsi"/>
                <w:sz w:val="20"/>
                <w:szCs w:val="20"/>
              </w:rPr>
              <w:t>(5.7%, 35.6%)</w:t>
            </w:r>
          </w:p>
        </w:tc>
      </w:tr>
      <w:tr w:rsidR="00125F66" w:rsidRPr="0015004F" w14:paraId="01A62331" w14:textId="77777777" w:rsidTr="003134EF">
        <w:tc>
          <w:tcPr>
            <w:tcW w:w="1287" w:type="dxa"/>
          </w:tcPr>
          <w:p w14:paraId="38DA062F" w14:textId="77777777" w:rsidR="00E6346D" w:rsidRPr="0015004F" w:rsidRDefault="00E6346D" w:rsidP="0000146E">
            <w:pPr>
              <w:keepNext/>
              <w:ind w:right="-86"/>
              <w:rPr>
                <w:rFonts w:ascii="Arial Narrow" w:hAnsi="Arial Narrow" w:cstheme="minorHAnsi"/>
                <w:sz w:val="20"/>
                <w:szCs w:val="20"/>
              </w:rPr>
            </w:pPr>
            <w:r w:rsidRPr="0015004F">
              <w:rPr>
                <w:rFonts w:ascii="Arial Narrow" w:hAnsi="Arial Narrow" w:cstheme="minorHAnsi"/>
                <w:sz w:val="20"/>
                <w:szCs w:val="20"/>
              </w:rPr>
              <w:t>Indirect comparison</w:t>
            </w:r>
          </w:p>
        </w:tc>
        <w:tc>
          <w:tcPr>
            <w:tcW w:w="3838" w:type="dxa"/>
            <w:gridSpan w:val="3"/>
          </w:tcPr>
          <w:p w14:paraId="1F2BFC70" w14:textId="77777777" w:rsidR="00E6346D" w:rsidRPr="0015004F" w:rsidRDefault="00E6346D" w:rsidP="0000146E">
            <w:pPr>
              <w:keepNext/>
              <w:jc w:val="center"/>
              <w:rPr>
                <w:rFonts w:ascii="Arial Narrow" w:hAnsi="Arial Narrow" w:cstheme="minorHAnsi"/>
                <w:sz w:val="20"/>
                <w:szCs w:val="20"/>
                <w:lang w:val="es-CO"/>
              </w:rPr>
            </w:pPr>
            <w:r w:rsidRPr="0015004F" w:rsidDel="008E4B4B">
              <w:rPr>
                <w:rFonts w:ascii="Arial Narrow" w:hAnsi="Arial Narrow" w:cstheme="minorHAnsi"/>
                <w:sz w:val="20"/>
                <w:szCs w:val="20"/>
                <w:lang w:val="es-CO"/>
              </w:rPr>
              <w:t xml:space="preserve">GARA 200 </w:t>
            </w:r>
            <w:r w:rsidRPr="0015004F">
              <w:rPr>
                <w:rFonts w:ascii="Arial Narrow" w:hAnsi="Arial Narrow" w:cstheme="minorHAnsi"/>
                <w:sz w:val="20"/>
                <w:szCs w:val="20"/>
                <w:lang w:val="es-CO"/>
              </w:rPr>
              <w:t>QM vs LANA 300 Q2W</w:t>
            </w:r>
          </w:p>
        </w:tc>
        <w:tc>
          <w:tcPr>
            <w:tcW w:w="1212" w:type="dxa"/>
          </w:tcPr>
          <w:p w14:paraId="75801379" w14:textId="77777777" w:rsidR="00E6346D" w:rsidRPr="0015004F" w:rsidRDefault="00E6346D" w:rsidP="0000146E">
            <w:pPr>
              <w:keepNext/>
              <w:ind w:left="-57" w:right="-57"/>
              <w:jc w:val="center"/>
              <w:rPr>
                <w:rFonts w:ascii="Arial Narrow" w:hAnsi="Arial Narrow" w:cstheme="minorHAnsi"/>
                <w:sz w:val="20"/>
                <w:szCs w:val="20"/>
              </w:rPr>
            </w:pPr>
            <w:r w:rsidRPr="0015004F">
              <w:rPr>
                <w:rFonts w:ascii="Arial Narrow" w:hAnsi="Arial Narrow" w:cstheme="minorHAnsi"/>
                <w:sz w:val="20"/>
                <w:szCs w:val="20"/>
              </w:rPr>
              <w:t xml:space="preserve">0.14 </w:t>
            </w:r>
          </w:p>
          <w:p w14:paraId="4D781167" w14:textId="77777777" w:rsidR="00E6346D" w:rsidRPr="0015004F" w:rsidRDefault="00E6346D" w:rsidP="0000146E">
            <w:pPr>
              <w:keepNext/>
              <w:ind w:left="-57" w:right="-57"/>
              <w:jc w:val="center"/>
              <w:rPr>
                <w:rFonts w:ascii="Arial Narrow" w:hAnsi="Arial Narrow" w:cstheme="minorHAnsi"/>
                <w:sz w:val="20"/>
                <w:szCs w:val="20"/>
              </w:rPr>
            </w:pPr>
            <w:r w:rsidRPr="0015004F">
              <w:rPr>
                <w:rFonts w:ascii="Arial Narrow" w:hAnsi="Arial Narrow" w:cstheme="minorHAnsi"/>
                <w:sz w:val="20"/>
                <w:szCs w:val="20"/>
              </w:rPr>
              <w:t>(0.01, 1.5)</w:t>
            </w:r>
          </w:p>
        </w:tc>
        <w:tc>
          <w:tcPr>
            <w:tcW w:w="1266" w:type="dxa"/>
          </w:tcPr>
          <w:p w14:paraId="12406D6B" w14:textId="77777777" w:rsidR="00E6346D" w:rsidRPr="0015004F" w:rsidRDefault="00E6346D" w:rsidP="0000146E">
            <w:pPr>
              <w:keepNext/>
              <w:ind w:left="-57" w:right="-57"/>
              <w:jc w:val="center"/>
              <w:rPr>
                <w:rFonts w:ascii="Arial Narrow" w:hAnsi="Arial Narrow" w:cstheme="minorHAnsi"/>
                <w:sz w:val="20"/>
                <w:szCs w:val="20"/>
              </w:rPr>
            </w:pPr>
            <w:r w:rsidRPr="0015004F">
              <w:rPr>
                <w:rFonts w:ascii="Arial Narrow" w:hAnsi="Arial Narrow" w:cstheme="minorHAnsi"/>
                <w:sz w:val="20"/>
                <w:szCs w:val="20"/>
              </w:rPr>
              <w:t xml:space="preserve">0.84 </w:t>
            </w:r>
          </w:p>
          <w:p w14:paraId="4CB262E9" w14:textId="77777777" w:rsidR="00E6346D" w:rsidRPr="0015004F" w:rsidRDefault="00E6346D" w:rsidP="0000146E">
            <w:pPr>
              <w:keepNext/>
              <w:ind w:left="-57" w:right="-57"/>
              <w:jc w:val="center"/>
              <w:rPr>
                <w:rFonts w:ascii="Arial Narrow" w:hAnsi="Arial Narrow" w:cstheme="minorHAnsi"/>
                <w:sz w:val="20"/>
                <w:szCs w:val="20"/>
              </w:rPr>
            </w:pPr>
            <w:r w:rsidRPr="0015004F">
              <w:rPr>
                <w:rFonts w:ascii="Arial Narrow" w:hAnsi="Arial Narrow" w:cstheme="minorHAnsi"/>
                <w:sz w:val="20"/>
                <w:szCs w:val="20"/>
              </w:rPr>
              <w:t>(0.54, 1.31)</w:t>
            </w:r>
          </w:p>
        </w:tc>
        <w:tc>
          <w:tcPr>
            <w:tcW w:w="1414" w:type="dxa"/>
          </w:tcPr>
          <w:p w14:paraId="72895198" w14:textId="77777777" w:rsidR="00E6346D" w:rsidRPr="0015004F" w:rsidRDefault="00E6346D" w:rsidP="0000146E">
            <w:pPr>
              <w:keepNext/>
              <w:ind w:left="-57" w:right="-57"/>
              <w:jc w:val="center"/>
              <w:rPr>
                <w:rFonts w:ascii="Arial Narrow" w:hAnsi="Arial Narrow" w:cstheme="minorHAnsi"/>
                <w:sz w:val="20"/>
                <w:szCs w:val="20"/>
              </w:rPr>
            </w:pPr>
            <w:r w:rsidRPr="0015004F">
              <w:rPr>
                <w:rFonts w:ascii="Arial Narrow" w:hAnsi="Arial Narrow" w:cstheme="minorHAnsi"/>
                <w:sz w:val="20"/>
                <w:szCs w:val="20"/>
              </w:rPr>
              <w:t>-16.6%</w:t>
            </w:r>
          </w:p>
          <w:p w14:paraId="190C22F7" w14:textId="77777777" w:rsidR="00E6346D" w:rsidRPr="0015004F" w:rsidRDefault="00E6346D" w:rsidP="0000146E">
            <w:pPr>
              <w:keepNext/>
              <w:ind w:left="-57" w:right="-57"/>
              <w:jc w:val="center"/>
              <w:rPr>
                <w:rFonts w:ascii="Arial Narrow" w:hAnsi="Arial Narrow" w:cstheme="minorHAnsi"/>
                <w:sz w:val="20"/>
                <w:szCs w:val="20"/>
              </w:rPr>
            </w:pPr>
            <w:r w:rsidRPr="0015004F">
              <w:rPr>
                <w:rFonts w:ascii="Arial Narrow" w:hAnsi="Arial Narrow" w:cstheme="minorHAnsi"/>
                <w:sz w:val="20"/>
                <w:szCs w:val="20"/>
              </w:rPr>
              <w:t>(-45.2%, 12.0%)</w:t>
            </w:r>
          </w:p>
        </w:tc>
      </w:tr>
      <w:tr w:rsidR="00936D90" w:rsidRPr="0015004F" w14:paraId="3B7662D1" w14:textId="77777777" w:rsidTr="003134EF">
        <w:tc>
          <w:tcPr>
            <w:tcW w:w="1287" w:type="dxa"/>
          </w:tcPr>
          <w:p w14:paraId="5DA0D0E3" w14:textId="77777777" w:rsidR="00E6346D" w:rsidRPr="0015004F" w:rsidRDefault="00E6346D" w:rsidP="0000146E">
            <w:pPr>
              <w:keepNext/>
              <w:rPr>
                <w:rFonts w:ascii="Arial Narrow" w:hAnsi="Arial Narrow" w:cstheme="minorHAnsi"/>
                <w:sz w:val="20"/>
                <w:szCs w:val="20"/>
              </w:rPr>
            </w:pPr>
            <w:r w:rsidRPr="0015004F">
              <w:rPr>
                <w:rFonts w:ascii="Arial Narrow" w:hAnsi="Arial Narrow" w:cstheme="minorHAnsi"/>
                <w:sz w:val="20"/>
                <w:szCs w:val="20"/>
              </w:rPr>
              <w:t>P-value</w:t>
            </w:r>
          </w:p>
        </w:tc>
        <w:tc>
          <w:tcPr>
            <w:tcW w:w="3838" w:type="dxa"/>
            <w:gridSpan w:val="3"/>
          </w:tcPr>
          <w:p w14:paraId="7D7A763E"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w:t>
            </w:r>
          </w:p>
        </w:tc>
        <w:tc>
          <w:tcPr>
            <w:tcW w:w="3892" w:type="dxa"/>
            <w:gridSpan w:val="3"/>
          </w:tcPr>
          <w:p w14:paraId="5E1735C3"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&gt;0.05</w:t>
            </w:r>
          </w:p>
        </w:tc>
      </w:tr>
      <w:tr w:rsidR="009F4F6F" w:rsidRPr="0015004F" w14:paraId="39E54468" w14:textId="77777777" w:rsidTr="003134EF">
        <w:tc>
          <w:tcPr>
            <w:tcW w:w="9017" w:type="dxa"/>
            <w:gridSpan w:val="7"/>
          </w:tcPr>
          <w:p w14:paraId="47B9B1C2" w14:textId="77777777" w:rsidR="00E6346D" w:rsidRPr="0015004F" w:rsidRDefault="00E6346D" w:rsidP="0000146E">
            <w:pPr>
              <w:keepNext/>
              <w:rPr>
                <w:rFonts w:ascii="Arial Narrow" w:hAnsi="Arial Narrow" w:cstheme="minorHAnsi"/>
                <w:sz w:val="20"/>
                <w:szCs w:val="20"/>
              </w:rPr>
            </w:pPr>
            <w:r w:rsidRPr="0015004F">
              <w:rPr>
                <w:rFonts w:ascii="Arial Narrow" w:hAnsi="Arial Narrow" w:cstheme="minorHAnsi"/>
                <w:b/>
                <w:bCs/>
                <w:sz w:val="20"/>
                <w:szCs w:val="20"/>
              </w:rPr>
              <w:t>GARA 200 QM vs LANA 300 Q4W</w:t>
            </w:r>
          </w:p>
        </w:tc>
      </w:tr>
      <w:tr w:rsidR="0051224C" w:rsidRPr="0015004F" w14:paraId="58C6D22B" w14:textId="77777777" w:rsidTr="003134EF">
        <w:tc>
          <w:tcPr>
            <w:tcW w:w="1287" w:type="dxa"/>
          </w:tcPr>
          <w:p w14:paraId="2B7E16F5" w14:textId="77777777" w:rsidR="00E6346D" w:rsidRPr="0015004F" w:rsidRDefault="00E6346D" w:rsidP="0000146E">
            <w:pPr>
              <w:keepNext/>
              <w:rPr>
                <w:rFonts w:ascii="Arial Narrow" w:hAnsi="Arial Narrow" w:cstheme="minorHAnsi"/>
                <w:sz w:val="20"/>
                <w:szCs w:val="20"/>
              </w:rPr>
            </w:pPr>
            <w:r w:rsidRPr="0015004F">
              <w:rPr>
                <w:rFonts w:ascii="Arial Narrow" w:hAnsi="Arial Narrow" w:cstheme="minorHAnsi"/>
                <w:sz w:val="20"/>
                <w:szCs w:val="20"/>
              </w:rPr>
              <w:t>VANGUARD</w:t>
            </w:r>
          </w:p>
        </w:tc>
        <w:tc>
          <w:tcPr>
            <w:tcW w:w="1830" w:type="dxa"/>
          </w:tcPr>
          <w:p w14:paraId="1F43924B" w14:textId="77777777" w:rsidR="00E6346D" w:rsidRPr="0015004F" w:rsidRDefault="00E6346D" w:rsidP="0000146E">
            <w:pPr>
              <w:keepNext/>
              <w:jc w:val="center"/>
              <w:rPr>
                <w:rFonts w:ascii="Arial Narrow" w:hAnsi="Arial Narrow" w:cstheme="minorHAnsi"/>
                <w:sz w:val="20"/>
                <w:szCs w:val="20"/>
              </w:rPr>
            </w:pPr>
            <w:r w:rsidRPr="0015004F" w:rsidDel="008E4B4B">
              <w:rPr>
                <w:rFonts w:ascii="Arial Narrow" w:hAnsi="Arial Narrow" w:cstheme="minorHAnsi"/>
                <w:sz w:val="20"/>
                <w:szCs w:val="20"/>
              </w:rPr>
              <w:t xml:space="preserve">GARA 200 </w:t>
            </w:r>
            <w:r w:rsidRPr="0015004F">
              <w:rPr>
                <w:rFonts w:ascii="Arial Narrow" w:hAnsi="Arial Narrow" w:cstheme="minorHAnsi"/>
                <w:sz w:val="20"/>
                <w:szCs w:val="20"/>
              </w:rPr>
              <w:t>QM vs Placebo</w:t>
            </w:r>
          </w:p>
        </w:tc>
        <w:tc>
          <w:tcPr>
            <w:tcW w:w="1134" w:type="dxa"/>
          </w:tcPr>
          <w:p w14:paraId="7E500030"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 xml:space="preserve">25/39 </w:t>
            </w:r>
            <w:r w:rsidRPr="0015004F">
              <w:rPr>
                <w:rFonts w:ascii="Arial Narrow" w:hAnsi="Arial Narrow" w:cstheme="minorHAnsi"/>
                <w:sz w:val="20"/>
                <w:szCs w:val="20"/>
              </w:rPr>
              <w:br/>
              <w:t>(64.1%)</w:t>
            </w:r>
          </w:p>
        </w:tc>
        <w:tc>
          <w:tcPr>
            <w:tcW w:w="874" w:type="dxa"/>
          </w:tcPr>
          <w:p w14:paraId="5E243370"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15/25 (60.0%)</w:t>
            </w:r>
          </w:p>
        </w:tc>
        <w:tc>
          <w:tcPr>
            <w:tcW w:w="1212" w:type="dxa"/>
          </w:tcPr>
          <w:p w14:paraId="2DD62F39"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 xml:space="preserve">1.19 </w:t>
            </w:r>
          </w:p>
          <w:p w14:paraId="0CDE67E4"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(0.42, 3.35)</w:t>
            </w:r>
          </w:p>
        </w:tc>
        <w:tc>
          <w:tcPr>
            <w:tcW w:w="1266" w:type="dxa"/>
          </w:tcPr>
          <w:p w14:paraId="4B44428F"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 xml:space="preserve">1.07 </w:t>
            </w:r>
          </w:p>
          <w:p w14:paraId="14BA52A6"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(0.72, 1.59)</w:t>
            </w:r>
          </w:p>
        </w:tc>
        <w:tc>
          <w:tcPr>
            <w:tcW w:w="1414" w:type="dxa"/>
          </w:tcPr>
          <w:p w14:paraId="4B0176F5"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 xml:space="preserve">4.1% </w:t>
            </w:r>
          </w:p>
          <w:p w14:paraId="123D67E1"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(-20.3%, 28.5%)</w:t>
            </w:r>
          </w:p>
        </w:tc>
      </w:tr>
      <w:tr w:rsidR="0051224C" w:rsidRPr="0015004F" w14:paraId="045B2105" w14:textId="77777777" w:rsidTr="003134EF">
        <w:tc>
          <w:tcPr>
            <w:tcW w:w="1287" w:type="dxa"/>
          </w:tcPr>
          <w:p w14:paraId="5E7994A2" w14:textId="77777777" w:rsidR="00E6346D" w:rsidRPr="0015004F" w:rsidRDefault="00E6346D" w:rsidP="0000146E">
            <w:pPr>
              <w:keepNext/>
              <w:rPr>
                <w:rFonts w:ascii="Arial Narrow" w:hAnsi="Arial Narrow" w:cstheme="minorHAnsi"/>
                <w:sz w:val="20"/>
                <w:szCs w:val="20"/>
              </w:rPr>
            </w:pPr>
            <w:r w:rsidRPr="0015004F">
              <w:rPr>
                <w:rFonts w:ascii="Arial Narrow" w:hAnsi="Arial Narrow" w:cstheme="minorHAnsi"/>
                <w:sz w:val="20"/>
                <w:szCs w:val="20"/>
              </w:rPr>
              <w:t>HELP</w:t>
            </w:r>
          </w:p>
        </w:tc>
        <w:tc>
          <w:tcPr>
            <w:tcW w:w="1830" w:type="dxa"/>
          </w:tcPr>
          <w:p w14:paraId="794802F5"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LANA 300 Q4W vs Placebo</w:t>
            </w:r>
          </w:p>
        </w:tc>
        <w:tc>
          <w:tcPr>
            <w:tcW w:w="1134" w:type="dxa"/>
          </w:tcPr>
          <w:p w14:paraId="5AA677B9"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 xml:space="preserve">25/29 </w:t>
            </w:r>
            <w:r w:rsidRPr="0015004F">
              <w:rPr>
                <w:rFonts w:ascii="Arial Narrow" w:hAnsi="Arial Narrow" w:cstheme="minorHAnsi"/>
                <w:sz w:val="20"/>
                <w:szCs w:val="20"/>
              </w:rPr>
              <w:br/>
              <w:t>(86.2%)</w:t>
            </w:r>
          </w:p>
        </w:tc>
        <w:tc>
          <w:tcPr>
            <w:tcW w:w="874" w:type="dxa"/>
          </w:tcPr>
          <w:p w14:paraId="3F4BE4D3"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31/41 (75.6%)</w:t>
            </w:r>
          </w:p>
        </w:tc>
        <w:tc>
          <w:tcPr>
            <w:tcW w:w="1212" w:type="dxa"/>
          </w:tcPr>
          <w:p w14:paraId="5D964CB7"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 xml:space="preserve">2.02 </w:t>
            </w:r>
          </w:p>
          <w:p w14:paraId="6A09EF0E"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(0.56, 7.21)</w:t>
            </w:r>
          </w:p>
        </w:tc>
        <w:tc>
          <w:tcPr>
            <w:tcW w:w="1266" w:type="dxa"/>
          </w:tcPr>
          <w:p w14:paraId="1A24DF7A"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 xml:space="preserve">1.14 </w:t>
            </w:r>
          </w:p>
          <w:p w14:paraId="139E1AAC"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(0.91, 1.43)</w:t>
            </w:r>
          </w:p>
        </w:tc>
        <w:tc>
          <w:tcPr>
            <w:tcW w:w="1414" w:type="dxa"/>
          </w:tcPr>
          <w:p w14:paraId="3371F9AC"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 xml:space="preserve">10.6% </w:t>
            </w:r>
          </w:p>
          <w:p w14:paraId="36841660"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(-7.6%, 28.8%)</w:t>
            </w:r>
          </w:p>
        </w:tc>
      </w:tr>
      <w:tr w:rsidR="00125F66" w:rsidRPr="0015004F" w14:paraId="3C24B0F7" w14:textId="77777777" w:rsidTr="003134EF">
        <w:tc>
          <w:tcPr>
            <w:tcW w:w="1287" w:type="dxa"/>
          </w:tcPr>
          <w:p w14:paraId="370E5C83" w14:textId="77777777" w:rsidR="00E6346D" w:rsidRPr="0015004F" w:rsidRDefault="00E6346D" w:rsidP="0000146E">
            <w:pPr>
              <w:keepNext/>
              <w:rPr>
                <w:rFonts w:ascii="Arial Narrow" w:hAnsi="Arial Narrow" w:cstheme="minorHAnsi"/>
                <w:sz w:val="20"/>
                <w:szCs w:val="20"/>
              </w:rPr>
            </w:pPr>
            <w:r w:rsidRPr="0015004F">
              <w:rPr>
                <w:rFonts w:ascii="Arial Narrow" w:hAnsi="Arial Narrow" w:cstheme="minorHAnsi"/>
                <w:sz w:val="20"/>
                <w:szCs w:val="20"/>
              </w:rPr>
              <w:t>Indirect comparison</w:t>
            </w:r>
          </w:p>
        </w:tc>
        <w:tc>
          <w:tcPr>
            <w:tcW w:w="3838" w:type="dxa"/>
            <w:gridSpan w:val="3"/>
          </w:tcPr>
          <w:p w14:paraId="3CFFE10F" w14:textId="77777777" w:rsidR="00E6346D" w:rsidRPr="0015004F" w:rsidRDefault="00E6346D" w:rsidP="0000146E">
            <w:pPr>
              <w:keepNext/>
              <w:jc w:val="center"/>
              <w:rPr>
                <w:rFonts w:ascii="Arial Narrow" w:hAnsi="Arial Narrow" w:cstheme="minorHAnsi"/>
                <w:sz w:val="20"/>
                <w:szCs w:val="20"/>
                <w:lang w:val="es-CO"/>
              </w:rPr>
            </w:pPr>
            <w:r w:rsidRPr="0015004F" w:rsidDel="008E4B4B">
              <w:rPr>
                <w:rFonts w:ascii="Arial Narrow" w:hAnsi="Arial Narrow" w:cstheme="minorHAnsi"/>
                <w:sz w:val="20"/>
                <w:szCs w:val="20"/>
                <w:lang w:val="es-CO"/>
              </w:rPr>
              <w:t xml:space="preserve">GARA 200 </w:t>
            </w:r>
            <w:r w:rsidRPr="0015004F">
              <w:rPr>
                <w:rFonts w:ascii="Arial Narrow" w:hAnsi="Arial Narrow" w:cstheme="minorHAnsi"/>
                <w:sz w:val="20"/>
                <w:szCs w:val="20"/>
                <w:lang w:val="es-CO"/>
              </w:rPr>
              <w:t>QM vs LANA 300 Q4W</w:t>
            </w:r>
          </w:p>
        </w:tc>
        <w:tc>
          <w:tcPr>
            <w:tcW w:w="1212" w:type="dxa"/>
          </w:tcPr>
          <w:p w14:paraId="3F69E3A0"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0.59</w:t>
            </w:r>
          </w:p>
          <w:p w14:paraId="5C4E4F89"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(0.11, 3.06)</w:t>
            </w:r>
          </w:p>
        </w:tc>
        <w:tc>
          <w:tcPr>
            <w:tcW w:w="1266" w:type="dxa"/>
          </w:tcPr>
          <w:p w14:paraId="434E0F83"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 xml:space="preserve">0.94 </w:t>
            </w:r>
          </w:p>
          <w:p w14:paraId="24B5FF24"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(0.59, 1.48)</w:t>
            </w:r>
          </w:p>
        </w:tc>
        <w:tc>
          <w:tcPr>
            <w:tcW w:w="1414" w:type="dxa"/>
          </w:tcPr>
          <w:p w14:paraId="7509C6CA"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-6.5%</w:t>
            </w:r>
          </w:p>
          <w:p w14:paraId="131C34DD"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(-36.9%, 23.9%)</w:t>
            </w:r>
          </w:p>
        </w:tc>
      </w:tr>
      <w:tr w:rsidR="00936D90" w:rsidRPr="0015004F" w14:paraId="39185049" w14:textId="77777777" w:rsidTr="003134EF">
        <w:tc>
          <w:tcPr>
            <w:tcW w:w="1287" w:type="dxa"/>
          </w:tcPr>
          <w:p w14:paraId="66A5D3C9" w14:textId="77777777" w:rsidR="00E6346D" w:rsidRPr="0015004F" w:rsidRDefault="00E6346D" w:rsidP="0000146E">
            <w:pPr>
              <w:keepNext/>
              <w:rPr>
                <w:rFonts w:ascii="Arial Narrow" w:hAnsi="Arial Narrow" w:cstheme="minorHAnsi"/>
                <w:sz w:val="20"/>
                <w:szCs w:val="20"/>
              </w:rPr>
            </w:pPr>
            <w:r w:rsidRPr="0015004F">
              <w:rPr>
                <w:rFonts w:ascii="Arial Narrow" w:hAnsi="Arial Narrow" w:cstheme="minorHAnsi"/>
                <w:sz w:val="20"/>
                <w:szCs w:val="20"/>
              </w:rPr>
              <w:t>P-value</w:t>
            </w:r>
          </w:p>
        </w:tc>
        <w:tc>
          <w:tcPr>
            <w:tcW w:w="3838" w:type="dxa"/>
            <w:gridSpan w:val="3"/>
          </w:tcPr>
          <w:p w14:paraId="02BAC0FB"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w:t>
            </w:r>
          </w:p>
        </w:tc>
        <w:tc>
          <w:tcPr>
            <w:tcW w:w="3892" w:type="dxa"/>
            <w:gridSpan w:val="3"/>
          </w:tcPr>
          <w:p w14:paraId="518A136E" w14:textId="77777777" w:rsidR="00E6346D" w:rsidRPr="0015004F" w:rsidRDefault="00E6346D" w:rsidP="0000146E">
            <w:pPr>
              <w:keepNext/>
              <w:jc w:val="center"/>
              <w:rPr>
                <w:rFonts w:ascii="Arial Narrow" w:hAnsi="Arial Narrow" w:cstheme="minorHAnsi"/>
                <w:sz w:val="20"/>
                <w:szCs w:val="20"/>
              </w:rPr>
            </w:pPr>
            <w:r w:rsidRPr="0015004F">
              <w:rPr>
                <w:rFonts w:ascii="Arial Narrow" w:hAnsi="Arial Narrow" w:cstheme="minorHAnsi"/>
                <w:sz w:val="20"/>
                <w:szCs w:val="20"/>
              </w:rPr>
              <w:t>&gt;0.05</w:t>
            </w:r>
          </w:p>
        </w:tc>
      </w:tr>
    </w:tbl>
    <w:p w14:paraId="42D67836" w14:textId="77777777" w:rsidR="00270F00" w:rsidRPr="0015004F" w:rsidRDefault="00FE015B" w:rsidP="0000146E">
      <w:pPr>
        <w:pStyle w:val="TableFigureFooter"/>
        <w:keepNext/>
      </w:pPr>
      <w:r w:rsidRPr="0015004F">
        <w:t>Source: Table 2.53, p129 of the submission</w:t>
      </w:r>
    </w:p>
    <w:p w14:paraId="6FA8A6B3" w14:textId="77777777" w:rsidR="00E6346D" w:rsidRPr="0015004F" w:rsidRDefault="00E6346D" w:rsidP="0000146E">
      <w:pPr>
        <w:pStyle w:val="TableFigureFooter"/>
        <w:keepNext/>
      </w:pPr>
      <w:r w:rsidRPr="0015004F">
        <w:t>CI = confidence interval; GARA = garadacimab; LANA = lanadelumab; N = number of patients in the treatment arm; n = number of patients experiencing at least 1 event; OR = odds ratio; QM = once per month; Q2W = once every 2 weeks; Q4W = once every 4 weeks; RD = risk difference; RR = relative risk; TEAE = treatment-emergent adverse event</w:t>
      </w:r>
    </w:p>
    <w:p w14:paraId="5383C7B0" w14:textId="3A71E71A" w:rsidR="00DA28C3" w:rsidRPr="0015004F" w:rsidRDefault="00E6346D" w:rsidP="009B6299">
      <w:pPr>
        <w:pStyle w:val="TableFigureFooter"/>
        <w:spacing w:after="120"/>
      </w:pPr>
      <w:r w:rsidRPr="0015004F">
        <w:t xml:space="preserve">Note: An indirect RD of &lt; 0 or an indirect RR/OR of &lt;1 indicates a result favouring garadacimab </w:t>
      </w:r>
    </w:p>
    <w:p w14:paraId="65935752" w14:textId="3555A964" w:rsidR="00E6346D" w:rsidRPr="0015004F" w:rsidRDefault="00E6346D" w:rsidP="00E6346D">
      <w:pPr>
        <w:pStyle w:val="Caption"/>
        <w:ind w:left="709" w:hanging="709"/>
      </w:pPr>
      <w:bookmarkStart w:id="37" w:name="_Ref176544183"/>
      <w:bookmarkStart w:id="38" w:name="_Ref175934547"/>
      <w:r w:rsidRPr="0015004F">
        <w:t xml:space="preserve">Table </w:t>
      </w:r>
      <w:r w:rsidR="00106090">
        <w:fldChar w:fldCharType="begin" w:fldLock="1"/>
      </w:r>
      <w:r w:rsidR="00106090">
        <w:instrText xml:space="preserve"> SEQ Table \* ARABIC </w:instrText>
      </w:r>
      <w:r w:rsidR="00106090">
        <w:fldChar w:fldCharType="separate"/>
      </w:r>
      <w:r w:rsidR="00106090">
        <w:rPr>
          <w:noProof/>
        </w:rPr>
        <w:t>9</w:t>
      </w:r>
      <w:r w:rsidR="00106090">
        <w:rPr>
          <w:noProof/>
        </w:rPr>
        <w:fldChar w:fldCharType="end"/>
      </w:r>
      <w:bookmarkEnd w:id="37"/>
      <w:bookmarkEnd w:id="38"/>
      <w:r w:rsidRPr="0015004F">
        <w:t>: Indirect comparison of the number of patients experiencing any serious adverse event during the treatment period in VANGUARD and HELP</w:t>
      </w:r>
    </w:p>
    <w:tbl>
      <w:tblPr>
        <w:tblStyle w:val="TableGrid"/>
        <w:tblW w:w="9072" w:type="dxa"/>
        <w:tblInd w:w="-5" w:type="dxa"/>
        <w:tblLook w:val="04A0" w:firstRow="1" w:lastRow="0" w:firstColumn="1" w:lastColumn="0" w:noHBand="0" w:noVBand="1"/>
      </w:tblPr>
      <w:tblGrid>
        <w:gridCol w:w="1701"/>
        <w:gridCol w:w="1560"/>
        <w:gridCol w:w="1701"/>
        <w:gridCol w:w="1701"/>
        <w:gridCol w:w="2409"/>
      </w:tblGrid>
      <w:tr w:rsidR="00C24B6C" w:rsidRPr="0015004F" w14:paraId="62779B2D" w14:textId="77777777" w:rsidTr="003134EF">
        <w:tc>
          <w:tcPr>
            <w:tcW w:w="1701" w:type="dxa"/>
            <w:shd w:val="clear" w:color="auto" w:fill="auto"/>
          </w:tcPr>
          <w:p w14:paraId="6089E49D" w14:textId="77777777" w:rsidR="00E6346D" w:rsidRPr="0015004F" w:rsidRDefault="00E6346D" w:rsidP="00D12D69">
            <w:pPr>
              <w:rPr>
                <w:rFonts w:ascii="Arial Narrow" w:hAnsi="Arial Narrow" w:cstheme="minorHAnsi"/>
                <w:b/>
                <w:sz w:val="20"/>
                <w:szCs w:val="20"/>
              </w:rPr>
            </w:pPr>
            <w:r w:rsidRPr="0015004F">
              <w:rPr>
                <w:rFonts w:ascii="Arial Narrow" w:hAnsi="Arial Narrow" w:cstheme="minorHAnsi"/>
                <w:b/>
                <w:sz w:val="20"/>
                <w:szCs w:val="20"/>
              </w:rPr>
              <w:t>Trial ID</w:t>
            </w:r>
          </w:p>
        </w:tc>
        <w:tc>
          <w:tcPr>
            <w:tcW w:w="1560" w:type="dxa"/>
            <w:shd w:val="clear" w:color="auto" w:fill="auto"/>
          </w:tcPr>
          <w:p w14:paraId="25145698" w14:textId="77777777" w:rsidR="00E6346D" w:rsidRPr="0015004F" w:rsidRDefault="00E6346D" w:rsidP="00D12D69">
            <w:pPr>
              <w:jc w:val="center"/>
              <w:rPr>
                <w:rFonts w:ascii="Arial Narrow" w:hAnsi="Arial Narrow" w:cstheme="minorHAnsi"/>
                <w:b/>
                <w:sz w:val="20"/>
                <w:szCs w:val="20"/>
              </w:rPr>
            </w:pPr>
            <w:r w:rsidRPr="0015004F">
              <w:rPr>
                <w:rFonts w:ascii="Arial Narrow" w:hAnsi="Arial Narrow" w:cstheme="minorHAnsi"/>
                <w:b/>
                <w:sz w:val="20"/>
                <w:szCs w:val="20"/>
              </w:rPr>
              <w:t>Comparison</w:t>
            </w:r>
          </w:p>
        </w:tc>
        <w:tc>
          <w:tcPr>
            <w:tcW w:w="1701" w:type="dxa"/>
            <w:shd w:val="clear" w:color="auto" w:fill="auto"/>
          </w:tcPr>
          <w:p w14:paraId="184ACCDA" w14:textId="77777777" w:rsidR="00E6346D" w:rsidRPr="0015004F" w:rsidRDefault="00E6346D" w:rsidP="00D12D69">
            <w:pPr>
              <w:jc w:val="center"/>
              <w:rPr>
                <w:rFonts w:ascii="Arial Narrow" w:hAnsi="Arial Narrow" w:cstheme="minorHAnsi"/>
                <w:b/>
                <w:sz w:val="20"/>
                <w:szCs w:val="20"/>
              </w:rPr>
            </w:pPr>
            <w:r w:rsidRPr="0015004F">
              <w:rPr>
                <w:rFonts w:ascii="Arial Narrow" w:hAnsi="Arial Narrow" w:cstheme="minorHAnsi"/>
                <w:b/>
                <w:sz w:val="20"/>
                <w:szCs w:val="20"/>
              </w:rPr>
              <w:t xml:space="preserve">Intervention </w:t>
            </w:r>
          </w:p>
          <w:p w14:paraId="08A1938D" w14:textId="77777777" w:rsidR="00E6346D" w:rsidRPr="0015004F" w:rsidRDefault="00E6346D" w:rsidP="00D12D69">
            <w:pPr>
              <w:jc w:val="center"/>
              <w:rPr>
                <w:rFonts w:ascii="Arial Narrow" w:hAnsi="Arial Narrow" w:cstheme="minorHAnsi"/>
                <w:b/>
                <w:sz w:val="20"/>
                <w:szCs w:val="20"/>
              </w:rPr>
            </w:pPr>
            <w:r w:rsidRPr="0015004F">
              <w:rPr>
                <w:rFonts w:ascii="Arial Narrow" w:hAnsi="Arial Narrow" w:cstheme="minorHAnsi"/>
                <w:b/>
                <w:sz w:val="20"/>
                <w:szCs w:val="20"/>
              </w:rPr>
              <w:t>n/N (%)</w:t>
            </w:r>
          </w:p>
        </w:tc>
        <w:tc>
          <w:tcPr>
            <w:tcW w:w="1701" w:type="dxa"/>
            <w:shd w:val="clear" w:color="auto" w:fill="auto"/>
          </w:tcPr>
          <w:p w14:paraId="39A63F39" w14:textId="77777777" w:rsidR="00E6346D" w:rsidRPr="0015004F" w:rsidRDefault="00E6346D" w:rsidP="00D12D69">
            <w:pPr>
              <w:jc w:val="center"/>
              <w:rPr>
                <w:rFonts w:ascii="Arial Narrow" w:hAnsi="Arial Narrow" w:cstheme="minorHAnsi"/>
                <w:b/>
                <w:sz w:val="20"/>
                <w:szCs w:val="20"/>
              </w:rPr>
            </w:pPr>
            <w:r w:rsidRPr="0015004F">
              <w:rPr>
                <w:rFonts w:ascii="Arial Narrow" w:hAnsi="Arial Narrow" w:cstheme="minorHAnsi"/>
                <w:b/>
                <w:sz w:val="20"/>
                <w:szCs w:val="20"/>
              </w:rPr>
              <w:t xml:space="preserve">Placebo </w:t>
            </w:r>
          </w:p>
          <w:p w14:paraId="39D42D9F" w14:textId="77777777" w:rsidR="00E6346D" w:rsidRPr="0015004F" w:rsidRDefault="00E6346D" w:rsidP="00D12D69">
            <w:pPr>
              <w:jc w:val="center"/>
              <w:rPr>
                <w:rFonts w:ascii="Arial Narrow" w:hAnsi="Arial Narrow" w:cstheme="minorHAnsi"/>
                <w:b/>
                <w:sz w:val="20"/>
                <w:szCs w:val="20"/>
              </w:rPr>
            </w:pPr>
            <w:r w:rsidRPr="0015004F">
              <w:rPr>
                <w:rFonts w:ascii="Arial Narrow" w:hAnsi="Arial Narrow" w:cstheme="minorHAnsi"/>
                <w:b/>
                <w:sz w:val="20"/>
                <w:szCs w:val="20"/>
              </w:rPr>
              <w:t>n/N (%)</w:t>
            </w:r>
          </w:p>
        </w:tc>
        <w:tc>
          <w:tcPr>
            <w:tcW w:w="2409" w:type="dxa"/>
            <w:shd w:val="clear" w:color="auto" w:fill="auto"/>
          </w:tcPr>
          <w:p w14:paraId="1BE70448" w14:textId="77777777" w:rsidR="00E6346D" w:rsidRPr="0015004F" w:rsidRDefault="00E6346D" w:rsidP="00D12D69">
            <w:pPr>
              <w:jc w:val="center"/>
              <w:rPr>
                <w:rFonts w:ascii="Arial Narrow" w:hAnsi="Arial Narrow" w:cstheme="minorHAnsi"/>
                <w:b/>
                <w:sz w:val="20"/>
                <w:szCs w:val="20"/>
              </w:rPr>
            </w:pPr>
            <w:r w:rsidRPr="0015004F">
              <w:rPr>
                <w:rFonts w:ascii="Arial Narrow" w:hAnsi="Arial Narrow" w:cstheme="minorHAnsi"/>
                <w:b/>
                <w:sz w:val="20"/>
                <w:szCs w:val="20"/>
              </w:rPr>
              <w:t xml:space="preserve">Risk Difference </w:t>
            </w:r>
          </w:p>
          <w:p w14:paraId="089BF7A1" w14:textId="77777777" w:rsidR="00E6346D" w:rsidRPr="0015004F" w:rsidRDefault="00E6346D" w:rsidP="00D12D69">
            <w:pPr>
              <w:jc w:val="center"/>
              <w:rPr>
                <w:rFonts w:ascii="Arial Narrow" w:hAnsi="Arial Narrow" w:cstheme="minorHAnsi"/>
                <w:b/>
                <w:sz w:val="20"/>
                <w:szCs w:val="20"/>
              </w:rPr>
            </w:pPr>
            <w:r w:rsidRPr="0015004F">
              <w:rPr>
                <w:rFonts w:ascii="Arial Narrow" w:hAnsi="Arial Narrow" w:cstheme="minorHAnsi"/>
                <w:b/>
                <w:sz w:val="20"/>
                <w:szCs w:val="20"/>
              </w:rPr>
              <w:t>(95% CI)</w:t>
            </w:r>
          </w:p>
        </w:tc>
      </w:tr>
      <w:tr w:rsidR="008576A9" w:rsidRPr="0015004F" w14:paraId="1E5E93FD" w14:textId="77777777" w:rsidTr="003134EF">
        <w:tc>
          <w:tcPr>
            <w:tcW w:w="9072" w:type="dxa"/>
            <w:gridSpan w:val="5"/>
            <w:shd w:val="clear" w:color="auto" w:fill="auto"/>
          </w:tcPr>
          <w:p w14:paraId="2188F653" w14:textId="77777777" w:rsidR="00E6346D" w:rsidRPr="0015004F" w:rsidRDefault="00E6346D" w:rsidP="00D12D69">
            <w:pPr>
              <w:rPr>
                <w:rFonts w:ascii="Arial Narrow" w:hAnsi="Arial Narrow" w:cstheme="minorHAnsi"/>
                <w:b/>
                <w:sz w:val="20"/>
                <w:szCs w:val="20"/>
              </w:rPr>
            </w:pPr>
            <w:r w:rsidRPr="0015004F">
              <w:rPr>
                <w:rFonts w:ascii="Arial Narrow" w:hAnsi="Arial Narrow" w:cstheme="minorHAnsi"/>
                <w:b/>
                <w:bCs/>
                <w:sz w:val="20"/>
                <w:szCs w:val="20"/>
              </w:rPr>
              <w:t>GARA 200 QM vs LANA 300 Q2W</w:t>
            </w:r>
          </w:p>
        </w:tc>
      </w:tr>
      <w:tr w:rsidR="003D58D7" w:rsidRPr="0015004F" w14:paraId="5BE166CF" w14:textId="77777777" w:rsidTr="003134EF">
        <w:tc>
          <w:tcPr>
            <w:tcW w:w="1701" w:type="dxa"/>
          </w:tcPr>
          <w:p w14:paraId="2D600F7A" w14:textId="77777777" w:rsidR="00E6346D" w:rsidRPr="0015004F" w:rsidRDefault="00E6346D" w:rsidP="00D12D69">
            <w:pPr>
              <w:rPr>
                <w:rFonts w:ascii="Arial Narrow" w:hAnsi="Arial Narrow" w:cstheme="minorHAnsi"/>
                <w:sz w:val="20"/>
                <w:szCs w:val="20"/>
              </w:rPr>
            </w:pPr>
            <w:r w:rsidRPr="0015004F">
              <w:rPr>
                <w:rFonts w:ascii="Arial Narrow" w:hAnsi="Arial Narrow" w:cstheme="minorHAnsi"/>
                <w:sz w:val="20"/>
                <w:szCs w:val="20"/>
              </w:rPr>
              <w:t>VANGUARD</w:t>
            </w:r>
          </w:p>
        </w:tc>
        <w:tc>
          <w:tcPr>
            <w:tcW w:w="1560" w:type="dxa"/>
          </w:tcPr>
          <w:p w14:paraId="593E887F" w14:textId="77777777" w:rsidR="00E6346D" w:rsidRPr="0015004F" w:rsidRDefault="00E6346D" w:rsidP="00D12D69">
            <w:pPr>
              <w:jc w:val="center"/>
              <w:rPr>
                <w:rFonts w:ascii="Arial Narrow" w:hAnsi="Arial Narrow" w:cstheme="minorHAnsi"/>
                <w:sz w:val="20"/>
                <w:szCs w:val="20"/>
              </w:rPr>
            </w:pPr>
            <w:r w:rsidRPr="0015004F" w:rsidDel="008E4B4B">
              <w:rPr>
                <w:rFonts w:ascii="Arial Narrow" w:hAnsi="Arial Narrow" w:cstheme="minorHAnsi"/>
                <w:sz w:val="20"/>
                <w:szCs w:val="20"/>
              </w:rPr>
              <w:t xml:space="preserve">GARA 200 </w:t>
            </w:r>
            <w:r w:rsidRPr="0015004F">
              <w:rPr>
                <w:rFonts w:ascii="Arial Narrow" w:hAnsi="Arial Narrow" w:cstheme="minorHAnsi"/>
                <w:sz w:val="20"/>
                <w:szCs w:val="20"/>
              </w:rPr>
              <w:t>QM vs Placebo</w:t>
            </w:r>
          </w:p>
        </w:tc>
        <w:tc>
          <w:tcPr>
            <w:tcW w:w="1701" w:type="dxa"/>
            <w:vAlign w:val="center"/>
          </w:tcPr>
          <w:p w14:paraId="4F074D6C" w14:textId="77777777" w:rsidR="00E6346D" w:rsidRPr="0015004F" w:rsidRDefault="00E6346D" w:rsidP="00D12D69">
            <w:pPr>
              <w:jc w:val="center"/>
              <w:rPr>
                <w:rFonts w:ascii="Arial Narrow" w:hAnsi="Arial Narrow" w:cstheme="minorHAnsi"/>
                <w:sz w:val="20"/>
                <w:szCs w:val="20"/>
              </w:rPr>
            </w:pPr>
            <w:r w:rsidRPr="0015004F">
              <w:rPr>
                <w:rFonts w:ascii="Arial Narrow" w:hAnsi="Arial Narrow" w:cstheme="minorHAnsi"/>
                <w:sz w:val="20"/>
                <w:szCs w:val="20"/>
              </w:rPr>
              <w:t>1/39 (2.6%)</w:t>
            </w:r>
          </w:p>
        </w:tc>
        <w:tc>
          <w:tcPr>
            <w:tcW w:w="1701" w:type="dxa"/>
            <w:vAlign w:val="center"/>
          </w:tcPr>
          <w:p w14:paraId="6632078B" w14:textId="77777777" w:rsidR="00E6346D" w:rsidRPr="0015004F" w:rsidRDefault="00E6346D" w:rsidP="00D12D69">
            <w:pPr>
              <w:jc w:val="center"/>
              <w:rPr>
                <w:rFonts w:ascii="Arial Narrow" w:hAnsi="Arial Narrow" w:cstheme="minorHAnsi"/>
                <w:sz w:val="20"/>
                <w:szCs w:val="20"/>
              </w:rPr>
            </w:pPr>
            <w:r w:rsidRPr="0015004F">
              <w:rPr>
                <w:rFonts w:ascii="Arial Narrow" w:hAnsi="Arial Narrow" w:cstheme="minorHAnsi"/>
                <w:sz w:val="20"/>
                <w:szCs w:val="20"/>
              </w:rPr>
              <w:t>0/25 (0.0%)</w:t>
            </w:r>
          </w:p>
        </w:tc>
        <w:tc>
          <w:tcPr>
            <w:tcW w:w="2409" w:type="dxa"/>
            <w:vAlign w:val="center"/>
          </w:tcPr>
          <w:p w14:paraId="28583B23" w14:textId="77777777" w:rsidR="00E6346D" w:rsidRPr="0015004F" w:rsidRDefault="00E6346D" w:rsidP="00D12D69">
            <w:pPr>
              <w:jc w:val="center"/>
              <w:rPr>
                <w:rFonts w:ascii="Arial Narrow" w:hAnsi="Arial Narrow" w:cstheme="minorHAnsi"/>
                <w:sz w:val="20"/>
                <w:szCs w:val="20"/>
              </w:rPr>
            </w:pPr>
            <w:r w:rsidRPr="0015004F">
              <w:rPr>
                <w:rFonts w:ascii="Arial Narrow" w:hAnsi="Arial Narrow" w:cstheme="minorHAnsi"/>
                <w:sz w:val="20"/>
                <w:szCs w:val="20"/>
              </w:rPr>
              <w:t>2.6% (-2.4%, 7.5%)</w:t>
            </w:r>
          </w:p>
        </w:tc>
      </w:tr>
      <w:tr w:rsidR="003D58D7" w:rsidRPr="0015004F" w14:paraId="5D56A19D" w14:textId="77777777" w:rsidTr="003134EF">
        <w:tc>
          <w:tcPr>
            <w:tcW w:w="1701" w:type="dxa"/>
          </w:tcPr>
          <w:p w14:paraId="7131FCC5" w14:textId="77777777" w:rsidR="00E6346D" w:rsidRPr="0015004F" w:rsidRDefault="00E6346D" w:rsidP="00D12D69">
            <w:pPr>
              <w:rPr>
                <w:rFonts w:ascii="Arial Narrow" w:hAnsi="Arial Narrow" w:cstheme="minorHAnsi"/>
                <w:sz w:val="20"/>
                <w:szCs w:val="20"/>
              </w:rPr>
            </w:pPr>
            <w:r w:rsidRPr="0015004F">
              <w:rPr>
                <w:rFonts w:ascii="Arial Narrow" w:hAnsi="Arial Narrow" w:cstheme="minorHAnsi"/>
                <w:sz w:val="20"/>
                <w:szCs w:val="20"/>
              </w:rPr>
              <w:t>HELP</w:t>
            </w:r>
          </w:p>
        </w:tc>
        <w:tc>
          <w:tcPr>
            <w:tcW w:w="1560" w:type="dxa"/>
          </w:tcPr>
          <w:p w14:paraId="25BB0F26" w14:textId="77777777" w:rsidR="00E6346D" w:rsidRPr="0015004F" w:rsidRDefault="00E6346D" w:rsidP="00D12D69">
            <w:pPr>
              <w:jc w:val="center"/>
              <w:rPr>
                <w:rFonts w:ascii="Arial Narrow" w:hAnsi="Arial Narrow" w:cstheme="minorHAnsi"/>
                <w:sz w:val="20"/>
                <w:szCs w:val="20"/>
              </w:rPr>
            </w:pPr>
            <w:r w:rsidRPr="0015004F">
              <w:rPr>
                <w:rFonts w:ascii="Arial Narrow" w:hAnsi="Arial Narrow" w:cstheme="minorHAnsi"/>
                <w:sz w:val="20"/>
                <w:szCs w:val="20"/>
              </w:rPr>
              <w:t>LANA 300 Q2W vs Placebo</w:t>
            </w:r>
          </w:p>
        </w:tc>
        <w:tc>
          <w:tcPr>
            <w:tcW w:w="1701" w:type="dxa"/>
            <w:vAlign w:val="center"/>
          </w:tcPr>
          <w:p w14:paraId="1440E8C5" w14:textId="77777777" w:rsidR="00E6346D" w:rsidRPr="0015004F" w:rsidRDefault="00E6346D" w:rsidP="00D12D69">
            <w:pPr>
              <w:jc w:val="center"/>
              <w:rPr>
                <w:rFonts w:ascii="Arial Narrow" w:hAnsi="Arial Narrow" w:cstheme="minorHAnsi"/>
                <w:sz w:val="20"/>
                <w:szCs w:val="20"/>
              </w:rPr>
            </w:pPr>
            <w:r w:rsidRPr="0015004F">
              <w:rPr>
                <w:rFonts w:ascii="Arial Narrow" w:hAnsi="Arial Narrow" w:cstheme="minorHAnsi"/>
                <w:sz w:val="20"/>
                <w:szCs w:val="20"/>
              </w:rPr>
              <w:t>1/27 (3.7%)</w:t>
            </w:r>
          </w:p>
        </w:tc>
        <w:tc>
          <w:tcPr>
            <w:tcW w:w="1701" w:type="dxa"/>
            <w:vAlign w:val="center"/>
          </w:tcPr>
          <w:p w14:paraId="192E7761" w14:textId="77777777" w:rsidR="00E6346D" w:rsidRPr="0015004F" w:rsidRDefault="00E6346D" w:rsidP="00D12D69">
            <w:pPr>
              <w:jc w:val="center"/>
              <w:rPr>
                <w:rFonts w:ascii="Arial Narrow" w:hAnsi="Arial Narrow" w:cstheme="minorHAnsi"/>
                <w:sz w:val="20"/>
                <w:szCs w:val="20"/>
              </w:rPr>
            </w:pPr>
            <w:r w:rsidRPr="0015004F">
              <w:rPr>
                <w:rFonts w:ascii="Arial Narrow" w:hAnsi="Arial Narrow" w:cstheme="minorHAnsi"/>
                <w:sz w:val="20"/>
                <w:szCs w:val="20"/>
              </w:rPr>
              <w:t>0/41 (0.0%)</w:t>
            </w:r>
          </w:p>
        </w:tc>
        <w:tc>
          <w:tcPr>
            <w:tcW w:w="2409" w:type="dxa"/>
            <w:vAlign w:val="center"/>
          </w:tcPr>
          <w:p w14:paraId="26A6855A" w14:textId="77777777" w:rsidR="00E6346D" w:rsidRPr="0015004F" w:rsidRDefault="00E6346D" w:rsidP="00D12D69">
            <w:pPr>
              <w:jc w:val="center"/>
              <w:rPr>
                <w:rFonts w:ascii="Arial Narrow" w:hAnsi="Arial Narrow" w:cstheme="minorHAnsi"/>
                <w:sz w:val="20"/>
                <w:szCs w:val="20"/>
              </w:rPr>
            </w:pPr>
            <w:r w:rsidRPr="0015004F">
              <w:rPr>
                <w:rFonts w:ascii="Arial Narrow" w:hAnsi="Arial Narrow" w:cstheme="minorHAnsi"/>
                <w:sz w:val="20"/>
                <w:szCs w:val="20"/>
              </w:rPr>
              <w:t>3.7% (-3.4%, 10.8%)</w:t>
            </w:r>
          </w:p>
        </w:tc>
      </w:tr>
      <w:tr w:rsidR="003D58D7" w:rsidRPr="0015004F" w14:paraId="3378BE65" w14:textId="77777777" w:rsidTr="003134EF">
        <w:tc>
          <w:tcPr>
            <w:tcW w:w="1701" w:type="dxa"/>
          </w:tcPr>
          <w:p w14:paraId="5F82EEA8" w14:textId="77777777" w:rsidR="00E6346D" w:rsidRPr="0015004F" w:rsidRDefault="00E6346D" w:rsidP="00D12D69">
            <w:pPr>
              <w:rPr>
                <w:rFonts w:ascii="Arial Narrow" w:hAnsi="Arial Narrow" w:cstheme="minorHAnsi"/>
                <w:sz w:val="20"/>
                <w:szCs w:val="20"/>
              </w:rPr>
            </w:pPr>
            <w:r w:rsidRPr="0015004F">
              <w:rPr>
                <w:rFonts w:ascii="Arial Narrow" w:hAnsi="Arial Narrow" w:cstheme="minorHAnsi"/>
                <w:sz w:val="20"/>
                <w:szCs w:val="20"/>
              </w:rPr>
              <w:t>Indirect comparison</w:t>
            </w:r>
          </w:p>
        </w:tc>
        <w:tc>
          <w:tcPr>
            <w:tcW w:w="4962" w:type="dxa"/>
            <w:gridSpan w:val="3"/>
          </w:tcPr>
          <w:p w14:paraId="3D0A8F14" w14:textId="77777777" w:rsidR="00E6346D" w:rsidRPr="0015004F" w:rsidRDefault="00E6346D" w:rsidP="00D12D69">
            <w:pPr>
              <w:jc w:val="center"/>
              <w:rPr>
                <w:rFonts w:ascii="Arial Narrow" w:hAnsi="Arial Narrow" w:cstheme="minorHAnsi"/>
                <w:sz w:val="20"/>
                <w:szCs w:val="20"/>
                <w:lang w:val="es-CO"/>
              </w:rPr>
            </w:pPr>
            <w:r w:rsidRPr="0015004F" w:rsidDel="008E4B4B">
              <w:rPr>
                <w:rFonts w:ascii="Arial Narrow" w:hAnsi="Arial Narrow" w:cstheme="minorHAnsi"/>
                <w:sz w:val="20"/>
                <w:szCs w:val="20"/>
                <w:lang w:val="es-CO"/>
              </w:rPr>
              <w:t xml:space="preserve">GARA 200 </w:t>
            </w:r>
            <w:r w:rsidRPr="0015004F">
              <w:rPr>
                <w:rFonts w:ascii="Arial Narrow" w:hAnsi="Arial Narrow" w:cstheme="minorHAnsi"/>
                <w:sz w:val="20"/>
                <w:szCs w:val="20"/>
                <w:lang w:val="es-CO"/>
              </w:rPr>
              <w:t>QM vs LANA 300 Q2W</w:t>
            </w:r>
          </w:p>
        </w:tc>
        <w:tc>
          <w:tcPr>
            <w:tcW w:w="2409" w:type="dxa"/>
            <w:vAlign w:val="center"/>
          </w:tcPr>
          <w:p w14:paraId="591FC942" w14:textId="77777777" w:rsidR="00E6346D" w:rsidRPr="0015004F" w:rsidRDefault="00E6346D" w:rsidP="00D12D69">
            <w:pPr>
              <w:jc w:val="center"/>
              <w:rPr>
                <w:rFonts w:ascii="Arial Narrow" w:hAnsi="Arial Narrow" w:cstheme="minorHAnsi"/>
                <w:sz w:val="20"/>
                <w:szCs w:val="20"/>
              </w:rPr>
            </w:pPr>
            <w:r w:rsidRPr="0015004F">
              <w:rPr>
                <w:rFonts w:ascii="Arial Narrow" w:hAnsi="Arial Narrow" w:cstheme="minorHAnsi"/>
                <w:sz w:val="20"/>
                <w:szCs w:val="20"/>
              </w:rPr>
              <w:t>-1.1% (-9.8%, 7.5%)</w:t>
            </w:r>
          </w:p>
        </w:tc>
      </w:tr>
      <w:tr w:rsidR="003D58D7" w:rsidRPr="0015004F" w14:paraId="0FDBCFA2" w14:textId="77777777" w:rsidTr="003134EF">
        <w:tc>
          <w:tcPr>
            <w:tcW w:w="1701" w:type="dxa"/>
          </w:tcPr>
          <w:p w14:paraId="3A2D053B" w14:textId="77777777" w:rsidR="00E6346D" w:rsidRPr="0015004F" w:rsidRDefault="00E6346D" w:rsidP="00D12D69">
            <w:pPr>
              <w:rPr>
                <w:rFonts w:ascii="Arial Narrow" w:hAnsi="Arial Narrow" w:cstheme="minorHAnsi"/>
                <w:sz w:val="20"/>
                <w:szCs w:val="20"/>
              </w:rPr>
            </w:pPr>
            <w:r w:rsidRPr="0015004F">
              <w:rPr>
                <w:rFonts w:ascii="Arial Narrow" w:hAnsi="Arial Narrow" w:cstheme="minorHAnsi"/>
                <w:sz w:val="20"/>
                <w:szCs w:val="20"/>
              </w:rPr>
              <w:t>P-value</w:t>
            </w:r>
          </w:p>
        </w:tc>
        <w:tc>
          <w:tcPr>
            <w:tcW w:w="4962" w:type="dxa"/>
            <w:gridSpan w:val="3"/>
          </w:tcPr>
          <w:p w14:paraId="6C2E686C" w14:textId="77777777" w:rsidR="00E6346D" w:rsidRPr="0015004F" w:rsidRDefault="00E6346D" w:rsidP="00D12D69">
            <w:pPr>
              <w:jc w:val="center"/>
              <w:rPr>
                <w:rFonts w:ascii="Arial Narrow" w:hAnsi="Arial Narrow" w:cstheme="minorHAnsi"/>
                <w:sz w:val="20"/>
                <w:szCs w:val="20"/>
              </w:rPr>
            </w:pPr>
            <w:r w:rsidRPr="0015004F">
              <w:rPr>
                <w:rFonts w:ascii="Arial Narrow" w:hAnsi="Arial Narrow" w:cstheme="minorHAnsi"/>
                <w:sz w:val="20"/>
                <w:szCs w:val="20"/>
              </w:rPr>
              <w:t>–</w:t>
            </w:r>
          </w:p>
        </w:tc>
        <w:tc>
          <w:tcPr>
            <w:tcW w:w="2409" w:type="dxa"/>
            <w:vAlign w:val="center"/>
          </w:tcPr>
          <w:p w14:paraId="4B68D5B8" w14:textId="77777777" w:rsidR="00E6346D" w:rsidRPr="0015004F" w:rsidRDefault="00E6346D" w:rsidP="00D12D69">
            <w:pPr>
              <w:jc w:val="center"/>
              <w:rPr>
                <w:rFonts w:ascii="Arial Narrow" w:hAnsi="Arial Narrow" w:cstheme="minorHAnsi"/>
                <w:sz w:val="20"/>
                <w:szCs w:val="20"/>
              </w:rPr>
            </w:pPr>
            <w:r w:rsidRPr="0015004F">
              <w:rPr>
                <w:rFonts w:ascii="Arial Narrow" w:hAnsi="Arial Narrow" w:cstheme="minorHAnsi"/>
                <w:sz w:val="20"/>
                <w:szCs w:val="20"/>
              </w:rPr>
              <w:t>&gt;0.05</w:t>
            </w:r>
          </w:p>
        </w:tc>
      </w:tr>
      <w:tr w:rsidR="009F4F6F" w:rsidRPr="0015004F" w14:paraId="23FAFF6F" w14:textId="77777777" w:rsidTr="003134EF">
        <w:tc>
          <w:tcPr>
            <w:tcW w:w="9072" w:type="dxa"/>
            <w:gridSpan w:val="5"/>
          </w:tcPr>
          <w:p w14:paraId="7EB940E1" w14:textId="77777777" w:rsidR="00E6346D" w:rsidRPr="0015004F" w:rsidRDefault="00E6346D" w:rsidP="00D12D69">
            <w:pPr>
              <w:rPr>
                <w:rFonts w:ascii="Arial Narrow" w:hAnsi="Arial Narrow" w:cstheme="minorHAnsi"/>
                <w:sz w:val="20"/>
                <w:szCs w:val="20"/>
              </w:rPr>
            </w:pPr>
            <w:r w:rsidRPr="0015004F">
              <w:rPr>
                <w:rFonts w:ascii="Arial Narrow" w:hAnsi="Arial Narrow" w:cstheme="minorHAnsi"/>
                <w:b/>
                <w:bCs/>
                <w:sz w:val="20"/>
                <w:szCs w:val="20"/>
              </w:rPr>
              <w:t>GARA 200 QM vs LANA 300 Q4W</w:t>
            </w:r>
          </w:p>
        </w:tc>
      </w:tr>
      <w:tr w:rsidR="003D58D7" w:rsidRPr="0015004F" w14:paraId="581DC147" w14:textId="77777777" w:rsidTr="003134EF">
        <w:tc>
          <w:tcPr>
            <w:tcW w:w="1701" w:type="dxa"/>
          </w:tcPr>
          <w:p w14:paraId="6F261D5D" w14:textId="77777777" w:rsidR="00E6346D" w:rsidRPr="0015004F" w:rsidRDefault="00E6346D" w:rsidP="00D12D69">
            <w:pPr>
              <w:rPr>
                <w:rFonts w:ascii="Arial Narrow" w:hAnsi="Arial Narrow" w:cstheme="minorHAnsi"/>
                <w:sz w:val="20"/>
                <w:szCs w:val="20"/>
              </w:rPr>
            </w:pPr>
            <w:r w:rsidRPr="0015004F">
              <w:rPr>
                <w:rFonts w:ascii="Arial Narrow" w:hAnsi="Arial Narrow" w:cstheme="minorHAnsi"/>
                <w:sz w:val="20"/>
                <w:szCs w:val="20"/>
              </w:rPr>
              <w:t>VANGUARD</w:t>
            </w:r>
          </w:p>
        </w:tc>
        <w:tc>
          <w:tcPr>
            <w:tcW w:w="1560" w:type="dxa"/>
          </w:tcPr>
          <w:p w14:paraId="24416309" w14:textId="77777777" w:rsidR="00E6346D" w:rsidRPr="0015004F" w:rsidRDefault="00E6346D" w:rsidP="00D12D69">
            <w:pPr>
              <w:jc w:val="center"/>
              <w:rPr>
                <w:rFonts w:ascii="Arial Narrow" w:hAnsi="Arial Narrow" w:cstheme="minorHAnsi"/>
                <w:sz w:val="20"/>
                <w:szCs w:val="20"/>
              </w:rPr>
            </w:pPr>
            <w:r w:rsidRPr="0015004F" w:rsidDel="008E4B4B">
              <w:rPr>
                <w:rFonts w:ascii="Arial Narrow" w:hAnsi="Arial Narrow" w:cstheme="minorHAnsi"/>
                <w:sz w:val="20"/>
                <w:szCs w:val="20"/>
              </w:rPr>
              <w:t xml:space="preserve">GARA 200 </w:t>
            </w:r>
            <w:r w:rsidRPr="0015004F">
              <w:rPr>
                <w:rFonts w:ascii="Arial Narrow" w:hAnsi="Arial Narrow" w:cstheme="minorHAnsi"/>
                <w:sz w:val="20"/>
                <w:szCs w:val="20"/>
              </w:rPr>
              <w:t>QM vs Placebo</w:t>
            </w:r>
          </w:p>
        </w:tc>
        <w:tc>
          <w:tcPr>
            <w:tcW w:w="1701" w:type="dxa"/>
            <w:vAlign w:val="center"/>
          </w:tcPr>
          <w:p w14:paraId="7B81199F" w14:textId="77777777" w:rsidR="00E6346D" w:rsidRPr="0015004F" w:rsidRDefault="00E6346D" w:rsidP="00D12D69">
            <w:pPr>
              <w:jc w:val="center"/>
              <w:rPr>
                <w:rFonts w:ascii="Arial Narrow" w:hAnsi="Arial Narrow" w:cstheme="minorHAnsi"/>
                <w:sz w:val="20"/>
                <w:szCs w:val="20"/>
              </w:rPr>
            </w:pPr>
            <w:r w:rsidRPr="0015004F">
              <w:rPr>
                <w:rFonts w:ascii="Arial Narrow" w:hAnsi="Arial Narrow" w:cstheme="minorHAnsi"/>
                <w:sz w:val="20"/>
                <w:szCs w:val="20"/>
              </w:rPr>
              <w:t>1/39 (2.6%)</w:t>
            </w:r>
          </w:p>
        </w:tc>
        <w:tc>
          <w:tcPr>
            <w:tcW w:w="1701" w:type="dxa"/>
            <w:vAlign w:val="center"/>
          </w:tcPr>
          <w:p w14:paraId="22C0E24C" w14:textId="77777777" w:rsidR="00E6346D" w:rsidRPr="0015004F" w:rsidRDefault="00E6346D" w:rsidP="00D12D69">
            <w:pPr>
              <w:jc w:val="center"/>
              <w:rPr>
                <w:rFonts w:ascii="Arial Narrow" w:hAnsi="Arial Narrow" w:cstheme="minorHAnsi"/>
                <w:sz w:val="20"/>
                <w:szCs w:val="20"/>
              </w:rPr>
            </w:pPr>
            <w:r w:rsidRPr="0015004F">
              <w:rPr>
                <w:rFonts w:ascii="Arial Narrow" w:hAnsi="Arial Narrow" w:cstheme="minorHAnsi"/>
                <w:sz w:val="20"/>
                <w:szCs w:val="20"/>
              </w:rPr>
              <w:t>0/25 (0.0%)</w:t>
            </w:r>
          </w:p>
        </w:tc>
        <w:tc>
          <w:tcPr>
            <w:tcW w:w="2409" w:type="dxa"/>
            <w:vAlign w:val="center"/>
          </w:tcPr>
          <w:p w14:paraId="5CB64910" w14:textId="77777777" w:rsidR="00E6346D" w:rsidRPr="0015004F" w:rsidRDefault="00E6346D" w:rsidP="00D12D69">
            <w:pPr>
              <w:jc w:val="center"/>
              <w:rPr>
                <w:rFonts w:ascii="Arial Narrow" w:hAnsi="Arial Narrow" w:cstheme="minorHAnsi"/>
                <w:sz w:val="20"/>
                <w:szCs w:val="20"/>
              </w:rPr>
            </w:pPr>
            <w:r w:rsidRPr="0015004F">
              <w:rPr>
                <w:rFonts w:ascii="Arial Narrow" w:hAnsi="Arial Narrow" w:cstheme="minorHAnsi"/>
                <w:sz w:val="20"/>
                <w:szCs w:val="20"/>
              </w:rPr>
              <w:t>2.6% (-2.4%, 7.5%)</w:t>
            </w:r>
          </w:p>
        </w:tc>
      </w:tr>
      <w:tr w:rsidR="003D58D7" w:rsidRPr="0015004F" w14:paraId="12A025AE" w14:textId="77777777" w:rsidTr="003134EF">
        <w:tc>
          <w:tcPr>
            <w:tcW w:w="1701" w:type="dxa"/>
          </w:tcPr>
          <w:p w14:paraId="088CB22A" w14:textId="77777777" w:rsidR="00E6346D" w:rsidRPr="0015004F" w:rsidRDefault="00E6346D" w:rsidP="00D12D69">
            <w:pPr>
              <w:rPr>
                <w:rFonts w:ascii="Arial Narrow" w:hAnsi="Arial Narrow" w:cstheme="minorHAnsi"/>
                <w:sz w:val="20"/>
                <w:szCs w:val="20"/>
              </w:rPr>
            </w:pPr>
            <w:r w:rsidRPr="0015004F">
              <w:rPr>
                <w:rFonts w:ascii="Arial Narrow" w:hAnsi="Arial Narrow" w:cstheme="minorHAnsi"/>
                <w:sz w:val="20"/>
                <w:szCs w:val="20"/>
              </w:rPr>
              <w:t>HELP</w:t>
            </w:r>
          </w:p>
        </w:tc>
        <w:tc>
          <w:tcPr>
            <w:tcW w:w="1560" w:type="dxa"/>
          </w:tcPr>
          <w:p w14:paraId="189BA1EB" w14:textId="77777777" w:rsidR="00E6346D" w:rsidRPr="0015004F" w:rsidRDefault="00E6346D" w:rsidP="00D12D69">
            <w:pPr>
              <w:jc w:val="center"/>
              <w:rPr>
                <w:rFonts w:ascii="Arial Narrow" w:hAnsi="Arial Narrow" w:cstheme="minorHAnsi"/>
                <w:sz w:val="20"/>
                <w:szCs w:val="20"/>
              </w:rPr>
            </w:pPr>
            <w:r w:rsidRPr="0015004F">
              <w:rPr>
                <w:rFonts w:ascii="Arial Narrow" w:hAnsi="Arial Narrow" w:cstheme="minorHAnsi"/>
                <w:sz w:val="20"/>
                <w:szCs w:val="20"/>
              </w:rPr>
              <w:t>LANA 300 Q4W vs Placebo</w:t>
            </w:r>
          </w:p>
        </w:tc>
        <w:tc>
          <w:tcPr>
            <w:tcW w:w="1701" w:type="dxa"/>
            <w:vAlign w:val="center"/>
          </w:tcPr>
          <w:p w14:paraId="259F71BD" w14:textId="77777777" w:rsidR="00E6346D" w:rsidRPr="0015004F" w:rsidRDefault="00E6346D" w:rsidP="00D12D69">
            <w:pPr>
              <w:jc w:val="center"/>
              <w:rPr>
                <w:rFonts w:ascii="Arial Narrow" w:hAnsi="Arial Narrow" w:cstheme="minorHAnsi"/>
                <w:sz w:val="20"/>
                <w:szCs w:val="20"/>
              </w:rPr>
            </w:pPr>
            <w:r w:rsidRPr="0015004F">
              <w:rPr>
                <w:rFonts w:ascii="Arial Narrow" w:hAnsi="Arial Narrow" w:cstheme="minorHAnsi"/>
                <w:sz w:val="20"/>
                <w:szCs w:val="20"/>
              </w:rPr>
              <w:t>3/29 (10.3%)</w:t>
            </w:r>
          </w:p>
        </w:tc>
        <w:tc>
          <w:tcPr>
            <w:tcW w:w="1701" w:type="dxa"/>
            <w:vAlign w:val="center"/>
          </w:tcPr>
          <w:p w14:paraId="70DB306E" w14:textId="77777777" w:rsidR="00E6346D" w:rsidRPr="0015004F" w:rsidRDefault="00E6346D" w:rsidP="00D12D69">
            <w:pPr>
              <w:jc w:val="center"/>
              <w:rPr>
                <w:rFonts w:ascii="Arial Narrow" w:hAnsi="Arial Narrow" w:cstheme="minorHAnsi"/>
                <w:sz w:val="20"/>
                <w:szCs w:val="20"/>
              </w:rPr>
            </w:pPr>
            <w:r w:rsidRPr="0015004F">
              <w:rPr>
                <w:rFonts w:ascii="Arial Narrow" w:hAnsi="Arial Narrow" w:cstheme="minorHAnsi"/>
                <w:sz w:val="20"/>
                <w:szCs w:val="20"/>
              </w:rPr>
              <w:t>0/41 (0.0%)</w:t>
            </w:r>
          </w:p>
        </w:tc>
        <w:tc>
          <w:tcPr>
            <w:tcW w:w="2409" w:type="dxa"/>
            <w:vAlign w:val="center"/>
          </w:tcPr>
          <w:p w14:paraId="23DDE4D3" w14:textId="77777777" w:rsidR="00E6346D" w:rsidRPr="0015004F" w:rsidRDefault="00E6346D" w:rsidP="00D12D69">
            <w:pPr>
              <w:jc w:val="center"/>
              <w:rPr>
                <w:rFonts w:ascii="Arial Narrow" w:hAnsi="Arial Narrow" w:cstheme="minorHAnsi"/>
                <w:sz w:val="20"/>
                <w:szCs w:val="20"/>
              </w:rPr>
            </w:pPr>
            <w:r w:rsidRPr="0015004F">
              <w:rPr>
                <w:rFonts w:ascii="Arial Narrow" w:hAnsi="Arial Narrow" w:cstheme="minorHAnsi"/>
                <w:sz w:val="20"/>
                <w:szCs w:val="20"/>
              </w:rPr>
              <w:t>10.3% (-0.7%, 21.4%)</w:t>
            </w:r>
          </w:p>
        </w:tc>
      </w:tr>
      <w:tr w:rsidR="003D58D7" w:rsidRPr="0015004F" w14:paraId="0945AA6E" w14:textId="77777777" w:rsidTr="003134EF">
        <w:tc>
          <w:tcPr>
            <w:tcW w:w="1701" w:type="dxa"/>
          </w:tcPr>
          <w:p w14:paraId="24D25270" w14:textId="77777777" w:rsidR="00E6346D" w:rsidRPr="0015004F" w:rsidRDefault="00E6346D" w:rsidP="00D12D69">
            <w:pPr>
              <w:rPr>
                <w:rFonts w:ascii="Arial Narrow" w:hAnsi="Arial Narrow" w:cstheme="minorHAnsi"/>
                <w:sz w:val="20"/>
                <w:szCs w:val="20"/>
              </w:rPr>
            </w:pPr>
            <w:r w:rsidRPr="0015004F">
              <w:rPr>
                <w:rFonts w:ascii="Arial Narrow" w:hAnsi="Arial Narrow" w:cstheme="minorHAnsi"/>
                <w:sz w:val="20"/>
                <w:szCs w:val="20"/>
              </w:rPr>
              <w:t>Indirect comparison</w:t>
            </w:r>
          </w:p>
        </w:tc>
        <w:tc>
          <w:tcPr>
            <w:tcW w:w="4962" w:type="dxa"/>
            <w:gridSpan w:val="3"/>
          </w:tcPr>
          <w:p w14:paraId="33B15E71" w14:textId="77777777" w:rsidR="00E6346D" w:rsidRPr="0015004F" w:rsidRDefault="00E6346D" w:rsidP="00D12D69">
            <w:pPr>
              <w:jc w:val="center"/>
              <w:rPr>
                <w:rFonts w:ascii="Arial Narrow" w:hAnsi="Arial Narrow" w:cstheme="minorHAnsi"/>
                <w:sz w:val="20"/>
                <w:szCs w:val="20"/>
                <w:lang w:val="es-CO"/>
              </w:rPr>
            </w:pPr>
            <w:r w:rsidRPr="0015004F" w:rsidDel="008E4B4B">
              <w:rPr>
                <w:rFonts w:ascii="Arial Narrow" w:hAnsi="Arial Narrow" w:cstheme="minorHAnsi"/>
                <w:sz w:val="20"/>
                <w:szCs w:val="20"/>
                <w:lang w:val="es-CO"/>
              </w:rPr>
              <w:t xml:space="preserve">GARA 200 </w:t>
            </w:r>
            <w:r w:rsidRPr="0015004F">
              <w:rPr>
                <w:rFonts w:ascii="Arial Narrow" w:hAnsi="Arial Narrow" w:cstheme="minorHAnsi"/>
                <w:sz w:val="20"/>
                <w:szCs w:val="20"/>
                <w:lang w:val="es-CO"/>
              </w:rPr>
              <w:t>QM vs LANA 300 Q4W</w:t>
            </w:r>
          </w:p>
        </w:tc>
        <w:tc>
          <w:tcPr>
            <w:tcW w:w="2409" w:type="dxa"/>
            <w:vAlign w:val="center"/>
          </w:tcPr>
          <w:p w14:paraId="3680E107" w14:textId="77777777" w:rsidR="00E6346D" w:rsidRPr="0015004F" w:rsidRDefault="00E6346D" w:rsidP="00D12D69">
            <w:pPr>
              <w:jc w:val="center"/>
              <w:rPr>
                <w:rFonts w:ascii="Arial Narrow" w:hAnsi="Arial Narrow" w:cstheme="minorHAnsi"/>
                <w:sz w:val="20"/>
                <w:szCs w:val="20"/>
              </w:rPr>
            </w:pPr>
            <w:r w:rsidRPr="0015004F">
              <w:rPr>
                <w:rFonts w:ascii="Arial Narrow" w:hAnsi="Arial Narrow" w:cstheme="minorHAnsi"/>
                <w:sz w:val="20"/>
                <w:szCs w:val="20"/>
              </w:rPr>
              <w:t>-7.8% (-19.9%, 4.4%)</w:t>
            </w:r>
          </w:p>
        </w:tc>
      </w:tr>
      <w:tr w:rsidR="003D58D7" w:rsidRPr="0015004F" w14:paraId="733A3463" w14:textId="77777777" w:rsidTr="003134EF">
        <w:tc>
          <w:tcPr>
            <w:tcW w:w="1701" w:type="dxa"/>
          </w:tcPr>
          <w:p w14:paraId="50A7EC1E" w14:textId="77777777" w:rsidR="00E6346D" w:rsidRPr="0015004F" w:rsidRDefault="00E6346D" w:rsidP="00D12D69">
            <w:pPr>
              <w:rPr>
                <w:rFonts w:ascii="Arial Narrow" w:hAnsi="Arial Narrow" w:cstheme="minorHAnsi"/>
                <w:sz w:val="20"/>
                <w:szCs w:val="20"/>
              </w:rPr>
            </w:pPr>
            <w:r w:rsidRPr="0015004F">
              <w:rPr>
                <w:rFonts w:ascii="Arial Narrow" w:hAnsi="Arial Narrow" w:cstheme="minorHAnsi"/>
                <w:sz w:val="20"/>
                <w:szCs w:val="20"/>
              </w:rPr>
              <w:t>P-value</w:t>
            </w:r>
          </w:p>
        </w:tc>
        <w:tc>
          <w:tcPr>
            <w:tcW w:w="4962" w:type="dxa"/>
            <w:gridSpan w:val="3"/>
          </w:tcPr>
          <w:p w14:paraId="551A108A" w14:textId="77777777" w:rsidR="00E6346D" w:rsidRPr="0015004F" w:rsidRDefault="00E6346D" w:rsidP="00D12D69">
            <w:pPr>
              <w:jc w:val="center"/>
              <w:rPr>
                <w:rFonts w:ascii="Arial Narrow" w:hAnsi="Arial Narrow" w:cstheme="minorHAnsi"/>
                <w:sz w:val="20"/>
                <w:szCs w:val="20"/>
              </w:rPr>
            </w:pPr>
            <w:r w:rsidRPr="0015004F">
              <w:rPr>
                <w:rFonts w:ascii="Arial Narrow" w:hAnsi="Arial Narrow" w:cstheme="minorHAnsi"/>
                <w:sz w:val="20"/>
                <w:szCs w:val="20"/>
              </w:rPr>
              <w:t>–</w:t>
            </w:r>
          </w:p>
        </w:tc>
        <w:tc>
          <w:tcPr>
            <w:tcW w:w="2409" w:type="dxa"/>
            <w:vAlign w:val="center"/>
          </w:tcPr>
          <w:p w14:paraId="63F96F93" w14:textId="77777777" w:rsidR="00E6346D" w:rsidRPr="0015004F" w:rsidRDefault="00E6346D" w:rsidP="00D12D69">
            <w:pPr>
              <w:jc w:val="center"/>
              <w:rPr>
                <w:rFonts w:ascii="Arial Narrow" w:hAnsi="Arial Narrow" w:cstheme="minorHAnsi"/>
                <w:sz w:val="20"/>
                <w:szCs w:val="20"/>
              </w:rPr>
            </w:pPr>
            <w:r w:rsidRPr="0015004F">
              <w:rPr>
                <w:rFonts w:ascii="Arial Narrow" w:hAnsi="Arial Narrow" w:cstheme="minorHAnsi"/>
                <w:sz w:val="20"/>
                <w:szCs w:val="20"/>
              </w:rPr>
              <w:t>&gt;0.05</w:t>
            </w:r>
          </w:p>
        </w:tc>
      </w:tr>
    </w:tbl>
    <w:p w14:paraId="38CE7899" w14:textId="77777777" w:rsidR="00270F00" w:rsidRPr="0015004F" w:rsidRDefault="00FE015B" w:rsidP="00106C2B">
      <w:pPr>
        <w:pStyle w:val="TableFigureFooter"/>
      </w:pPr>
      <w:r w:rsidRPr="0015004F">
        <w:t>Source: Table 2.58, pp133-134 of the submission</w:t>
      </w:r>
    </w:p>
    <w:p w14:paraId="53E82B55" w14:textId="77777777" w:rsidR="00E6346D" w:rsidRPr="0015004F" w:rsidRDefault="00E6346D" w:rsidP="00106C2B">
      <w:pPr>
        <w:pStyle w:val="TableFigureFooter"/>
      </w:pPr>
      <w:r w:rsidRPr="0015004F">
        <w:t>CI = confidence interval; GARA = garadacimab; LANA = lanadelumab; N = number of patients in the treatment arm; n = number of patients experiencing at least 1 event; QM = once per month; Q2W = once every 2 weeks; Q4W = once every 4 weeks; RD = risk difference</w:t>
      </w:r>
    </w:p>
    <w:p w14:paraId="0CD35138" w14:textId="77777777" w:rsidR="00E6346D" w:rsidRPr="0015004F" w:rsidRDefault="00E6346D" w:rsidP="009B6299">
      <w:pPr>
        <w:pStyle w:val="TableFigureFooter"/>
        <w:spacing w:after="120"/>
      </w:pPr>
      <w:r w:rsidRPr="0015004F">
        <w:t xml:space="preserve">Note: An indirect RD of &lt; 0 indicates a result favouring garadacimab </w:t>
      </w:r>
    </w:p>
    <w:p w14:paraId="21DF960E" w14:textId="05D25BD6" w:rsidR="00E6346D" w:rsidRPr="0015004F" w:rsidRDefault="00E6346D" w:rsidP="00E6346D">
      <w:pPr>
        <w:pStyle w:val="3-BodyText"/>
      </w:pPr>
      <w:r w:rsidRPr="0015004F">
        <w:t xml:space="preserve">For both TEAEs and serious AEs, results of the ITCs numerically favoured the garadacimab 200 mg QM regimen compared to the lanadelumab 300 mg Q2W and </w:t>
      </w:r>
      <w:r w:rsidRPr="0015004F">
        <w:lastRenderedPageBreak/>
        <w:t>Q4W regimens. However, the analyses of AE outcomes were not statistically powered, especially for the severe AEs</w:t>
      </w:r>
      <w:r w:rsidR="00CEDFB3" w:rsidRPr="0015004F">
        <w:t xml:space="preserve"> and the overall low number of observed TEAEs and severe AEs further contributes to the uncertainty of the ITCs</w:t>
      </w:r>
      <w:r w:rsidRPr="0015004F">
        <w:t>. In addition, safety results from the ITCs should be interpreted with consideration of the potential differences across the trials in terms of the patient characteristics at baseline.</w:t>
      </w:r>
    </w:p>
    <w:p w14:paraId="6764EB63" w14:textId="77777777" w:rsidR="00112BF6" w:rsidRPr="0015004F" w:rsidRDefault="00112BF6" w:rsidP="00112BF6">
      <w:pPr>
        <w:pStyle w:val="4-SubsectionHeading"/>
        <w:rPr>
          <w:i w:val="0"/>
        </w:rPr>
      </w:pPr>
      <w:bookmarkStart w:id="39" w:name="_Toc22897644"/>
      <w:bookmarkStart w:id="40" w:name="_Toc177480628"/>
      <w:r w:rsidRPr="0015004F">
        <w:rPr>
          <w:i w:val="0"/>
        </w:rPr>
        <w:t>Benefits/harms</w:t>
      </w:r>
    </w:p>
    <w:p w14:paraId="25A721D6" w14:textId="77777777" w:rsidR="00112BF6" w:rsidRPr="0015004F" w:rsidRDefault="00112BF6" w:rsidP="00112BF6">
      <w:pPr>
        <w:pStyle w:val="3-BodyText"/>
      </w:pPr>
      <w:r w:rsidRPr="0015004F">
        <w:t>A benefits and harms table was not presented as the submission made a claim of non-inferiority.  </w:t>
      </w:r>
    </w:p>
    <w:p w14:paraId="7A1772B6" w14:textId="23BB3145" w:rsidR="00B60939" w:rsidRPr="0015004F" w:rsidRDefault="00B60939" w:rsidP="00E9094A">
      <w:pPr>
        <w:pStyle w:val="4-SubsectionHeading"/>
        <w:rPr>
          <w:i w:val="0"/>
        </w:rPr>
      </w:pPr>
      <w:r w:rsidRPr="0015004F">
        <w:rPr>
          <w:i w:val="0"/>
        </w:rPr>
        <w:t>Clinical claim</w:t>
      </w:r>
      <w:bookmarkEnd w:id="39"/>
      <w:bookmarkEnd w:id="40"/>
    </w:p>
    <w:p w14:paraId="501150AA" w14:textId="1BF017D5" w:rsidR="00E6346D" w:rsidRPr="0015004F" w:rsidRDefault="00E6346D" w:rsidP="00E6346D">
      <w:pPr>
        <w:pStyle w:val="3-BodyText"/>
        <w:rPr>
          <w:rFonts w:eastAsia="Calibri"/>
        </w:rPr>
      </w:pPr>
      <w:bookmarkStart w:id="41" w:name="_Toc22897645"/>
      <w:r w:rsidRPr="0015004F">
        <w:rPr>
          <w:rFonts w:eastAsia="Calibri"/>
        </w:rPr>
        <w:t xml:space="preserve">The submission described </w:t>
      </w:r>
      <w:bookmarkStart w:id="42" w:name="_Hlk179873104"/>
      <w:r w:rsidRPr="0015004F">
        <w:rPr>
          <w:rFonts w:eastAsia="Calibri"/>
        </w:rPr>
        <w:t>garadacimab as non-inferior in terms of effectiveness compared to lanadelumab</w:t>
      </w:r>
      <w:bookmarkEnd w:id="42"/>
      <w:r w:rsidRPr="0015004F">
        <w:rPr>
          <w:rFonts w:eastAsia="Calibri"/>
        </w:rPr>
        <w:t xml:space="preserve">. </w:t>
      </w:r>
      <w:r w:rsidR="005E0A36" w:rsidRPr="0015004F">
        <w:rPr>
          <w:rFonts w:eastAsia="Calibri"/>
        </w:rPr>
        <w:t>The evaluation considered that t</w:t>
      </w:r>
      <w:r w:rsidRPr="0015004F">
        <w:rPr>
          <w:rFonts w:eastAsia="Calibri"/>
        </w:rPr>
        <w:t xml:space="preserve">his claim was </w:t>
      </w:r>
      <w:bookmarkStart w:id="43" w:name="_Hlk177401833"/>
      <w:r w:rsidR="00E710E2" w:rsidRPr="0015004F">
        <w:rPr>
          <w:rFonts w:eastAsia="Calibri"/>
        </w:rPr>
        <w:t xml:space="preserve">uncertain and may not be </w:t>
      </w:r>
      <w:bookmarkEnd w:id="43"/>
      <w:r w:rsidRPr="0015004F">
        <w:rPr>
          <w:rFonts w:eastAsia="Calibri"/>
        </w:rPr>
        <w:t xml:space="preserve">supported by the evidence. </w:t>
      </w:r>
      <w:r w:rsidR="005E0A36" w:rsidRPr="0015004F">
        <w:rPr>
          <w:rFonts w:eastAsia="Calibri"/>
        </w:rPr>
        <w:t>The evaluation noted that a</w:t>
      </w:r>
      <w:r w:rsidRPr="0015004F">
        <w:rPr>
          <w:rFonts w:eastAsia="Calibri"/>
        </w:rPr>
        <w:t xml:space="preserve">lthough the 95% CIs of indirect estimates did not include a worsening of HAE attack outcomes which was clinically relevant to the proposed target population, the results should be interpreted with caution, given the following issues: </w:t>
      </w:r>
    </w:p>
    <w:p w14:paraId="43506C37" w14:textId="3954BDA2" w:rsidR="00E6346D" w:rsidRPr="0015004F" w:rsidRDefault="00E6346D" w:rsidP="00857266">
      <w:pPr>
        <w:pStyle w:val="3-BodyText"/>
        <w:numPr>
          <w:ilvl w:val="0"/>
          <w:numId w:val="12"/>
        </w:numPr>
        <w:ind w:left="1134"/>
        <w:rPr>
          <w:rFonts w:eastAsia="Calibri"/>
        </w:rPr>
      </w:pPr>
      <w:r w:rsidRPr="0015004F">
        <w:rPr>
          <w:rFonts w:eastAsia="Calibri"/>
        </w:rPr>
        <w:t>The heterogeneity between the VANGUARD and HELP trials</w:t>
      </w:r>
      <w:r w:rsidR="005A78BE" w:rsidRPr="0015004F">
        <w:rPr>
          <w:rFonts w:eastAsia="Calibri"/>
        </w:rPr>
        <w:t xml:space="preserve">, and </w:t>
      </w:r>
      <w:r w:rsidRPr="0015004F">
        <w:rPr>
          <w:rFonts w:eastAsia="Calibri"/>
        </w:rPr>
        <w:t>overall impact of the transitivity issues on the indirect results</w:t>
      </w:r>
      <w:r w:rsidR="005A78BE" w:rsidRPr="0015004F">
        <w:rPr>
          <w:rFonts w:eastAsia="Calibri"/>
        </w:rPr>
        <w:t>, which</w:t>
      </w:r>
      <w:r w:rsidRPr="0015004F">
        <w:rPr>
          <w:rFonts w:eastAsia="Calibri"/>
        </w:rPr>
        <w:t xml:space="preserve"> cannot be reliably estimated.</w:t>
      </w:r>
      <w:r w:rsidR="005A78BE" w:rsidRPr="0015004F">
        <w:rPr>
          <w:rFonts w:eastAsia="Calibri"/>
        </w:rPr>
        <w:t xml:space="preserve"> However, the ESC </w:t>
      </w:r>
      <w:r w:rsidR="005E0777" w:rsidRPr="0015004F">
        <w:rPr>
          <w:rFonts w:eastAsia="Calibri"/>
        </w:rPr>
        <w:t>considered that</w:t>
      </w:r>
      <w:r w:rsidR="0048502E" w:rsidRPr="0015004F">
        <w:rPr>
          <w:rFonts w:eastAsia="Calibri"/>
        </w:rPr>
        <w:t xml:space="preserve">, </w:t>
      </w:r>
      <w:r w:rsidR="00C06184" w:rsidRPr="0015004F">
        <w:rPr>
          <w:rFonts w:eastAsia="Calibri"/>
        </w:rPr>
        <w:t xml:space="preserve">given the similar event rates in the placebo arms of the trials (along with </w:t>
      </w:r>
      <w:r w:rsidR="0048502E" w:rsidRPr="0015004F">
        <w:rPr>
          <w:rFonts w:eastAsia="Calibri"/>
        </w:rPr>
        <w:t>the additional subgroup analyses</w:t>
      </w:r>
      <w:r w:rsidR="00C06184" w:rsidRPr="0015004F">
        <w:rPr>
          <w:rFonts w:eastAsia="Calibri"/>
        </w:rPr>
        <w:t xml:space="preserve"> provided in the PSCR, which indicated that some of the differences </w:t>
      </w:r>
      <w:r w:rsidR="00806095" w:rsidRPr="0015004F">
        <w:rPr>
          <w:rFonts w:eastAsia="Calibri"/>
        </w:rPr>
        <w:t xml:space="preserve">in baseline characteristics </w:t>
      </w:r>
      <w:r w:rsidR="00C06184" w:rsidRPr="0015004F">
        <w:rPr>
          <w:rFonts w:eastAsia="Calibri"/>
        </w:rPr>
        <w:t xml:space="preserve">between </w:t>
      </w:r>
      <w:r w:rsidR="00806095" w:rsidRPr="0015004F">
        <w:rPr>
          <w:rFonts w:eastAsia="Calibri"/>
        </w:rPr>
        <w:t xml:space="preserve">the </w:t>
      </w:r>
      <w:r w:rsidR="00C06184" w:rsidRPr="0015004F">
        <w:rPr>
          <w:rFonts w:eastAsia="Calibri"/>
        </w:rPr>
        <w:t xml:space="preserve">trials were unlikely to be </w:t>
      </w:r>
      <w:r w:rsidR="00982498" w:rsidRPr="0015004F">
        <w:rPr>
          <w:rFonts w:eastAsia="Calibri"/>
        </w:rPr>
        <w:t xml:space="preserve">key </w:t>
      </w:r>
      <w:r w:rsidR="00C06184" w:rsidRPr="0015004F">
        <w:rPr>
          <w:rFonts w:eastAsia="Calibri"/>
        </w:rPr>
        <w:t>treatment effect modifiers)</w:t>
      </w:r>
      <w:r w:rsidR="0048502E" w:rsidRPr="0015004F">
        <w:rPr>
          <w:rFonts w:eastAsia="Calibri"/>
        </w:rPr>
        <w:t xml:space="preserve">, the transitivity </w:t>
      </w:r>
      <w:r w:rsidR="00C06184" w:rsidRPr="0015004F">
        <w:rPr>
          <w:rFonts w:eastAsia="Calibri"/>
        </w:rPr>
        <w:t xml:space="preserve">assumption was likely </w:t>
      </w:r>
      <w:r w:rsidR="008A6CFC" w:rsidRPr="0015004F">
        <w:rPr>
          <w:rFonts w:eastAsia="Calibri"/>
        </w:rPr>
        <w:t xml:space="preserve">to have been upheld. </w:t>
      </w:r>
    </w:p>
    <w:p w14:paraId="7F544761" w14:textId="2699A862" w:rsidR="00E6346D" w:rsidRPr="0015004F" w:rsidRDefault="00E6346D" w:rsidP="00857266">
      <w:pPr>
        <w:pStyle w:val="3-BodyText"/>
        <w:numPr>
          <w:ilvl w:val="0"/>
          <w:numId w:val="12"/>
        </w:numPr>
        <w:ind w:left="1134"/>
        <w:rPr>
          <w:rFonts w:eastAsia="Calibri"/>
        </w:rPr>
      </w:pPr>
      <w:r w:rsidRPr="0015004F">
        <w:rPr>
          <w:rFonts w:eastAsia="Calibri"/>
        </w:rPr>
        <w:t xml:space="preserve">The small number of patients in </w:t>
      </w:r>
      <w:r w:rsidR="00545719">
        <w:rPr>
          <w:rFonts w:eastAsia="Calibri"/>
        </w:rPr>
        <w:t xml:space="preserve">the </w:t>
      </w:r>
      <w:r w:rsidR="00545719" w:rsidRPr="0015004F">
        <w:rPr>
          <w:rFonts w:eastAsia="Calibri"/>
        </w:rPr>
        <w:t xml:space="preserve">VANGUARD and HELP </w:t>
      </w:r>
      <w:r w:rsidRPr="0015004F">
        <w:rPr>
          <w:rFonts w:eastAsia="Calibri"/>
        </w:rPr>
        <w:t>trial</w:t>
      </w:r>
      <w:r w:rsidR="00545719">
        <w:rPr>
          <w:rFonts w:eastAsia="Calibri"/>
        </w:rPr>
        <w:t>s</w:t>
      </w:r>
      <w:r w:rsidRPr="0015004F">
        <w:t xml:space="preserve"> and </w:t>
      </w:r>
      <w:r w:rsidRPr="0015004F">
        <w:rPr>
          <w:rFonts w:eastAsia="Calibri"/>
        </w:rPr>
        <w:t xml:space="preserve">the inherent variability and unpredictability in HAE attack pattern and frequency. </w:t>
      </w:r>
      <w:r w:rsidR="003673EB" w:rsidRPr="0015004F">
        <w:rPr>
          <w:rFonts w:eastAsia="Calibri"/>
        </w:rPr>
        <w:t>However, t</w:t>
      </w:r>
      <w:r w:rsidR="00020CF7" w:rsidRPr="0015004F">
        <w:rPr>
          <w:rFonts w:eastAsia="Calibri"/>
        </w:rPr>
        <w:t xml:space="preserve">he ESC considered that </w:t>
      </w:r>
      <w:r w:rsidR="00545719">
        <w:rPr>
          <w:rFonts w:eastAsia="Calibri"/>
        </w:rPr>
        <w:t xml:space="preserve">the </w:t>
      </w:r>
      <w:r w:rsidR="00020CF7" w:rsidRPr="0015004F">
        <w:rPr>
          <w:rFonts w:eastAsia="Calibri"/>
        </w:rPr>
        <w:t>small patient numbers</w:t>
      </w:r>
      <w:r w:rsidR="003673EB" w:rsidRPr="0015004F">
        <w:rPr>
          <w:rFonts w:eastAsia="Calibri"/>
        </w:rPr>
        <w:t>,</w:t>
      </w:r>
      <w:r w:rsidR="00020CF7" w:rsidRPr="0015004F">
        <w:rPr>
          <w:rFonts w:eastAsia="Calibri"/>
        </w:rPr>
        <w:t xml:space="preserve"> and variability and unpredictability in HAE attacks is inherent </w:t>
      </w:r>
      <w:r w:rsidR="00DD725F">
        <w:rPr>
          <w:rFonts w:eastAsia="Calibri"/>
        </w:rPr>
        <w:t>in</w:t>
      </w:r>
      <w:r w:rsidR="00020CF7" w:rsidRPr="0015004F">
        <w:rPr>
          <w:rFonts w:eastAsia="Calibri"/>
        </w:rPr>
        <w:t xml:space="preserve"> any study in HAE</w:t>
      </w:r>
      <w:r w:rsidR="0063118E" w:rsidRPr="0015004F">
        <w:rPr>
          <w:rFonts w:eastAsia="Calibri"/>
        </w:rPr>
        <w:t xml:space="preserve">, given the rarity </w:t>
      </w:r>
      <w:r w:rsidR="00982498" w:rsidRPr="0015004F">
        <w:rPr>
          <w:rFonts w:eastAsia="Calibri"/>
        </w:rPr>
        <w:t xml:space="preserve">and characteristics </w:t>
      </w:r>
      <w:r w:rsidR="0063118E" w:rsidRPr="0015004F">
        <w:rPr>
          <w:rFonts w:eastAsia="Calibri"/>
        </w:rPr>
        <w:t>of the condition.</w:t>
      </w:r>
      <w:r w:rsidR="00020CF7" w:rsidRPr="0015004F">
        <w:rPr>
          <w:rFonts w:eastAsia="Calibri"/>
        </w:rPr>
        <w:t xml:space="preserve">  </w:t>
      </w:r>
    </w:p>
    <w:p w14:paraId="75B28FBB" w14:textId="6A45F59E" w:rsidR="008870D0" w:rsidRDefault="005A78BE" w:rsidP="008870D0">
      <w:pPr>
        <w:pStyle w:val="3-BodyText"/>
        <w:rPr>
          <w:rFonts w:eastAsia="Calibri"/>
        </w:rPr>
      </w:pPr>
      <w:r w:rsidRPr="0015004F">
        <w:rPr>
          <w:rFonts w:eastAsia="Calibri"/>
        </w:rPr>
        <w:t>The ESC considered that overall, the claim of</w:t>
      </w:r>
      <w:r w:rsidR="0063118E" w:rsidRPr="0015004F">
        <w:rPr>
          <w:rFonts w:eastAsia="Calibri"/>
        </w:rPr>
        <w:t xml:space="preserve"> non-inferior comparative effectiveness</w:t>
      </w:r>
      <w:r w:rsidRPr="0015004F">
        <w:rPr>
          <w:rFonts w:eastAsia="Calibri"/>
        </w:rPr>
        <w:t xml:space="preserve"> </w:t>
      </w:r>
      <w:r w:rsidR="008A6CFC" w:rsidRPr="0015004F">
        <w:rPr>
          <w:rFonts w:eastAsia="Calibri"/>
        </w:rPr>
        <w:t>wa</w:t>
      </w:r>
      <w:r w:rsidR="0063118E" w:rsidRPr="0015004F">
        <w:rPr>
          <w:rFonts w:eastAsia="Calibri"/>
        </w:rPr>
        <w:t>s</w:t>
      </w:r>
      <w:r w:rsidRPr="0015004F">
        <w:rPr>
          <w:rFonts w:eastAsia="Calibri"/>
        </w:rPr>
        <w:t xml:space="preserve"> likely to </w:t>
      </w:r>
      <w:r w:rsidR="00806095" w:rsidRPr="0015004F">
        <w:rPr>
          <w:rFonts w:eastAsia="Calibri"/>
        </w:rPr>
        <w:t xml:space="preserve">have </w:t>
      </w:r>
      <w:r w:rsidRPr="0015004F">
        <w:rPr>
          <w:rFonts w:eastAsia="Calibri"/>
        </w:rPr>
        <w:t>be</w:t>
      </w:r>
      <w:r w:rsidR="00806095" w:rsidRPr="0015004F">
        <w:rPr>
          <w:rFonts w:eastAsia="Calibri"/>
        </w:rPr>
        <w:t>en</w:t>
      </w:r>
      <w:r w:rsidRPr="0015004F">
        <w:rPr>
          <w:rFonts w:eastAsia="Calibri"/>
        </w:rPr>
        <w:t xml:space="preserve"> supported </w:t>
      </w:r>
      <w:r w:rsidR="0063118E" w:rsidRPr="0015004F">
        <w:rPr>
          <w:rFonts w:eastAsia="Calibri"/>
        </w:rPr>
        <w:t>by</w:t>
      </w:r>
      <w:r w:rsidRPr="0015004F">
        <w:rPr>
          <w:rFonts w:eastAsia="Calibri"/>
        </w:rPr>
        <w:t xml:space="preserve"> the available evidence. </w:t>
      </w:r>
    </w:p>
    <w:p w14:paraId="32F1BCE8" w14:textId="017357C5" w:rsidR="00E6346D" w:rsidRPr="0015004F" w:rsidRDefault="00E6346D" w:rsidP="00E6346D">
      <w:pPr>
        <w:pStyle w:val="3-BodyText"/>
        <w:rPr>
          <w:rFonts w:eastAsia="Calibri"/>
        </w:rPr>
      </w:pPr>
      <w:r w:rsidRPr="0015004F">
        <w:rPr>
          <w:rFonts w:eastAsia="Calibri"/>
        </w:rPr>
        <w:t xml:space="preserve">The submission described </w:t>
      </w:r>
      <w:bookmarkStart w:id="44" w:name="_Hlk179872090"/>
      <w:r w:rsidRPr="0015004F">
        <w:rPr>
          <w:rFonts w:eastAsia="Calibri"/>
        </w:rPr>
        <w:t>garadacimab as non-inferior in terms of safety compared to lanadelumab</w:t>
      </w:r>
      <w:bookmarkEnd w:id="44"/>
      <w:r w:rsidRPr="0015004F">
        <w:rPr>
          <w:rFonts w:eastAsia="Calibri"/>
        </w:rPr>
        <w:t>. T</w:t>
      </w:r>
      <w:r w:rsidR="005E0A36" w:rsidRPr="0015004F">
        <w:rPr>
          <w:rFonts w:eastAsia="Calibri"/>
        </w:rPr>
        <w:t>he evaluation considered t</w:t>
      </w:r>
      <w:r w:rsidRPr="0015004F">
        <w:rPr>
          <w:rFonts w:eastAsia="Calibri"/>
        </w:rPr>
        <w:t xml:space="preserve">his claim was </w:t>
      </w:r>
      <w:r w:rsidR="00BC44B9" w:rsidRPr="0015004F">
        <w:rPr>
          <w:rFonts w:eastAsia="Calibri"/>
        </w:rPr>
        <w:t xml:space="preserve">supported by the results of ITC for safety, but </w:t>
      </w:r>
      <w:r w:rsidR="00545719">
        <w:rPr>
          <w:rFonts w:eastAsia="Calibri"/>
        </w:rPr>
        <w:t>noted the following</w:t>
      </w:r>
      <w:r w:rsidR="00BC44B9" w:rsidRPr="0015004F">
        <w:rPr>
          <w:rFonts w:eastAsia="Calibri"/>
        </w:rPr>
        <w:t xml:space="preserve"> </w:t>
      </w:r>
      <w:r w:rsidRPr="0015004F">
        <w:rPr>
          <w:rFonts w:eastAsia="Calibri"/>
        </w:rPr>
        <w:t>issues:</w:t>
      </w:r>
    </w:p>
    <w:p w14:paraId="7EE8ED0A" w14:textId="7E7A82E7" w:rsidR="00E6346D" w:rsidRPr="0015004F" w:rsidRDefault="00E6346D" w:rsidP="00857266">
      <w:pPr>
        <w:pStyle w:val="3-BodyText"/>
        <w:numPr>
          <w:ilvl w:val="0"/>
          <w:numId w:val="12"/>
        </w:numPr>
        <w:ind w:left="1134"/>
        <w:rPr>
          <w:rFonts w:eastAsia="Calibri"/>
        </w:rPr>
      </w:pPr>
      <w:r w:rsidRPr="0015004F">
        <w:rPr>
          <w:rFonts w:eastAsia="Calibri"/>
        </w:rPr>
        <w:t xml:space="preserve">The transitivity </w:t>
      </w:r>
      <w:r w:rsidR="6EB2D504" w:rsidRPr="0015004F">
        <w:rPr>
          <w:rFonts w:eastAsia="Calibri"/>
        </w:rPr>
        <w:t>issues (noted above)</w:t>
      </w:r>
      <w:r w:rsidRPr="0015004F">
        <w:rPr>
          <w:rFonts w:eastAsia="Calibri"/>
        </w:rPr>
        <w:t xml:space="preserve"> due to the differences in patient baseline risks between the VANGUARD and HELP populations</w:t>
      </w:r>
      <w:r w:rsidR="58F5AEEA" w:rsidRPr="0015004F">
        <w:rPr>
          <w:rFonts w:eastAsia="Calibri"/>
        </w:rPr>
        <w:t>; and</w:t>
      </w:r>
    </w:p>
    <w:p w14:paraId="48DA93E4" w14:textId="77777777" w:rsidR="00E6346D" w:rsidRPr="0015004F" w:rsidRDefault="00E6346D" w:rsidP="00857266">
      <w:pPr>
        <w:pStyle w:val="3-BodyText"/>
        <w:numPr>
          <w:ilvl w:val="0"/>
          <w:numId w:val="12"/>
        </w:numPr>
        <w:ind w:left="1134"/>
        <w:rPr>
          <w:rFonts w:eastAsia="Calibri"/>
        </w:rPr>
      </w:pPr>
      <w:r w:rsidRPr="0015004F">
        <w:rPr>
          <w:rFonts w:eastAsia="Calibri"/>
        </w:rPr>
        <w:t>The VANGUARD trial and the ITC analyses were not sufficiently powered to reliability assess the comparative safety of garadacimab compared with placebo and with lanadelumab.</w:t>
      </w:r>
    </w:p>
    <w:p w14:paraId="20B995FC" w14:textId="30B58E12" w:rsidR="008870D0" w:rsidRPr="008870D0" w:rsidRDefault="00E6346D" w:rsidP="00124AC4">
      <w:pPr>
        <w:pStyle w:val="3-BodyText"/>
        <w:numPr>
          <w:ilvl w:val="0"/>
          <w:numId w:val="12"/>
        </w:numPr>
        <w:ind w:left="1134"/>
        <w:rPr>
          <w:rFonts w:eastAsia="Calibri"/>
        </w:rPr>
      </w:pPr>
      <w:r w:rsidRPr="0015004F">
        <w:rPr>
          <w:rFonts w:eastAsia="Calibri"/>
        </w:rPr>
        <w:lastRenderedPageBreak/>
        <w:t xml:space="preserve">Of note, long term efficacy and safety data for garadacimab was lacking (given the limited treatment duration in clinical studies), considering that therapy is likely to be ongoing in many HAE patients. </w:t>
      </w:r>
      <w:r w:rsidR="009A79A4" w:rsidRPr="0015004F">
        <w:rPr>
          <w:rFonts w:eastAsia="Calibri"/>
        </w:rPr>
        <w:t xml:space="preserve">The PSCR presented an additional data cut </w:t>
      </w:r>
      <w:r w:rsidR="008A6CFC" w:rsidRPr="0015004F">
        <w:rPr>
          <w:rFonts w:eastAsia="Calibri"/>
        </w:rPr>
        <w:t xml:space="preserve">from VANGUARD </w:t>
      </w:r>
      <w:r w:rsidR="009A79A4" w:rsidRPr="0015004F">
        <w:rPr>
          <w:rFonts w:eastAsia="Calibri"/>
        </w:rPr>
        <w:t xml:space="preserve">as at June 2023 </w:t>
      </w:r>
      <w:r w:rsidR="0063118E" w:rsidRPr="0015004F">
        <w:rPr>
          <w:rFonts w:eastAsia="Calibri"/>
        </w:rPr>
        <w:t>that</w:t>
      </w:r>
      <w:r w:rsidR="008A6CFC" w:rsidRPr="0015004F">
        <w:rPr>
          <w:rFonts w:eastAsia="Calibri"/>
        </w:rPr>
        <w:t xml:space="preserve"> </w:t>
      </w:r>
      <w:r w:rsidR="0063118E" w:rsidRPr="0015004F">
        <w:rPr>
          <w:rFonts w:eastAsia="Calibri"/>
        </w:rPr>
        <w:t>indicat</w:t>
      </w:r>
      <w:r w:rsidR="008A6CFC" w:rsidRPr="0015004F">
        <w:rPr>
          <w:rFonts w:eastAsia="Calibri"/>
        </w:rPr>
        <w:t>ed</w:t>
      </w:r>
      <w:r w:rsidR="0063118E" w:rsidRPr="0015004F">
        <w:rPr>
          <w:rFonts w:eastAsia="Calibri"/>
        </w:rPr>
        <w:t xml:space="preserve"> </w:t>
      </w:r>
      <w:r w:rsidR="008A6CFC" w:rsidRPr="0015004F">
        <w:rPr>
          <w:rFonts w:eastAsia="Calibri"/>
        </w:rPr>
        <w:t xml:space="preserve">a </w:t>
      </w:r>
      <w:r w:rsidR="0063118E" w:rsidRPr="0015004F">
        <w:rPr>
          <w:rFonts w:eastAsia="Calibri"/>
        </w:rPr>
        <w:t>continued treatment effect out to a median treatment duration of 1.6 years</w:t>
      </w:r>
      <w:r w:rsidR="008A6CFC" w:rsidRPr="0015004F">
        <w:rPr>
          <w:rFonts w:eastAsia="Calibri"/>
        </w:rPr>
        <w:t xml:space="preserve"> (to support the long-term efficacy of garadacimab). </w:t>
      </w:r>
      <w:r w:rsidR="003673EB" w:rsidRPr="0015004F">
        <w:rPr>
          <w:rFonts w:eastAsia="Calibri"/>
        </w:rPr>
        <w:t xml:space="preserve">The ESC </w:t>
      </w:r>
      <w:r w:rsidR="0063118E" w:rsidRPr="0015004F">
        <w:rPr>
          <w:rFonts w:eastAsia="Calibri"/>
        </w:rPr>
        <w:t>considered</w:t>
      </w:r>
      <w:r w:rsidR="003673EB" w:rsidRPr="0015004F">
        <w:rPr>
          <w:rFonts w:eastAsia="Calibri"/>
        </w:rPr>
        <w:t xml:space="preserve"> the claim of</w:t>
      </w:r>
      <w:r w:rsidR="0063118E" w:rsidRPr="0015004F">
        <w:rPr>
          <w:rFonts w:eastAsia="Calibri"/>
        </w:rPr>
        <w:t xml:space="preserve"> non-inferior comparative safety of</w:t>
      </w:r>
      <w:r w:rsidR="003673EB" w:rsidRPr="0015004F">
        <w:rPr>
          <w:rFonts w:eastAsia="Calibri"/>
        </w:rPr>
        <w:t xml:space="preserve"> garadacimab </w:t>
      </w:r>
      <w:r w:rsidR="0063118E" w:rsidRPr="0015004F">
        <w:rPr>
          <w:rFonts w:eastAsia="Calibri"/>
        </w:rPr>
        <w:t xml:space="preserve">and </w:t>
      </w:r>
      <w:r w:rsidR="003673EB" w:rsidRPr="0015004F">
        <w:rPr>
          <w:rFonts w:eastAsia="Calibri"/>
        </w:rPr>
        <w:t xml:space="preserve">lanadelumab was likely supported with the available evidence, noting the </w:t>
      </w:r>
      <w:r w:rsidR="008606AE" w:rsidRPr="0015004F">
        <w:rPr>
          <w:rFonts w:eastAsia="Calibri"/>
        </w:rPr>
        <w:t xml:space="preserve">uncertainties due to </w:t>
      </w:r>
      <w:r w:rsidR="003673EB" w:rsidRPr="0015004F">
        <w:rPr>
          <w:rFonts w:eastAsia="Calibri"/>
        </w:rPr>
        <w:t xml:space="preserve">small patient numbers and </w:t>
      </w:r>
      <w:r w:rsidR="008A6CFC" w:rsidRPr="0015004F">
        <w:rPr>
          <w:rFonts w:eastAsia="Calibri"/>
        </w:rPr>
        <w:t xml:space="preserve">the </w:t>
      </w:r>
      <w:r w:rsidR="003673EB" w:rsidRPr="0015004F">
        <w:rPr>
          <w:rFonts w:eastAsia="Calibri"/>
        </w:rPr>
        <w:t>lack of long</w:t>
      </w:r>
      <w:r w:rsidR="00806095" w:rsidRPr="0015004F">
        <w:rPr>
          <w:rFonts w:eastAsia="Calibri"/>
        </w:rPr>
        <w:t>-t</w:t>
      </w:r>
      <w:r w:rsidR="003673EB" w:rsidRPr="0015004F">
        <w:rPr>
          <w:rFonts w:eastAsia="Calibri"/>
        </w:rPr>
        <w:t xml:space="preserve">erm follow-up data. </w:t>
      </w:r>
    </w:p>
    <w:p w14:paraId="00EBE391" w14:textId="7101A30A" w:rsidR="00DB2063" w:rsidRPr="00BD4DB3" w:rsidRDefault="00DB2063" w:rsidP="00DB2063">
      <w:pPr>
        <w:widowControl w:val="0"/>
        <w:numPr>
          <w:ilvl w:val="1"/>
          <w:numId w:val="1"/>
        </w:numPr>
        <w:spacing w:after="120"/>
        <w:rPr>
          <w:rFonts w:asciiTheme="minorHAnsi" w:hAnsiTheme="minorHAnsi"/>
          <w:iCs/>
          <w:snapToGrid w:val="0"/>
          <w:szCs w:val="20"/>
        </w:rPr>
      </w:pPr>
      <w:r w:rsidRPr="00BD4DB3">
        <w:rPr>
          <w:rFonts w:asciiTheme="minorHAnsi" w:hAnsiTheme="minorHAnsi"/>
          <w:iCs/>
          <w:snapToGrid w:val="0"/>
        </w:rPr>
        <w:t>The</w:t>
      </w:r>
      <w:r w:rsidRPr="00BD4DB3">
        <w:rPr>
          <w:rFonts w:asciiTheme="minorHAnsi" w:hAnsiTheme="minorHAnsi"/>
          <w:iCs/>
          <w:snapToGrid w:val="0"/>
          <w:szCs w:val="20"/>
        </w:rPr>
        <w:t xml:space="preserve"> PBAC considered that the claim of non-inferior comparative effectiveness </w:t>
      </w:r>
      <w:r w:rsidR="00625B0D">
        <w:rPr>
          <w:rFonts w:asciiTheme="minorHAnsi" w:hAnsiTheme="minorHAnsi"/>
          <w:iCs/>
          <w:snapToGrid w:val="0"/>
          <w:szCs w:val="20"/>
        </w:rPr>
        <w:t xml:space="preserve">and safety </w:t>
      </w:r>
      <w:r w:rsidRPr="00BD4DB3">
        <w:rPr>
          <w:rFonts w:asciiTheme="minorHAnsi" w:hAnsiTheme="minorHAnsi"/>
          <w:iCs/>
          <w:snapToGrid w:val="0"/>
          <w:szCs w:val="20"/>
        </w:rPr>
        <w:t xml:space="preserve">was </w:t>
      </w:r>
      <w:r w:rsidR="00124AC4" w:rsidRPr="00CE42B4">
        <w:rPr>
          <w:rFonts w:asciiTheme="minorHAnsi" w:hAnsiTheme="minorHAnsi"/>
          <w:snapToGrid w:val="0"/>
          <w:szCs w:val="20"/>
        </w:rPr>
        <w:t>adequately supported by the data</w:t>
      </w:r>
      <w:r w:rsidRPr="00BD4DB3">
        <w:rPr>
          <w:rFonts w:asciiTheme="minorHAnsi" w:hAnsiTheme="minorHAnsi"/>
          <w:iCs/>
          <w:snapToGrid w:val="0"/>
          <w:szCs w:val="20"/>
        </w:rPr>
        <w:t>.</w:t>
      </w:r>
    </w:p>
    <w:p w14:paraId="74A1172E" w14:textId="128C170E" w:rsidR="00B60939" w:rsidRPr="0015004F" w:rsidRDefault="00B60939" w:rsidP="00E9094A">
      <w:pPr>
        <w:pStyle w:val="4-SubsectionHeading"/>
        <w:rPr>
          <w:i w:val="0"/>
        </w:rPr>
      </w:pPr>
      <w:bookmarkStart w:id="45" w:name="_Toc177480629"/>
      <w:r w:rsidRPr="0015004F">
        <w:rPr>
          <w:i w:val="0"/>
        </w:rPr>
        <w:t>Economic analysis</w:t>
      </w:r>
      <w:bookmarkEnd w:id="41"/>
      <w:bookmarkEnd w:id="45"/>
      <w:r w:rsidR="00491B3A" w:rsidRPr="0015004F">
        <w:rPr>
          <w:i w:val="0"/>
        </w:rPr>
        <w:t xml:space="preserve"> </w:t>
      </w:r>
    </w:p>
    <w:p w14:paraId="49190329" w14:textId="6AB802CA" w:rsidR="00092482" w:rsidRPr="0015004F" w:rsidRDefault="00092482" w:rsidP="00540E93">
      <w:pPr>
        <w:pStyle w:val="3-BodyText"/>
      </w:pPr>
      <w:bookmarkStart w:id="46" w:name="_Toc22897648"/>
      <w:r w:rsidRPr="0015004F">
        <w:t xml:space="preserve">The submission presented a CMA to support the listing of garadacimab for the prevention of HAE attacks. The key components and assumptions of the approach are presented in </w:t>
      </w:r>
      <w:r w:rsidRPr="0015004F">
        <w:fldChar w:fldCharType="begin" w:fldLock="1"/>
      </w:r>
      <w:r w:rsidRPr="0015004F">
        <w:instrText xml:space="preserve"> REF _Ref175929427 \h </w:instrText>
      </w:r>
      <w:r w:rsidR="00324372" w:rsidRPr="0015004F">
        <w:instrText xml:space="preserve"> \* MERGEFORMAT </w:instrText>
      </w:r>
      <w:r w:rsidRPr="0015004F">
        <w:fldChar w:fldCharType="separate"/>
      </w:r>
      <w:r w:rsidR="00106090" w:rsidRPr="0015004F">
        <w:t xml:space="preserve">Table </w:t>
      </w:r>
      <w:r w:rsidR="00106090">
        <w:rPr>
          <w:noProof/>
        </w:rPr>
        <w:t>10</w:t>
      </w:r>
      <w:r w:rsidRPr="0015004F">
        <w:fldChar w:fldCharType="end"/>
      </w:r>
      <w:r w:rsidRPr="0015004F">
        <w:t>.</w:t>
      </w:r>
    </w:p>
    <w:p w14:paraId="5F9B1296" w14:textId="14017569" w:rsidR="00092482" w:rsidRPr="0015004F" w:rsidRDefault="00092482" w:rsidP="00092482">
      <w:pPr>
        <w:pStyle w:val="TableFigureHeading"/>
      </w:pPr>
      <w:bookmarkStart w:id="47" w:name="_Ref175929427"/>
      <w:r w:rsidRPr="0015004F">
        <w:t xml:space="preserve">Table </w:t>
      </w:r>
      <w:r w:rsidR="00106090">
        <w:fldChar w:fldCharType="begin" w:fldLock="1"/>
      </w:r>
      <w:r w:rsidR="00106090">
        <w:instrText xml:space="preserve"> SEQ Table \* ARABIC </w:instrText>
      </w:r>
      <w:r w:rsidR="00106090">
        <w:fldChar w:fldCharType="separate"/>
      </w:r>
      <w:r w:rsidR="00106090">
        <w:rPr>
          <w:noProof/>
        </w:rPr>
        <w:t>10</w:t>
      </w:r>
      <w:r w:rsidR="00106090">
        <w:rPr>
          <w:noProof/>
        </w:rPr>
        <w:fldChar w:fldCharType="end"/>
      </w:r>
      <w:bookmarkEnd w:id="47"/>
      <w:r w:rsidRPr="0015004F">
        <w:t xml:space="preserve">: </w:t>
      </w:r>
      <w:r w:rsidRPr="0015004F">
        <w:rPr>
          <w:rStyle w:val="CommentReference"/>
          <w:b/>
          <w:szCs w:val="24"/>
        </w:rPr>
        <w:t>Key components and assumptions of the cost-minimisation approach</w:t>
      </w:r>
      <w:r w:rsidR="00124AC4">
        <w:rPr>
          <w:rStyle w:val="CommentReference"/>
          <w:b/>
          <w:szCs w:val="24"/>
        </w:rPr>
        <w:t xml:space="preserve">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7195"/>
      </w:tblGrid>
      <w:tr w:rsidR="00092482" w:rsidRPr="0015004F" w14:paraId="0C9E5FC2" w14:textId="77777777" w:rsidTr="00C0747E">
        <w:tc>
          <w:tcPr>
            <w:tcW w:w="1838" w:type="dxa"/>
            <w:vAlign w:val="center"/>
          </w:tcPr>
          <w:p w14:paraId="5B24E466" w14:textId="77777777" w:rsidR="00092482" w:rsidRPr="0015004F" w:rsidRDefault="00092482" w:rsidP="00442AE8">
            <w:pPr>
              <w:pStyle w:val="In-tableHeading"/>
              <w:rPr>
                <w:iCs w:val="0"/>
              </w:rPr>
            </w:pPr>
            <w:r w:rsidRPr="0015004F">
              <w:rPr>
                <w:iCs w:val="0"/>
              </w:rPr>
              <w:t>Component</w:t>
            </w:r>
          </w:p>
        </w:tc>
        <w:tc>
          <w:tcPr>
            <w:tcW w:w="7342" w:type="dxa"/>
            <w:vAlign w:val="center"/>
          </w:tcPr>
          <w:p w14:paraId="315B0A14" w14:textId="77777777" w:rsidR="00092482" w:rsidRPr="0015004F" w:rsidRDefault="00092482" w:rsidP="00442AE8">
            <w:pPr>
              <w:pStyle w:val="In-tableHeading"/>
              <w:rPr>
                <w:iCs w:val="0"/>
              </w:rPr>
            </w:pPr>
            <w:r w:rsidRPr="0015004F">
              <w:rPr>
                <w:iCs w:val="0"/>
              </w:rPr>
              <w:t>Claim or assumption</w:t>
            </w:r>
          </w:p>
        </w:tc>
      </w:tr>
      <w:tr w:rsidR="00092482" w:rsidRPr="0015004F" w14:paraId="6CE5611E" w14:textId="77777777" w:rsidTr="00C0747E">
        <w:tc>
          <w:tcPr>
            <w:tcW w:w="1838" w:type="dxa"/>
            <w:vAlign w:val="center"/>
          </w:tcPr>
          <w:p w14:paraId="32CC5BAF" w14:textId="77777777" w:rsidR="00092482" w:rsidRPr="0015004F" w:rsidRDefault="00092482" w:rsidP="00C0747E">
            <w:pPr>
              <w:pStyle w:val="TableText0"/>
              <w:keepNext/>
            </w:pPr>
            <w:r w:rsidRPr="0015004F">
              <w:rPr>
                <w:rFonts w:eastAsia="Arial Narrow" w:cs="Arial Narrow"/>
              </w:rPr>
              <w:t>Therapeutic claim: effectiveness</w:t>
            </w:r>
          </w:p>
        </w:tc>
        <w:tc>
          <w:tcPr>
            <w:tcW w:w="7342" w:type="dxa"/>
            <w:vAlign w:val="center"/>
          </w:tcPr>
          <w:p w14:paraId="64E629FB" w14:textId="1A26591D" w:rsidR="00092482" w:rsidRPr="0015004F" w:rsidRDefault="00092482" w:rsidP="00C0747E">
            <w:pPr>
              <w:pStyle w:val="TableText0"/>
              <w:keepNext/>
            </w:pPr>
            <w:r w:rsidRPr="0015004F">
              <w:rPr>
                <w:rFonts w:eastAsia="Arial Narrow" w:cs="Arial Narrow"/>
              </w:rPr>
              <w:t xml:space="preserve">Based on evidence presented, effectiveness is assumed to be non-inferior. </w:t>
            </w:r>
          </w:p>
        </w:tc>
      </w:tr>
      <w:tr w:rsidR="00092482" w:rsidRPr="0015004F" w14:paraId="27C9C540" w14:textId="77777777" w:rsidTr="00C0747E">
        <w:tc>
          <w:tcPr>
            <w:tcW w:w="1838" w:type="dxa"/>
            <w:vAlign w:val="center"/>
          </w:tcPr>
          <w:p w14:paraId="36CB9B0F" w14:textId="77777777" w:rsidR="00092482" w:rsidRPr="0015004F" w:rsidRDefault="00092482" w:rsidP="00C0747E">
            <w:pPr>
              <w:pStyle w:val="TableText0"/>
              <w:keepNext/>
            </w:pPr>
            <w:r w:rsidRPr="0015004F">
              <w:rPr>
                <w:rFonts w:eastAsia="Arial Narrow" w:cs="Arial Narrow"/>
              </w:rPr>
              <w:t>Therapeutic claim: safety</w:t>
            </w:r>
          </w:p>
        </w:tc>
        <w:tc>
          <w:tcPr>
            <w:tcW w:w="7342" w:type="dxa"/>
            <w:vAlign w:val="center"/>
          </w:tcPr>
          <w:p w14:paraId="3C085C4D" w14:textId="02CDE93E" w:rsidR="00092482" w:rsidRPr="0015004F" w:rsidRDefault="00092482" w:rsidP="00C0747E">
            <w:pPr>
              <w:pStyle w:val="TableText0"/>
              <w:keepNext/>
              <w:rPr>
                <w:rFonts w:eastAsia="Arial Narrow" w:cs="Arial Narrow"/>
              </w:rPr>
            </w:pPr>
            <w:r w:rsidRPr="0015004F">
              <w:rPr>
                <w:rFonts w:eastAsia="Arial Narrow" w:cs="Arial Narrow"/>
              </w:rPr>
              <w:t xml:space="preserve">Based on evidence presented, safety is assumed to be non-inferior. </w:t>
            </w:r>
          </w:p>
        </w:tc>
      </w:tr>
      <w:tr w:rsidR="00092482" w:rsidRPr="0015004F" w14:paraId="7EE09E12" w14:textId="77777777" w:rsidTr="00C0747E">
        <w:tc>
          <w:tcPr>
            <w:tcW w:w="1838" w:type="dxa"/>
            <w:vAlign w:val="center"/>
          </w:tcPr>
          <w:p w14:paraId="02A0E279" w14:textId="77777777" w:rsidR="00092482" w:rsidRPr="0015004F" w:rsidRDefault="00092482" w:rsidP="00C0747E">
            <w:pPr>
              <w:pStyle w:val="TableText0"/>
              <w:keepNext/>
            </w:pPr>
            <w:r w:rsidRPr="0015004F">
              <w:rPr>
                <w:rFonts w:eastAsia="Arial Narrow" w:cs="Arial Narrow"/>
              </w:rPr>
              <w:t>Evidence base</w:t>
            </w:r>
          </w:p>
        </w:tc>
        <w:tc>
          <w:tcPr>
            <w:tcW w:w="7342" w:type="dxa"/>
            <w:vAlign w:val="center"/>
          </w:tcPr>
          <w:p w14:paraId="711CF49A" w14:textId="77777777" w:rsidR="00092482" w:rsidRPr="0015004F" w:rsidRDefault="00092482" w:rsidP="00C0747E">
            <w:pPr>
              <w:pStyle w:val="TableText0"/>
              <w:keepNext/>
            </w:pPr>
            <w:r w:rsidRPr="0015004F">
              <w:rPr>
                <w:rFonts w:eastAsia="Arial Narrow" w:cs="Arial Narrow"/>
              </w:rPr>
              <w:t>Indirect comparison of garadacimab (VANGUARD) and lanadelumab (HELP)</w:t>
            </w:r>
          </w:p>
        </w:tc>
      </w:tr>
      <w:tr w:rsidR="00092482" w:rsidRPr="0015004F" w14:paraId="32775A16" w14:textId="77777777" w:rsidTr="00C0747E">
        <w:tc>
          <w:tcPr>
            <w:tcW w:w="1838" w:type="dxa"/>
            <w:vAlign w:val="center"/>
          </w:tcPr>
          <w:p w14:paraId="0A1D1F7D" w14:textId="77777777" w:rsidR="00092482" w:rsidRPr="0015004F" w:rsidRDefault="00092482" w:rsidP="00C0747E">
            <w:pPr>
              <w:pStyle w:val="TableText0"/>
              <w:keepNext/>
            </w:pPr>
            <w:r w:rsidRPr="0015004F">
              <w:rPr>
                <w:rFonts w:eastAsia="Arial Narrow" w:cs="Arial Narrow"/>
              </w:rPr>
              <w:t>Equi-effective doses</w:t>
            </w:r>
          </w:p>
        </w:tc>
        <w:tc>
          <w:tcPr>
            <w:tcW w:w="7342" w:type="dxa"/>
            <w:vAlign w:val="center"/>
          </w:tcPr>
          <w:p w14:paraId="1A4DB722" w14:textId="321E751D" w:rsidR="00092482" w:rsidRPr="0015004F" w:rsidRDefault="00092482" w:rsidP="00C0747E">
            <w:pPr>
              <w:pStyle w:val="TableText0"/>
              <w:keepNext/>
              <w:rPr>
                <w:b/>
                <w:bCs/>
              </w:rPr>
            </w:pPr>
            <w:r w:rsidRPr="0015004F">
              <w:rPr>
                <w:rFonts w:eastAsia="Arial Narrow" w:cs="Arial Narrow"/>
              </w:rPr>
              <w:t xml:space="preserve">Equi-effective dose in stabilised patients over a </w:t>
            </w:r>
            <w:r w:rsidR="004E4F38" w:rsidRPr="0015004F">
              <w:rPr>
                <w:rFonts w:eastAsia="Arial Narrow" w:cs="Arial Narrow"/>
              </w:rPr>
              <w:t>1-year</w:t>
            </w:r>
            <w:r w:rsidRPr="0015004F">
              <w:rPr>
                <w:rFonts w:eastAsia="Arial Narrow" w:cs="Arial Narrow"/>
              </w:rPr>
              <w:t xml:space="preserve"> period: 12 doses of 200 mg garadacimab to 20 doses of 300 mg lanadelumab. Th</w:t>
            </w:r>
            <w:r w:rsidR="00540E93" w:rsidRPr="0015004F">
              <w:rPr>
                <w:rFonts w:eastAsia="Arial Narrow" w:cs="Arial Narrow"/>
              </w:rPr>
              <w:t>e evaluation and the ESC considered th</w:t>
            </w:r>
            <w:r w:rsidRPr="0015004F">
              <w:rPr>
                <w:rFonts w:eastAsia="Arial Narrow" w:cs="Arial Narrow"/>
              </w:rPr>
              <w:t>is was not reasonable, as it excluded the loading dose. Further, as lanadelumab was only considered cost-effective at Q4W dosing, with an RSA to mitigate the risk of more frequent dosing (para 7.7, lanadelumab PSD, July 2021 PBAC meeting), it may be appropriate to cap the cost of lanadelumab to that based on Q4W dosing.</w:t>
            </w:r>
          </w:p>
        </w:tc>
      </w:tr>
      <w:tr w:rsidR="00092482" w:rsidRPr="0015004F" w14:paraId="222FC1DB" w14:textId="77777777" w:rsidTr="00C0747E">
        <w:tc>
          <w:tcPr>
            <w:tcW w:w="1838" w:type="dxa"/>
            <w:vAlign w:val="center"/>
          </w:tcPr>
          <w:p w14:paraId="27C7C374" w14:textId="77777777" w:rsidR="00092482" w:rsidRPr="0015004F" w:rsidRDefault="00092482" w:rsidP="00C0747E">
            <w:pPr>
              <w:pStyle w:val="TableText0"/>
              <w:keepNext/>
            </w:pPr>
            <w:r w:rsidRPr="0015004F">
              <w:rPr>
                <w:rFonts w:eastAsia="Arial Narrow" w:cs="Arial Narrow"/>
              </w:rPr>
              <w:t>Direct medicine costs</w:t>
            </w:r>
          </w:p>
        </w:tc>
        <w:tc>
          <w:tcPr>
            <w:tcW w:w="7342" w:type="dxa"/>
            <w:vAlign w:val="center"/>
          </w:tcPr>
          <w:p w14:paraId="35A1FB3A" w14:textId="520FF75E" w:rsidR="00092482" w:rsidRPr="0015004F" w:rsidRDefault="00092482" w:rsidP="00C0747E">
            <w:pPr>
              <w:pStyle w:val="TableText0"/>
              <w:keepNext/>
            </w:pPr>
            <w:r w:rsidRPr="0015004F">
              <w:rPr>
                <w:rFonts w:eastAsia="Arial Narrow" w:cs="Arial Narrow"/>
              </w:rPr>
              <w:t xml:space="preserve">The cost of garadacimab is higher per patient per year than lanadelumab, to account for a reduction in </w:t>
            </w:r>
            <w:r w:rsidR="007D53FF" w:rsidRPr="0015004F">
              <w:rPr>
                <w:rFonts w:eastAsia="Arial Narrow" w:cs="Arial Narrow"/>
              </w:rPr>
              <w:t xml:space="preserve">specialist </w:t>
            </w:r>
            <w:r w:rsidRPr="0015004F">
              <w:rPr>
                <w:rFonts w:eastAsia="Arial Narrow" w:cs="Arial Narrow"/>
              </w:rPr>
              <w:t xml:space="preserve">attendances, described below. </w:t>
            </w:r>
          </w:p>
        </w:tc>
      </w:tr>
      <w:tr w:rsidR="00092482" w:rsidRPr="0015004F" w14:paraId="0551020A" w14:textId="77777777" w:rsidTr="00C0747E">
        <w:tc>
          <w:tcPr>
            <w:tcW w:w="1838" w:type="dxa"/>
            <w:vAlign w:val="center"/>
          </w:tcPr>
          <w:p w14:paraId="1D2CA39C" w14:textId="77777777" w:rsidR="00092482" w:rsidRPr="0015004F" w:rsidRDefault="00092482" w:rsidP="00C0747E">
            <w:pPr>
              <w:pStyle w:val="TableText0"/>
              <w:keepNext/>
            </w:pPr>
            <w:r w:rsidRPr="0015004F">
              <w:rPr>
                <w:rFonts w:eastAsia="Arial Narrow" w:cs="Arial Narrow"/>
              </w:rPr>
              <w:t>Other costs or cost offsets</w:t>
            </w:r>
          </w:p>
        </w:tc>
        <w:tc>
          <w:tcPr>
            <w:tcW w:w="7342" w:type="dxa"/>
            <w:vAlign w:val="center"/>
          </w:tcPr>
          <w:p w14:paraId="31EF68B1" w14:textId="6DF4EDE3" w:rsidR="00432AF8" w:rsidRPr="0015004F" w:rsidRDefault="00092482" w:rsidP="00432AF8">
            <w:pPr>
              <w:pStyle w:val="TableText0"/>
              <w:keepNext/>
              <w:rPr>
                <w:rFonts w:eastAsia="Arial Narrow" w:cs="Arial Narrow"/>
              </w:rPr>
            </w:pPr>
            <w:r w:rsidRPr="0015004F">
              <w:rPr>
                <w:rFonts w:eastAsia="Arial Narrow" w:cs="Arial Narrow"/>
              </w:rPr>
              <w:t xml:space="preserve">Consultant </w:t>
            </w:r>
            <w:r w:rsidR="007D53FF" w:rsidRPr="0015004F">
              <w:rPr>
                <w:rFonts w:eastAsia="Arial Narrow" w:cs="Arial Narrow"/>
              </w:rPr>
              <w:t>specialist</w:t>
            </w:r>
            <w:r w:rsidRPr="0015004F">
              <w:rPr>
                <w:rFonts w:eastAsia="Arial Narrow" w:cs="Arial Narrow"/>
              </w:rPr>
              <w:t xml:space="preserve"> attendances (to renew prescriptions) were assumed to reduce from 3.33 per year to 2 per year with garadacimab treatment. </w:t>
            </w:r>
          </w:p>
          <w:p w14:paraId="4EFE1AA5" w14:textId="3EE352E1" w:rsidR="00092482" w:rsidRPr="0015004F" w:rsidRDefault="00092482" w:rsidP="00432AF8">
            <w:pPr>
              <w:pStyle w:val="TableText0"/>
              <w:keepNext/>
            </w:pPr>
            <w:r w:rsidRPr="0015004F">
              <w:rPr>
                <w:rFonts w:eastAsia="Arial Narrow" w:cs="Arial Narrow"/>
              </w:rPr>
              <w:t>No differences in administration or significant differences were observed in the incidence (or profile) of AEs, so exclusion of these costs was reasonable.</w:t>
            </w:r>
          </w:p>
        </w:tc>
      </w:tr>
    </w:tbl>
    <w:p w14:paraId="63F55C46" w14:textId="77777777" w:rsidR="00270F00" w:rsidRPr="0015004F" w:rsidRDefault="00FE015B" w:rsidP="00106C2B">
      <w:pPr>
        <w:pStyle w:val="TableFigureFooter"/>
      </w:pPr>
      <w:r w:rsidRPr="0015004F">
        <w:t>Source: Constructed during the evaluation from Section 3 of the submission.</w:t>
      </w:r>
    </w:p>
    <w:p w14:paraId="0FC7E1CC" w14:textId="2212A6BA" w:rsidR="00092482" w:rsidRPr="0015004F" w:rsidRDefault="00102624" w:rsidP="009B6299">
      <w:pPr>
        <w:pStyle w:val="TableFigureFooter"/>
        <w:spacing w:after="120"/>
      </w:pPr>
      <w:r w:rsidRPr="0015004F">
        <w:t xml:space="preserve">AE = adverse event; </w:t>
      </w:r>
      <w:r w:rsidR="00F660B4" w:rsidRPr="0015004F">
        <w:t xml:space="preserve">PSD = public summary document; </w:t>
      </w:r>
      <w:r w:rsidR="00092482" w:rsidRPr="0015004F">
        <w:t>Q4W = once every 4 weeks; RSA = risk sharing arrangement</w:t>
      </w:r>
    </w:p>
    <w:p w14:paraId="3C36EE5E" w14:textId="6A686FFF" w:rsidR="00092482" w:rsidRPr="0015004F" w:rsidRDefault="00092482" w:rsidP="00535A46">
      <w:pPr>
        <w:pStyle w:val="3-BodyText"/>
      </w:pPr>
      <w:bookmarkStart w:id="48" w:name="_Ref180070766"/>
      <w:r w:rsidRPr="0015004F">
        <w:t xml:space="preserve">The </w:t>
      </w:r>
      <w:r w:rsidR="00124AC4">
        <w:t xml:space="preserve">submission estimated the </w:t>
      </w:r>
      <w:r w:rsidRPr="0015004F">
        <w:t>equi-effective doses in ongoing, stable patients as 12</w:t>
      </w:r>
      <w:r w:rsidR="009B6299">
        <w:t> </w:t>
      </w:r>
      <w:r w:rsidRPr="0015004F">
        <w:t xml:space="preserve">doses of 200 mg garadacimab and 20 doses of 300 mg lanadelumab each year. </w:t>
      </w:r>
      <w:r w:rsidR="00806095" w:rsidRPr="0015004F">
        <w:t>T</w:t>
      </w:r>
      <w:r w:rsidRPr="0015004F">
        <w:t xml:space="preserve">his </w:t>
      </w:r>
      <w:r w:rsidR="00124AC4" w:rsidRPr="0015004F">
        <w:t>exclude</w:t>
      </w:r>
      <w:r w:rsidR="00124AC4">
        <w:t>d</w:t>
      </w:r>
      <w:r w:rsidR="00124AC4" w:rsidRPr="0015004F">
        <w:t xml:space="preserve"> </w:t>
      </w:r>
      <w:r w:rsidRPr="0015004F">
        <w:t xml:space="preserve">the loading dose of garadacimab. The </w:t>
      </w:r>
      <w:r w:rsidR="005E0A36" w:rsidRPr="0015004F">
        <w:t xml:space="preserve">evaluation </w:t>
      </w:r>
      <w:r w:rsidR="00432AF8" w:rsidRPr="0015004F">
        <w:t xml:space="preserve">and the ESC </w:t>
      </w:r>
      <w:r w:rsidR="005E0A36" w:rsidRPr="0015004F">
        <w:t xml:space="preserve">noted that the </w:t>
      </w:r>
      <w:r w:rsidRPr="0015004F">
        <w:t xml:space="preserve">PBAC </w:t>
      </w:r>
      <w:r w:rsidR="00BC3457" w:rsidRPr="0015004F">
        <w:t>ha</w:t>
      </w:r>
      <w:r w:rsidR="00BC3457">
        <w:t>d</w:t>
      </w:r>
      <w:r w:rsidR="00BC3457" w:rsidRPr="0015004F">
        <w:t xml:space="preserve"> </w:t>
      </w:r>
      <w:r w:rsidRPr="0015004F">
        <w:t>previously considered that</w:t>
      </w:r>
      <w:r w:rsidR="00124AC4">
        <w:t>,</w:t>
      </w:r>
      <w:r w:rsidRPr="0015004F">
        <w:t xml:space="preserve"> for drugs </w:t>
      </w:r>
      <w:r w:rsidR="00A60422">
        <w:t>that</w:t>
      </w:r>
      <w:r w:rsidRPr="0015004F">
        <w:t xml:space="preserve"> include a loading dose in </w:t>
      </w:r>
      <w:r w:rsidR="004E4F38" w:rsidRPr="0015004F">
        <w:t>Year 1</w:t>
      </w:r>
      <w:r w:rsidRPr="0015004F">
        <w:t xml:space="preserve">, the CMA should be conducted over a </w:t>
      </w:r>
      <w:r w:rsidR="004E4F38" w:rsidRPr="0015004F">
        <w:t>2</w:t>
      </w:r>
      <w:r w:rsidRPr="0015004F">
        <w:t xml:space="preserve">-year period from initiation of treatment (para </w:t>
      </w:r>
      <w:r w:rsidR="00723703" w:rsidRPr="0015004F">
        <w:t xml:space="preserve">6.65 and </w:t>
      </w:r>
      <w:r w:rsidRPr="0015004F">
        <w:t xml:space="preserve">7.15, ravulizumab PSD, July 2021 PBAC meeting). The exclusion of the loading dose </w:t>
      </w:r>
      <w:r w:rsidR="00BC3457" w:rsidRPr="0015004F">
        <w:t>favour</w:t>
      </w:r>
      <w:r w:rsidR="00BC3457">
        <w:t>ed</w:t>
      </w:r>
      <w:r w:rsidR="00BC3457" w:rsidRPr="0015004F">
        <w:t xml:space="preserve"> </w:t>
      </w:r>
      <w:r w:rsidRPr="0015004F">
        <w:t>garadacimab</w:t>
      </w:r>
      <w:r w:rsidR="3C269AF7" w:rsidRPr="0015004F">
        <w:t xml:space="preserve"> and </w:t>
      </w:r>
      <w:r w:rsidR="00806095" w:rsidRPr="0015004F">
        <w:t>the evaluation considered the loading dose</w:t>
      </w:r>
      <w:r w:rsidR="3C269AF7" w:rsidRPr="0015004F">
        <w:t xml:space="preserve"> should be included in the CMA</w:t>
      </w:r>
      <w:r w:rsidRPr="0015004F">
        <w:t>.</w:t>
      </w:r>
      <w:r w:rsidR="00806095" w:rsidRPr="0015004F">
        <w:t xml:space="preserve"> The PSCR maintained that it would be inappropriate to include the loading dose in a CMA over a two-year treatment period because this assumes </w:t>
      </w:r>
      <w:r w:rsidR="00806095" w:rsidRPr="0015004F">
        <w:lastRenderedPageBreak/>
        <w:t xml:space="preserve">that stable, ongoing garadacimab patients will take an additional loading dose of garadacimab every second year they are on treatment. However, the ESC </w:t>
      </w:r>
      <w:r w:rsidR="0048502E" w:rsidRPr="0015004F">
        <w:t xml:space="preserve">agreed with the evaluation that the CMA should include the garadacimab loading dose and should be calculated over 2 years, as per PBAC </w:t>
      </w:r>
      <w:r w:rsidR="000C3E19" w:rsidRPr="0015004F">
        <w:t>precedent</w:t>
      </w:r>
      <w:r w:rsidR="00E64AFA" w:rsidRPr="0015004F">
        <w:t xml:space="preserve"> for drugs that include a loading dose in Year 1</w:t>
      </w:r>
      <w:r w:rsidR="00723703" w:rsidRPr="0015004F">
        <w:t>, such as bDMARDs</w:t>
      </w:r>
      <w:r w:rsidR="0048502E" w:rsidRPr="0015004F">
        <w:t>.</w:t>
      </w:r>
      <w:bookmarkEnd w:id="48"/>
      <w:r w:rsidR="0048502E" w:rsidRPr="0015004F">
        <w:t xml:space="preserve"> </w:t>
      </w:r>
      <w:r w:rsidR="002529BA">
        <w:t xml:space="preserve">The </w:t>
      </w:r>
      <w:r w:rsidR="009D2FF9">
        <w:t>p</w:t>
      </w:r>
      <w:r w:rsidR="002529BA">
        <w:t xml:space="preserve">re-PBAC response </w:t>
      </w:r>
      <w:r w:rsidR="00F27574">
        <w:t>proposed that if the loading dose must be included, a 20-year treatment period would be preferable, as the loading dose is only once per lifetime; however</w:t>
      </w:r>
      <w:r w:rsidR="004139EF">
        <w:t>,</w:t>
      </w:r>
      <w:r w:rsidR="00F27574">
        <w:t xml:space="preserve"> the PBAC considered that </w:t>
      </w:r>
      <w:r w:rsidR="004139EF">
        <w:t>a</w:t>
      </w:r>
      <w:r w:rsidR="00F27574">
        <w:t xml:space="preserve"> 2-year </w:t>
      </w:r>
      <w:r w:rsidR="00A60422">
        <w:t>period</w:t>
      </w:r>
      <w:r w:rsidR="00F27574">
        <w:t xml:space="preserve"> including a loading dose </w:t>
      </w:r>
      <w:r w:rsidR="00BC3457">
        <w:t>was</w:t>
      </w:r>
      <w:r w:rsidR="00F27574">
        <w:t xml:space="preserve"> appropriate, consistent with the </w:t>
      </w:r>
      <w:r w:rsidR="009D2FF9">
        <w:t xml:space="preserve">approach taken for </w:t>
      </w:r>
      <w:r w:rsidR="00F27574">
        <w:t xml:space="preserve">ravulizumab </w:t>
      </w:r>
      <w:r w:rsidR="009D2FF9">
        <w:t>and bDMARDs</w:t>
      </w:r>
      <w:r w:rsidR="005808A9">
        <w:t>.</w:t>
      </w:r>
    </w:p>
    <w:p w14:paraId="22636E89" w14:textId="2C937917" w:rsidR="00092482" w:rsidRPr="0015004F" w:rsidRDefault="00092482" w:rsidP="00092482">
      <w:pPr>
        <w:pStyle w:val="3-BodyText"/>
      </w:pPr>
      <w:r w:rsidRPr="0015004F">
        <w:t xml:space="preserve">The dose of garadacimab in ongoing, stable patients (once per month), was consistent with the draft PI and with use in the VANGUARD trial, where all patients randomised to garadacimab received all doses over the </w:t>
      </w:r>
      <w:r w:rsidR="004E4F38" w:rsidRPr="0015004F">
        <w:t>6-month</w:t>
      </w:r>
      <w:r w:rsidRPr="0015004F">
        <w:t xml:space="preserve"> period, without dose adjustment. T</w:t>
      </w:r>
      <w:r w:rsidR="00602944" w:rsidRPr="0015004F">
        <w:t xml:space="preserve">he evaluation considered </w:t>
      </w:r>
      <w:r w:rsidR="00E07E6C">
        <w:t>th</w:t>
      </w:r>
      <w:r w:rsidR="004139EF">
        <w:t>at th</w:t>
      </w:r>
      <w:r w:rsidR="00E07E6C">
        <w:t xml:space="preserve">e assumption of </w:t>
      </w:r>
      <w:r w:rsidR="00A60422">
        <w:t>full</w:t>
      </w:r>
      <w:r w:rsidR="00E07E6C">
        <w:t xml:space="preserve"> compliance with no dose adjustments </w:t>
      </w:r>
      <w:r w:rsidRPr="0015004F">
        <w:t>may be reasonable, given that median compliance was 100% to the 200 mg garadacimab dose Q4W in the Phase 2 CSL312_2001 trial, over an average exposure time of 546.1 days.</w:t>
      </w:r>
    </w:p>
    <w:p w14:paraId="7F928D6C" w14:textId="77777777" w:rsidR="00A60422" w:rsidRDefault="00092482" w:rsidP="002529BA">
      <w:pPr>
        <w:pStyle w:val="3-BodyText"/>
      </w:pPr>
      <w:bookmarkStart w:id="49" w:name="_Ref177389072"/>
      <w:r w:rsidRPr="0015004F">
        <w:t xml:space="preserve">In </w:t>
      </w:r>
      <w:r w:rsidR="00432AF8" w:rsidRPr="0015004F">
        <w:t xml:space="preserve">the </w:t>
      </w:r>
      <w:r w:rsidRPr="0015004F">
        <w:t>lanadelumab HELP trial, patients were randomised to receive either 300 mg lanadelumab Q2W or Q4W, with no up- or down-titration observed. The submission estimated the equi-effective dose of lanadelumab from a clinician survey (eight clinicians, representing 140 HAE patients) of the distribution of doses in practice in adequately-controlled patients (Q2W</w:t>
      </w:r>
      <w:r w:rsidR="004944FB" w:rsidRPr="0015004F">
        <w:t xml:space="preserve"> [i.e. 26.1 doses per year]</w:t>
      </w:r>
      <w:r w:rsidRPr="0015004F">
        <w:t>: 44.4%</w:t>
      </w:r>
      <w:r w:rsidR="004944FB" w:rsidRPr="0015004F">
        <w:t>;</w:t>
      </w:r>
      <w:r w:rsidRPr="0015004F">
        <w:t xml:space="preserve"> every three weeks [Q3W]</w:t>
      </w:r>
      <w:r w:rsidR="004944FB" w:rsidRPr="0015004F">
        <w:t xml:space="preserve"> [17.4 doses per year]</w:t>
      </w:r>
      <w:r w:rsidRPr="0015004F">
        <w:t>: 9.3%; Q4W</w:t>
      </w:r>
      <w:r w:rsidR="004944FB" w:rsidRPr="0015004F">
        <w:t xml:space="preserve"> [13.0 doses per year]</w:t>
      </w:r>
      <w:r w:rsidRPr="0015004F">
        <w:t xml:space="preserve">: 46.3%). However, </w:t>
      </w:r>
      <w:r w:rsidR="00602944" w:rsidRPr="0015004F">
        <w:t xml:space="preserve">the evaluation considered that </w:t>
      </w:r>
      <w:r w:rsidRPr="0015004F">
        <w:t xml:space="preserve">given that garadacimab was claimed to be non-inferior to either the Q2W or Q4W dosing of lanadelumab, and given the difference in cost of the lanadelumab dosing regimens, it may be more appropriate for the CMA to be </w:t>
      </w:r>
      <w:r w:rsidR="739437E7" w:rsidRPr="0015004F">
        <w:t>based on</w:t>
      </w:r>
      <w:r w:rsidRPr="0015004F">
        <w:t xml:space="preserve"> the 300 mg Q4W dose of lanadelumab alone. T</w:t>
      </w:r>
      <w:r w:rsidR="00602944" w:rsidRPr="0015004F">
        <w:t>he evaluation noted that t</w:t>
      </w:r>
      <w:r w:rsidRPr="0015004F">
        <w:t xml:space="preserve">his approach would also be more consistent with the evidence presented to support the listing of lanadelumab, where lanadelumab was only considered cost-effective at the Q4W dosing, with a </w:t>
      </w:r>
      <w:r w:rsidR="007D5A04" w:rsidRPr="0015004F">
        <w:t>risk-sharing arrangement (RSA)</w:t>
      </w:r>
      <w:r w:rsidRPr="0015004F">
        <w:t xml:space="preserve"> to adequately mitigate the risk of expenditure exceeding the estimated financial impact based on Q4W dosing (para 7.7, lanadelumab PSD, July 2021 PBAC meeting).</w:t>
      </w:r>
      <w:bookmarkEnd w:id="49"/>
      <w:r w:rsidRPr="0015004F">
        <w:t xml:space="preserve"> </w:t>
      </w:r>
      <w:r w:rsidR="000C3E19" w:rsidRPr="0015004F">
        <w:t xml:space="preserve">The PSCR maintained that it would be more appropriate to use mixed dosing, to reflect ‘Australian clinical practice wherein 54% of lanadelumab patients are dosed more frequently than Q4W’, and that the </w:t>
      </w:r>
      <w:r w:rsidR="006A7EE4" w:rsidRPr="0015004F">
        <w:t>‘PBS would still pay double the annual lanadelumab treatment cost for Q2W patients compared to Q4W patients, until the subsidy cap is breached’. However, t</w:t>
      </w:r>
      <w:r w:rsidR="000C3E19" w:rsidRPr="0015004F">
        <w:t>he ESC agreed with the evaluation that the CMA should compare garadacimab to lanadelumab Q4W,</w:t>
      </w:r>
      <w:r w:rsidR="00C34E10" w:rsidRPr="0015004F">
        <w:t xml:space="preserve"> as that reflects the basis upon which the PBAC recommended</w:t>
      </w:r>
      <w:r w:rsidR="00806095" w:rsidRPr="0015004F">
        <w:t xml:space="preserve"> that</w:t>
      </w:r>
      <w:r w:rsidR="00C34E10" w:rsidRPr="0015004F">
        <w:t xml:space="preserve"> lanadelumab would be cost effective (paragraph 7.5, lanadelumab PSD, March 2021 PBAC meeting)</w:t>
      </w:r>
      <w:r w:rsidR="00D706DE">
        <w:t xml:space="preserve">. </w:t>
      </w:r>
    </w:p>
    <w:p w14:paraId="39B86643" w14:textId="361CEAF8" w:rsidR="00627044" w:rsidRPr="00816580" w:rsidRDefault="00092482" w:rsidP="00816580">
      <w:pPr>
        <w:pStyle w:val="3-BodyText"/>
      </w:pPr>
      <w:bookmarkStart w:id="50" w:name="_Ref183517545"/>
      <w:bookmarkStart w:id="51" w:name="_Ref175922355"/>
      <w:bookmarkStart w:id="52" w:name="_Ref177388415"/>
      <w:r w:rsidRPr="0015004F">
        <w:t xml:space="preserve">As garadacimab was associated with fewer scripts per year, the submission assumed a reduction in </w:t>
      </w:r>
      <w:r w:rsidR="007D53FF" w:rsidRPr="0015004F">
        <w:t>specialist</w:t>
      </w:r>
      <w:r w:rsidRPr="0015004F">
        <w:t xml:space="preserve"> attendances to obtain original scripts. </w:t>
      </w:r>
      <w:r w:rsidR="00627044">
        <w:t>However, t</w:t>
      </w:r>
      <w:r w:rsidR="00602944" w:rsidRPr="0015004F">
        <w:t xml:space="preserve">he </w:t>
      </w:r>
      <w:r w:rsidR="005E20CF">
        <w:t>evaluation and the</w:t>
      </w:r>
      <w:r w:rsidR="00D706DE">
        <w:t xml:space="preserve"> ESC</w:t>
      </w:r>
      <w:r w:rsidR="00816580">
        <w:t xml:space="preserve"> </w:t>
      </w:r>
      <w:r w:rsidR="00602944" w:rsidRPr="0015004F">
        <w:t>considered that a</w:t>
      </w:r>
      <w:r w:rsidR="007D53FF" w:rsidRPr="0015004F">
        <w:t xml:space="preserve"> reduction in specialist attendances due to </w:t>
      </w:r>
      <w:r w:rsidR="007D53FF" w:rsidRPr="0015004F">
        <w:lastRenderedPageBreak/>
        <w:t>the introduction of garadacimab may not be realised as</w:t>
      </w:r>
      <w:r w:rsidR="000673BB" w:rsidRPr="0015004F">
        <w:t>: prescribers can request</w:t>
      </w:r>
      <w:r w:rsidR="007D53FF" w:rsidRPr="0015004F">
        <w:t xml:space="preserve"> an increase in the maximum quantity per script for patients receiving 300 mg lanadelumab Q2W (which would reduce the frequency of original scripts)</w:t>
      </w:r>
      <w:r w:rsidR="000673BB" w:rsidRPr="0015004F">
        <w:t>;</w:t>
      </w:r>
      <w:r w:rsidR="007D53FF" w:rsidRPr="0015004F">
        <w:t xml:space="preserve"> and continuing treatment may be prescribed in consultation with a specialist allergist or clinical immunologist.</w:t>
      </w:r>
      <w:bookmarkEnd w:id="50"/>
      <w:r w:rsidRPr="0015004F">
        <w:t xml:space="preserve"> </w:t>
      </w:r>
      <w:bookmarkEnd w:id="51"/>
      <w:bookmarkEnd w:id="52"/>
    </w:p>
    <w:p w14:paraId="4BBF9517" w14:textId="555D0B32" w:rsidR="00092482" w:rsidRPr="0015004F" w:rsidRDefault="00092482" w:rsidP="00806095">
      <w:pPr>
        <w:pStyle w:val="3-BodyText"/>
      </w:pPr>
      <w:r w:rsidRPr="0015004F">
        <w:t>The result</w:t>
      </w:r>
      <w:r w:rsidR="00432AF8" w:rsidRPr="0015004F">
        <w:t>s</w:t>
      </w:r>
      <w:r w:rsidRPr="0015004F">
        <w:t xml:space="preserve"> of the CMA presented in the submission </w:t>
      </w:r>
      <w:r w:rsidR="00432AF8" w:rsidRPr="0015004F">
        <w:t xml:space="preserve">are </w:t>
      </w:r>
      <w:r w:rsidRPr="0015004F">
        <w:t xml:space="preserve">summarised in </w:t>
      </w:r>
      <w:r w:rsidRPr="0015004F">
        <w:fldChar w:fldCharType="begin" w:fldLock="1"/>
      </w:r>
      <w:r w:rsidRPr="0015004F">
        <w:instrText xml:space="preserve"> REF _Ref175929437 \h </w:instrText>
      </w:r>
      <w:r w:rsidR="00324372" w:rsidRPr="0015004F">
        <w:instrText xml:space="preserve"> \* MERGEFORMAT </w:instrText>
      </w:r>
      <w:r w:rsidRPr="0015004F">
        <w:fldChar w:fldCharType="separate"/>
      </w:r>
      <w:r w:rsidR="00106090" w:rsidRPr="0015004F">
        <w:t xml:space="preserve">Table </w:t>
      </w:r>
      <w:r w:rsidR="00106090">
        <w:rPr>
          <w:noProof/>
        </w:rPr>
        <w:t>11</w:t>
      </w:r>
      <w:r w:rsidRPr="0015004F">
        <w:fldChar w:fldCharType="end"/>
      </w:r>
      <w:r w:rsidRPr="0015004F">
        <w:t xml:space="preserve">. </w:t>
      </w:r>
      <w:r w:rsidR="00602944" w:rsidRPr="0015004F">
        <w:t>The evaluation considered that g</w:t>
      </w:r>
      <w:r w:rsidRPr="0015004F">
        <w:t>iven that the submission ha</w:t>
      </w:r>
      <w:r w:rsidR="00816580">
        <w:t>d</w:t>
      </w:r>
      <w:r w:rsidRPr="0015004F">
        <w:t xml:space="preserve"> overestimated the use of lanadelumab (as this has not been capped at Q4W dosing) and underestimated the use of garadacimab by not including the loading dose, the cost-minimised price for garadacimab </w:t>
      </w:r>
      <w:r w:rsidR="00816580">
        <w:t>was</w:t>
      </w:r>
      <w:r w:rsidRPr="0015004F">
        <w:t xml:space="preserve"> overestimated</w:t>
      </w:r>
      <w:r w:rsidR="168E1B07" w:rsidRPr="0015004F">
        <w:t xml:space="preserve"> in the submission</w:t>
      </w:r>
      <w:r w:rsidRPr="0015004F">
        <w:t>.</w:t>
      </w:r>
    </w:p>
    <w:p w14:paraId="0FC77391" w14:textId="5EA09124" w:rsidR="00092482" w:rsidRPr="0015004F" w:rsidRDefault="00092482" w:rsidP="00092482">
      <w:pPr>
        <w:pStyle w:val="TableFigureHeading"/>
      </w:pPr>
      <w:bookmarkStart w:id="53" w:name="_Ref175929437"/>
      <w:r w:rsidRPr="0015004F">
        <w:t xml:space="preserve">Table </w:t>
      </w:r>
      <w:r w:rsidR="00106090">
        <w:fldChar w:fldCharType="begin" w:fldLock="1"/>
      </w:r>
      <w:r w:rsidR="00106090">
        <w:instrText xml:space="preserve"> SEQ Table \* ARABIC </w:instrText>
      </w:r>
      <w:r w:rsidR="00106090">
        <w:fldChar w:fldCharType="separate"/>
      </w:r>
      <w:r w:rsidR="00106090">
        <w:rPr>
          <w:noProof/>
        </w:rPr>
        <w:t>11</w:t>
      </w:r>
      <w:r w:rsidR="00106090">
        <w:rPr>
          <w:noProof/>
        </w:rPr>
        <w:fldChar w:fldCharType="end"/>
      </w:r>
      <w:bookmarkEnd w:id="53"/>
      <w:r w:rsidRPr="0015004F">
        <w:t xml:space="preserve">: </w:t>
      </w:r>
      <w:r w:rsidRPr="0015004F">
        <w:rPr>
          <w:rStyle w:val="CommentReference"/>
          <w:b/>
          <w:szCs w:val="24"/>
        </w:rPr>
        <w:t>Results of the cost-minimisation approach presented in the submission</w:t>
      </w:r>
      <w:r w:rsidR="0036282E" w:rsidRPr="0015004F">
        <w:rPr>
          <w:rStyle w:val="CommentReference"/>
          <w:b/>
          <w:szCs w:val="24"/>
        </w:rPr>
        <w:t xml:space="preserve"> (based on </w:t>
      </w:r>
      <w:r w:rsidR="005725F4" w:rsidRPr="0015004F">
        <w:rPr>
          <w:rStyle w:val="CommentReference"/>
          <w:b/>
          <w:szCs w:val="24"/>
        </w:rPr>
        <w:t xml:space="preserve">the </w:t>
      </w:r>
      <w:r w:rsidR="0036282E" w:rsidRPr="0015004F">
        <w:rPr>
          <w:rStyle w:val="CommentReference"/>
          <w:b/>
          <w:szCs w:val="24"/>
        </w:rPr>
        <w:t>published price</w:t>
      </w:r>
      <w:r w:rsidR="005725F4" w:rsidRPr="0015004F">
        <w:rPr>
          <w:rStyle w:val="CommentReference"/>
          <w:b/>
          <w:szCs w:val="24"/>
        </w:rPr>
        <w:t xml:space="preserve"> of lanadelumab</w:t>
      </w:r>
      <w:r w:rsidR="0036282E" w:rsidRPr="0015004F">
        <w:rPr>
          <w:rStyle w:val="CommentReference"/>
          <w:b/>
          <w:szCs w:val="24"/>
        </w:rPr>
        <w:t>)</w:t>
      </w:r>
    </w:p>
    <w:tbl>
      <w:tblPr>
        <w:tblStyle w:val="TableGrid"/>
        <w:tblW w:w="5000" w:type="pct"/>
        <w:tblLayout w:type="fixed"/>
        <w:tblLook w:val="04A0" w:firstRow="1" w:lastRow="0" w:firstColumn="1" w:lastColumn="0" w:noHBand="0" w:noVBand="1"/>
      </w:tblPr>
      <w:tblGrid>
        <w:gridCol w:w="376"/>
        <w:gridCol w:w="1889"/>
        <w:gridCol w:w="1277"/>
        <w:gridCol w:w="1277"/>
        <w:gridCol w:w="4198"/>
      </w:tblGrid>
      <w:tr w:rsidR="00092482" w:rsidRPr="0015004F" w14:paraId="367BBFAA" w14:textId="77777777" w:rsidTr="00C0747E">
        <w:tc>
          <w:tcPr>
            <w:tcW w:w="375" w:type="dxa"/>
          </w:tcPr>
          <w:p w14:paraId="71A93DD7" w14:textId="77777777" w:rsidR="00092482" w:rsidRPr="0015004F" w:rsidRDefault="00092482" w:rsidP="00442AE8">
            <w:pPr>
              <w:pStyle w:val="In-tableHeading"/>
              <w:rPr>
                <w:iCs w:val="0"/>
              </w:rPr>
            </w:pPr>
          </w:p>
        </w:tc>
        <w:tc>
          <w:tcPr>
            <w:tcW w:w="1888" w:type="dxa"/>
            <w:noWrap/>
            <w:hideMark/>
          </w:tcPr>
          <w:p w14:paraId="04B65BD8" w14:textId="77777777" w:rsidR="00092482" w:rsidRPr="0015004F" w:rsidRDefault="00092482" w:rsidP="00442AE8">
            <w:pPr>
              <w:pStyle w:val="In-tableHeading"/>
              <w:rPr>
                <w:iCs w:val="0"/>
              </w:rPr>
            </w:pPr>
            <w:r w:rsidRPr="0015004F">
              <w:rPr>
                <w:iCs w:val="0"/>
              </w:rPr>
              <w:t>Parameter</w:t>
            </w:r>
          </w:p>
        </w:tc>
        <w:tc>
          <w:tcPr>
            <w:tcW w:w="1276" w:type="dxa"/>
          </w:tcPr>
          <w:p w14:paraId="62EE0EF6" w14:textId="77777777" w:rsidR="00092482" w:rsidRPr="0015004F" w:rsidRDefault="00092482" w:rsidP="00442AE8">
            <w:pPr>
              <w:pStyle w:val="In-tableHeading"/>
              <w:rPr>
                <w:iCs w:val="0"/>
              </w:rPr>
            </w:pPr>
            <w:r w:rsidRPr="0015004F">
              <w:rPr>
                <w:iCs w:val="0"/>
              </w:rPr>
              <w:t>Lanadelumab</w:t>
            </w:r>
          </w:p>
        </w:tc>
        <w:tc>
          <w:tcPr>
            <w:tcW w:w="1276" w:type="dxa"/>
            <w:noWrap/>
          </w:tcPr>
          <w:p w14:paraId="61C0D49F" w14:textId="77777777" w:rsidR="00092482" w:rsidRPr="0015004F" w:rsidRDefault="00092482" w:rsidP="00442AE8">
            <w:pPr>
              <w:pStyle w:val="In-tableHeading"/>
              <w:rPr>
                <w:iCs w:val="0"/>
              </w:rPr>
            </w:pPr>
            <w:r w:rsidRPr="0015004F">
              <w:rPr>
                <w:iCs w:val="0"/>
              </w:rPr>
              <w:t>Garadacimab</w:t>
            </w:r>
          </w:p>
        </w:tc>
        <w:tc>
          <w:tcPr>
            <w:tcW w:w="4195" w:type="dxa"/>
          </w:tcPr>
          <w:p w14:paraId="3DA9CF1F" w14:textId="77777777" w:rsidR="00092482" w:rsidRPr="0015004F" w:rsidRDefault="00092482" w:rsidP="00442AE8">
            <w:pPr>
              <w:pStyle w:val="In-tableHeading"/>
              <w:rPr>
                <w:iCs w:val="0"/>
              </w:rPr>
            </w:pPr>
            <w:r w:rsidRPr="0015004F">
              <w:rPr>
                <w:iCs w:val="0"/>
              </w:rPr>
              <w:t>Source/calculation</w:t>
            </w:r>
          </w:p>
        </w:tc>
      </w:tr>
      <w:tr w:rsidR="00092482" w:rsidRPr="0015004F" w14:paraId="43CA68BE" w14:textId="77777777" w:rsidTr="00C0747E">
        <w:tc>
          <w:tcPr>
            <w:tcW w:w="375" w:type="dxa"/>
            <w:vAlign w:val="center"/>
          </w:tcPr>
          <w:p w14:paraId="4474A9B6" w14:textId="77777777" w:rsidR="00092482" w:rsidRPr="0015004F" w:rsidRDefault="00092482" w:rsidP="00C0747E">
            <w:pPr>
              <w:pStyle w:val="TableText0"/>
              <w:keepNext/>
              <w:rPr>
                <w:b/>
                <w:bCs/>
              </w:rPr>
            </w:pPr>
            <w:r w:rsidRPr="0015004F">
              <w:rPr>
                <w:rFonts w:eastAsia="Arial Narrow" w:cs="Arial Narrow"/>
                <w:b/>
                <w:bCs/>
              </w:rPr>
              <w:t>A</w:t>
            </w:r>
          </w:p>
        </w:tc>
        <w:tc>
          <w:tcPr>
            <w:tcW w:w="1888" w:type="dxa"/>
            <w:noWrap/>
            <w:vAlign w:val="center"/>
          </w:tcPr>
          <w:p w14:paraId="4A9F737F" w14:textId="77777777" w:rsidR="00092482" w:rsidRPr="0015004F" w:rsidRDefault="00092482" w:rsidP="00C0747E">
            <w:pPr>
              <w:pStyle w:val="TableText0"/>
              <w:keepNext/>
              <w:rPr>
                <w:b/>
                <w:bCs/>
              </w:rPr>
            </w:pPr>
            <w:r w:rsidRPr="0015004F">
              <w:rPr>
                <w:rFonts w:eastAsia="Arial Narrow" w:cs="Arial Narrow"/>
                <w:b/>
                <w:bCs/>
              </w:rPr>
              <w:t>Total annual cost of treatment</w:t>
            </w:r>
          </w:p>
        </w:tc>
        <w:tc>
          <w:tcPr>
            <w:tcW w:w="1276" w:type="dxa"/>
            <w:vAlign w:val="center"/>
          </w:tcPr>
          <w:p w14:paraId="621EBACF" w14:textId="77777777" w:rsidR="00092482" w:rsidRPr="0015004F" w:rsidRDefault="00092482" w:rsidP="00C0747E">
            <w:pPr>
              <w:pStyle w:val="TableText0"/>
              <w:keepNext/>
              <w:jc w:val="center"/>
              <w:rPr>
                <w:b/>
                <w:bCs/>
              </w:rPr>
            </w:pPr>
            <w:r w:rsidRPr="00595662">
              <w:rPr>
                <w:rFonts w:eastAsia="Arial Narrow" w:cs="Arial Narrow"/>
                <w:b/>
                <w:bCs/>
              </w:rPr>
              <w:t>$369,083.17</w:t>
            </w:r>
          </w:p>
        </w:tc>
        <w:tc>
          <w:tcPr>
            <w:tcW w:w="1276" w:type="dxa"/>
            <w:noWrap/>
            <w:vAlign w:val="center"/>
          </w:tcPr>
          <w:p w14:paraId="4FF171B6" w14:textId="77777777" w:rsidR="00092482" w:rsidRPr="0015004F" w:rsidRDefault="00092482" w:rsidP="00C0747E">
            <w:pPr>
              <w:pStyle w:val="TableText0"/>
              <w:keepNext/>
              <w:jc w:val="center"/>
              <w:rPr>
                <w:b/>
                <w:bCs/>
              </w:rPr>
            </w:pPr>
            <w:r w:rsidRPr="0015004F">
              <w:rPr>
                <w:rFonts w:eastAsia="Arial Narrow" w:cs="Arial Narrow"/>
                <w:b/>
                <w:bCs/>
              </w:rPr>
              <w:t>$369,083.17</w:t>
            </w:r>
          </w:p>
        </w:tc>
        <w:tc>
          <w:tcPr>
            <w:tcW w:w="4195" w:type="dxa"/>
            <w:vAlign w:val="center"/>
          </w:tcPr>
          <w:p w14:paraId="7CA43D23" w14:textId="77777777" w:rsidR="00092482" w:rsidRPr="0015004F" w:rsidRDefault="00092482" w:rsidP="00C0747E">
            <w:pPr>
              <w:pStyle w:val="TableText0"/>
              <w:keepNext/>
            </w:pPr>
            <w:r w:rsidRPr="0015004F">
              <w:rPr>
                <w:rFonts w:eastAsia="Arial Narrow" w:cs="Arial Narrow"/>
                <w:b/>
                <w:bCs/>
              </w:rPr>
              <w:t>Lanadelumab</w:t>
            </w:r>
            <w:r w:rsidRPr="0015004F">
              <w:rPr>
                <w:rFonts w:eastAsia="Arial Narrow" w:cs="Arial Narrow"/>
              </w:rPr>
              <w:t>: A = G + J</w:t>
            </w:r>
            <w:r w:rsidRPr="0015004F">
              <w:rPr>
                <w:rFonts w:eastAsia="Arial Narrow" w:cs="Arial Narrow"/>
              </w:rPr>
              <w:br/>
            </w:r>
            <w:r w:rsidRPr="0015004F">
              <w:rPr>
                <w:rFonts w:eastAsia="Arial Narrow" w:cs="Arial Narrow"/>
                <w:b/>
                <w:bCs/>
              </w:rPr>
              <w:t>Garadacimab</w:t>
            </w:r>
            <w:r w:rsidRPr="0015004F">
              <w:rPr>
                <w:rFonts w:eastAsia="Arial Narrow" w:cs="Arial Narrow"/>
              </w:rPr>
              <w:t>: A (total annual garadacimab treatment costs = A (total annual lanadelumab treatment costs)</w:t>
            </w:r>
          </w:p>
        </w:tc>
      </w:tr>
      <w:tr w:rsidR="00092482" w:rsidRPr="0015004F" w14:paraId="5ACDE5B5" w14:textId="77777777" w:rsidTr="00C0747E">
        <w:tc>
          <w:tcPr>
            <w:tcW w:w="375" w:type="dxa"/>
            <w:vAlign w:val="center"/>
          </w:tcPr>
          <w:p w14:paraId="472112C5" w14:textId="77777777" w:rsidR="00092482" w:rsidRPr="0015004F" w:rsidRDefault="00092482" w:rsidP="00C0747E">
            <w:pPr>
              <w:pStyle w:val="TableText0"/>
              <w:keepNext/>
              <w:rPr>
                <w:b/>
                <w:bCs/>
              </w:rPr>
            </w:pPr>
            <w:r w:rsidRPr="0015004F">
              <w:rPr>
                <w:rFonts w:eastAsia="Arial Narrow" w:cs="Arial Narrow"/>
                <w:b/>
                <w:bCs/>
              </w:rPr>
              <w:t>B</w:t>
            </w:r>
          </w:p>
        </w:tc>
        <w:tc>
          <w:tcPr>
            <w:tcW w:w="1888" w:type="dxa"/>
            <w:noWrap/>
            <w:vAlign w:val="center"/>
          </w:tcPr>
          <w:p w14:paraId="5AD9EFEC" w14:textId="77777777" w:rsidR="00092482" w:rsidRPr="0015004F" w:rsidRDefault="00092482" w:rsidP="00C0747E">
            <w:pPr>
              <w:pStyle w:val="TableText0"/>
              <w:keepNext/>
            </w:pPr>
            <w:r w:rsidRPr="0015004F">
              <w:rPr>
                <w:rFonts w:eastAsia="Arial Narrow" w:cs="Arial Narrow"/>
              </w:rPr>
              <w:t>Pack description</w:t>
            </w:r>
          </w:p>
        </w:tc>
        <w:tc>
          <w:tcPr>
            <w:tcW w:w="1276" w:type="dxa"/>
            <w:vAlign w:val="center"/>
          </w:tcPr>
          <w:p w14:paraId="75D62133" w14:textId="77777777" w:rsidR="00092482" w:rsidRPr="0015004F" w:rsidRDefault="00092482" w:rsidP="00C0747E">
            <w:pPr>
              <w:pStyle w:val="TableText0"/>
              <w:keepNext/>
              <w:jc w:val="center"/>
            </w:pPr>
            <w:r w:rsidRPr="0015004F">
              <w:rPr>
                <w:rFonts w:eastAsia="Arial Narrow" w:cs="Arial Narrow"/>
              </w:rPr>
              <w:t>300 mg in 2 mL</w:t>
            </w:r>
          </w:p>
        </w:tc>
        <w:tc>
          <w:tcPr>
            <w:tcW w:w="1276" w:type="dxa"/>
            <w:noWrap/>
            <w:vAlign w:val="center"/>
          </w:tcPr>
          <w:p w14:paraId="32C49405" w14:textId="77777777" w:rsidR="00092482" w:rsidRPr="0015004F" w:rsidRDefault="00092482" w:rsidP="00C0747E">
            <w:pPr>
              <w:pStyle w:val="TableText0"/>
              <w:keepNext/>
              <w:jc w:val="center"/>
            </w:pPr>
            <w:r w:rsidRPr="0015004F">
              <w:rPr>
                <w:rFonts w:eastAsia="Arial Narrow" w:cs="Arial Narrow"/>
              </w:rPr>
              <w:t>200 mg in 1.2 mL</w:t>
            </w:r>
          </w:p>
        </w:tc>
        <w:tc>
          <w:tcPr>
            <w:tcW w:w="4195" w:type="dxa"/>
            <w:vAlign w:val="center"/>
          </w:tcPr>
          <w:p w14:paraId="3A6F4C46" w14:textId="77777777" w:rsidR="00092482" w:rsidRPr="0015004F" w:rsidRDefault="00092482" w:rsidP="00C0747E">
            <w:pPr>
              <w:pStyle w:val="TableText0"/>
              <w:keepNext/>
            </w:pPr>
            <w:r w:rsidRPr="0015004F">
              <w:rPr>
                <w:rFonts w:eastAsia="Arial Narrow" w:cs="Arial Narrow"/>
                <w:b/>
                <w:bCs/>
              </w:rPr>
              <w:t>Lanadelumab</w:t>
            </w:r>
            <w:r w:rsidRPr="0015004F">
              <w:rPr>
                <w:rFonts w:eastAsia="Arial Narrow" w:cs="Arial Narrow"/>
              </w:rPr>
              <w:t>: Approved lanadelumab TGA PI &amp; lanadelumab PBS listing (PBS item code: 12790E)</w:t>
            </w:r>
            <w:r w:rsidRPr="0015004F">
              <w:rPr>
                <w:rFonts w:eastAsia="Arial Narrow" w:cs="Arial Narrow"/>
              </w:rPr>
              <w:br/>
            </w:r>
            <w:r w:rsidRPr="0015004F">
              <w:rPr>
                <w:rFonts w:eastAsia="Arial Narrow" w:cs="Arial Narrow"/>
                <w:b/>
                <w:bCs/>
              </w:rPr>
              <w:t>Garadacimab</w:t>
            </w:r>
            <w:r w:rsidRPr="0015004F">
              <w:rPr>
                <w:rFonts w:eastAsia="Arial Narrow" w:cs="Arial Narrow"/>
              </w:rPr>
              <w:t>: Proposed garadacimab TGA PI</w:t>
            </w:r>
          </w:p>
        </w:tc>
      </w:tr>
      <w:tr w:rsidR="00092482" w:rsidRPr="0015004F" w14:paraId="38CABDD8" w14:textId="77777777" w:rsidTr="00C0747E">
        <w:tc>
          <w:tcPr>
            <w:tcW w:w="375" w:type="dxa"/>
            <w:vAlign w:val="center"/>
          </w:tcPr>
          <w:p w14:paraId="27F22726" w14:textId="77777777" w:rsidR="00092482" w:rsidRPr="0015004F" w:rsidRDefault="00092482" w:rsidP="00C0747E">
            <w:pPr>
              <w:pStyle w:val="TableText0"/>
              <w:keepNext/>
              <w:rPr>
                <w:b/>
                <w:bCs/>
              </w:rPr>
            </w:pPr>
            <w:r w:rsidRPr="0015004F">
              <w:rPr>
                <w:rFonts w:eastAsia="Arial Narrow" w:cs="Arial Narrow"/>
                <w:b/>
                <w:bCs/>
              </w:rPr>
              <w:t>C</w:t>
            </w:r>
          </w:p>
        </w:tc>
        <w:tc>
          <w:tcPr>
            <w:tcW w:w="1888" w:type="dxa"/>
            <w:noWrap/>
            <w:vAlign w:val="center"/>
          </w:tcPr>
          <w:p w14:paraId="0FD4A0D8" w14:textId="77777777" w:rsidR="00092482" w:rsidRPr="0015004F" w:rsidRDefault="00092482" w:rsidP="00C0747E">
            <w:pPr>
              <w:pStyle w:val="TableText0"/>
              <w:keepNext/>
            </w:pPr>
            <w:r w:rsidRPr="0015004F">
              <w:rPr>
                <w:rFonts w:eastAsia="Arial Narrow" w:cs="Arial Narrow"/>
              </w:rPr>
              <w:t>Administrations per pack</w:t>
            </w:r>
          </w:p>
        </w:tc>
        <w:tc>
          <w:tcPr>
            <w:tcW w:w="1276" w:type="dxa"/>
            <w:vAlign w:val="center"/>
          </w:tcPr>
          <w:p w14:paraId="6B2B2F3F" w14:textId="77777777" w:rsidR="00092482" w:rsidRPr="0015004F" w:rsidRDefault="00092482" w:rsidP="00C0747E">
            <w:pPr>
              <w:pStyle w:val="TableText0"/>
              <w:keepNext/>
              <w:jc w:val="center"/>
            </w:pPr>
            <w:r w:rsidRPr="0015004F">
              <w:rPr>
                <w:rFonts w:eastAsia="Arial Narrow" w:cs="Arial Narrow"/>
              </w:rPr>
              <w:t>1</w:t>
            </w:r>
          </w:p>
        </w:tc>
        <w:tc>
          <w:tcPr>
            <w:tcW w:w="1276" w:type="dxa"/>
            <w:noWrap/>
            <w:vAlign w:val="center"/>
          </w:tcPr>
          <w:p w14:paraId="72C0673D" w14:textId="77777777" w:rsidR="00092482" w:rsidRPr="0015004F" w:rsidRDefault="00092482" w:rsidP="00C0747E">
            <w:pPr>
              <w:pStyle w:val="TableText0"/>
              <w:keepNext/>
              <w:jc w:val="center"/>
            </w:pPr>
            <w:r w:rsidRPr="0015004F">
              <w:rPr>
                <w:rFonts w:eastAsia="Arial Narrow" w:cs="Arial Narrow"/>
              </w:rPr>
              <w:t>1</w:t>
            </w:r>
          </w:p>
        </w:tc>
        <w:tc>
          <w:tcPr>
            <w:tcW w:w="4195" w:type="dxa"/>
            <w:vAlign w:val="center"/>
          </w:tcPr>
          <w:p w14:paraId="5A4589F7" w14:textId="77777777" w:rsidR="00092482" w:rsidRPr="0015004F" w:rsidRDefault="00092482" w:rsidP="00C0747E">
            <w:pPr>
              <w:pStyle w:val="TableText0"/>
              <w:keepNext/>
            </w:pPr>
            <w:r w:rsidRPr="0015004F">
              <w:rPr>
                <w:rFonts w:eastAsia="Arial Narrow" w:cs="Arial Narrow"/>
                <w:b/>
                <w:bCs/>
              </w:rPr>
              <w:t>Lanadelumab</w:t>
            </w:r>
            <w:r w:rsidRPr="0015004F">
              <w:rPr>
                <w:rFonts w:eastAsia="Arial Narrow" w:cs="Arial Narrow"/>
              </w:rPr>
              <w:t>: Lanadelumab PBS listing (PBS item code: 12790E)</w:t>
            </w:r>
            <w:r w:rsidRPr="0015004F">
              <w:rPr>
                <w:rFonts w:eastAsia="Arial Narrow" w:cs="Arial Narrow"/>
              </w:rPr>
              <w:br/>
            </w:r>
            <w:r w:rsidRPr="0015004F">
              <w:rPr>
                <w:rFonts w:eastAsia="Arial Narrow" w:cs="Arial Narrow"/>
                <w:b/>
                <w:bCs/>
              </w:rPr>
              <w:t>Garadacimab</w:t>
            </w:r>
            <w:r w:rsidRPr="0015004F">
              <w:rPr>
                <w:rFonts w:eastAsia="Arial Narrow" w:cs="Arial Narrow"/>
              </w:rPr>
              <w:t>: Proposed garadacimab PBS restriction</w:t>
            </w:r>
          </w:p>
        </w:tc>
      </w:tr>
      <w:tr w:rsidR="00092482" w:rsidRPr="0015004F" w14:paraId="2B0EC0BA" w14:textId="77777777" w:rsidTr="00C0747E">
        <w:tc>
          <w:tcPr>
            <w:tcW w:w="375" w:type="dxa"/>
            <w:vAlign w:val="center"/>
          </w:tcPr>
          <w:p w14:paraId="54E1DDA3" w14:textId="77777777" w:rsidR="00092482" w:rsidRPr="0015004F" w:rsidRDefault="00092482" w:rsidP="00C0747E">
            <w:pPr>
              <w:pStyle w:val="TableText0"/>
              <w:keepNext/>
              <w:rPr>
                <w:b/>
                <w:bCs/>
              </w:rPr>
            </w:pPr>
            <w:r w:rsidRPr="0015004F">
              <w:rPr>
                <w:rFonts w:eastAsia="Arial Narrow" w:cs="Arial Narrow"/>
                <w:b/>
                <w:bCs/>
              </w:rPr>
              <w:t>D</w:t>
            </w:r>
          </w:p>
        </w:tc>
        <w:tc>
          <w:tcPr>
            <w:tcW w:w="1888" w:type="dxa"/>
            <w:noWrap/>
            <w:vAlign w:val="center"/>
          </w:tcPr>
          <w:p w14:paraId="78008BB4" w14:textId="77777777" w:rsidR="00092482" w:rsidRPr="0015004F" w:rsidRDefault="00092482" w:rsidP="00C0747E">
            <w:pPr>
              <w:pStyle w:val="TableText0"/>
              <w:keepNext/>
            </w:pPr>
            <w:r w:rsidRPr="0015004F">
              <w:rPr>
                <w:rFonts w:eastAsia="Arial Narrow" w:cs="Arial Narrow"/>
              </w:rPr>
              <w:t>No. of repeats</w:t>
            </w:r>
          </w:p>
        </w:tc>
        <w:tc>
          <w:tcPr>
            <w:tcW w:w="1276" w:type="dxa"/>
            <w:vAlign w:val="center"/>
          </w:tcPr>
          <w:p w14:paraId="47FC8242" w14:textId="77777777" w:rsidR="00092482" w:rsidRPr="0015004F" w:rsidRDefault="00092482" w:rsidP="00C0747E">
            <w:pPr>
              <w:pStyle w:val="TableText0"/>
              <w:keepNext/>
              <w:jc w:val="center"/>
            </w:pPr>
            <w:r w:rsidRPr="0015004F">
              <w:rPr>
                <w:rFonts w:eastAsia="Arial Narrow" w:cs="Arial Narrow"/>
              </w:rPr>
              <w:t>5</w:t>
            </w:r>
          </w:p>
        </w:tc>
        <w:tc>
          <w:tcPr>
            <w:tcW w:w="1276" w:type="dxa"/>
            <w:noWrap/>
            <w:vAlign w:val="center"/>
          </w:tcPr>
          <w:p w14:paraId="3D1E0035" w14:textId="77777777" w:rsidR="00092482" w:rsidRPr="0015004F" w:rsidRDefault="00092482" w:rsidP="00C0747E">
            <w:pPr>
              <w:pStyle w:val="TableText0"/>
              <w:keepNext/>
              <w:jc w:val="center"/>
            </w:pPr>
            <w:r w:rsidRPr="0015004F">
              <w:rPr>
                <w:rFonts w:eastAsia="Arial Narrow" w:cs="Arial Narrow"/>
              </w:rPr>
              <w:t>5</w:t>
            </w:r>
          </w:p>
        </w:tc>
        <w:tc>
          <w:tcPr>
            <w:tcW w:w="4195" w:type="dxa"/>
            <w:vAlign w:val="center"/>
          </w:tcPr>
          <w:p w14:paraId="42FAD01D" w14:textId="77777777" w:rsidR="00092482" w:rsidRPr="0015004F" w:rsidRDefault="00092482" w:rsidP="00C0747E">
            <w:pPr>
              <w:pStyle w:val="TableText0"/>
              <w:keepNext/>
            </w:pPr>
            <w:r w:rsidRPr="0015004F">
              <w:rPr>
                <w:rFonts w:eastAsia="Arial Narrow" w:cs="Arial Narrow"/>
                <w:b/>
                <w:bCs/>
              </w:rPr>
              <w:t>Lanadelumab</w:t>
            </w:r>
            <w:r w:rsidRPr="0015004F">
              <w:rPr>
                <w:rFonts w:eastAsia="Arial Narrow" w:cs="Arial Narrow"/>
              </w:rPr>
              <w:t>: Lanadelumab PBS listing (PBS item code: 12790E)</w:t>
            </w:r>
            <w:r w:rsidRPr="0015004F">
              <w:rPr>
                <w:rFonts w:eastAsia="Arial Narrow" w:cs="Arial Narrow"/>
              </w:rPr>
              <w:br/>
            </w:r>
            <w:r w:rsidRPr="0015004F">
              <w:rPr>
                <w:rFonts w:eastAsia="Arial Narrow" w:cs="Arial Narrow"/>
                <w:b/>
                <w:bCs/>
              </w:rPr>
              <w:t>Garadacimab</w:t>
            </w:r>
            <w:r w:rsidRPr="0015004F">
              <w:rPr>
                <w:rFonts w:eastAsia="Arial Narrow" w:cs="Arial Narrow"/>
              </w:rPr>
              <w:t>: Proposed garadacimab PBS restriction</w:t>
            </w:r>
          </w:p>
        </w:tc>
      </w:tr>
      <w:tr w:rsidR="00092482" w:rsidRPr="0015004F" w14:paraId="37DC3A51" w14:textId="77777777" w:rsidTr="00C0747E">
        <w:tc>
          <w:tcPr>
            <w:tcW w:w="375" w:type="dxa"/>
            <w:vAlign w:val="center"/>
          </w:tcPr>
          <w:p w14:paraId="70047164" w14:textId="77777777" w:rsidR="00092482" w:rsidRPr="0015004F" w:rsidRDefault="00092482" w:rsidP="00C0747E">
            <w:pPr>
              <w:pStyle w:val="TableText0"/>
              <w:keepNext/>
              <w:rPr>
                <w:b/>
                <w:bCs/>
              </w:rPr>
            </w:pPr>
            <w:r w:rsidRPr="0015004F">
              <w:rPr>
                <w:rFonts w:eastAsia="Arial Narrow" w:cs="Arial Narrow"/>
                <w:b/>
                <w:bCs/>
              </w:rPr>
              <w:t>E</w:t>
            </w:r>
          </w:p>
        </w:tc>
        <w:tc>
          <w:tcPr>
            <w:tcW w:w="1888" w:type="dxa"/>
            <w:noWrap/>
            <w:vAlign w:val="center"/>
          </w:tcPr>
          <w:p w14:paraId="757EF0A7" w14:textId="77777777" w:rsidR="00092482" w:rsidRPr="0015004F" w:rsidRDefault="00092482" w:rsidP="00C0747E">
            <w:pPr>
              <w:pStyle w:val="TableText0"/>
              <w:keepNext/>
            </w:pPr>
            <w:r w:rsidRPr="0015004F">
              <w:rPr>
                <w:rFonts w:eastAsia="Arial Narrow" w:cs="Arial Narrow"/>
              </w:rPr>
              <w:t>No. administrations per patient per year</w:t>
            </w:r>
          </w:p>
        </w:tc>
        <w:tc>
          <w:tcPr>
            <w:tcW w:w="1276" w:type="dxa"/>
            <w:vAlign w:val="center"/>
          </w:tcPr>
          <w:p w14:paraId="21E32317" w14:textId="737B7708" w:rsidR="00092482" w:rsidRPr="0015004F" w:rsidRDefault="00092482" w:rsidP="00C0747E">
            <w:pPr>
              <w:pStyle w:val="TableText0"/>
              <w:keepNext/>
              <w:jc w:val="center"/>
            </w:pPr>
            <w:r w:rsidRPr="0015004F">
              <w:rPr>
                <w:rFonts w:eastAsia="Arial Narrow" w:cs="Arial Narrow"/>
              </w:rPr>
              <w:t>20</w:t>
            </w:r>
            <w:r w:rsidR="00793AD0" w:rsidRPr="0015004F">
              <w:rPr>
                <w:rFonts w:eastAsia="Arial Narrow" w:cs="Arial Narrow"/>
              </w:rPr>
              <w:t>.0</w:t>
            </w:r>
          </w:p>
        </w:tc>
        <w:tc>
          <w:tcPr>
            <w:tcW w:w="1276" w:type="dxa"/>
            <w:noWrap/>
            <w:vAlign w:val="center"/>
          </w:tcPr>
          <w:p w14:paraId="21C5FCE7" w14:textId="540C7C5F" w:rsidR="00092482" w:rsidRPr="0015004F" w:rsidRDefault="00092482" w:rsidP="00C0747E">
            <w:pPr>
              <w:pStyle w:val="TableText0"/>
              <w:keepNext/>
              <w:jc w:val="center"/>
            </w:pPr>
            <w:r w:rsidRPr="0015004F">
              <w:rPr>
                <w:rFonts w:eastAsia="Arial Narrow" w:cs="Arial Narrow"/>
              </w:rPr>
              <w:t>12</w:t>
            </w:r>
            <w:r w:rsidR="00793AD0" w:rsidRPr="0015004F">
              <w:rPr>
                <w:rFonts w:eastAsia="Arial Narrow" w:cs="Arial Narrow"/>
              </w:rPr>
              <w:t>.0</w:t>
            </w:r>
          </w:p>
        </w:tc>
        <w:tc>
          <w:tcPr>
            <w:tcW w:w="4195" w:type="dxa"/>
            <w:vAlign w:val="center"/>
          </w:tcPr>
          <w:p w14:paraId="4383F1B3" w14:textId="082FFBA5" w:rsidR="00092482" w:rsidRPr="0015004F" w:rsidRDefault="00092482" w:rsidP="00C0747E">
            <w:pPr>
              <w:pStyle w:val="TableText0"/>
              <w:keepNext/>
            </w:pPr>
            <w:r w:rsidRPr="0015004F">
              <w:rPr>
                <w:rFonts w:eastAsia="Arial Narrow" w:cs="Arial Narrow"/>
                <w:b/>
                <w:bCs/>
              </w:rPr>
              <w:t>Lanadelumab</w:t>
            </w:r>
            <w:r w:rsidRPr="0015004F">
              <w:rPr>
                <w:rFonts w:eastAsia="Arial Narrow" w:cs="Arial Narrow"/>
              </w:rPr>
              <w:t xml:space="preserve">: Weighted average number of annual lanadelumab doses calculated from Australian patients on long term, stable lanadelumab per Nov 2023 Advisory Board </w:t>
            </w:r>
            <w:r w:rsidRPr="0015004F">
              <w:rPr>
                <w:rFonts w:eastAsia="Arial Narrow" w:cs="Arial Narrow"/>
              </w:rPr>
              <w:br/>
            </w:r>
            <w:r w:rsidRPr="0015004F">
              <w:rPr>
                <w:rFonts w:eastAsia="Arial Narrow" w:cs="Arial Narrow"/>
                <w:b/>
                <w:bCs/>
              </w:rPr>
              <w:t>Garadacimab</w:t>
            </w:r>
            <w:r w:rsidRPr="0015004F">
              <w:rPr>
                <w:rFonts w:eastAsia="Arial Narrow" w:cs="Arial Narrow"/>
              </w:rPr>
              <w:t xml:space="preserve">: Per proposed garadacimab TGA PI </w:t>
            </w:r>
          </w:p>
        </w:tc>
      </w:tr>
      <w:tr w:rsidR="00092482" w:rsidRPr="0015004F" w14:paraId="6A2B8FDA" w14:textId="77777777" w:rsidTr="00C0747E">
        <w:tc>
          <w:tcPr>
            <w:tcW w:w="375" w:type="dxa"/>
            <w:vAlign w:val="center"/>
          </w:tcPr>
          <w:p w14:paraId="16B60A8C" w14:textId="77777777" w:rsidR="00092482" w:rsidRPr="0015004F" w:rsidRDefault="00092482" w:rsidP="00C0747E">
            <w:pPr>
              <w:pStyle w:val="TableText0"/>
              <w:keepNext/>
              <w:rPr>
                <w:b/>
                <w:bCs/>
              </w:rPr>
            </w:pPr>
            <w:r w:rsidRPr="0015004F">
              <w:rPr>
                <w:rFonts w:eastAsia="Arial Narrow" w:cs="Arial Narrow"/>
                <w:b/>
                <w:bCs/>
              </w:rPr>
              <w:t>F</w:t>
            </w:r>
          </w:p>
        </w:tc>
        <w:tc>
          <w:tcPr>
            <w:tcW w:w="1888" w:type="dxa"/>
            <w:noWrap/>
            <w:vAlign w:val="center"/>
          </w:tcPr>
          <w:p w14:paraId="60BF5D85" w14:textId="77777777" w:rsidR="00092482" w:rsidRPr="0015004F" w:rsidRDefault="00092482" w:rsidP="00C0747E">
            <w:pPr>
              <w:pStyle w:val="TableText0"/>
              <w:keepNext/>
              <w:rPr>
                <w:b/>
                <w:bCs/>
              </w:rPr>
            </w:pPr>
            <w:r w:rsidRPr="0015004F">
              <w:rPr>
                <w:rFonts w:eastAsia="Arial Narrow" w:cs="Arial Narrow"/>
                <w:b/>
                <w:bCs/>
              </w:rPr>
              <w:t>AEMP per administration </w:t>
            </w:r>
            <w:r w:rsidRPr="0015004F">
              <w:rPr>
                <w:rFonts w:eastAsia="Arial Narrow" w:cs="Arial Narrow"/>
                <w:b/>
                <w:bCs/>
                <w:vertAlign w:val="superscript"/>
              </w:rPr>
              <w:t>a</w:t>
            </w:r>
          </w:p>
        </w:tc>
        <w:tc>
          <w:tcPr>
            <w:tcW w:w="1276" w:type="dxa"/>
            <w:vAlign w:val="center"/>
          </w:tcPr>
          <w:p w14:paraId="2873AE28" w14:textId="77777777" w:rsidR="00092482" w:rsidRPr="0015004F" w:rsidRDefault="00092482" w:rsidP="00C0747E">
            <w:pPr>
              <w:pStyle w:val="TableText0"/>
              <w:keepNext/>
              <w:jc w:val="center"/>
              <w:rPr>
                <w:b/>
                <w:bCs/>
              </w:rPr>
            </w:pPr>
            <w:r w:rsidRPr="0015004F">
              <w:rPr>
                <w:rFonts w:eastAsia="Arial Narrow" w:cs="Arial Narrow"/>
                <w:b/>
                <w:bCs/>
              </w:rPr>
              <w:t>$18,440.10</w:t>
            </w:r>
          </w:p>
        </w:tc>
        <w:tc>
          <w:tcPr>
            <w:tcW w:w="1276" w:type="dxa"/>
            <w:noWrap/>
            <w:vAlign w:val="center"/>
          </w:tcPr>
          <w:p w14:paraId="78ECEB27" w14:textId="77777777" w:rsidR="00092482" w:rsidRPr="0015004F" w:rsidRDefault="00092482" w:rsidP="00C0747E">
            <w:pPr>
              <w:pStyle w:val="TableText0"/>
              <w:keepNext/>
              <w:jc w:val="center"/>
              <w:rPr>
                <w:b/>
                <w:bCs/>
              </w:rPr>
            </w:pPr>
            <w:r w:rsidRPr="0015004F">
              <w:rPr>
                <w:rFonts w:eastAsia="Arial Narrow" w:cs="Arial Narrow"/>
                <w:b/>
                <w:bCs/>
              </w:rPr>
              <w:t>$30,742.87</w:t>
            </w:r>
          </w:p>
        </w:tc>
        <w:tc>
          <w:tcPr>
            <w:tcW w:w="4195" w:type="dxa"/>
            <w:vAlign w:val="center"/>
          </w:tcPr>
          <w:p w14:paraId="340620F8" w14:textId="33D58F28" w:rsidR="00092482" w:rsidRPr="0015004F" w:rsidRDefault="00092482" w:rsidP="00C0747E">
            <w:pPr>
              <w:pStyle w:val="TableText0"/>
              <w:keepNext/>
            </w:pPr>
            <w:r w:rsidRPr="0015004F">
              <w:rPr>
                <w:rFonts w:eastAsia="Arial Narrow" w:cs="Arial Narrow"/>
                <w:b/>
                <w:bCs/>
              </w:rPr>
              <w:t>Lanadelumab</w:t>
            </w:r>
            <w:r w:rsidRPr="0015004F">
              <w:rPr>
                <w:rFonts w:eastAsia="Arial Narrow" w:cs="Arial Narrow"/>
              </w:rPr>
              <w:t>: Ex-manufacturer prices (excluding Efficient Funding of Chemotherapy) - 1 July 2024</w:t>
            </w:r>
            <w:r w:rsidRPr="0015004F">
              <w:rPr>
                <w:rFonts w:eastAsia="Arial Narrow" w:cs="Arial Narrow"/>
              </w:rPr>
              <w:br/>
            </w:r>
            <w:r w:rsidRPr="0015004F">
              <w:rPr>
                <w:rFonts w:eastAsia="Arial Narrow" w:cs="Arial Narrow"/>
                <w:b/>
                <w:bCs/>
              </w:rPr>
              <w:t>Garadacimab</w:t>
            </w:r>
            <w:r w:rsidRPr="0015004F">
              <w:rPr>
                <w:rFonts w:eastAsia="Arial Narrow" w:cs="Arial Narrow"/>
              </w:rPr>
              <w:t>: (A – J) / (C × E)</w:t>
            </w:r>
          </w:p>
        </w:tc>
      </w:tr>
      <w:tr w:rsidR="00092482" w:rsidRPr="0015004F" w14:paraId="44BA1131" w14:textId="77777777" w:rsidTr="00C0747E">
        <w:tc>
          <w:tcPr>
            <w:tcW w:w="375" w:type="dxa"/>
            <w:vAlign w:val="center"/>
          </w:tcPr>
          <w:p w14:paraId="243A7C28" w14:textId="77777777" w:rsidR="00092482" w:rsidRPr="0015004F" w:rsidRDefault="00092482" w:rsidP="00C0747E">
            <w:pPr>
              <w:pStyle w:val="TableText0"/>
              <w:keepNext/>
              <w:rPr>
                <w:b/>
                <w:bCs/>
              </w:rPr>
            </w:pPr>
            <w:r w:rsidRPr="0015004F">
              <w:rPr>
                <w:rFonts w:eastAsia="Arial Narrow" w:cs="Arial Narrow"/>
                <w:b/>
                <w:bCs/>
              </w:rPr>
              <w:t>G</w:t>
            </w:r>
          </w:p>
        </w:tc>
        <w:tc>
          <w:tcPr>
            <w:tcW w:w="1888" w:type="dxa"/>
            <w:noWrap/>
            <w:vAlign w:val="center"/>
          </w:tcPr>
          <w:p w14:paraId="72B9DBD3" w14:textId="77777777" w:rsidR="00092482" w:rsidRPr="0015004F" w:rsidRDefault="00092482" w:rsidP="00C0747E">
            <w:pPr>
              <w:pStyle w:val="TableText0"/>
              <w:keepNext/>
            </w:pPr>
            <w:r w:rsidRPr="0015004F">
              <w:rPr>
                <w:rFonts w:eastAsia="Arial Narrow" w:cs="Arial Narrow"/>
              </w:rPr>
              <w:t>Total annual drug costs</w:t>
            </w:r>
          </w:p>
        </w:tc>
        <w:tc>
          <w:tcPr>
            <w:tcW w:w="1276" w:type="dxa"/>
            <w:vAlign w:val="center"/>
          </w:tcPr>
          <w:p w14:paraId="5F3330ED" w14:textId="77777777" w:rsidR="00092482" w:rsidRPr="0015004F" w:rsidRDefault="00092482" w:rsidP="00C0747E">
            <w:pPr>
              <w:pStyle w:val="TableText0"/>
              <w:keepNext/>
              <w:jc w:val="center"/>
            </w:pPr>
            <w:r w:rsidRPr="0015004F">
              <w:rPr>
                <w:rFonts w:eastAsia="Arial Narrow" w:cs="Arial Narrow"/>
              </w:rPr>
              <w:t>$368,802.00</w:t>
            </w:r>
          </w:p>
        </w:tc>
        <w:tc>
          <w:tcPr>
            <w:tcW w:w="1276" w:type="dxa"/>
            <w:noWrap/>
            <w:vAlign w:val="center"/>
          </w:tcPr>
          <w:p w14:paraId="49E8D6EE" w14:textId="77777777" w:rsidR="00092482" w:rsidRPr="0015004F" w:rsidRDefault="00092482" w:rsidP="00C0747E">
            <w:pPr>
              <w:pStyle w:val="TableText0"/>
              <w:keepNext/>
              <w:jc w:val="center"/>
            </w:pPr>
            <w:r w:rsidRPr="0015004F">
              <w:rPr>
                <w:rFonts w:eastAsia="Arial Narrow" w:cs="Arial Narrow"/>
              </w:rPr>
              <w:t>$368,914.47</w:t>
            </w:r>
          </w:p>
        </w:tc>
        <w:tc>
          <w:tcPr>
            <w:tcW w:w="4195" w:type="dxa"/>
            <w:vAlign w:val="center"/>
          </w:tcPr>
          <w:p w14:paraId="048A3258" w14:textId="51153C9E" w:rsidR="00092482" w:rsidRPr="0015004F" w:rsidRDefault="25F37C2E" w:rsidP="00C0747E">
            <w:pPr>
              <w:pStyle w:val="TableText0"/>
              <w:keepNext/>
              <w:rPr>
                <w:rFonts w:eastAsia="Arial Narrow" w:cs="Arial Narrow"/>
              </w:rPr>
            </w:pPr>
            <w:r w:rsidRPr="0015004F">
              <w:rPr>
                <w:rFonts w:eastAsia="Arial Narrow" w:cs="Arial Narrow"/>
              </w:rPr>
              <w:t>G</w:t>
            </w:r>
            <w:r w:rsidR="00092482" w:rsidRPr="0015004F">
              <w:rPr>
                <w:rFonts w:eastAsia="Arial Narrow" w:cs="Arial Narrow"/>
              </w:rPr>
              <w:t> = </w:t>
            </w:r>
            <w:r w:rsidR="2CB4DB25" w:rsidRPr="0015004F">
              <w:rPr>
                <w:rFonts w:eastAsia="Arial Narrow" w:cs="Arial Narrow"/>
              </w:rPr>
              <w:t>F x E</w:t>
            </w:r>
          </w:p>
        </w:tc>
      </w:tr>
      <w:tr w:rsidR="00092482" w:rsidRPr="0015004F" w14:paraId="47BF5408" w14:textId="77777777" w:rsidTr="00C0747E">
        <w:tc>
          <w:tcPr>
            <w:tcW w:w="375" w:type="dxa"/>
            <w:vAlign w:val="center"/>
          </w:tcPr>
          <w:p w14:paraId="3132599F" w14:textId="77777777" w:rsidR="00092482" w:rsidRPr="0015004F" w:rsidRDefault="00092482" w:rsidP="00C0747E">
            <w:pPr>
              <w:pStyle w:val="TableText0"/>
              <w:keepNext/>
              <w:rPr>
                <w:b/>
                <w:bCs/>
              </w:rPr>
            </w:pPr>
            <w:r w:rsidRPr="0015004F">
              <w:rPr>
                <w:rFonts w:eastAsia="Arial Narrow" w:cs="Arial Narrow"/>
                <w:b/>
                <w:bCs/>
              </w:rPr>
              <w:t>H</w:t>
            </w:r>
          </w:p>
        </w:tc>
        <w:tc>
          <w:tcPr>
            <w:tcW w:w="1888" w:type="dxa"/>
            <w:noWrap/>
            <w:vAlign w:val="center"/>
          </w:tcPr>
          <w:p w14:paraId="73A4F3E9" w14:textId="77777777" w:rsidR="00092482" w:rsidRPr="0015004F" w:rsidRDefault="00092482" w:rsidP="00C0747E">
            <w:pPr>
              <w:pStyle w:val="TableText0"/>
              <w:keepNext/>
            </w:pPr>
            <w:r w:rsidRPr="0015004F">
              <w:rPr>
                <w:rFonts w:eastAsia="Arial Narrow" w:cs="Arial Narrow"/>
              </w:rPr>
              <w:t>Total annual clinician visits for prescription</w:t>
            </w:r>
          </w:p>
        </w:tc>
        <w:tc>
          <w:tcPr>
            <w:tcW w:w="1276" w:type="dxa"/>
            <w:vAlign w:val="center"/>
          </w:tcPr>
          <w:p w14:paraId="1A2E38F8" w14:textId="77777777" w:rsidR="00092482" w:rsidRPr="0015004F" w:rsidRDefault="00092482" w:rsidP="00C0747E">
            <w:pPr>
              <w:pStyle w:val="TableText0"/>
              <w:keepNext/>
              <w:jc w:val="center"/>
            </w:pPr>
            <w:r w:rsidRPr="0015004F">
              <w:rPr>
                <w:rFonts w:eastAsia="Arial Narrow" w:cs="Arial Narrow"/>
              </w:rPr>
              <w:t>3.33</w:t>
            </w:r>
          </w:p>
        </w:tc>
        <w:tc>
          <w:tcPr>
            <w:tcW w:w="1276" w:type="dxa"/>
            <w:noWrap/>
            <w:vAlign w:val="center"/>
          </w:tcPr>
          <w:p w14:paraId="7A4C375D" w14:textId="77777777" w:rsidR="00092482" w:rsidRPr="0015004F" w:rsidRDefault="00092482" w:rsidP="00C0747E">
            <w:pPr>
              <w:pStyle w:val="TableText0"/>
              <w:keepNext/>
              <w:jc w:val="center"/>
            </w:pPr>
            <w:r w:rsidRPr="0015004F">
              <w:rPr>
                <w:rFonts w:eastAsia="Arial Narrow" w:cs="Arial Narrow"/>
              </w:rPr>
              <w:t>2.00</w:t>
            </w:r>
          </w:p>
        </w:tc>
        <w:tc>
          <w:tcPr>
            <w:tcW w:w="4195" w:type="dxa"/>
            <w:vAlign w:val="center"/>
          </w:tcPr>
          <w:p w14:paraId="58F4F09B" w14:textId="77777777" w:rsidR="00092482" w:rsidRPr="0015004F" w:rsidRDefault="00092482" w:rsidP="00C0747E">
            <w:pPr>
              <w:pStyle w:val="TableText0"/>
              <w:keepNext/>
            </w:pPr>
            <w:r w:rsidRPr="0015004F">
              <w:rPr>
                <w:rFonts w:eastAsia="Arial Narrow" w:cs="Arial Narrow"/>
              </w:rPr>
              <w:t>H = E / (C + D)</w:t>
            </w:r>
          </w:p>
        </w:tc>
      </w:tr>
      <w:tr w:rsidR="00092482" w:rsidRPr="0015004F" w14:paraId="31CCB0B4" w14:textId="77777777" w:rsidTr="00C0747E">
        <w:tc>
          <w:tcPr>
            <w:tcW w:w="375" w:type="dxa"/>
            <w:vAlign w:val="center"/>
          </w:tcPr>
          <w:p w14:paraId="12079C10" w14:textId="77777777" w:rsidR="00092482" w:rsidRPr="0015004F" w:rsidRDefault="00092482" w:rsidP="00C0747E">
            <w:pPr>
              <w:pStyle w:val="TableText0"/>
              <w:keepNext/>
              <w:rPr>
                <w:b/>
                <w:bCs/>
              </w:rPr>
            </w:pPr>
            <w:r w:rsidRPr="0015004F">
              <w:rPr>
                <w:rFonts w:eastAsia="Arial Narrow" w:cs="Arial Narrow"/>
                <w:b/>
                <w:bCs/>
              </w:rPr>
              <w:t>I</w:t>
            </w:r>
          </w:p>
        </w:tc>
        <w:tc>
          <w:tcPr>
            <w:tcW w:w="1888" w:type="dxa"/>
            <w:noWrap/>
            <w:vAlign w:val="center"/>
          </w:tcPr>
          <w:p w14:paraId="48FACD88" w14:textId="5F6E8A45" w:rsidR="00092482" w:rsidRPr="0015004F" w:rsidRDefault="007D53FF" w:rsidP="00C0747E">
            <w:pPr>
              <w:pStyle w:val="TableText0"/>
              <w:keepNext/>
            </w:pPr>
            <w:r w:rsidRPr="0015004F">
              <w:rPr>
                <w:rFonts w:eastAsia="Arial Narrow" w:cs="Arial Narrow"/>
              </w:rPr>
              <w:t xml:space="preserve">Specialist </w:t>
            </w:r>
            <w:r w:rsidR="00092482" w:rsidRPr="0015004F">
              <w:rPr>
                <w:rFonts w:eastAsia="Arial Narrow" w:cs="Arial Narrow"/>
              </w:rPr>
              <w:t>visit MBS fee for prescription</w:t>
            </w:r>
          </w:p>
        </w:tc>
        <w:tc>
          <w:tcPr>
            <w:tcW w:w="1276" w:type="dxa"/>
            <w:vAlign w:val="center"/>
          </w:tcPr>
          <w:p w14:paraId="58ABAB54" w14:textId="77777777" w:rsidR="00092482" w:rsidRPr="0015004F" w:rsidRDefault="00092482" w:rsidP="00C0747E">
            <w:pPr>
              <w:pStyle w:val="TableText0"/>
              <w:keepNext/>
              <w:jc w:val="center"/>
            </w:pPr>
            <w:r w:rsidRPr="0015004F">
              <w:rPr>
                <w:rFonts w:eastAsia="Arial Narrow" w:cs="Arial Narrow"/>
              </w:rPr>
              <w:t>$84.35</w:t>
            </w:r>
          </w:p>
        </w:tc>
        <w:tc>
          <w:tcPr>
            <w:tcW w:w="1276" w:type="dxa"/>
            <w:noWrap/>
            <w:vAlign w:val="center"/>
          </w:tcPr>
          <w:p w14:paraId="4CD895F3" w14:textId="77777777" w:rsidR="00092482" w:rsidRPr="0015004F" w:rsidRDefault="00092482" w:rsidP="00C0747E">
            <w:pPr>
              <w:pStyle w:val="TableText0"/>
              <w:keepNext/>
              <w:jc w:val="center"/>
            </w:pPr>
            <w:r w:rsidRPr="0015004F">
              <w:rPr>
                <w:rFonts w:eastAsia="Arial Narrow" w:cs="Arial Narrow"/>
              </w:rPr>
              <w:t>$84.35</w:t>
            </w:r>
          </w:p>
        </w:tc>
        <w:tc>
          <w:tcPr>
            <w:tcW w:w="4195" w:type="dxa"/>
            <w:vAlign w:val="center"/>
          </w:tcPr>
          <w:p w14:paraId="2BFD5C5A" w14:textId="77777777" w:rsidR="00092482" w:rsidRPr="0015004F" w:rsidRDefault="00092482" w:rsidP="00C0747E">
            <w:pPr>
              <w:pStyle w:val="TableText0"/>
              <w:keepNext/>
            </w:pPr>
            <w:r w:rsidRPr="0015004F">
              <w:rPr>
                <w:rFonts w:eastAsia="Arial Narrow" w:cs="Arial Narrow"/>
              </w:rPr>
              <w:t>MBS item code 116 reflecting prescribing by specialist allergist or clinical immunologist per lanadelumab PBS item code 1290E - continuing treatment phase restriction. Proposed garadacimab PBS continuing restriction reflects this treatment criteria.</w:t>
            </w:r>
          </w:p>
        </w:tc>
      </w:tr>
      <w:tr w:rsidR="00092482" w:rsidRPr="0015004F" w14:paraId="36C692CF" w14:textId="77777777" w:rsidTr="00C0747E">
        <w:tc>
          <w:tcPr>
            <w:tcW w:w="375" w:type="dxa"/>
            <w:vAlign w:val="center"/>
          </w:tcPr>
          <w:p w14:paraId="14A3B239" w14:textId="77777777" w:rsidR="00092482" w:rsidRPr="0015004F" w:rsidRDefault="00092482" w:rsidP="00C0747E">
            <w:pPr>
              <w:pStyle w:val="TableText0"/>
              <w:keepNext/>
              <w:rPr>
                <w:b/>
                <w:bCs/>
              </w:rPr>
            </w:pPr>
            <w:r w:rsidRPr="0015004F">
              <w:rPr>
                <w:rFonts w:eastAsia="Arial Narrow" w:cs="Arial Narrow"/>
                <w:b/>
                <w:bCs/>
              </w:rPr>
              <w:t>J</w:t>
            </w:r>
          </w:p>
        </w:tc>
        <w:tc>
          <w:tcPr>
            <w:tcW w:w="1888" w:type="dxa"/>
            <w:noWrap/>
            <w:vAlign w:val="center"/>
          </w:tcPr>
          <w:p w14:paraId="66F8FD76" w14:textId="7E695308" w:rsidR="00092482" w:rsidRPr="0015004F" w:rsidRDefault="00092482" w:rsidP="00C0747E">
            <w:pPr>
              <w:pStyle w:val="TableText0"/>
              <w:keepNext/>
            </w:pPr>
            <w:r w:rsidRPr="0015004F">
              <w:rPr>
                <w:rFonts w:eastAsia="Arial Narrow" w:cs="Arial Narrow"/>
              </w:rPr>
              <w:t xml:space="preserve">Total annual </w:t>
            </w:r>
            <w:r w:rsidR="007D53FF" w:rsidRPr="0015004F">
              <w:rPr>
                <w:rFonts w:eastAsia="Arial Narrow" w:cs="Arial Narrow"/>
              </w:rPr>
              <w:t xml:space="preserve">specialist </w:t>
            </w:r>
            <w:r w:rsidRPr="0015004F">
              <w:rPr>
                <w:rFonts w:eastAsia="Arial Narrow" w:cs="Arial Narrow"/>
              </w:rPr>
              <w:t>visit costs for prescription</w:t>
            </w:r>
          </w:p>
        </w:tc>
        <w:tc>
          <w:tcPr>
            <w:tcW w:w="1276" w:type="dxa"/>
            <w:vAlign w:val="center"/>
          </w:tcPr>
          <w:p w14:paraId="79208004" w14:textId="77777777" w:rsidR="00092482" w:rsidRPr="0015004F" w:rsidRDefault="00092482" w:rsidP="00C0747E">
            <w:pPr>
              <w:pStyle w:val="TableText0"/>
              <w:keepNext/>
              <w:jc w:val="center"/>
            </w:pPr>
            <w:r w:rsidRPr="0015004F">
              <w:rPr>
                <w:rFonts w:eastAsia="Arial Narrow" w:cs="Arial Narrow"/>
              </w:rPr>
              <w:t>$281.17</w:t>
            </w:r>
          </w:p>
        </w:tc>
        <w:tc>
          <w:tcPr>
            <w:tcW w:w="1276" w:type="dxa"/>
            <w:noWrap/>
            <w:vAlign w:val="center"/>
          </w:tcPr>
          <w:p w14:paraId="6EDC05B9" w14:textId="77777777" w:rsidR="00092482" w:rsidRPr="0015004F" w:rsidRDefault="00092482" w:rsidP="00C0747E">
            <w:pPr>
              <w:pStyle w:val="TableText0"/>
              <w:keepNext/>
              <w:jc w:val="center"/>
            </w:pPr>
            <w:r w:rsidRPr="0015004F">
              <w:rPr>
                <w:rFonts w:eastAsia="Arial Narrow" w:cs="Arial Narrow"/>
              </w:rPr>
              <w:t>$168.70</w:t>
            </w:r>
          </w:p>
        </w:tc>
        <w:tc>
          <w:tcPr>
            <w:tcW w:w="4195" w:type="dxa"/>
            <w:vAlign w:val="center"/>
          </w:tcPr>
          <w:p w14:paraId="09D4762F" w14:textId="77777777" w:rsidR="00092482" w:rsidRPr="0015004F" w:rsidRDefault="00092482" w:rsidP="00C0747E">
            <w:pPr>
              <w:pStyle w:val="TableText0"/>
              <w:keepNext/>
            </w:pPr>
            <w:r w:rsidRPr="0015004F">
              <w:rPr>
                <w:rFonts w:eastAsia="Arial Narrow" w:cs="Arial Narrow"/>
              </w:rPr>
              <w:t>J = H × I</w:t>
            </w:r>
          </w:p>
        </w:tc>
      </w:tr>
    </w:tbl>
    <w:p w14:paraId="56E1C956" w14:textId="77777777" w:rsidR="00270F00" w:rsidRPr="0015004F" w:rsidRDefault="00FE015B" w:rsidP="00106C2B">
      <w:pPr>
        <w:pStyle w:val="TableFigureFooter"/>
      </w:pPr>
      <w:r w:rsidRPr="0015004F">
        <w:t>Source: Table 3–4, p146 of the submission</w:t>
      </w:r>
    </w:p>
    <w:p w14:paraId="017B1676" w14:textId="23792455" w:rsidR="007D5A04" w:rsidRPr="0015004F" w:rsidRDefault="007D5A04" w:rsidP="007D5A04">
      <w:pPr>
        <w:pStyle w:val="TableFigureFooter"/>
      </w:pPr>
      <w:r w:rsidRPr="0015004F">
        <w:t>AEMP = approved ex-manufacturer price; PI = product information</w:t>
      </w:r>
    </w:p>
    <w:p w14:paraId="09D2B813" w14:textId="301C9CCA" w:rsidR="00092482" w:rsidRPr="0015004F" w:rsidRDefault="00092482" w:rsidP="00F06281">
      <w:pPr>
        <w:pStyle w:val="TableFigureFooter"/>
        <w:spacing w:after="120"/>
      </w:pPr>
      <w:r w:rsidRPr="0015004F">
        <w:rPr>
          <w:vertAlign w:val="superscript"/>
        </w:rPr>
        <w:t>a</w:t>
      </w:r>
      <w:r w:rsidRPr="0015004F">
        <w:t xml:space="preserve"> AEMP of lanadelumab reflects published AEMP. Effective lanadelumab AEMP is subject to special pricing arrangement.</w:t>
      </w:r>
    </w:p>
    <w:p w14:paraId="7243B010" w14:textId="03B11801" w:rsidR="2DA10C72" w:rsidRPr="0015004F" w:rsidRDefault="00092482" w:rsidP="00806095">
      <w:pPr>
        <w:pStyle w:val="3-BodyText"/>
      </w:pPr>
      <w:r w:rsidRPr="0015004F">
        <w:lastRenderedPageBreak/>
        <w:t xml:space="preserve">The </w:t>
      </w:r>
      <w:r w:rsidR="00602944" w:rsidRPr="0015004F">
        <w:t xml:space="preserve">evaluation re-calculated </w:t>
      </w:r>
      <w:r w:rsidR="00806095" w:rsidRPr="0015004F">
        <w:t xml:space="preserve">the </w:t>
      </w:r>
      <w:r w:rsidRPr="0015004F">
        <w:t xml:space="preserve">results of the CMA over the first </w:t>
      </w:r>
      <w:r w:rsidR="004E4F38" w:rsidRPr="0015004F">
        <w:t>2 years</w:t>
      </w:r>
      <w:r w:rsidRPr="0015004F">
        <w:t xml:space="preserve"> following treatment initiation</w:t>
      </w:r>
      <w:r w:rsidR="00602944" w:rsidRPr="0015004F">
        <w:t>,</w:t>
      </w:r>
      <w:r w:rsidRPr="0015004F">
        <w:t xml:space="preserve"> with the cost of lanadelumab capped at Q4W dosing </w:t>
      </w:r>
      <w:r w:rsidR="5AB23F93" w:rsidRPr="0015004F">
        <w:t>and accounting for the garadacimab loading dose</w:t>
      </w:r>
      <w:r w:rsidRPr="0015004F">
        <w:t xml:space="preserve"> </w:t>
      </w:r>
      <w:r w:rsidR="00602944" w:rsidRPr="0015004F">
        <w:t>(</w:t>
      </w:r>
      <w:r w:rsidRPr="0015004F">
        <w:fldChar w:fldCharType="begin" w:fldLock="1"/>
      </w:r>
      <w:r w:rsidRPr="0015004F">
        <w:instrText xml:space="preserve"> REF _Ref175929451 \h </w:instrText>
      </w:r>
      <w:r w:rsidR="00324372" w:rsidRPr="0015004F">
        <w:instrText xml:space="preserve"> \* MERGEFORMAT </w:instrText>
      </w:r>
      <w:r w:rsidRPr="0015004F">
        <w:fldChar w:fldCharType="separate"/>
      </w:r>
      <w:r w:rsidR="00106090" w:rsidRPr="0015004F">
        <w:t xml:space="preserve">Table </w:t>
      </w:r>
      <w:r w:rsidR="00106090">
        <w:rPr>
          <w:noProof/>
        </w:rPr>
        <w:t>12</w:t>
      </w:r>
      <w:r w:rsidRPr="0015004F">
        <w:fldChar w:fldCharType="end"/>
      </w:r>
      <w:r w:rsidR="00602944" w:rsidRPr="0015004F">
        <w:t>)</w:t>
      </w:r>
      <w:r w:rsidRPr="0015004F">
        <w:t xml:space="preserve">. </w:t>
      </w:r>
    </w:p>
    <w:p w14:paraId="4D60DF98" w14:textId="42F744B4" w:rsidR="00092482" w:rsidRPr="0015004F" w:rsidRDefault="00092482" w:rsidP="00092482">
      <w:pPr>
        <w:pStyle w:val="TableFigureHeading"/>
      </w:pPr>
      <w:bookmarkStart w:id="54" w:name="_Ref175929451"/>
      <w:r w:rsidRPr="0015004F">
        <w:t xml:space="preserve">Table </w:t>
      </w:r>
      <w:r w:rsidR="00106090">
        <w:fldChar w:fldCharType="begin" w:fldLock="1"/>
      </w:r>
      <w:r w:rsidR="00106090">
        <w:instrText xml:space="preserve"> SEQ Table \* ARABIC </w:instrText>
      </w:r>
      <w:r w:rsidR="00106090">
        <w:fldChar w:fldCharType="separate"/>
      </w:r>
      <w:r w:rsidR="00106090">
        <w:rPr>
          <w:noProof/>
        </w:rPr>
        <w:t>12</w:t>
      </w:r>
      <w:r w:rsidR="00106090">
        <w:rPr>
          <w:noProof/>
        </w:rPr>
        <w:fldChar w:fldCharType="end"/>
      </w:r>
      <w:bookmarkEnd w:id="54"/>
      <w:r w:rsidRPr="0015004F">
        <w:t xml:space="preserve">: </w:t>
      </w:r>
      <w:r w:rsidRPr="0015004F">
        <w:rPr>
          <w:rStyle w:val="CommentReference"/>
          <w:b/>
          <w:szCs w:val="24"/>
        </w:rPr>
        <w:t xml:space="preserve">Results of the cost-minimisation approach, revised assuming lanadelumab cost capped at Q4W dosing, over </w:t>
      </w:r>
      <w:r w:rsidR="004E4F38" w:rsidRPr="0015004F">
        <w:rPr>
          <w:rStyle w:val="CommentReference"/>
          <w:b/>
          <w:szCs w:val="24"/>
        </w:rPr>
        <w:t>2 years</w:t>
      </w:r>
      <w:r w:rsidRPr="0015004F">
        <w:rPr>
          <w:rStyle w:val="CommentReference"/>
          <w:b/>
          <w:szCs w:val="24"/>
        </w:rPr>
        <w:t xml:space="preserve"> from treatment initiation</w:t>
      </w:r>
      <w:r w:rsidR="0036282E" w:rsidRPr="0015004F">
        <w:rPr>
          <w:rStyle w:val="CommentReference"/>
          <w:b/>
          <w:szCs w:val="24"/>
        </w:rPr>
        <w:t xml:space="preserve"> (</w:t>
      </w:r>
      <w:r w:rsidR="005725F4" w:rsidRPr="0015004F">
        <w:rPr>
          <w:rStyle w:val="CommentReference"/>
          <w:b/>
          <w:szCs w:val="24"/>
        </w:rPr>
        <w:t>based on the published price of lanadelumab</w:t>
      </w:r>
      <w:r w:rsidR="0036282E" w:rsidRPr="0015004F">
        <w:rPr>
          <w:rStyle w:val="CommentReference"/>
          <w:b/>
          <w:szCs w:val="24"/>
        </w:rPr>
        <w:t>)</w:t>
      </w:r>
    </w:p>
    <w:tbl>
      <w:tblPr>
        <w:tblStyle w:val="TableGrid"/>
        <w:tblW w:w="5000" w:type="pct"/>
        <w:tblLayout w:type="fixed"/>
        <w:tblLook w:val="04A0" w:firstRow="1" w:lastRow="0" w:firstColumn="1" w:lastColumn="0" w:noHBand="0" w:noVBand="1"/>
      </w:tblPr>
      <w:tblGrid>
        <w:gridCol w:w="375"/>
        <w:gridCol w:w="2457"/>
        <w:gridCol w:w="1277"/>
        <w:gridCol w:w="1277"/>
        <w:gridCol w:w="3631"/>
      </w:tblGrid>
      <w:tr w:rsidR="00092482" w:rsidRPr="0015004F" w14:paraId="7E4E782F" w14:textId="77777777" w:rsidTr="00C0747E">
        <w:tc>
          <w:tcPr>
            <w:tcW w:w="375" w:type="dxa"/>
          </w:tcPr>
          <w:p w14:paraId="186E9E37" w14:textId="77777777" w:rsidR="00092482" w:rsidRPr="0015004F" w:rsidRDefault="00092482" w:rsidP="00442AE8">
            <w:pPr>
              <w:pStyle w:val="In-tableHeading"/>
              <w:rPr>
                <w:iCs w:val="0"/>
              </w:rPr>
            </w:pPr>
          </w:p>
        </w:tc>
        <w:tc>
          <w:tcPr>
            <w:tcW w:w="2457" w:type="dxa"/>
            <w:noWrap/>
            <w:hideMark/>
          </w:tcPr>
          <w:p w14:paraId="66B86F35" w14:textId="77777777" w:rsidR="00092482" w:rsidRPr="0015004F" w:rsidRDefault="00092482" w:rsidP="00442AE8">
            <w:pPr>
              <w:pStyle w:val="In-tableHeading"/>
              <w:rPr>
                <w:iCs w:val="0"/>
              </w:rPr>
            </w:pPr>
            <w:r w:rsidRPr="0015004F">
              <w:rPr>
                <w:iCs w:val="0"/>
              </w:rPr>
              <w:t>Parameter</w:t>
            </w:r>
          </w:p>
        </w:tc>
        <w:tc>
          <w:tcPr>
            <w:tcW w:w="1277" w:type="dxa"/>
          </w:tcPr>
          <w:p w14:paraId="4C8F2C2E" w14:textId="77777777" w:rsidR="00092482" w:rsidRPr="0015004F" w:rsidRDefault="00092482" w:rsidP="00442AE8">
            <w:pPr>
              <w:pStyle w:val="In-tableHeading"/>
              <w:rPr>
                <w:iCs w:val="0"/>
              </w:rPr>
            </w:pPr>
            <w:r w:rsidRPr="0015004F">
              <w:rPr>
                <w:iCs w:val="0"/>
              </w:rPr>
              <w:t>Lanadelumab</w:t>
            </w:r>
          </w:p>
        </w:tc>
        <w:tc>
          <w:tcPr>
            <w:tcW w:w="1277" w:type="dxa"/>
            <w:noWrap/>
          </w:tcPr>
          <w:p w14:paraId="2B9EB814" w14:textId="77777777" w:rsidR="00092482" w:rsidRPr="0015004F" w:rsidRDefault="00092482" w:rsidP="00442AE8">
            <w:pPr>
              <w:pStyle w:val="In-tableHeading"/>
              <w:rPr>
                <w:iCs w:val="0"/>
              </w:rPr>
            </w:pPr>
            <w:r w:rsidRPr="0015004F">
              <w:rPr>
                <w:iCs w:val="0"/>
              </w:rPr>
              <w:t>Garadacimab</w:t>
            </w:r>
          </w:p>
        </w:tc>
        <w:tc>
          <w:tcPr>
            <w:tcW w:w="3631" w:type="dxa"/>
          </w:tcPr>
          <w:p w14:paraId="0308A92B" w14:textId="77777777" w:rsidR="00092482" w:rsidRPr="0015004F" w:rsidRDefault="00092482" w:rsidP="00442AE8">
            <w:pPr>
              <w:pStyle w:val="In-tableHeading"/>
              <w:rPr>
                <w:iCs w:val="0"/>
              </w:rPr>
            </w:pPr>
            <w:r w:rsidRPr="0015004F">
              <w:rPr>
                <w:iCs w:val="0"/>
              </w:rPr>
              <w:t>Source/calculation</w:t>
            </w:r>
          </w:p>
        </w:tc>
      </w:tr>
      <w:tr w:rsidR="00092482" w:rsidRPr="0015004F" w14:paraId="0732B60F" w14:textId="77777777" w:rsidTr="00C0747E">
        <w:tc>
          <w:tcPr>
            <w:tcW w:w="375" w:type="dxa"/>
            <w:vAlign w:val="center"/>
          </w:tcPr>
          <w:p w14:paraId="2365B1AB" w14:textId="77777777" w:rsidR="00092482" w:rsidRPr="0015004F" w:rsidRDefault="00092482" w:rsidP="00C0747E">
            <w:pPr>
              <w:pStyle w:val="TableText0"/>
              <w:keepNext/>
              <w:rPr>
                <w:b/>
                <w:bCs/>
              </w:rPr>
            </w:pPr>
            <w:r w:rsidRPr="0015004F">
              <w:rPr>
                <w:rFonts w:eastAsia="Arial Narrow" w:cs="Arial Narrow"/>
                <w:b/>
                <w:bCs/>
              </w:rPr>
              <w:t>A</w:t>
            </w:r>
          </w:p>
        </w:tc>
        <w:tc>
          <w:tcPr>
            <w:tcW w:w="2457" w:type="dxa"/>
            <w:noWrap/>
            <w:vAlign w:val="center"/>
          </w:tcPr>
          <w:p w14:paraId="0F5DAAA4" w14:textId="7317B622" w:rsidR="00092482" w:rsidRPr="0015004F" w:rsidRDefault="00092482" w:rsidP="00C0747E">
            <w:pPr>
              <w:pStyle w:val="TableText0"/>
              <w:keepNext/>
              <w:rPr>
                <w:b/>
                <w:bCs/>
              </w:rPr>
            </w:pPr>
            <w:r w:rsidRPr="0015004F">
              <w:rPr>
                <w:rFonts w:eastAsia="Arial Narrow" w:cs="Arial Narrow"/>
                <w:b/>
                <w:bCs/>
              </w:rPr>
              <w:t xml:space="preserve">Total cost over </w:t>
            </w:r>
            <w:r w:rsidR="004E4F38" w:rsidRPr="0015004F">
              <w:rPr>
                <w:rFonts w:eastAsia="Arial Narrow" w:cs="Arial Narrow"/>
                <w:b/>
                <w:bCs/>
              </w:rPr>
              <w:t>2 years</w:t>
            </w:r>
            <w:r w:rsidRPr="0015004F">
              <w:rPr>
                <w:rFonts w:eastAsia="Arial Narrow" w:cs="Arial Narrow"/>
                <w:b/>
                <w:bCs/>
              </w:rPr>
              <w:t xml:space="preserve"> from treatment initiation</w:t>
            </w:r>
          </w:p>
        </w:tc>
        <w:tc>
          <w:tcPr>
            <w:tcW w:w="1277" w:type="dxa"/>
            <w:vAlign w:val="center"/>
          </w:tcPr>
          <w:p w14:paraId="17680DED" w14:textId="77777777" w:rsidR="00092482" w:rsidRPr="0015004F" w:rsidRDefault="00092482" w:rsidP="00C0747E">
            <w:pPr>
              <w:pStyle w:val="TableText0"/>
              <w:keepNext/>
              <w:jc w:val="center"/>
              <w:rPr>
                <w:b/>
                <w:bCs/>
              </w:rPr>
            </w:pPr>
            <w:r w:rsidRPr="0015004F">
              <w:rPr>
                <w:rFonts w:eastAsia="Arial Narrow" w:cs="Arial Narrow"/>
                <w:b/>
                <w:bCs/>
              </w:rPr>
              <w:t>$481,369.98</w:t>
            </w:r>
          </w:p>
        </w:tc>
        <w:tc>
          <w:tcPr>
            <w:tcW w:w="1277" w:type="dxa"/>
            <w:noWrap/>
            <w:vAlign w:val="center"/>
          </w:tcPr>
          <w:p w14:paraId="0DEB075B" w14:textId="77777777" w:rsidR="00092482" w:rsidRPr="0015004F" w:rsidRDefault="00092482" w:rsidP="00C0747E">
            <w:pPr>
              <w:pStyle w:val="TableText0"/>
              <w:keepNext/>
              <w:jc w:val="center"/>
              <w:rPr>
                <w:b/>
                <w:bCs/>
              </w:rPr>
            </w:pPr>
            <w:r w:rsidRPr="0015004F">
              <w:rPr>
                <w:rFonts w:eastAsia="Arial Narrow" w:cs="Arial Narrow"/>
                <w:b/>
                <w:bCs/>
              </w:rPr>
              <w:t>$481,369.98</w:t>
            </w:r>
          </w:p>
        </w:tc>
        <w:tc>
          <w:tcPr>
            <w:tcW w:w="3631" w:type="dxa"/>
            <w:vAlign w:val="center"/>
          </w:tcPr>
          <w:p w14:paraId="0C85E1C3" w14:textId="4929B85E" w:rsidR="00092482" w:rsidRPr="0015004F" w:rsidRDefault="00092482" w:rsidP="00C0747E">
            <w:pPr>
              <w:pStyle w:val="TableText0"/>
              <w:keepNext/>
              <w:rPr>
                <w:rFonts w:eastAsia="Arial Narrow" w:cs="Arial Narrow"/>
              </w:rPr>
            </w:pPr>
            <w:r w:rsidRPr="0015004F">
              <w:rPr>
                <w:rFonts w:eastAsia="Arial Narrow" w:cs="Arial Narrow"/>
                <w:b/>
                <w:bCs/>
              </w:rPr>
              <w:t>Lanadelumab</w:t>
            </w:r>
            <w:r w:rsidRPr="0015004F">
              <w:rPr>
                <w:rFonts w:eastAsia="Arial Narrow" w:cs="Arial Narrow"/>
              </w:rPr>
              <w:t>: A = G + J</w:t>
            </w:r>
            <w:r w:rsidRPr="0015004F">
              <w:br/>
            </w:r>
            <w:r w:rsidRPr="0015004F">
              <w:rPr>
                <w:rFonts w:eastAsia="Arial Narrow" w:cs="Arial Narrow"/>
                <w:b/>
                <w:bCs/>
              </w:rPr>
              <w:t>Garadacimab</w:t>
            </w:r>
            <w:r w:rsidRPr="0015004F">
              <w:rPr>
                <w:rFonts w:eastAsia="Arial Narrow" w:cs="Arial Narrow"/>
              </w:rPr>
              <w:t xml:space="preserve">: Lanadelumab cost over </w:t>
            </w:r>
            <w:r w:rsidR="004E4F38" w:rsidRPr="0015004F">
              <w:rPr>
                <w:rFonts w:eastAsia="Arial Narrow" w:cs="Arial Narrow"/>
              </w:rPr>
              <w:t>2 years</w:t>
            </w:r>
            <w:r w:rsidRPr="0015004F">
              <w:rPr>
                <w:rFonts w:eastAsia="Arial Narrow" w:cs="Arial Narrow"/>
              </w:rPr>
              <w:t xml:space="preserve"> from treatment initiation</w:t>
            </w:r>
          </w:p>
        </w:tc>
      </w:tr>
      <w:tr w:rsidR="00092482" w:rsidRPr="0015004F" w14:paraId="4833FB6A" w14:textId="77777777" w:rsidTr="00C0747E">
        <w:tc>
          <w:tcPr>
            <w:tcW w:w="375" w:type="dxa"/>
            <w:vAlign w:val="center"/>
          </w:tcPr>
          <w:p w14:paraId="3F7F041D" w14:textId="77777777" w:rsidR="00092482" w:rsidRPr="0015004F" w:rsidRDefault="00092482" w:rsidP="00C0747E">
            <w:pPr>
              <w:pStyle w:val="TableText0"/>
              <w:keepNext/>
              <w:rPr>
                <w:b/>
                <w:bCs/>
              </w:rPr>
            </w:pPr>
            <w:r w:rsidRPr="0015004F">
              <w:rPr>
                <w:rFonts w:eastAsia="Arial Narrow" w:cs="Arial Narrow"/>
                <w:b/>
                <w:bCs/>
              </w:rPr>
              <w:t>B</w:t>
            </w:r>
          </w:p>
        </w:tc>
        <w:tc>
          <w:tcPr>
            <w:tcW w:w="2457" w:type="dxa"/>
            <w:noWrap/>
            <w:vAlign w:val="center"/>
          </w:tcPr>
          <w:p w14:paraId="06CD9BE3" w14:textId="77777777" w:rsidR="00092482" w:rsidRPr="0015004F" w:rsidRDefault="00092482" w:rsidP="00C0747E">
            <w:pPr>
              <w:pStyle w:val="TableText0"/>
              <w:keepNext/>
            </w:pPr>
            <w:r w:rsidRPr="0015004F">
              <w:rPr>
                <w:rFonts w:eastAsia="Arial Narrow" w:cs="Arial Narrow"/>
              </w:rPr>
              <w:t>Pack description</w:t>
            </w:r>
          </w:p>
        </w:tc>
        <w:tc>
          <w:tcPr>
            <w:tcW w:w="1277" w:type="dxa"/>
            <w:vAlign w:val="center"/>
          </w:tcPr>
          <w:p w14:paraId="18E214A8" w14:textId="77777777" w:rsidR="00092482" w:rsidRPr="0015004F" w:rsidRDefault="00092482" w:rsidP="00C0747E">
            <w:pPr>
              <w:pStyle w:val="TableText0"/>
              <w:keepNext/>
              <w:jc w:val="center"/>
            </w:pPr>
            <w:r w:rsidRPr="0015004F">
              <w:rPr>
                <w:rFonts w:eastAsia="Arial Narrow" w:cs="Arial Narrow"/>
              </w:rPr>
              <w:t>300 mg in 2 mL</w:t>
            </w:r>
          </w:p>
        </w:tc>
        <w:tc>
          <w:tcPr>
            <w:tcW w:w="1277" w:type="dxa"/>
            <w:noWrap/>
            <w:vAlign w:val="center"/>
          </w:tcPr>
          <w:p w14:paraId="343F258F" w14:textId="77777777" w:rsidR="00092482" w:rsidRPr="0015004F" w:rsidRDefault="00092482" w:rsidP="00C0747E">
            <w:pPr>
              <w:pStyle w:val="TableText0"/>
              <w:keepNext/>
              <w:jc w:val="center"/>
            </w:pPr>
            <w:r w:rsidRPr="0015004F">
              <w:rPr>
                <w:rFonts w:eastAsia="Arial Narrow" w:cs="Arial Narrow"/>
              </w:rPr>
              <w:t>200 mg in 1.2 mL</w:t>
            </w:r>
          </w:p>
        </w:tc>
        <w:tc>
          <w:tcPr>
            <w:tcW w:w="3631" w:type="dxa"/>
            <w:vAlign w:val="center"/>
          </w:tcPr>
          <w:p w14:paraId="75909F16" w14:textId="77777777" w:rsidR="00092482" w:rsidRPr="0015004F" w:rsidRDefault="00092482" w:rsidP="00C0747E">
            <w:pPr>
              <w:pStyle w:val="TableText0"/>
              <w:keepNext/>
            </w:pPr>
            <w:r w:rsidRPr="0015004F">
              <w:rPr>
                <w:rFonts w:eastAsia="Arial Narrow" w:cs="Arial Narrow"/>
                <w:b/>
                <w:bCs/>
              </w:rPr>
              <w:t>Lanadelumab</w:t>
            </w:r>
            <w:r w:rsidRPr="0015004F">
              <w:rPr>
                <w:rFonts w:eastAsia="Arial Narrow" w:cs="Arial Narrow"/>
              </w:rPr>
              <w:t>: PBS item 12790E</w:t>
            </w:r>
            <w:r w:rsidRPr="0015004F">
              <w:rPr>
                <w:rFonts w:eastAsia="Arial Narrow" w:cs="Arial Narrow"/>
              </w:rPr>
              <w:br/>
            </w:r>
            <w:r w:rsidRPr="0015004F">
              <w:rPr>
                <w:rFonts w:eastAsia="Arial Narrow" w:cs="Arial Narrow"/>
                <w:b/>
                <w:bCs/>
              </w:rPr>
              <w:t>Garadacimab</w:t>
            </w:r>
            <w:r w:rsidRPr="0015004F">
              <w:rPr>
                <w:rFonts w:eastAsia="Arial Narrow" w:cs="Arial Narrow"/>
              </w:rPr>
              <w:t>: Draft garadacimab PI</w:t>
            </w:r>
          </w:p>
        </w:tc>
      </w:tr>
      <w:tr w:rsidR="00092482" w:rsidRPr="0015004F" w14:paraId="1D3B3E43" w14:textId="77777777" w:rsidTr="00C0747E">
        <w:tc>
          <w:tcPr>
            <w:tcW w:w="375" w:type="dxa"/>
            <w:vAlign w:val="center"/>
          </w:tcPr>
          <w:p w14:paraId="0D40E50E" w14:textId="77777777" w:rsidR="00092482" w:rsidRPr="0015004F" w:rsidRDefault="00092482" w:rsidP="00C0747E">
            <w:pPr>
              <w:pStyle w:val="TableText0"/>
              <w:keepNext/>
              <w:rPr>
                <w:b/>
                <w:bCs/>
              </w:rPr>
            </w:pPr>
            <w:r w:rsidRPr="0015004F">
              <w:rPr>
                <w:rFonts w:eastAsia="Arial Narrow" w:cs="Arial Narrow"/>
                <w:b/>
                <w:bCs/>
              </w:rPr>
              <w:t>C</w:t>
            </w:r>
          </w:p>
        </w:tc>
        <w:tc>
          <w:tcPr>
            <w:tcW w:w="2457" w:type="dxa"/>
            <w:noWrap/>
            <w:vAlign w:val="center"/>
          </w:tcPr>
          <w:p w14:paraId="0DA011DF" w14:textId="77777777" w:rsidR="00092482" w:rsidRPr="0015004F" w:rsidRDefault="00092482" w:rsidP="00C0747E">
            <w:pPr>
              <w:pStyle w:val="TableText0"/>
              <w:keepNext/>
            </w:pPr>
            <w:r w:rsidRPr="0015004F">
              <w:rPr>
                <w:rFonts w:eastAsia="Arial Narrow" w:cs="Arial Narrow"/>
              </w:rPr>
              <w:t>Administrations per pack</w:t>
            </w:r>
          </w:p>
        </w:tc>
        <w:tc>
          <w:tcPr>
            <w:tcW w:w="1277" w:type="dxa"/>
            <w:vAlign w:val="center"/>
          </w:tcPr>
          <w:p w14:paraId="50DA4BF0" w14:textId="77777777" w:rsidR="00092482" w:rsidRPr="0015004F" w:rsidRDefault="00092482" w:rsidP="00C0747E">
            <w:pPr>
              <w:pStyle w:val="TableText0"/>
              <w:keepNext/>
              <w:jc w:val="center"/>
            </w:pPr>
            <w:r w:rsidRPr="0015004F">
              <w:rPr>
                <w:rFonts w:eastAsia="Arial Narrow" w:cs="Arial Narrow"/>
              </w:rPr>
              <w:t>1</w:t>
            </w:r>
          </w:p>
        </w:tc>
        <w:tc>
          <w:tcPr>
            <w:tcW w:w="1277" w:type="dxa"/>
            <w:noWrap/>
            <w:vAlign w:val="center"/>
          </w:tcPr>
          <w:p w14:paraId="61A00B4E" w14:textId="77777777" w:rsidR="00092482" w:rsidRPr="0015004F" w:rsidRDefault="00092482" w:rsidP="00C0747E">
            <w:pPr>
              <w:pStyle w:val="TableText0"/>
              <w:keepNext/>
              <w:jc w:val="center"/>
            </w:pPr>
            <w:r w:rsidRPr="0015004F">
              <w:rPr>
                <w:rFonts w:eastAsia="Arial Narrow" w:cs="Arial Narrow"/>
              </w:rPr>
              <w:t>1</w:t>
            </w:r>
          </w:p>
        </w:tc>
        <w:tc>
          <w:tcPr>
            <w:tcW w:w="3631" w:type="dxa"/>
            <w:vAlign w:val="center"/>
          </w:tcPr>
          <w:p w14:paraId="53DE965D" w14:textId="77777777" w:rsidR="00092482" w:rsidRPr="0015004F" w:rsidRDefault="00092482" w:rsidP="00C0747E">
            <w:pPr>
              <w:pStyle w:val="TableText0"/>
              <w:keepNext/>
            </w:pPr>
            <w:r w:rsidRPr="0015004F">
              <w:rPr>
                <w:rFonts w:eastAsia="Arial Narrow" w:cs="Arial Narrow"/>
                <w:b/>
                <w:bCs/>
              </w:rPr>
              <w:t>Lanadelumab</w:t>
            </w:r>
            <w:r w:rsidRPr="0015004F">
              <w:rPr>
                <w:rFonts w:eastAsia="Arial Narrow" w:cs="Arial Narrow"/>
              </w:rPr>
              <w:t>: PBS item 12790E</w:t>
            </w:r>
            <w:r w:rsidRPr="0015004F">
              <w:rPr>
                <w:rFonts w:eastAsia="Arial Narrow" w:cs="Arial Narrow"/>
              </w:rPr>
              <w:br/>
            </w:r>
            <w:r w:rsidRPr="0015004F">
              <w:rPr>
                <w:rFonts w:eastAsia="Arial Narrow" w:cs="Arial Narrow"/>
                <w:b/>
                <w:bCs/>
              </w:rPr>
              <w:t>Garadacimab</w:t>
            </w:r>
            <w:r w:rsidRPr="0015004F">
              <w:rPr>
                <w:rFonts w:eastAsia="Arial Narrow" w:cs="Arial Narrow"/>
              </w:rPr>
              <w:t>: Proposed PBS restriction</w:t>
            </w:r>
          </w:p>
        </w:tc>
      </w:tr>
      <w:tr w:rsidR="00092482" w:rsidRPr="0015004F" w14:paraId="4DCD3390" w14:textId="77777777" w:rsidTr="00C0747E">
        <w:tc>
          <w:tcPr>
            <w:tcW w:w="375" w:type="dxa"/>
            <w:vAlign w:val="center"/>
          </w:tcPr>
          <w:p w14:paraId="04D046F7" w14:textId="77777777" w:rsidR="00092482" w:rsidRPr="0015004F" w:rsidRDefault="00092482" w:rsidP="00C0747E">
            <w:pPr>
              <w:pStyle w:val="TableText0"/>
              <w:keepNext/>
              <w:rPr>
                <w:b/>
                <w:bCs/>
              </w:rPr>
            </w:pPr>
            <w:r w:rsidRPr="0015004F">
              <w:rPr>
                <w:rFonts w:eastAsia="Arial Narrow" w:cs="Arial Narrow"/>
                <w:b/>
                <w:bCs/>
              </w:rPr>
              <w:t>D</w:t>
            </w:r>
          </w:p>
        </w:tc>
        <w:tc>
          <w:tcPr>
            <w:tcW w:w="2457" w:type="dxa"/>
            <w:noWrap/>
            <w:vAlign w:val="center"/>
          </w:tcPr>
          <w:p w14:paraId="453F352A" w14:textId="77777777" w:rsidR="00092482" w:rsidRPr="0015004F" w:rsidRDefault="00092482" w:rsidP="00C0747E">
            <w:pPr>
              <w:pStyle w:val="TableText0"/>
              <w:keepNext/>
            </w:pPr>
            <w:r w:rsidRPr="0015004F">
              <w:rPr>
                <w:rFonts w:eastAsia="Arial Narrow" w:cs="Arial Narrow"/>
              </w:rPr>
              <w:t>No. of repeats</w:t>
            </w:r>
          </w:p>
        </w:tc>
        <w:tc>
          <w:tcPr>
            <w:tcW w:w="1277" w:type="dxa"/>
            <w:vAlign w:val="center"/>
          </w:tcPr>
          <w:p w14:paraId="24E77862" w14:textId="77777777" w:rsidR="00092482" w:rsidRPr="0015004F" w:rsidRDefault="00092482" w:rsidP="00C0747E">
            <w:pPr>
              <w:pStyle w:val="TableText0"/>
              <w:keepNext/>
              <w:jc w:val="center"/>
            </w:pPr>
            <w:r w:rsidRPr="0015004F">
              <w:rPr>
                <w:rFonts w:eastAsia="Arial Narrow" w:cs="Arial Narrow"/>
              </w:rPr>
              <w:t>5</w:t>
            </w:r>
          </w:p>
        </w:tc>
        <w:tc>
          <w:tcPr>
            <w:tcW w:w="1277" w:type="dxa"/>
            <w:noWrap/>
            <w:vAlign w:val="center"/>
          </w:tcPr>
          <w:p w14:paraId="5F01FF32" w14:textId="77777777" w:rsidR="00092482" w:rsidRPr="0015004F" w:rsidRDefault="00092482" w:rsidP="00C0747E">
            <w:pPr>
              <w:pStyle w:val="TableText0"/>
              <w:keepNext/>
              <w:jc w:val="center"/>
            </w:pPr>
            <w:r w:rsidRPr="0015004F">
              <w:rPr>
                <w:rFonts w:eastAsia="Arial Narrow" w:cs="Arial Narrow"/>
              </w:rPr>
              <w:t>5</w:t>
            </w:r>
          </w:p>
        </w:tc>
        <w:tc>
          <w:tcPr>
            <w:tcW w:w="3631" w:type="dxa"/>
            <w:vAlign w:val="center"/>
          </w:tcPr>
          <w:p w14:paraId="6AA818D2" w14:textId="77777777" w:rsidR="00092482" w:rsidRPr="0015004F" w:rsidRDefault="00092482" w:rsidP="00C0747E">
            <w:pPr>
              <w:pStyle w:val="TableText0"/>
              <w:keepNext/>
            </w:pPr>
            <w:r w:rsidRPr="0015004F">
              <w:rPr>
                <w:rFonts w:eastAsia="Arial Narrow" w:cs="Arial Narrow"/>
                <w:b/>
                <w:bCs/>
              </w:rPr>
              <w:t>Lanadelumab</w:t>
            </w:r>
            <w:r w:rsidRPr="0015004F">
              <w:rPr>
                <w:rFonts w:eastAsia="Arial Narrow" w:cs="Arial Narrow"/>
              </w:rPr>
              <w:t>: PBS item 12790E</w:t>
            </w:r>
            <w:r w:rsidRPr="0015004F">
              <w:rPr>
                <w:rFonts w:eastAsia="Arial Narrow" w:cs="Arial Narrow"/>
              </w:rPr>
              <w:br/>
            </w:r>
            <w:r w:rsidRPr="0015004F">
              <w:rPr>
                <w:rFonts w:eastAsia="Arial Narrow" w:cs="Arial Narrow"/>
                <w:b/>
                <w:bCs/>
              </w:rPr>
              <w:t>Garadacimab</w:t>
            </w:r>
            <w:r w:rsidRPr="0015004F">
              <w:rPr>
                <w:rFonts w:eastAsia="Arial Narrow" w:cs="Arial Narrow"/>
              </w:rPr>
              <w:t>: Proposed PBS restriction</w:t>
            </w:r>
          </w:p>
        </w:tc>
      </w:tr>
      <w:tr w:rsidR="00092482" w:rsidRPr="0015004F" w14:paraId="4C0BEAE2" w14:textId="77777777" w:rsidTr="00C0747E">
        <w:tc>
          <w:tcPr>
            <w:tcW w:w="375" w:type="dxa"/>
            <w:vAlign w:val="center"/>
          </w:tcPr>
          <w:p w14:paraId="543FFE24" w14:textId="77777777" w:rsidR="00092482" w:rsidRPr="0015004F" w:rsidRDefault="00092482" w:rsidP="00C0747E">
            <w:pPr>
              <w:pStyle w:val="TableText0"/>
              <w:keepNext/>
              <w:rPr>
                <w:b/>
                <w:bCs/>
              </w:rPr>
            </w:pPr>
            <w:r w:rsidRPr="0015004F">
              <w:rPr>
                <w:rFonts w:eastAsia="Arial Narrow" w:cs="Arial Narrow"/>
                <w:b/>
                <w:bCs/>
              </w:rPr>
              <w:t>E</w:t>
            </w:r>
          </w:p>
        </w:tc>
        <w:tc>
          <w:tcPr>
            <w:tcW w:w="2457" w:type="dxa"/>
            <w:noWrap/>
            <w:vAlign w:val="center"/>
          </w:tcPr>
          <w:p w14:paraId="36059B52" w14:textId="7A3D0482" w:rsidR="00092482" w:rsidRPr="0015004F" w:rsidRDefault="00092482" w:rsidP="00C0747E">
            <w:pPr>
              <w:pStyle w:val="TableText0"/>
              <w:keepNext/>
            </w:pPr>
            <w:r w:rsidRPr="0015004F">
              <w:rPr>
                <w:rFonts w:eastAsia="Arial Narrow" w:cs="Arial Narrow"/>
              </w:rPr>
              <w:t xml:space="preserve">No. administrations over </w:t>
            </w:r>
            <w:r w:rsidR="004E4F38" w:rsidRPr="0015004F">
              <w:rPr>
                <w:rFonts w:eastAsia="Arial Narrow" w:cs="Arial Narrow"/>
              </w:rPr>
              <w:t>2 years</w:t>
            </w:r>
            <w:r w:rsidRPr="0015004F">
              <w:rPr>
                <w:rFonts w:eastAsia="Arial Narrow" w:cs="Arial Narrow"/>
              </w:rPr>
              <w:t xml:space="preserve"> from treatment initiation</w:t>
            </w:r>
          </w:p>
        </w:tc>
        <w:tc>
          <w:tcPr>
            <w:tcW w:w="1277" w:type="dxa"/>
            <w:vAlign w:val="center"/>
          </w:tcPr>
          <w:p w14:paraId="10247661" w14:textId="30E70B9C" w:rsidR="00092482" w:rsidRPr="0015004F" w:rsidRDefault="00092482" w:rsidP="00C0747E">
            <w:pPr>
              <w:pStyle w:val="TableText0"/>
              <w:keepNext/>
              <w:jc w:val="center"/>
            </w:pPr>
            <w:r w:rsidRPr="0015004F">
              <w:rPr>
                <w:rFonts w:eastAsia="Arial Narrow" w:cs="Arial Narrow"/>
              </w:rPr>
              <w:t>26</w:t>
            </w:r>
            <w:r w:rsidR="00793AD0" w:rsidRPr="0015004F">
              <w:rPr>
                <w:rFonts w:eastAsia="Arial Narrow" w:cs="Arial Narrow"/>
              </w:rPr>
              <w:t>.1</w:t>
            </w:r>
          </w:p>
        </w:tc>
        <w:tc>
          <w:tcPr>
            <w:tcW w:w="1277" w:type="dxa"/>
            <w:noWrap/>
            <w:vAlign w:val="center"/>
          </w:tcPr>
          <w:p w14:paraId="61DE15B1" w14:textId="50A83D0D" w:rsidR="00092482" w:rsidRPr="0015004F" w:rsidRDefault="00092482" w:rsidP="00C0747E">
            <w:pPr>
              <w:pStyle w:val="TableText0"/>
              <w:keepNext/>
              <w:jc w:val="center"/>
            </w:pPr>
            <w:r w:rsidRPr="0015004F">
              <w:rPr>
                <w:rFonts w:eastAsia="Arial Narrow" w:cs="Arial Narrow"/>
              </w:rPr>
              <w:t>25</w:t>
            </w:r>
            <w:r w:rsidR="00793AD0" w:rsidRPr="0015004F">
              <w:rPr>
                <w:rFonts w:eastAsia="Arial Narrow" w:cs="Arial Narrow"/>
              </w:rPr>
              <w:t>.0</w:t>
            </w:r>
          </w:p>
        </w:tc>
        <w:tc>
          <w:tcPr>
            <w:tcW w:w="3631" w:type="dxa"/>
            <w:vAlign w:val="center"/>
          </w:tcPr>
          <w:p w14:paraId="1FF318D2" w14:textId="77777777" w:rsidR="00092482" w:rsidRPr="0015004F" w:rsidRDefault="00092482" w:rsidP="00C0747E">
            <w:pPr>
              <w:pStyle w:val="TableText0"/>
              <w:keepNext/>
            </w:pPr>
            <w:r w:rsidRPr="0015004F">
              <w:rPr>
                <w:rFonts w:eastAsia="Arial Narrow" w:cs="Arial Narrow"/>
                <w:b/>
                <w:bCs/>
              </w:rPr>
              <w:t>Lanadelumab</w:t>
            </w:r>
            <w:r w:rsidRPr="0015004F">
              <w:rPr>
                <w:rFonts w:eastAsia="Arial Narrow" w:cs="Arial Narrow"/>
              </w:rPr>
              <w:t>: Cost capped at Q4W dosing</w:t>
            </w:r>
            <w:r w:rsidRPr="0015004F">
              <w:rPr>
                <w:rFonts w:eastAsia="Arial Narrow" w:cs="Arial Narrow"/>
              </w:rPr>
              <w:br/>
            </w:r>
            <w:r w:rsidRPr="0015004F">
              <w:rPr>
                <w:rFonts w:eastAsia="Arial Narrow" w:cs="Arial Narrow"/>
                <w:b/>
                <w:bCs/>
              </w:rPr>
              <w:t>Garadacimab</w:t>
            </w:r>
            <w:r w:rsidRPr="0015004F">
              <w:rPr>
                <w:rFonts w:eastAsia="Arial Narrow" w:cs="Arial Narrow"/>
              </w:rPr>
              <w:t>: QM + 1 loading dose</w:t>
            </w:r>
          </w:p>
        </w:tc>
      </w:tr>
      <w:tr w:rsidR="00092482" w:rsidRPr="0015004F" w14:paraId="1725E696" w14:textId="77777777" w:rsidTr="00C0747E">
        <w:tc>
          <w:tcPr>
            <w:tcW w:w="375" w:type="dxa"/>
            <w:vAlign w:val="center"/>
          </w:tcPr>
          <w:p w14:paraId="003EBB98" w14:textId="77777777" w:rsidR="00092482" w:rsidRPr="0015004F" w:rsidRDefault="00092482" w:rsidP="00C0747E">
            <w:pPr>
              <w:pStyle w:val="TableText0"/>
              <w:keepNext/>
              <w:rPr>
                <w:b/>
                <w:bCs/>
              </w:rPr>
            </w:pPr>
            <w:r w:rsidRPr="0015004F">
              <w:rPr>
                <w:rFonts w:eastAsia="Arial Narrow" w:cs="Arial Narrow"/>
                <w:b/>
                <w:bCs/>
              </w:rPr>
              <w:t>F</w:t>
            </w:r>
          </w:p>
        </w:tc>
        <w:tc>
          <w:tcPr>
            <w:tcW w:w="2457" w:type="dxa"/>
            <w:noWrap/>
            <w:vAlign w:val="center"/>
          </w:tcPr>
          <w:p w14:paraId="01AF6162" w14:textId="77777777" w:rsidR="00092482" w:rsidRPr="0015004F" w:rsidRDefault="00092482" w:rsidP="00C0747E">
            <w:pPr>
              <w:pStyle w:val="TableText0"/>
              <w:keepNext/>
              <w:rPr>
                <w:b/>
                <w:bCs/>
              </w:rPr>
            </w:pPr>
            <w:r w:rsidRPr="0015004F">
              <w:rPr>
                <w:rFonts w:eastAsia="Arial Narrow" w:cs="Arial Narrow"/>
                <w:b/>
                <w:bCs/>
              </w:rPr>
              <w:t>AEMP per administration </w:t>
            </w:r>
            <w:r w:rsidRPr="0015004F">
              <w:rPr>
                <w:rFonts w:eastAsia="Arial Narrow" w:cs="Arial Narrow"/>
                <w:b/>
                <w:bCs/>
                <w:vertAlign w:val="superscript"/>
              </w:rPr>
              <w:t>a</w:t>
            </w:r>
          </w:p>
        </w:tc>
        <w:tc>
          <w:tcPr>
            <w:tcW w:w="1277" w:type="dxa"/>
            <w:vAlign w:val="center"/>
          </w:tcPr>
          <w:p w14:paraId="403791B1" w14:textId="77777777" w:rsidR="00092482" w:rsidRPr="0015004F" w:rsidRDefault="00092482" w:rsidP="00C0747E">
            <w:pPr>
              <w:pStyle w:val="TableText0"/>
              <w:keepNext/>
              <w:jc w:val="center"/>
              <w:rPr>
                <w:b/>
                <w:bCs/>
              </w:rPr>
            </w:pPr>
            <w:r w:rsidRPr="0015004F">
              <w:rPr>
                <w:rFonts w:eastAsia="Arial Narrow" w:cs="Arial Narrow"/>
                <w:b/>
                <w:bCs/>
              </w:rPr>
              <w:t>$18,440.10</w:t>
            </w:r>
          </w:p>
        </w:tc>
        <w:tc>
          <w:tcPr>
            <w:tcW w:w="1277" w:type="dxa"/>
            <w:noWrap/>
            <w:vAlign w:val="center"/>
          </w:tcPr>
          <w:p w14:paraId="2EDD1825" w14:textId="77777777" w:rsidR="00092482" w:rsidRPr="0015004F" w:rsidRDefault="00092482" w:rsidP="00C0747E">
            <w:pPr>
              <w:pStyle w:val="TableText0"/>
              <w:keepNext/>
              <w:jc w:val="center"/>
              <w:rPr>
                <w:b/>
                <w:bCs/>
              </w:rPr>
            </w:pPr>
            <w:r w:rsidRPr="0015004F">
              <w:rPr>
                <w:rFonts w:eastAsia="Arial Narrow" w:cs="Arial Narrow"/>
                <w:b/>
                <w:bCs/>
              </w:rPr>
              <w:t>$19,252.07</w:t>
            </w:r>
          </w:p>
        </w:tc>
        <w:tc>
          <w:tcPr>
            <w:tcW w:w="3631" w:type="dxa"/>
            <w:vAlign w:val="center"/>
          </w:tcPr>
          <w:p w14:paraId="72F409B9" w14:textId="77777777" w:rsidR="00092482" w:rsidRPr="0015004F" w:rsidRDefault="00092482" w:rsidP="00C0747E">
            <w:pPr>
              <w:pStyle w:val="TableText0"/>
              <w:keepNext/>
            </w:pPr>
            <w:r w:rsidRPr="0015004F">
              <w:rPr>
                <w:rFonts w:eastAsia="Arial Narrow" w:cs="Arial Narrow"/>
                <w:b/>
                <w:bCs/>
              </w:rPr>
              <w:t>Lanadelumab</w:t>
            </w:r>
            <w:r w:rsidRPr="0015004F">
              <w:rPr>
                <w:rFonts w:eastAsia="Arial Narrow" w:cs="Arial Narrow"/>
              </w:rPr>
              <w:t>: AEMP, PBS item 12790E</w:t>
            </w:r>
            <w:r w:rsidRPr="0015004F">
              <w:rPr>
                <w:rFonts w:eastAsia="Arial Narrow" w:cs="Arial Narrow"/>
              </w:rPr>
              <w:br/>
            </w:r>
            <w:r w:rsidRPr="0015004F">
              <w:rPr>
                <w:rFonts w:eastAsia="Arial Narrow" w:cs="Arial Narrow"/>
                <w:b/>
                <w:bCs/>
              </w:rPr>
              <w:t>Garadacimab</w:t>
            </w:r>
            <w:r w:rsidRPr="0015004F">
              <w:rPr>
                <w:rFonts w:eastAsia="Arial Narrow" w:cs="Arial Narrow"/>
              </w:rPr>
              <w:t>: (A – J) / (C × E)</w:t>
            </w:r>
          </w:p>
        </w:tc>
      </w:tr>
      <w:tr w:rsidR="00EC7238" w:rsidRPr="0015004F" w14:paraId="63273C7C" w14:textId="77777777" w:rsidTr="00C0747E">
        <w:tc>
          <w:tcPr>
            <w:tcW w:w="375" w:type="dxa"/>
            <w:vAlign w:val="center"/>
          </w:tcPr>
          <w:p w14:paraId="07D4A599" w14:textId="77777777" w:rsidR="00EC7238" w:rsidRPr="0015004F" w:rsidRDefault="00EC7238" w:rsidP="00C0747E">
            <w:pPr>
              <w:pStyle w:val="TableText0"/>
              <w:keepNext/>
              <w:rPr>
                <w:rFonts w:eastAsia="Arial Narrow" w:cs="Arial Narrow"/>
                <w:b/>
                <w:bCs/>
              </w:rPr>
            </w:pPr>
          </w:p>
        </w:tc>
        <w:tc>
          <w:tcPr>
            <w:tcW w:w="2457" w:type="dxa"/>
            <w:noWrap/>
            <w:vAlign w:val="center"/>
          </w:tcPr>
          <w:p w14:paraId="03E19E0D" w14:textId="68E4A9A1" w:rsidR="00EC7238" w:rsidRPr="0015004F" w:rsidRDefault="00EC7238" w:rsidP="00C0747E">
            <w:pPr>
              <w:pStyle w:val="TableText0"/>
              <w:keepNext/>
              <w:rPr>
                <w:rFonts w:eastAsia="Arial Narrow" w:cs="Arial Narrow"/>
                <w:b/>
                <w:bCs/>
              </w:rPr>
            </w:pPr>
            <w:r>
              <w:rPr>
                <w:rFonts w:eastAsia="Arial Narrow" w:cs="Arial Narrow"/>
                <w:b/>
                <w:bCs/>
              </w:rPr>
              <w:t>milligrams over 2 years from treatment initiation</w:t>
            </w:r>
          </w:p>
        </w:tc>
        <w:tc>
          <w:tcPr>
            <w:tcW w:w="1277" w:type="dxa"/>
            <w:vAlign w:val="center"/>
          </w:tcPr>
          <w:p w14:paraId="0179066F" w14:textId="339728F0" w:rsidR="00EC7238" w:rsidRPr="0015004F" w:rsidRDefault="00EC7238" w:rsidP="00C0747E">
            <w:pPr>
              <w:pStyle w:val="TableText0"/>
              <w:keepNext/>
              <w:jc w:val="center"/>
              <w:rPr>
                <w:rFonts w:eastAsia="Arial Narrow" w:cs="Arial Narrow"/>
                <w:b/>
                <w:bCs/>
              </w:rPr>
            </w:pPr>
            <w:r>
              <w:rPr>
                <w:rFonts w:eastAsia="Arial Narrow" w:cs="Arial Narrow"/>
                <w:b/>
                <w:bCs/>
              </w:rPr>
              <w:t>7,821 mg</w:t>
            </w:r>
          </w:p>
        </w:tc>
        <w:tc>
          <w:tcPr>
            <w:tcW w:w="1277" w:type="dxa"/>
            <w:noWrap/>
            <w:vAlign w:val="center"/>
          </w:tcPr>
          <w:p w14:paraId="1AF87C29" w14:textId="7C51A602" w:rsidR="00EC7238" w:rsidRPr="0015004F" w:rsidRDefault="00EC7238" w:rsidP="00C0747E">
            <w:pPr>
              <w:pStyle w:val="TableText0"/>
              <w:keepNext/>
              <w:jc w:val="center"/>
              <w:rPr>
                <w:rFonts w:eastAsia="Arial Narrow" w:cs="Arial Narrow"/>
                <w:b/>
                <w:bCs/>
              </w:rPr>
            </w:pPr>
            <w:r>
              <w:rPr>
                <w:rFonts w:eastAsia="Arial Narrow" w:cs="Arial Narrow"/>
                <w:b/>
                <w:bCs/>
              </w:rPr>
              <w:t>5,000 mg</w:t>
            </w:r>
          </w:p>
        </w:tc>
        <w:tc>
          <w:tcPr>
            <w:tcW w:w="3631" w:type="dxa"/>
            <w:vAlign w:val="center"/>
          </w:tcPr>
          <w:p w14:paraId="49BFEE56" w14:textId="4A11D47D" w:rsidR="00EC7238" w:rsidRPr="0015004F" w:rsidRDefault="00EC7238" w:rsidP="00C0747E">
            <w:pPr>
              <w:pStyle w:val="TableText0"/>
              <w:keepNext/>
              <w:rPr>
                <w:rFonts w:eastAsia="Arial Narrow" w:cs="Arial Narrow"/>
                <w:b/>
                <w:bCs/>
              </w:rPr>
            </w:pPr>
            <w:r>
              <w:rPr>
                <w:rFonts w:eastAsia="Arial Narrow" w:cs="Arial Narrow"/>
                <w:b/>
                <w:bCs/>
              </w:rPr>
              <w:t>Equi-effective doses over 2 years from treatment initiation</w:t>
            </w:r>
          </w:p>
        </w:tc>
      </w:tr>
      <w:tr w:rsidR="00092482" w:rsidRPr="0015004F" w14:paraId="78B12C53" w14:textId="77777777" w:rsidTr="00C0747E">
        <w:tc>
          <w:tcPr>
            <w:tcW w:w="375" w:type="dxa"/>
            <w:vAlign w:val="center"/>
          </w:tcPr>
          <w:p w14:paraId="240BBD05" w14:textId="77777777" w:rsidR="00092482" w:rsidRPr="0015004F" w:rsidRDefault="00092482" w:rsidP="00C0747E">
            <w:pPr>
              <w:pStyle w:val="TableText0"/>
              <w:keepNext/>
              <w:rPr>
                <w:b/>
                <w:bCs/>
              </w:rPr>
            </w:pPr>
            <w:r w:rsidRPr="0015004F">
              <w:rPr>
                <w:rFonts w:eastAsia="Arial Narrow" w:cs="Arial Narrow"/>
                <w:b/>
                <w:bCs/>
              </w:rPr>
              <w:t>G</w:t>
            </w:r>
          </w:p>
        </w:tc>
        <w:tc>
          <w:tcPr>
            <w:tcW w:w="2457" w:type="dxa"/>
            <w:noWrap/>
            <w:vAlign w:val="center"/>
          </w:tcPr>
          <w:p w14:paraId="715F28F4" w14:textId="4B94CEDC" w:rsidR="00092482" w:rsidRPr="0015004F" w:rsidRDefault="00092482" w:rsidP="00C0747E">
            <w:pPr>
              <w:pStyle w:val="TableText0"/>
              <w:keepNext/>
            </w:pPr>
            <w:r w:rsidRPr="0015004F">
              <w:rPr>
                <w:rFonts w:eastAsia="Arial Narrow" w:cs="Arial Narrow"/>
              </w:rPr>
              <w:t xml:space="preserve">Total drug cost over </w:t>
            </w:r>
            <w:r w:rsidR="004E4F38" w:rsidRPr="0015004F">
              <w:rPr>
                <w:rFonts w:eastAsia="Arial Narrow" w:cs="Arial Narrow"/>
              </w:rPr>
              <w:t>2 years</w:t>
            </w:r>
            <w:r w:rsidRPr="0015004F">
              <w:rPr>
                <w:rFonts w:eastAsia="Arial Narrow" w:cs="Arial Narrow"/>
              </w:rPr>
              <w:t xml:space="preserve"> from treatment initiation</w:t>
            </w:r>
          </w:p>
        </w:tc>
        <w:tc>
          <w:tcPr>
            <w:tcW w:w="1277" w:type="dxa"/>
            <w:vAlign w:val="center"/>
          </w:tcPr>
          <w:p w14:paraId="6AB3050F" w14:textId="77777777" w:rsidR="00092482" w:rsidRPr="0015004F" w:rsidRDefault="00092482" w:rsidP="00C0747E">
            <w:pPr>
              <w:pStyle w:val="TableText0"/>
              <w:keepNext/>
              <w:jc w:val="center"/>
            </w:pPr>
            <w:r w:rsidRPr="0015004F">
              <w:rPr>
                <w:rFonts w:eastAsia="Arial Narrow" w:cs="Arial Narrow"/>
              </w:rPr>
              <w:t>$481,089.04</w:t>
            </w:r>
          </w:p>
        </w:tc>
        <w:tc>
          <w:tcPr>
            <w:tcW w:w="1277" w:type="dxa"/>
            <w:noWrap/>
            <w:vAlign w:val="center"/>
          </w:tcPr>
          <w:p w14:paraId="70D60A5B" w14:textId="77777777" w:rsidR="00092482" w:rsidRPr="0015004F" w:rsidRDefault="00092482" w:rsidP="00C0747E">
            <w:pPr>
              <w:pStyle w:val="TableText0"/>
              <w:keepNext/>
              <w:jc w:val="center"/>
            </w:pPr>
            <w:r w:rsidRPr="0015004F">
              <w:rPr>
                <w:rFonts w:eastAsia="Arial Narrow" w:cs="Arial Narrow"/>
              </w:rPr>
              <w:t>$481,301.72</w:t>
            </w:r>
          </w:p>
        </w:tc>
        <w:tc>
          <w:tcPr>
            <w:tcW w:w="3631" w:type="dxa"/>
            <w:vAlign w:val="center"/>
          </w:tcPr>
          <w:p w14:paraId="5E583334" w14:textId="2EB0164F" w:rsidR="00092482" w:rsidRPr="0015004F" w:rsidRDefault="00301B04" w:rsidP="00C0747E">
            <w:pPr>
              <w:pStyle w:val="TableText0"/>
              <w:keepNext/>
            </w:pPr>
            <w:r w:rsidRPr="0015004F">
              <w:rPr>
                <w:rFonts w:eastAsia="Arial Narrow" w:cs="Arial Narrow"/>
              </w:rPr>
              <w:t>G </w:t>
            </w:r>
            <w:r w:rsidR="00092482" w:rsidRPr="0015004F">
              <w:rPr>
                <w:rFonts w:eastAsia="Arial Narrow" w:cs="Arial Narrow"/>
              </w:rPr>
              <w:t>= </w:t>
            </w:r>
            <w:r w:rsidRPr="0015004F">
              <w:rPr>
                <w:rFonts w:eastAsia="Arial Narrow" w:cs="Arial Narrow"/>
              </w:rPr>
              <w:t>E </w:t>
            </w:r>
            <w:r w:rsidR="00092482" w:rsidRPr="0015004F">
              <w:rPr>
                <w:rFonts w:eastAsia="Arial Narrow" w:cs="Arial Narrow"/>
              </w:rPr>
              <w:t>× </w:t>
            </w:r>
            <w:r w:rsidRPr="0015004F">
              <w:rPr>
                <w:rFonts w:eastAsia="Arial Narrow" w:cs="Arial Narrow"/>
              </w:rPr>
              <w:t>F</w:t>
            </w:r>
          </w:p>
        </w:tc>
      </w:tr>
      <w:tr w:rsidR="00092482" w:rsidRPr="0015004F" w14:paraId="26C165F2" w14:textId="77777777" w:rsidTr="00C0747E">
        <w:tc>
          <w:tcPr>
            <w:tcW w:w="375" w:type="dxa"/>
            <w:vAlign w:val="center"/>
          </w:tcPr>
          <w:p w14:paraId="3FFE7592" w14:textId="77777777" w:rsidR="00092482" w:rsidRPr="0015004F" w:rsidRDefault="00092482" w:rsidP="00C0747E">
            <w:pPr>
              <w:pStyle w:val="TableText0"/>
              <w:keepNext/>
              <w:rPr>
                <w:b/>
                <w:bCs/>
              </w:rPr>
            </w:pPr>
            <w:r w:rsidRPr="0015004F">
              <w:rPr>
                <w:rFonts w:eastAsia="Arial Narrow" w:cs="Arial Narrow"/>
                <w:b/>
                <w:bCs/>
              </w:rPr>
              <w:t>H</w:t>
            </w:r>
          </w:p>
        </w:tc>
        <w:tc>
          <w:tcPr>
            <w:tcW w:w="2457" w:type="dxa"/>
            <w:noWrap/>
            <w:vAlign w:val="center"/>
          </w:tcPr>
          <w:p w14:paraId="1FF140FA" w14:textId="5EB1BA3F" w:rsidR="00092482" w:rsidRPr="0015004F" w:rsidRDefault="00092482" w:rsidP="00C0747E">
            <w:pPr>
              <w:pStyle w:val="TableText0"/>
              <w:keepNext/>
            </w:pPr>
            <w:r w:rsidRPr="0015004F">
              <w:rPr>
                <w:rFonts w:eastAsia="Arial Narrow" w:cs="Arial Narrow"/>
              </w:rPr>
              <w:t xml:space="preserve">No. </w:t>
            </w:r>
            <w:r w:rsidR="007D53FF" w:rsidRPr="0015004F">
              <w:rPr>
                <w:rFonts w:eastAsia="Arial Narrow" w:cs="Arial Narrow"/>
              </w:rPr>
              <w:t>specialist</w:t>
            </w:r>
            <w:r w:rsidRPr="0015004F">
              <w:rPr>
                <w:rFonts w:eastAsia="Arial Narrow" w:cs="Arial Narrow"/>
              </w:rPr>
              <w:t xml:space="preserve"> attendances for prescriptions over </w:t>
            </w:r>
            <w:r w:rsidR="004E4F38" w:rsidRPr="0015004F">
              <w:rPr>
                <w:rFonts w:eastAsia="Arial Narrow" w:cs="Arial Narrow"/>
              </w:rPr>
              <w:t>2 years</w:t>
            </w:r>
            <w:r w:rsidRPr="0015004F">
              <w:rPr>
                <w:rFonts w:eastAsia="Arial Narrow" w:cs="Arial Narrow"/>
              </w:rPr>
              <w:t xml:space="preserve"> from treatment initiation</w:t>
            </w:r>
          </w:p>
        </w:tc>
        <w:tc>
          <w:tcPr>
            <w:tcW w:w="1277" w:type="dxa"/>
            <w:vAlign w:val="center"/>
          </w:tcPr>
          <w:p w14:paraId="05566F9F" w14:textId="77777777" w:rsidR="00092482" w:rsidRPr="0015004F" w:rsidRDefault="00092482" w:rsidP="00C0747E">
            <w:pPr>
              <w:pStyle w:val="TableText0"/>
              <w:keepNext/>
              <w:jc w:val="center"/>
            </w:pPr>
            <w:r w:rsidRPr="0015004F">
              <w:rPr>
                <w:rFonts w:eastAsia="Arial Narrow" w:cs="Arial Narrow"/>
              </w:rPr>
              <w:t>6.44</w:t>
            </w:r>
          </w:p>
        </w:tc>
        <w:tc>
          <w:tcPr>
            <w:tcW w:w="1277" w:type="dxa"/>
            <w:noWrap/>
            <w:vAlign w:val="center"/>
          </w:tcPr>
          <w:p w14:paraId="6004CE19" w14:textId="77777777" w:rsidR="00092482" w:rsidRPr="0015004F" w:rsidRDefault="00092482" w:rsidP="00C0747E">
            <w:pPr>
              <w:pStyle w:val="TableText0"/>
              <w:keepNext/>
              <w:jc w:val="center"/>
            </w:pPr>
            <w:r w:rsidRPr="0015004F">
              <w:rPr>
                <w:rFonts w:eastAsia="Arial Narrow" w:cs="Arial Narrow"/>
              </w:rPr>
              <w:t>4.00</w:t>
            </w:r>
          </w:p>
        </w:tc>
        <w:tc>
          <w:tcPr>
            <w:tcW w:w="3631" w:type="dxa"/>
            <w:vAlign w:val="center"/>
          </w:tcPr>
          <w:p w14:paraId="33637CC9" w14:textId="77777777" w:rsidR="00092482" w:rsidRPr="0015004F" w:rsidRDefault="00092482" w:rsidP="00C0747E">
            <w:pPr>
              <w:pStyle w:val="TableText0"/>
              <w:keepNext/>
            </w:pPr>
            <w:r w:rsidRPr="0015004F">
              <w:rPr>
                <w:rFonts w:eastAsia="Arial Narrow" w:cs="Arial Narrow"/>
                <w:b/>
                <w:bCs/>
              </w:rPr>
              <w:t xml:space="preserve">Lanadelumab: </w:t>
            </w:r>
            <w:r w:rsidRPr="0015004F">
              <w:rPr>
                <w:rFonts w:eastAsia="Arial Narrow" w:cs="Arial Narrow"/>
              </w:rPr>
              <w:t>No. consultations required for prescriptions for each dose regimen, weighted by distribution of dose</w:t>
            </w:r>
          </w:p>
          <w:p w14:paraId="0AB6ED7C" w14:textId="77777777" w:rsidR="00092482" w:rsidRPr="0015004F" w:rsidRDefault="00092482" w:rsidP="00C0747E">
            <w:pPr>
              <w:pStyle w:val="TableText0"/>
              <w:keepNext/>
            </w:pPr>
            <w:r w:rsidRPr="0015004F">
              <w:rPr>
                <w:rFonts w:eastAsia="Arial Narrow" w:cs="Arial Narrow"/>
                <w:b/>
                <w:bCs/>
              </w:rPr>
              <w:t>Garadacimab</w:t>
            </w:r>
            <w:r w:rsidRPr="0015004F">
              <w:rPr>
                <w:rFonts w:eastAsia="Arial Narrow" w:cs="Arial Narrow"/>
              </w:rPr>
              <w:t>: H = (E – 1) / (C + D)</w:t>
            </w:r>
          </w:p>
        </w:tc>
      </w:tr>
      <w:tr w:rsidR="00092482" w:rsidRPr="0015004F" w14:paraId="6458B771" w14:textId="77777777" w:rsidTr="00C0747E">
        <w:tc>
          <w:tcPr>
            <w:tcW w:w="375" w:type="dxa"/>
            <w:vAlign w:val="center"/>
          </w:tcPr>
          <w:p w14:paraId="6470BBB8" w14:textId="77777777" w:rsidR="00092482" w:rsidRPr="0015004F" w:rsidRDefault="00092482" w:rsidP="00C0747E">
            <w:pPr>
              <w:pStyle w:val="TableText0"/>
              <w:keepNext/>
              <w:rPr>
                <w:b/>
                <w:bCs/>
              </w:rPr>
            </w:pPr>
            <w:r w:rsidRPr="0015004F">
              <w:rPr>
                <w:rFonts w:eastAsia="Arial Narrow" w:cs="Arial Narrow"/>
                <w:b/>
                <w:bCs/>
              </w:rPr>
              <w:t>I</w:t>
            </w:r>
          </w:p>
        </w:tc>
        <w:tc>
          <w:tcPr>
            <w:tcW w:w="2457" w:type="dxa"/>
            <w:noWrap/>
            <w:vAlign w:val="center"/>
          </w:tcPr>
          <w:p w14:paraId="53DE74A2" w14:textId="000CC6C5" w:rsidR="00092482" w:rsidRPr="0015004F" w:rsidRDefault="007D53FF" w:rsidP="00C0747E">
            <w:pPr>
              <w:pStyle w:val="TableText0"/>
              <w:keepNext/>
            </w:pPr>
            <w:r w:rsidRPr="0015004F">
              <w:rPr>
                <w:rFonts w:eastAsia="Arial Narrow" w:cs="Arial Narrow"/>
              </w:rPr>
              <w:t xml:space="preserve">Specialist </w:t>
            </w:r>
            <w:r w:rsidR="00092482" w:rsidRPr="0015004F">
              <w:rPr>
                <w:rFonts w:eastAsia="Arial Narrow" w:cs="Arial Narrow"/>
              </w:rPr>
              <w:t>visit MBS fee for prescription</w:t>
            </w:r>
          </w:p>
        </w:tc>
        <w:tc>
          <w:tcPr>
            <w:tcW w:w="1277" w:type="dxa"/>
            <w:vAlign w:val="center"/>
          </w:tcPr>
          <w:p w14:paraId="182D4F2F" w14:textId="77777777" w:rsidR="00092482" w:rsidRPr="0015004F" w:rsidRDefault="00092482" w:rsidP="00C0747E">
            <w:pPr>
              <w:pStyle w:val="TableText0"/>
              <w:keepNext/>
              <w:jc w:val="center"/>
            </w:pPr>
            <w:r w:rsidRPr="0015004F">
              <w:rPr>
                <w:rFonts w:eastAsia="Arial Narrow" w:cs="Arial Narrow"/>
              </w:rPr>
              <w:t>$87.30</w:t>
            </w:r>
          </w:p>
        </w:tc>
        <w:tc>
          <w:tcPr>
            <w:tcW w:w="1277" w:type="dxa"/>
            <w:noWrap/>
            <w:vAlign w:val="center"/>
          </w:tcPr>
          <w:p w14:paraId="1D4379DF" w14:textId="77777777" w:rsidR="00092482" w:rsidRPr="0015004F" w:rsidRDefault="00092482" w:rsidP="00C0747E">
            <w:pPr>
              <w:pStyle w:val="TableText0"/>
              <w:keepNext/>
              <w:jc w:val="center"/>
            </w:pPr>
            <w:r w:rsidRPr="0015004F">
              <w:rPr>
                <w:rFonts w:eastAsia="Arial Narrow" w:cs="Arial Narrow"/>
              </w:rPr>
              <w:t>$87.30</w:t>
            </w:r>
          </w:p>
        </w:tc>
        <w:tc>
          <w:tcPr>
            <w:tcW w:w="3631" w:type="dxa"/>
            <w:vAlign w:val="center"/>
          </w:tcPr>
          <w:p w14:paraId="40A7118A" w14:textId="0208EFAC" w:rsidR="00092482" w:rsidRPr="0015004F" w:rsidRDefault="00092482" w:rsidP="00C0747E">
            <w:pPr>
              <w:pStyle w:val="TableText0"/>
              <w:keepNext/>
            </w:pPr>
            <w:r w:rsidRPr="0015004F">
              <w:rPr>
                <w:rFonts w:eastAsia="Arial Narrow" w:cs="Arial Narrow"/>
              </w:rPr>
              <w:t>MBS item code 116 (current July 1</w:t>
            </w:r>
            <w:r w:rsidRPr="0015004F">
              <w:rPr>
                <w:rFonts w:eastAsia="Arial Narrow" w:cs="Arial Narrow"/>
                <w:vertAlign w:val="superscript"/>
              </w:rPr>
              <w:t>st</w:t>
            </w:r>
            <w:r w:rsidR="00567CFD" w:rsidRPr="0015004F">
              <w:rPr>
                <w:rFonts w:eastAsia="Arial Narrow" w:cs="Arial Narrow"/>
              </w:rPr>
              <w:t>, 2024</w:t>
            </w:r>
            <w:r w:rsidRPr="0015004F">
              <w:rPr>
                <w:rFonts w:eastAsia="Arial Narrow" w:cs="Arial Narrow"/>
              </w:rPr>
              <w:t>)</w:t>
            </w:r>
          </w:p>
        </w:tc>
      </w:tr>
      <w:tr w:rsidR="00092482" w:rsidRPr="0015004F" w14:paraId="5A90C9A8" w14:textId="77777777" w:rsidTr="00C0747E">
        <w:tc>
          <w:tcPr>
            <w:tcW w:w="375" w:type="dxa"/>
            <w:vAlign w:val="center"/>
          </w:tcPr>
          <w:p w14:paraId="3A8261DD" w14:textId="77777777" w:rsidR="00092482" w:rsidRPr="0015004F" w:rsidRDefault="00092482" w:rsidP="00C0747E">
            <w:pPr>
              <w:pStyle w:val="TableText0"/>
              <w:keepNext/>
              <w:rPr>
                <w:b/>
                <w:bCs/>
              </w:rPr>
            </w:pPr>
            <w:r w:rsidRPr="0015004F">
              <w:rPr>
                <w:rFonts w:eastAsia="Arial Narrow" w:cs="Arial Narrow"/>
                <w:b/>
                <w:bCs/>
              </w:rPr>
              <w:t>J</w:t>
            </w:r>
          </w:p>
        </w:tc>
        <w:tc>
          <w:tcPr>
            <w:tcW w:w="2457" w:type="dxa"/>
            <w:noWrap/>
            <w:vAlign w:val="center"/>
          </w:tcPr>
          <w:p w14:paraId="36F11FC5" w14:textId="6359D2F3" w:rsidR="00092482" w:rsidRPr="0015004F" w:rsidRDefault="00092482" w:rsidP="00C0747E">
            <w:pPr>
              <w:pStyle w:val="TableText0"/>
              <w:keepNext/>
            </w:pPr>
            <w:r w:rsidRPr="0015004F">
              <w:rPr>
                <w:rFonts w:eastAsia="Arial Narrow" w:cs="Arial Narrow"/>
              </w:rPr>
              <w:t xml:space="preserve">Total cost of </w:t>
            </w:r>
            <w:r w:rsidR="007D53FF" w:rsidRPr="0015004F">
              <w:rPr>
                <w:rFonts w:eastAsia="Arial Narrow" w:cs="Arial Narrow"/>
              </w:rPr>
              <w:t>specialist</w:t>
            </w:r>
            <w:r w:rsidRPr="0015004F">
              <w:rPr>
                <w:rFonts w:eastAsia="Arial Narrow" w:cs="Arial Narrow"/>
              </w:rPr>
              <w:t xml:space="preserve"> attendances for prescriptions over </w:t>
            </w:r>
            <w:r w:rsidR="004E4F38" w:rsidRPr="0015004F">
              <w:rPr>
                <w:rFonts w:eastAsia="Arial Narrow" w:cs="Arial Narrow"/>
              </w:rPr>
              <w:t>2 years</w:t>
            </w:r>
            <w:r w:rsidRPr="0015004F">
              <w:rPr>
                <w:rFonts w:eastAsia="Arial Narrow" w:cs="Arial Narrow"/>
              </w:rPr>
              <w:t xml:space="preserve"> from treatment initiation</w:t>
            </w:r>
          </w:p>
        </w:tc>
        <w:tc>
          <w:tcPr>
            <w:tcW w:w="1277" w:type="dxa"/>
            <w:vAlign w:val="center"/>
          </w:tcPr>
          <w:p w14:paraId="5B5CA327" w14:textId="77777777" w:rsidR="00092482" w:rsidRPr="0015004F" w:rsidRDefault="00092482" w:rsidP="00C0747E">
            <w:pPr>
              <w:pStyle w:val="TableText0"/>
              <w:keepNext/>
              <w:jc w:val="center"/>
            </w:pPr>
            <w:r w:rsidRPr="0015004F">
              <w:rPr>
                <w:rFonts w:eastAsia="Arial Narrow" w:cs="Arial Narrow"/>
              </w:rPr>
              <w:t>$561.88</w:t>
            </w:r>
          </w:p>
        </w:tc>
        <w:tc>
          <w:tcPr>
            <w:tcW w:w="1277" w:type="dxa"/>
            <w:noWrap/>
            <w:vAlign w:val="center"/>
          </w:tcPr>
          <w:p w14:paraId="0BEC002A" w14:textId="77777777" w:rsidR="00092482" w:rsidRPr="0015004F" w:rsidRDefault="00092482" w:rsidP="00C0747E">
            <w:pPr>
              <w:pStyle w:val="TableText0"/>
              <w:keepNext/>
              <w:jc w:val="center"/>
            </w:pPr>
            <w:r w:rsidRPr="0015004F">
              <w:rPr>
                <w:rFonts w:eastAsia="Arial Narrow" w:cs="Arial Narrow"/>
              </w:rPr>
              <w:t>$349.20</w:t>
            </w:r>
          </w:p>
        </w:tc>
        <w:tc>
          <w:tcPr>
            <w:tcW w:w="3631" w:type="dxa"/>
            <w:vAlign w:val="center"/>
          </w:tcPr>
          <w:p w14:paraId="77CEFB6F" w14:textId="77777777" w:rsidR="00092482" w:rsidRPr="0015004F" w:rsidRDefault="00092482" w:rsidP="00C0747E">
            <w:pPr>
              <w:pStyle w:val="TableText0"/>
              <w:keepNext/>
            </w:pPr>
            <w:r w:rsidRPr="0015004F">
              <w:rPr>
                <w:rFonts w:eastAsia="Arial Narrow" w:cs="Arial Narrow"/>
              </w:rPr>
              <w:t>J = H × I</w:t>
            </w:r>
          </w:p>
        </w:tc>
      </w:tr>
    </w:tbl>
    <w:p w14:paraId="2EF5D544" w14:textId="77777777" w:rsidR="00270F00" w:rsidRPr="0015004F" w:rsidRDefault="00FE015B" w:rsidP="00106C2B">
      <w:pPr>
        <w:pStyle w:val="TableFigureFooter"/>
      </w:pPr>
      <w:r w:rsidRPr="0015004F">
        <w:t>Source: Constructed during the evaluation from the ‘Attachment 5 – Garadacimab CMA.xlsx’ workbook included in the submission.</w:t>
      </w:r>
    </w:p>
    <w:p w14:paraId="7F952771" w14:textId="71039C48" w:rsidR="00092482" w:rsidRPr="0015004F" w:rsidRDefault="006C5489" w:rsidP="00106C2B">
      <w:pPr>
        <w:pStyle w:val="TableFigureFooter"/>
      </w:pPr>
      <w:r w:rsidRPr="0015004F">
        <w:t xml:space="preserve">AEMP = approved ex-manufacturer price; PI = product information; </w:t>
      </w:r>
      <w:r w:rsidR="00092482" w:rsidRPr="0015004F">
        <w:t>Q4W = once every 4 weeks; QM = once per month</w:t>
      </w:r>
    </w:p>
    <w:p w14:paraId="4737B9E1" w14:textId="54B7C60D" w:rsidR="00092482" w:rsidRPr="0015004F" w:rsidRDefault="00092482" w:rsidP="00F06281">
      <w:pPr>
        <w:pStyle w:val="TableFigureFooter"/>
        <w:spacing w:after="120"/>
      </w:pPr>
      <w:r w:rsidRPr="0015004F">
        <w:rPr>
          <w:vertAlign w:val="superscript"/>
        </w:rPr>
        <w:t>a</w:t>
      </w:r>
      <w:r w:rsidRPr="0015004F">
        <w:t xml:space="preserve"> AEMP of lanadelumab reflects published AEMP. Effective lanadelumab AEMP is subject to special pricing arrangement.</w:t>
      </w:r>
    </w:p>
    <w:p w14:paraId="77EC2453" w14:textId="77777777" w:rsidR="00092482" w:rsidRPr="0015004F" w:rsidRDefault="00092482" w:rsidP="00092482">
      <w:pPr>
        <w:pStyle w:val="4-SubsectionHeading"/>
        <w:rPr>
          <w:i w:val="0"/>
        </w:rPr>
      </w:pPr>
      <w:bookmarkStart w:id="55" w:name="_Toc22897646"/>
      <w:bookmarkStart w:id="56" w:name="_Toc175935781"/>
      <w:bookmarkStart w:id="57" w:name="_Toc176781569"/>
      <w:bookmarkStart w:id="58" w:name="_Toc177480630"/>
      <w:r w:rsidRPr="0015004F">
        <w:rPr>
          <w:i w:val="0"/>
        </w:rPr>
        <w:t>Drug cost/patient/year</w:t>
      </w:r>
      <w:bookmarkEnd w:id="55"/>
      <w:bookmarkEnd w:id="56"/>
      <w:bookmarkEnd w:id="57"/>
      <w:bookmarkEnd w:id="58"/>
    </w:p>
    <w:p w14:paraId="0457EFAF" w14:textId="0CFDF0CE" w:rsidR="00552447" w:rsidRPr="0015004F" w:rsidRDefault="00552447" w:rsidP="00092482">
      <w:pPr>
        <w:pStyle w:val="3-BodyText"/>
      </w:pPr>
      <w:bookmarkStart w:id="59" w:name="_Ref104805102"/>
      <w:r w:rsidRPr="0015004F">
        <w:t>Based on the published price of lanadelumab, the cost per patient per year for:</w:t>
      </w:r>
    </w:p>
    <w:p w14:paraId="59267136" w14:textId="0EB8A72D" w:rsidR="00552447" w:rsidRPr="0015004F" w:rsidRDefault="00092482" w:rsidP="003B3E7B">
      <w:pPr>
        <w:pStyle w:val="3-BodyText"/>
        <w:numPr>
          <w:ilvl w:val="0"/>
          <w:numId w:val="15"/>
        </w:numPr>
      </w:pPr>
      <w:r w:rsidRPr="0015004F">
        <w:t>garadacimab w</w:t>
      </w:r>
      <w:r w:rsidR="00552447" w:rsidRPr="0015004F">
        <w:t>ould be</w:t>
      </w:r>
      <w:r w:rsidRPr="0015004F">
        <w:t xml:space="preserve"> $370,866, estimated from the cost-minimised </w:t>
      </w:r>
      <w:r w:rsidR="003451A0" w:rsidRPr="0015004F">
        <w:t>dispensed price for maximum quantity (</w:t>
      </w:r>
      <w:r w:rsidRPr="0015004F">
        <w:t>DPMQ</w:t>
      </w:r>
      <w:r w:rsidR="003451A0" w:rsidRPr="0015004F">
        <w:t>)</w:t>
      </w:r>
      <w:r w:rsidRPr="0015004F">
        <w:t xml:space="preserve"> ($30,905.47 per script), assuming 12</w:t>
      </w:r>
      <w:r w:rsidR="00F06281">
        <w:t> </w:t>
      </w:r>
      <w:r w:rsidR="005523A0" w:rsidRPr="0015004F">
        <w:t xml:space="preserve">garadacimab </w:t>
      </w:r>
      <w:r w:rsidRPr="0015004F">
        <w:t>scripts per patient per year</w:t>
      </w:r>
      <w:r w:rsidR="00552447" w:rsidRPr="0015004F">
        <w:t xml:space="preserve"> (as assumed in the CMA presented in the submission)</w:t>
      </w:r>
      <w:r w:rsidRPr="0015004F">
        <w:t xml:space="preserve">. </w:t>
      </w:r>
    </w:p>
    <w:p w14:paraId="393A846E" w14:textId="534F1E7D" w:rsidR="00092482" w:rsidRPr="0015004F" w:rsidRDefault="00092482" w:rsidP="003B3E7B">
      <w:pPr>
        <w:pStyle w:val="3-BodyText"/>
        <w:numPr>
          <w:ilvl w:val="0"/>
          <w:numId w:val="15"/>
        </w:numPr>
      </w:pPr>
      <w:r w:rsidRPr="0015004F">
        <w:t>lanadelumab was $372,054, based on the published DPMQ ($18,602.70), assuming 20 scripts per patient per year.</w:t>
      </w:r>
    </w:p>
    <w:p w14:paraId="5C9B27BB" w14:textId="32903ACA" w:rsidR="009F2E2B" w:rsidRPr="0015004F" w:rsidRDefault="009F2E2B" w:rsidP="00F06281">
      <w:pPr>
        <w:pStyle w:val="3-BodyText"/>
        <w:numPr>
          <w:ilvl w:val="0"/>
          <w:numId w:val="0"/>
        </w:numPr>
      </w:pPr>
    </w:p>
    <w:p w14:paraId="6DA91136" w14:textId="77777777" w:rsidR="00092482" w:rsidRPr="0015004F" w:rsidRDefault="00092482" w:rsidP="00092482">
      <w:pPr>
        <w:pStyle w:val="4-SubsectionHeading"/>
        <w:rPr>
          <w:i w:val="0"/>
        </w:rPr>
      </w:pPr>
      <w:bookmarkStart w:id="60" w:name="_Toc22897647"/>
      <w:bookmarkStart w:id="61" w:name="_Toc175935782"/>
      <w:bookmarkStart w:id="62" w:name="_Toc176781570"/>
      <w:bookmarkStart w:id="63" w:name="_Toc177480631"/>
      <w:bookmarkEnd w:id="59"/>
      <w:r w:rsidRPr="0015004F">
        <w:rPr>
          <w:i w:val="0"/>
        </w:rPr>
        <w:lastRenderedPageBreak/>
        <w:t>Estimated PBS usage &amp; financial implications</w:t>
      </w:r>
      <w:bookmarkEnd w:id="60"/>
      <w:bookmarkEnd w:id="61"/>
      <w:bookmarkEnd w:id="62"/>
      <w:bookmarkEnd w:id="63"/>
    </w:p>
    <w:p w14:paraId="2AF9DE2C" w14:textId="614DD0A7" w:rsidR="00D771EE" w:rsidRDefault="00AC46CD" w:rsidP="00AC46CD">
      <w:pPr>
        <w:pStyle w:val="3-BodyText"/>
      </w:pPr>
      <w:bookmarkStart w:id="64" w:name="_Toc22897649"/>
      <w:bookmarkStart w:id="65" w:name="_Toc177480633"/>
      <w:bookmarkEnd w:id="46"/>
      <w:r w:rsidRPr="0098262F">
        <w:t xml:space="preserve">This submission </w:t>
      </w:r>
      <w:r w:rsidR="00E9558F">
        <w:t>was</w:t>
      </w:r>
      <w:r w:rsidRPr="0098262F">
        <w:t xml:space="preserve"> considered by DUSC</w:t>
      </w:r>
      <w:r>
        <w:t xml:space="preserve">. </w:t>
      </w:r>
    </w:p>
    <w:p w14:paraId="6F343111" w14:textId="32BDE2BD" w:rsidR="00AC46CD" w:rsidRPr="0059592B" w:rsidRDefault="00AC46CD" w:rsidP="00AC46CD">
      <w:pPr>
        <w:pStyle w:val="3-BodyText"/>
      </w:pPr>
      <w:r>
        <w:t>The submission presented a market-share approach to estimate the use and financial implications for listing garadacimab for the prevention of HAE attacks</w:t>
      </w:r>
      <w:r w:rsidRPr="0059592B">
        <w:t>.</w:t>
      </w:r>
      <w:r>
        <w:t xml:space="preserve"> </w:t>
      </w:r>
      <w:r w:rsidRPr="00750971">
        <w:t>A summary of the data sources and parameter values used</w:t>
      </w:r>
      <w:r>
        <w:t xml:space="preserve"> is presented in </w:t>
      </w:r>
      <w:r>
        <w:fldChar w:fldCharType="begin" w:fldLock="1"/>
      </w:r>
      <w:r>
        <w:instrText xml:space="preserve"> REF _Ref104805262 \h </w:instrText>
      </w:r>
      <w:r>
        <w:fldChar w:fldCharType="separate"/>
      </w:r>
      <w:r w:rsidR="00106090" w:rsidRPr="0098262F">
        <w:t xml:space="preserve">Table </w:t>
      </w:r>
      <w:r w:rsidR="00106090">
        <w:rPr>
          <w:noProof/>
        </w:rPr>
        <w:t>13</w:t>
      </w:r>
      <w:r>
        <w:fldChar w:fldCharType="end"/>
      </w:r>
      <w:r>
        <w:t>.</w:t>
      </w:r>
      <w:r w:rsidRPr="0059592B">
        <w:rPr>
          <w:color w:val="0070C0"/>
        </w:rPr>
        <w:t xml:space="preserve"> </w:t>
      </w:r>
    </w:p>
    <w:p w14:paraId="404B5D93" w14:textId="5F63EEC5" w:rsidR="00AC46CD" w:rsidRPr="0098262F" w:rsidRDefault="00AC46CD" w:rsidP="00AC46CD">
      <w:pPr>
        <w:pStyle w:val="TableFigureHeading"/>
        <w:rPr>
          <w:rStyle w:val="CommentReference"/>
          <w:b/>
          <w:szCs w:val="24"/>
        </w:rPr>
      </w:pPr>
      <w:bookmarkStart w:id="66" w:name="_Ref104805262"/>
      <w:r w:rsidRPr="0098262F">
        <w:t xml:space="preserve">Table </w:t>
      </w:r>
      <w:r w:rsidR="00106090">
        <w:fldChar w:fldCharType="begin" w:fldLock="1"/>
      </w:r>
      <w:r w:rsidR="00106090">
        <w:instrText xml:space="preserve"> SEQ Table \* ARABIC </w:instrText>
      </w:r>
      <w:r w:rsidR="00106090">
        <w:fldChar w:fldCharType="separate"/>
      </w:r>
      <w:r w:rsidR="00106090">
        <w:rPr>
          <w:noProof/>
        </w:rPr>
        <w:t>13</w:t>
      </w:r>
      <w:r w:rsidR="00106090">
        <w:rPr>
          <w:noProof/>
        </w:rPr>
        <w:fldChar w:fldCharType="end"/>
      </w:r>
      <w:bookmarkEnd w:id="66"/>
      <w:r w:rsidRPr="0098262F">
        <w:t>:</w:t>
      </w:r>
      <w:r w:rsidRPr="0098262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6"/>
        <w:gridCol w:w="3827"/>
        <w:gridCol w:w="3634"/>
      </w:tblGrid>
      <w:tr w:rsidR="00AC46CD" w:rsidRPr="0098262F" w14:paraId="59E9BAC1" w14:textId="77777777" w:rsidTr="00865AE2">
        <w:trPr>
          <w:tblHeader/>
        </w:trPr>
        <w:tc>
          <w:tcPr>
            <w:tcW w:w="862" w:type="pct"/>
            <w:shd w:val="clear" w:color="auto" w:fill="auto"/>
            <w:vAlign w:val="center"/>
          </w:tcPr>
          <w:p w14:paraId="2651A8BF" w14:textId="77777777" w:rsidR="00AC46CD" w:rsidRPr="0098262F" w:rsidRDefault="00AC46CD" w:rsidP="000769B4">
            <w:pPr>
              <w:pStyle w:val="In-tableHeading"/>
              <w:keepNext w:val="0"/>
              <w:keepLines w:val="0"/>
            </w:pPr>
            <w:r w:rsidRPr="0098262F">
              <w:t>Parameter</w:t>
            </w:r>
          </w:p>
        </w:tc>
        <w:tc>
          <w:tcPr>
            <w:tcW w:w="2122" w:type="pct"/>
            <w:shd w:val="clear" w:color="auto" w:fill="auto"/>
            <w:vAlign w:val="center"/>
          </w:tcPr>
          <w:p w14:paraId="25C360C9" w14:textId="77777777" w:rsidR="00AC46CD" w:rsidRPr="0098262F" w:rsidRDefault="00AC46CD" w:rsidP="000769B4">
            <w:pPr>
              <w:pStyle w:val="In-tableHeading"/>
              <w:keepNext w:val="0"/>
              <w:keepLines w:val="0"/>
            </w:pPr>
            <w:r w:rsidRPr="0098262F">
              <w:t>Value applied and source</w:t>
            </w:r>
          </w:p>
        </w:tc>
        <w:tc>
          <w:tcPr>
            <w:tcW w:w="2015" w:type="pct"/>
            <w:shd w:val="clear" w:color="auto" w:fill="auto"/>
            <w:vAlign w:val="center"/>
          </w:tcPr>
          <w:p w14:paraId="5364B7BD" w14:textId="77777777" w:rsidR="00AC46CD" w:rsidRPr="0098262F" w:rsidRDefault="00AC46CD" w:rsidP="000769B4">
            <w:pPr>
              <w:pStyle w:val="In-tableHeading"/>
              <w:keepNext w:val="0"/>
              <w:keepLines w:val="0"/>
            </w:pPr>
            <w:r w:rsidRPr="0098262F">
              <w:t>Comment</w:t>
            </w:r>
          </w:p>
        </w:tc>
      </w:tr>
      <w:tr w:rsidR="00AC46CD" w:rsidRPr="0098262F" w14:paraId="61F883C5" w14:textId="77777777" w:rsidTr="00865AE2">
        <w:tc>
          <w:tcPr>
            <w:tcW w:w="862" w:type="pct"/>
            <w:shd w:val="clear" w:color="auto" w:fill="auto"/>
            <w:vAlign w:val="center"/>
          </w:tcPr>
          <w:p w14:paraId="76AE69EF" w14:textId="69B49A07" w:rsidR="00AC46CD" w:rsidRPr="0098262F" w:rsidRDefault="00AC46CD" w:rsidP="000769B4">
            <w:pPr>
              <w:pStyle w:val="TableText0"/>
            </w:pPr>
            <w:r w:rsidRPr="00EB7A7A">
              <w:rPr>
                <w:rFonts w:eastAsia="Arial Narrow" w:cs="Arial Narrow"/>
              </w:rPr>
              <w:t>Size of market for HAE</w:t>
            </w:r>
            <w:r>
              <w:rPr>
                <w:rFonts w:eastAsia="Arial Narrow" w:cs="Arial Narrow"/>
              </w:rPr>
              <w:t xml:space="preserve"> mAb</w:t>
            </w:r>
            <w:r w:rsidRPr="00EB7A7A">
              <w:rPr>
                <w:rFonts w:eastAsia="Arial Narrow" w:cs="Arial Narrow"/>
              </w:rPr>
              <w:t xml:space="preserve"> prophylaxis</w:t>
            </w:r>
            <w:r>
              <w:rPr>
                <w:rFonts w:eastAsia="Arial Narrow" w:cs="Arial Narrow"/>
              </w:rPr>
              <w:t xml:space="preserve"> in year prior to listing</w:t>
            </w:r>
          </w:p>
        </w:tc>
        <w:tc>
          <w:tcPr>
            <w:tcW w:w="2122" w:type="pct"/>
            <w:shd w:val="clear" w:color="auto" w:fill="auto"/>
            <w:vAlign w:val="center"/>
          </w:tcPr>
          <w:p w14:paraId="1C22DE47" w14:textId="77777777" w:rsidR="00AC46CD" w:rsidRPr="0098262F" w:rsidRDefault="00AC46CD" w:rsidP="000769B4">
            <w:pPr>
              <w:pStyle w:val="TableText0"/>
            </w:pPr>
            <w:r>
              <w:rPr>
                <w:rFonts w:eastAsia="Arial Narrow" w:cs="Arial Narrow"/>
              </w:rPr>
              <w:t>1,434 based on PBS item statistics for lanadelumab (12790E), May 2023 – April 2024</w:t>
            </w:r>
          </w:p>
        </w:tc>
        <w:tc>
          <w:tcPr>
            <w:tcW w:w="2015" w:type="pct"/>
            <w:shd w:val="clear" w:color="auto" w:fill="auto"/>
            <w:vAlign w:val="center"/>
          </w:tcPr>
          <w:p w14:paraId="00B6055D" w14:textId="77777777" w:rsidR="00AC46CD" w:rsidRPr="009D2FF9" w:rsidRDefault="00AC46CD" w:rsidP="000769B4">
            <w:pPr>
              <w:pStyle w:val="TableText0"/>
            </w:pPr>
            <w:r w:rsidRPr="009D2FF9">
              <w:rPr>
                <w:rFonts w:eastAsia="Arial Narrow" w:cs="Arial Narrow"/>
              </w:rPr>
              <w:t>This was reasonable.</w:t>
            </w:r>
          </w:p>
        </w:tc>
      </w:tr>
      <w:tr w:rsidR="00AC46CD" w:rsidRPr="0098262F" w14:paraId="48F59D0D" w14:textId="77777777" w:rsidTr="00865AE2">
        <w:tc>
          <w:tcPr>
            <w:tcW w:w="862" w:type="pct"/>
            <w:shd w:val="clear" w:color="auto" w:fill="auto"/>
            <w:vAlign w:val="center"/>
          </w:tcPr>
          <w:p w14:paraId="15E4053F" w14:textId="77777777" w:rsidR="00AC46CD" w:rsidRPr="0098262F" w:rsidRDefault="00AC46CD" w:rsidP="000769B4">
            <w:pPr>
              <w:pStyle w:val="TableText0"/>
            </w:pPr>
            <w:r w:rsidRPr="00EB7A7A">
              <w:rPr>
                <w:rFonts w:eastAsia="Arial Narrow" w:cs="Arial Narrow"/>
              </w:rPr>
              <w:t>Population growth</w:t>
            </w:r>
          </w:p>
        </w:tc>
        <w:tc>
          <w:tcPr>
            <w:tcW w:w="2122" w:type="pct"/>
            <w:shd w:val="clear" w:color="auto" w:fill="auto"/>
            <w:vAlign w:val="center"/>
          </w:tcPr>
          <w:p w14:paraId="67A9F74F" w14:textId="77777777" w:rsidR="00AC46CD" w:rsidRPr="0098262F" w:rsidRDefault="00AC46CD" w:rsidP="000769B4">
            <w:pPr>
              <w:pStyle w:val="TableText0"/>
            </w:pPr>
            <w:r>
              <w:rPr>
                <w:rFonts w:eastAsia="Arial Narrow" w:cs="Arial Narrow"/>
              </w:rPr>
              <w:t>2.2% (assumed)</w:t>
            </w:r>
          </w:p>
        </w:tc>
        <w:tc>
          <w:tcPr>
            <w:tcW w:w="2015" w:type="pct"/>
            <w:shd w:val="clear" w:color="auto" w:fill="auto"/>
            <w:vAlign w:val="center"/>
          </w:tcPr>
          <w:p w14:paraId="7E817F17" w14:textId="3A487147" w:rsidR="00AC46CD" w:rsidRPr="009D2FF9" w:rsidRDefault="00AC46CD" w:rsidP="000769B4">
            <w:pPr>
              <w:pStyle w:val="TableText0"/>
            </w:pPr>
            <w:r w:rsidRPr="009D2FF9">
              <w:rPr>
                <w:rFonts w:eastAsia="Arial Narrow" w:cs="Arial Narrow"/>
              </w:rPr>
              <w:t>Th</w:t>
            </w:r>
            <w:r w:rsidR="000769B4">
              <w:rPr>
                <w:rFonts w:eastAsia="Arial Narrow" w:cs="Arial Narrow"/>
              </w:rPr>
              <w:t>e evaluation considered that th</w:t>
            </w:r>
            <w:r w:rsidRPr="009D2FF9">
              <w:rPr>
                <w:rFonts w:eastAsia="Arial Narrow" w:cs="Arial Narrow"/>
              </w:rPr>
              <w:t>is was not appropriate as the ABS project</w:t>
            </w:r>
            <w:r w:rsidR="000769B4">
              <w:rPr>
                <w:rFonts w:eastAsia="Arial Narrow" w:cs="Arial Narrow"/>
              </w:rPr>
              <w:t>s</w:t>
            </w:r>
            <w:r w:rsidRPr="009D2FF9">
              <w:rPr>
                <w:rFonts w:eastAsia="Arial Narrow" w:cs="Arial Narrow"/>
              </w:rPr>
              <w:t xml:space="preserve"> lower population growth (1.6% in those aged ≥12 years)</w:t>
            </w:r>
            <w:r w:rsidR="00865AE2" w:rsidRPr="009D2FF9">
              <w:rPr>
                <w:rFonts w:eastAsia="Arial Narrow" w:cs="Arial Narrow"/>
              </w:rPr>
              <w:t xml:space="preserve">. </w:t>
            </w:r>
            <w:r w:rsidR="00865AE2" w:rsidRPr="009D2FF9">
              <w:t xml:space="preserve">DUSC </w:t>
            </w:r>
            <w:r w:rsidR="00265888">
              <w:t xml:space="preserve">and PBAC </w:t>
            </w:r>
            <w:r w:rsidR="00865AE2" w:rsidRPr="009D2FF9">
              <w:t>considered this to be an overestimate</w:t>
            </w:r>
            <w:r w:rsidR="004703CA">
              <w:t xml:space="preserve"> and considered a growth rate in the range of 1.2-1.6% to be more reasonable (see paragraph</w:t>
            </w:r>
            <w:r w:rsidR="000769B4">
              <w:t xml:space="preserve"> </w:t>
            </w:r>
            <w:r w:rsidR="00265888">
              <w:fldChar w:fldCharType="begin" w:fldLock="1"/>
            </w:r>
            <w:r w:rsidR="00265888">
              <w:instrText xml:space="preserve"> REF _Ref183502913 \r \h </w:instrText>
            </w:r>
            <w:r w:rsidR="00265888">
              <w:fldChar w:fldCharType="separate"/>
            </w:r>
            <w:r w:rsidR="00106090">
              <w:t>6.51</w:t>
            </w:r>
            <w:r w:rsidR="00265888">
              <w:fldChar w:fldCharType="end"/>
            </w:r>
            <w:r w:rsidR="004703CA">
              <w:t>)</w:t>
            </w:r>
          </w:p>
        </w:tc>
      </w:tr>
      <w:tr w:rsidR="00AC46CD" w:rsidRPr="0098262F" w14:paraId="591F25A3" w14:textId="77777777" w:rsidTr="00865AE2">
        <w:tc>
          <w:tcPr>
            <w:tcW w:w="862" w:type="pct"/>
            <w:shd w:val="clear" w:color="auto" w:fill="auto"/>
            <w:vAlign w:val="center"/>
          </w:tcPr>
          <w:p w14:paraId="1196D3C4" w14:textId="66E4F803" w:rsidR="00AC46CD" w:rsidRPr="0098262F" w:rsidRDefault="00AC46CD" w:rsidP="000769B4">
            <w:pPr>
              <w:pStyle w:val="TableText0"/>
            </w:pPr>
            <w:r w:rsidRPr="00EB7A7A">
              <w:rPr>
                <w:rFonts w:eastAsia="Arial Narrow" w:cs="Arial Narrow"/>
              </w:rPr>
              <w:t>N</w:t>
            </w:r>
            <w:r w:rsidR="00265888">
              <w:rPr>
                <w:rFonts w:eastAsia="Arial Narrow" w:cs="Arial Narrow"/>
              </w:rPr>
              <w:t>umber of</w:t>
            </w:r>
            <w:r w:rsidRPr="00EB7A7A">
              <w:rPr>
                <w:rFonts w:eastAsia="Arial Narrow" w:cs="Arial Narrow"/>
              </w:rPr>
              <w:t xml:space="preserve"> patients who switch from C1-INH prophylaxis</w:t>
            </w:r>
          </w:p>
        </w:tc>
        <w:tc>
          <w:tcPr>
            <w:tcW w:w="2122" w:type="pct"/>
            <w:shd w:val="clear" w:color="auto" w:fill="auto"/>
            <w:vAlign w:val="center"/>
          </w:tcPr>
          <w:p w14:paraId="6246CA16" w14:textId="2DC662DC" w:rsidR="00AC46CD" w:rsidRDefault="00AC46CD" w:rsidP="000769B4">
            <w:pPr>
              <w:pStyle w:val="TableText0"/>
            </w:pPr>
            <w:r>
              <w:rPr>
                <w:rFonts w:eastAsia="Arial Narrow" w:cs="Arial Narrow"/>
              </w:rPr>
              <w:t xml:space="preserve">Year 1: </w:t>
            </w:r>
            <w:r w:rsidR="0056079A" w:rsidRPr="0056079A">
              <w:rPr>
                <w:rFonts w:eastAsia="Arial Narrow" w:cs="Arial Narrow"/>
                <w:color w:val="000000"/>
                <w:spacing w:val="54"/>
                <w:shd w:val="solid" w:color="000000" w:fill="000000"/>
                <w:fitText w:val="333" w:id="-762091772"/>
                <w14:textFill>
                  <w14:solidFill>
                    <w14:srgbClr w14:val="000000">
                      <w14:alpha w14:val="100000"/>
                    </w14:srgbClr>
                  </w14:solidFill>
                </w14:textFill>
              </w:rPr>
              <w:t>|||</w:t>
            </w:r>
            <w:r w:rsidR="0056079A" w:rsidRPr="0056079A">
              <w:rPr>
                <w:rFonts w:eastAsia="Arial Narrow" w:cs="Arial Narrow"/>
                <w:color w:val="000000"/>
                <w:spacing w:val="1"/>
                <w:shd w:val="solid" w:color="000000" w:fill="000000"/>
                <w:fitText w:val="333" w:id="-762091772"/>
                <w14:textFill>
                  <w14:solidFill>
                    <w14:srgbClr w14:val="000000">
                      <w14:alpha w14:val="100000"/>
                    </w14:srgbClr>
                  </w14:solidFill>
                </w14:textFill>
              </w:rPr>
              <w:t>|</w:t>
            </w:r>
            <w:r w:rsidR="00FC0216" w:rsidRPr="00C341E0">
              <w:rPr>
                <w:rFonts w:eastAsia="Arial Narrow" w:cs="Arial Narrow"/>
                <w:vertAlign w:val="superscript"/>
              </w:rPr>
              <w:t>1</w:t>
            </w:r>
            <w:r>
              <w:rPr>
                <w:rFonts w:eastAsia="Arial Narrow" w:cs="Arial Narrow"/>
              </w:rPr>
              <w:t xml:space="preserve"> Year 2: </w:t>
            </w:r>
            <w:r w:rsidR="0056079A" w:rsidRPr="0056079A">
              <w:rPr>
                <w:rFonts w:eastAsia="Arial Narrow" w:cs="Arial Narrow"/>
                <w:color w:val="000000"/>
                <w:spacing w:val="54"/>
                <w:shd w:val="solid" w:color="000000" w:fill="000000"/>
                <w:fitText w:val="333" w:id="-762091771"/>
                <w14:textFill>
                  <w14:solidFill>
                    <w14:srgbClr w14:val="000000">
                      <w14:alpha w14:val="100000"/>
                    </w14:srgbClr>
                  </w14:solidFill>
                </w14:textFill>
              </w:rPr>
              <w:t>|||</w:t>
            </w:r>
            <w:r w:rsidR="0056079A" w:rsidRPr="0056079A">
              <w:rPr>
                <w:rFonts w:eastAsia="Arial Narrow" w:cs="Arial Narrow"/>
                <w:color w:val="000000"/>
                <w:spacing w:val="1"/>
                <w:shd w:val="solid" w:color="000000" w:fill="000000"/>
                <w:fitText w:val="333" w:id="-762091771"/>
                <w14:textFill>
                  <w14:solidFill>
                    <w14:srgbClr w14:val="000000">
                      <w14:alpha w14:val="100000"/>
                    </w14:srgbClr>
                  </w14:solidFill>
                </w14:textFill>
              </w:rPr>
              <w:t>|</w:t>
            </w:r>
            <w:r>
              <w:rPr>
                <w:rFonts w:eastAsia="Arial Narrow" w:cs="Arial Narrow"/>
              </w:rPr>
              <w:t xml:space="preserve">; Year 3: </w:t>
            </w:r>
            <w:r w:rsidR="0056079A" w:rsidRPr="0056079A">
              <w:rPr>
                <w:rFonts w:eastAsia="Arial Narrow" w:cs="Arial Narrow"/>
                <w:color w:val="000000"/>
                <w:spacing w:val="54"/>
                <w:shd w:val="solid" w:color="000000" w:fill="000000"/>
                <w:fitText w:val="333" w:id="-762091770"/>
                <w14:textFill>
                  <w14:solidFill>
                    <w14:srgbClr w14:val="000000">
                      <w14:alpha w14:val="100000"/>
                    </w14:srgbClr>
                  </w14:solidFill>
                </w14:textFill>
              </w:rPr>
              <w:t>|||</w:t>
            </w:r>
            <w:r w:rsidR="0056079A" w:rsidRPr="0056079A">
              <w:rPr>
                <w:rFonts w:eastAsia="Arial Narrow" w:cs="Arial Narrow"/>
                <w:color w:val="000000"/>
                <w:spacing w:val="1"/>
                <w:shd w:val="solid" w:color="000000" w:fill="000000"/>
                <w:fitText w:val="333" w:id="-762091770"/>
                <w14:textFill>
                  <w14:solidFill>
                    <w14:srgbClr w14:val="000000">
                      <w14:alpha w14:val="100000"/>
                    </w14:srgbClr>
                  </w14:solidFill>
                </w14:textFill>
              </w:rPr>
              <w:t>|</w:t>
            </w:r>
            <w:r w:rsidR="00C341E0" w:rsidRPr="00C341E0">
              <w:rPr>
                <w:rFonts w:eastAsia="Arial Narrow" w:cs="Arial Narrow"/>
                <w:vertAlign w:val="superscript"/>
              </w:rPr>
              <w:t xml:space="preserve"> 1</w:t>
            </w:r>
            <w:r>
              <w:rPr>
                <w:rFonts w:eastAsia="Arial Narrow" w:cs="Arial Narrow"/>
              </w:rPr>
              <w:t xml:space="preserve"> Year 4: </w:t>
            </w:r>
            <w:r w:rsidR="0056079A" w:rsidRPr="0056079A">
              <w:rPr>
                <w:rFonts w:eastAsia="Arial Narrow" w:cs="Arial Narrow"/>
                <w:color w:val="000000"/>
                <w:spacing w:val="54"/>
                <w:shd w:val="solid" w:color="000000" w:fill="000000"/>
                <w:fitText w:val="334" w:id="-762091769"/>
                <w14:textFill>
                  <w14:solidFill>
                    <w14:srgbClr w14:val="000000">
                      <w14:alpha w14:val="100000"/>
                    </w14:srgbClr>
                  </w14:solidFill>
                </w14:textFill>
              </w:rPr>
              <w:t>|||</w:t>
            </w:r>
            <w:r w:rsidR="0056079A" w:rsidRPr="0056079A">
              <w:rPr>
                <w:rFonts w:eastAsia="Arial Narrow" w:cs="Arial Narrow"/>
                <w:color w:val="000000"/>
                <w:spacing w:val="2"/>
                <w:shd w:val="solid" w:color="000000" w:fill="000000"/>
                <w:fitText w:val="334" w:id="-762091769"/>
                <w14:textFill>
                  <w14:solidFill>
                    <w14:srgbClr w14:val="000000">
                      <w14:alpha w14:val="100000"/>
                    </w14:srgbClr>
                  </w14:solidFill>
                </w14:textFill>
              </w:rPr>
              <w:t>|</w:t>
            </w:r>
            <w:r w:rsidR="00C341E0" w:rsidRPr="00C341E0">
              <w:rPr>
                <w:rFonts w:eastAsia="Arial Narrow" w:cs="Arial Narrow"/>
                <w:vertAlign w:val="superscript"/>
              </w:rPr>
              <w:t>1</w:t>
            </w:r>
            <w:r>
              <w:rPr>
                <w:rFonts w:eastAsia="Arial Narrow" w:cs="Arial Narrow"/>
              </w:rPr>
              <w:t xml:space="preserve">; Year 5: </w:t>
            </w:r>
            <w:r w:rsidR="0056079A" w:rsidRPr="0056079A">
              <w:rPr>
                <w:rFonts w:eastAsia="Arial Narrow" w:cs="Arial Narrow"/>
                <w:color w:val="000000"/>
                <w:spacing w:val="49"/>
                <w:shd w:val="solid" w:color="000000" w:fill="000000"/>
                <w:fitText w:val="320" w:id="-762091768"/>
                <w14:textFill>
                  <w14:solidFill>
                    <w14:srgbClr w14:val="000000">
                      <w14:alpha w14:val="100000"/>
                    </w14:srgbClr>
                  </w14:solidFill>
                </w14:textFill>
              </w:rPr>
              <w:t>|||</w:t>
            </w:r>
            <w:r w:rsidR="0056079A" w:rsidRPr="0056079A">
              <w:rPr>
                <w:rFonts w:eastAsia="Arial Narrow" w:cs="Arial Narrow"/>
                <w:color w:val="000000"/>
                <w:spacing w:val="3"/>
                <w:shd w:val="solid" w:color="000000" w:fill="000000"/>
                <w:fitText w:val="320" w:id="-762091768"/>
                <w14:textFill>
                  <w14:solidFill>
                    <w14:srgbClr w14:val="000000">
                      <w14:alpha w14:val="100000"/>
                    </w14:srgbClr>
                  </w14:solidFill>
                </w14:textFill>
              </w:rPr>
              <w:t>|</w:t>
            </w:r>
            <w:r w:rsidR="00C341E0" w:rsidRPr="00C341E0">
              <w:rPr>
                <w:rFonts w:eastAsia="Arial Narrow" w:cs="Arial Narrow"/>
                <w:vertAlign w:val="superscript"/>
              </w:rPr>
              <w:t>1</w:t>
            </w:r>
            <w:r>
              <w:rPr>
                <w:rFonts w:eastAsia="Arial Narrow" w:cs="Arial Narrow"/>
              </w:rPr>
              <w:t xml:space="preserve">; Year 6: </w:t>
            </w:r>
            <w:r w:rsidR="0056079A" w:rsidRPr="0056079A">
              <w:rPr>
                <w:rFonts w:eastAsia="Arial Narrow" w:cs="Arial Narrow"/>
                <w:color w:val="000000"/>
                <w:spacing w:val="54"/>
                <w:shd w:val="solid" w:color="000000" w:fill="000000"/>
                <w:fitText w:val="333" w:id="-762091767"/>
                <w14:textFill>
                  <w14:solidFill>
                    <w14:srgbClr w14:val="000000">
                      <w14:alpha w14:val="100000"/>
                    </w14:srgbClr>
                  </w14:solidFill>
                </w14:textFill>
              </w:rPr>
              <w:t>|||</w:t>
            </w:r>
            <w:r w:rsidR="0056079A" w:rsidRPr="0056079A">
              <w:rPr>
                <w:rFonts w:eastAsia="Arial Narrow" w:cs="Arial Narrow"/>
                <w:color w:val="000000"/>
                <w:spacing w:val="1"/>
                <w:shd w:val="solid" w:color="000000" w:fill="000000"/>
                <w:fitText w:val="333" w:id="-762091767"/>
                <w14:textFill>
                  <w14:solidFill>
                    <w14:srgbClr w14:val="000000">
                      <w14:alpha w14:val="100000"/>
                    </w14:srgbClr>
                  </w14:solidFill>
                </w14:textFill>
              </w:rPr>
              <w:t>|</w:t>
            </w:r>
            <w:r w:rsidR="00C341E0" w:rsidRPr="00C341E0">
              <w:rPr>
                <w:rFonts w:eastAsia="Arial Narrow" w:cs="Arial Narrow"/>
                <w:vertAlign w:val="superscript"/>
              </w:rPr>
              <w:t>1</w:t>
            </w:r>
          </w:p>
          <w:p w14:paraId="59DBEC3A" w14:textId="77777777" w:rsidR="000825B9" w:rsidRDefault="000825B9" w:rsidP="000769B4">
            <w:pPr>
              <w:pStyle w:val="TableText0"/>
              <w:rPr>
                <w:rFonts w:eastAsia="Arial Narrow" w:cs="Arial Narrow"/>
              </w:rPr>
            </w:pPr>
            <w:r>
              <w:rPr>
                <w:rFonts w:eastAsia="Arial Narrow" w:cs="Arial Narrow"/>
              </w:rPr>
              <w:t xml:space="preserve">Calculated from the submission’s estimate of: </w:t>
            </w:r>
          </w:p>
          <w:p w14:paraId="3419DA73" w14:textId="2D8EB541" w:rsidR="000825B9" w:rsidRDefault="000825B9" w:rsidP="000769B4">
            <w:pPr>
              <w:pStyle w:val="TableText0"/>
              <w:rPr>
                <w:rFonts w:eastAsia="Arial Narrow" w:cs="Arial Narrow"/>
              </w:rPr>
            </w:pPr>
            <w:r>
              <w:rPr>
                <w:rFonts w:eastAsia="Arial Narrow" w:cs="Arial Narrow"/>
              </w:rPr>
              <w:t xml:space="preserve">(a) the number of C1-INH patients (75 in Year 1 decreasing to </w:t>
            </w:r>
            <w:r w:rsidR="0056079A" w:rsidRPr="0056079A">
              <w:rPr>
                <w:rFonts w:eastAsia="Arial Narrow" w:cs="Arial Narrow"/>
                <w:color w:val="000000"/>
                <w:spacing w:val="54"/>
                <w:shd w:val="solid" w:color="000000" w:fill="000000"/>
                <w:fitText w:val="333" w:id="-762091766"/>
                <w14:textFill>
                  <w14:solidFill>
                    <w14:srgbClr w14:val="000000">
                      <w14:alpha w14:val="100000"/>
                    </w14:srgbClr>
                  </w14:solidFill>
                </w14:textFill>
              </w:rPr>
              <w:t>|||</w:t>
            </w:r>
            <w:r w:rsidR="0056079A" w:rsidRPr="0056079A">
              <w:rPr>
                <w:rFonts w:eastAsia="Arial Narrow" w:cs="Arial Narrow"/>
                <w:color w:val="000000"/>
                <w:spacing w:val="1"/>
                <w:shd w:val="solid" w:color="000000" w:fill="000000"/>
                <w:fitText w:val="333" w:id="-762091766"/>
                <w14:textFill>
                  <w14:solidFill>
                    <w14:srgbClr w14:val="000000">
                      <w14:alpha w14:val="100000"/>
                    </w14:srgbClr>
                  </w14:solidFill>
                </w14:textFill>
              </w:rPr>
              <w:t>|</w:t>
            </w:r>
            <w:r w:rsidR="00EB171E" w:rsidRPr="00C341E0">
              <w:rPr>
                <w:rFonts w:eastAsia="Arial Narrow" w:cs="Arial Narrow"/>
                <w:vertAlign w:val="superscript"/>
              </w:rPr>
              <w:t>1</w:t>
            </w:r>
            <w:r>
              <w:rPr>
                <w:rFonts w:eastAsia="Arial Narrow" w:cs="Arial Narrow"/>
              </w:rPr>
              <w:t xml:space="preserve"> in Year 6, estimated from the </w:t>
            </w:r>
            <w:r w:rsidRPr="00DF1F42">
              <w:rPr>
                <w:rFonts w:eastAsia="Arial Narrow" w:cs="Arial Narrow"/>
              </w:rPr>
              <w:t xml:space="preserve">sponsor-supported </w:t>
            </w:r>
            <w:proofErr w:type="spellStart"/>
            <w:r w:rsidRPr="00DF1F42">
              <w:rPr>
                <w:rFonts w:eastAsia="Arial Narrow" w:cs="Arial Narrow"/>
              </w:rPr>
              <w:t>Nursecare</w:t>
            </w:r>
            <w:proofErr w:type="spellEnd"/>
            <w:r w:rsidRPr="00DF1F42">
              <w:rPr>
                <w:rFonts w:eastAsia="Arial Narrow" w:cs="Arial Narrow"/>
              </w:rPr>
              <w:t xml:space="preserve"> Program</w:t>
            </w:r>
            <w:r>
              <w:rPr>
                <w:rFonts w:eastAsia="Arial Narrow" w:cs="Arial Narrow"/>
              </w:rPr>
              <w:t xml:space="preserve">); </w:t>
            </w:r>
          </w:p>
          <w:p w14:paraId="7B80628B" w14:textId="47C6B221" w:rsidR="00AC46CD" w:rsidRPr="0098262F" w:rsidRDefault="000825B9" w:rsidP="000769B4">
            <w:pPr>
              <w:pStyle w:val="TableText0"/>
            </w:pPr>
            <w:r>
              <w:rPr>
                <w:rFonts w:eastAsia="Arial Narrow" w:cs="Arial Narrow"/>
              </w:rPr>
              <w:t xml:space="preserve">(b) who switch each year, assuming that </w:t>
            </w:r>
            <w:r w:rsidRPr="00A60CB1">
              <w:rPr>
                <w:rFonts w:eastAsia="Arial Narrow" w:cs="Arial Narrow"/>
              </w:rPr>
              <w:t>10</w:t>
            </w:r>
            <w:r>
              <w:rPr>
                <w:rFonts w:eastAsia="Arial Narrow" w:cs="Arial Narrow"/>
              </w:rPr>
              <w:t>% of patients on C1-INH prophylaxis switch each year.</w:t>
            </w:r>
          </w:p>
        </w:tc>
        <w:tc>
          <w:tcPr>
            <w:tcW w:w="2015" w:type="pct"/>
            <w:shd w:val="clear" w:color="auto" w:fill="auto"/>
            <w:vAlign w:val="center"/>
          </w:tcPr>
          <w:p w14:paraId="07516869" w14:textId="37E03745" w:rsidR="00AC46CD" w:rsidRPr="009D2FF9" w:rsidRDefault="00AC46CD" w:rsidP="000769B4">
            <w:pPr>
              <w:pStyle w:val="TableText0"/>
            </w:pPr>
            <w:r w:rsidRPr="009D2FF9">
              <w:rPr>
                <w:rFonts w:eastAsia="Arial Narrow" w:cs="Arial Narrow"/>
              </w:rPr>
              <w:t xml:space="preserve">The number of patients on C1-INH was assumed to be stable; changes each year were due only to switching to mAb prophylaxis. </w:t>
            </w:r>
            <w:r w:rsidR="005F6EA5">
              <w:rPr>
                <w:rFonts w:eastAsia="Arial Narrow" w:cs="Arial Narrow"/>
              </w:rPr>
              <w:t xml:space="preserve">The PSCR and DUSC noted there was an error in the calculations and the number of patients on C1-INH should be </w:t>
            </w:r>
            <w:r w:rsidR="0056079A" w:rsidRPr="0056079A">
              <w:rPr>
                <w:rFonts w:eastAsia="Arial Narrow" w:cs="Arial Narrow"/>
                <w:color w:val="000000"/>
                <w:spacing w:val="49"/>
                <w:shd w:val="solid" w:color="000000" w:fill="000000"/>
                <w:fitText w:val="320" w:id="-762091765"/>
                <w14:textFill>
                  <w14:solidFill>
                    <w14:srgbClr w14:val="000000">
                      <w14:alpha w14:val="100000"/>
                    </w14:srgbClr>
                  </w14:solidFill>
                </w14:textFill>
              </w:rPr>
              <w:t>|||</w:t>
            </w:r>
            <w:r w:rsidR="0056079A" w:rsidRPr="0056079A">
              <w:rPr>
                <w:rFonts w:eastAsia="Arial Narrow" w:cs="Arial Narrow"/>
                <w:color w:val="000000"/>
                <w:spacing w:val="3"/>
                <w:shd w:val="solid" w:color="000000" w:fill="000000"/>
                <w:fitText w:val="320" w:id="-762091765"/>
                <w14:textFill>
                  <w14:solidFill>
                    <w14:srgbClr w14:val="000000">
                      <w14:alpha w14:val="100000"/>
                    </w14:srgbClr>
                  </w14:solidFill>
                </w14:textFill>
              </w:rPr>
              <w:t>|</w:t>
            </w:r>
            <w:r w:rsidR="00787616" w:rsidRPr="00DE737B">
              <w:rPr>
                <w:rFonts w:eastAsia="Arial Narrow" w:cs="Arial Narrow"/>
                <w:vertAlign w:val="superscript"/>
              </w:rPr>
              <w:t>1</w:t>
            </w:r>
            <w:r w:rsidR="000F2D70">
              <w:rPr>
                <w:rFonts w:eastAsia="Arial Narrow" w:cs="Arial Narrow"/>
              </w:rPr>
              <w:t xml:space="preserve"> </w:t>
            </w:r>
            <w:r w:rsidR="005F6EA5">
              <w:rPr>
                <w:rFonts w:eastAsia="Arial Narrow" w:cs="Arial Narrow"/>
              </w:rPr>
              <w:t xml:space="preserve">in Year 1 based on the submission’s methods. </w:t>
            </w:r>
          </w:p>
        </w:tc>
      </w:tr>
      <w:tr w:rsidR="00AC46CD" w:rsidRPr="0098262F" w14:paraId="194E7DA9" w14:textId="77777777" w:rsidTr="00865AE2">
        <w:tc>
          <w:tcPr>
            <w:tcW w:w="862" w:type="pct"/>
            <w:shd w:val="clear" w:color="auto" w:fill="auto"/>
            <w:vAlign w:val="center"/>
          </w:tcPr>
          <w:p w14:paraId="1AF3BF79" w14:textId="77777777" w:rsidR="00AC46CD" w:rsidRPr="0098262F" w:rsidRDefault="00AC46CD" w:rsidP="000769B4">
            <w:pPr>
              <w:pStyle w:val="TableText0"/>
            </w:pPr>
            <w:r w:rsidRPr="00EB7A7A">
              <w:rPr>
                <w:rFonts w:eastAsia="Arial Narrow" w:cs="Arial Narrow"/>
              </w:rPr>
              <w:t>Market growth due to patients switching from C1-INH</w:t>
            </w:r>
          </w:p>
        </w:tc>
        <w:tc>
          <w:tcPr>
            <w:tcW w:w="2122" w:type="pct"/>
            <w:shd w:val="clear" w:color="auto" w:fill="auto"/>
            <w:vAlign w:val="center"/>
          </w:tcPr>
          <w:p w14:paraId="140555F5" w14:textId="47189F7F" w:rsidR="00AC46CD" w:rsidRDefault="00AC46CD" w:rsidP="000769B4">
            <w:pPr>
              <w:pStyle w:val="TableText0"/>
            </w:pPr>
            <w:r w:rsidRPr="0052633D">
              <w:rPr>
                <w:rFonts w:eastAsia="Arial Narrow" w:cs="Arial Narrow"/>
              </w:rPr>
              <w:t xml:space="preserve">Year 1: </w:t>
            </w:r>
            <w:r w:rsidR="0056079A" w:rsidRPr="0056079A">
              <w:rPr>
                <w:rFonts w:eastAsia="Arial Narrow" w:cs="Arial Narrow"/>
                <w:color w:val="000000"/>
                <w:spacing w:val="54"/>
                <w:shd w:val="solid" w:color="000000" w:fill="000000"/>
                <w:fitText w:val="333" w:id="-762091764"/>
                <w14:textFill>
                  <w14:solidFill>
                    <w14:srgbClr w14:val="000000">
                      <w14:alpha w14:val="100000"/>
                    </w14:srgbClr>
                  </w14:solidFill>
                </w14:textFill>
              </w:rPr>
              <w:t>|||</w:t>
            </w:r>
            <w:r w:rsidR="0056079A" w:rsidRPr="0056079A">
              <w:rPr>
                <w:rFonts w:eastAsia="Arial Narrow" w:cs="Arial Narrow"/>
                <w:color w:val="000000"/>
                <w:spacing w:val="1"/>
                <w:shd w:val="solid" w:color="000000" w:fill="000000"/>
                <w:fitText w:val="333" w:id="-762091764"/>
                <w14:textFill>
                  <w14:solidFill>
                    <w14:srgbClr w14:val="000000">
                      <w14:alpha w14:val="100000"/>
                    </w14:srgbClr>
                  </w14:solidFill>
                </w14:textFill>
              </w:rPr>
              <w:t>|</w:t>
            </w:r>
            <w:r w:rsidRPr="0052633D">
              <w:rPr>
                <w:rFonts w:eastAsia="Arial Narrow" w:cs="Arial Narrow"/>
              </w:rPr>
              <w:t xml:space="preserve">%; Year 2: </w:t>
            </w:r>
            <w:r w:rsidR="0056079A" w:rsidRPr="0056079A">
              <w:rPr>
                <w:rFonts w:eastAsia="Arial Narrow" w:cs="Arial Narrow"/>
                <w:color w:val="000000"/>
                <w:spacing w:val="54"/>
                <w:shd w:val="solid" w:color="000000" w:fill="000000"/>
                <w:fitText w:val="334" w:id="-762091763"/>
                <w14:textFill>
                  <w14:solidFill>
                    <w14:srgbClr w14:val="000000">
                      <w14:alpha w14:val="100000"/>
                    </w14:srgbClr>
                  </w14:solidFill>
                </w14:textFill>
              </w:rPr>
              <w:t>|||</w:t>
            </w:r>
            <w:r w:rsidR="0056079A" w:rsidRPr="0056079A">
              <w:rPr>
                <w:rFonts w:eastAsia="Arial Narrow" w:cs="Arial Narrow"/>
                <w:color w:val="000000"/>
                <w:spacing w:val="2"/>
                <w:shd w:val="solid" w:color="000000" w:fill="000000"/>
                <w:fitText w:val="334" w:id="-762091763"/>
                <w14:textFill>
                  <w14:solidFill>
                    <w14:srgbClr w14:val="000000">
                      <w14:alpha w14:val="100000"/>
                    </w14:srgbClr>
                  </w14:solidFill>
                </w14:textFill>
              </w:rPr>
              <w:t>|</w:t>
            </w:r>
            <w:r w:rsidRPr="0052633D">
              <w:rPr>
                <w:rFonts w:eastAsia="Arial Narrow" w:cs="Arial Narrow"/>
              </w:rPr>
              <w:t xml:space="preserve">%; Year 3: </w:t>
            </w:r>
            <w:r w:rsidR="0056079A" w:rsidRPr="0056079A">
              <w:rPr>
                <w:rFonts w:eastAsia="Arial Narrow" w:cs="Arial Narrow"/>
                <w:color w:val="000000"/>
                <w:spacing w:val="54"/>
                <w:shd w:val="solid" w:color="000000" w:fill="000000"/>
                <w:fitText w:val="333" w:id="-762091762"/>
                <w14:textFill>
                  <w14:solidFill>
                    <w14:srgbClr w14:val="000000">
                      <w14:alpha w14:val="100000"/>
                    </w14:srgbClr>
                  </w14:solidFill>
                </w14:textFill>
              </w:rPr>
              <w:t>|||</w:t>
            </w:r>
            <w:r w:rsidR="0056079A" w:rsidRPr="0056079A">
              <w:rPr>
                <w:rFonts w:eastAsia="Arial Narrow" w:cs="Arial Narrow"/>
                <w:color w:val="000000"/>
                <w:spacing w:val="1"/>
                <w:shd w:val="solid" w:color="000000" w:fill="000000"/>
                <w:fitText w:val="333" w:id="-762091762"/>
                <w14:textFill>
                  <w14:solidFill>
                    <w14:srgbClr w14:val="000000">
                      <w14:alpha w14:val="100000"/>
                    </w14:srgbClr>
                  </w14:solidFill>
                </w14:textFill>
              </w:rPr>
              <w:t>|</w:t>
            </w:r>
            <w:r w:rsidRPr="0052633D">
              <w:rPr>
                <w:rFonts w:eastAsia="Arial Narrow" w:cs="Arial Narrow"/>
              </w:rPr>
              <w:t xml:space="preserve">%; Year 4: </w:t>
            </w:r>
            <w:r w:rsidR="0056079A" w:rsidRPr="0056079A">
              <w:rPr>
                <w:rFonts w:eastAsia="Arial Narrow" w:cs="Arial Narrow"/>
                <w:color w:val="000000"/>
                <w:spacing w:val="54"/>
                <w:shd w:val="solid" w:color="000000" w:fill="000000"/>
                <w:fitText w:val="333" w:id="-762091761"/>
                <w14:textFill>
                  <w14:solidFill>
                    <w14:srgbClr w14:val="000000">
                      <w14:alpha w14:val="100000"/>
                    </w14:srgbClr>
                  </w14:solidFill>
                </w14:textFill>
              </w:rPr>
              <w:t>|||</w:t>
            </w:r>
            <w:r w:rsidR="0056079A" w:rsidRPr="0056079A">
              <w:rPr>
                <w:rFonts w:eastAsia="Arial Narrow" w:cs="Arial Narrow"/>
                <w:color w:val="000000"/>
                <w:spacing w:val="1"/>
                <w:shd w:val="solid" w:color="000000" w:fill="000000"/>
                <w:fitText w:val="333" w:id="-762091761"/>
                <w14:textFill>
                  <w14:solidFill>
                    <w14:srgbClr w14:val="000000">
                      <w14:alpha w14:val="100000"/>
                    </w14:srgbClr>
                  </w14:solidFill>
                </w14:textFill>
              </w:rPr>
              <w:t>|</w:t>
            </w:r>
            <w:r w:rsidRPr="0052633D">
              <w:rPr>
                <w:rFonts w:eastAsia="Arial Narrow" w:cs="Arial Narrow"/>
              </w:rPr>
              <w:t xml:space="preserve">%; Year 5: </w:t>
            </w:r>
            <w:r w:rsidR="0056079A" w:rsidRPr="0056079A">
              <w:rPr>
                <w:rFonts w:eastAsia="Arial Narrow" w:cs="Arial Narrow"/>
                <w:color w:val="000000"/>
                <w:spacing w:val="54"/>
                <w:shd w:val="solid" w:color="000000" w:fill="000000"/>
                <w:fitText w:val="334" w:id="-762091520"/>
                <w14:textFill>
                  <w14:solidFill>
                    <w14:srgbClr w14:val="000000">
                      <w14:alpha w14:val="100000"/>
                    </w14:srgbClr>
                  </w14:solidFill>
                </w14:textFill>
              </w:rPr>
              <w:t>|||</w:t>
            </w:r>
            <w:r w:rsidR="0056079A" w:rsidRPr="0056079A">
              <w:rPr>
                <w:rFonts w:eastAsia="Arial Narrow" w:cs="Arial Narrow"/>
                <w:color w:val="000000"/>
                <w:spacing w:val="2"/>
                <w:shd w:val="solid" w:color="000000" w:fill="000000"/>
                <w:fitText w:val="334" w:id="-762091520"/>
                <w14:textFill>
                  <w14:solidFill>
                    <w14:srgbClr w14:val="000000">
                      <w14:alpha w14:val="100000"/>
                    </w14:srgbClr>
                  </w14:solidFill>
                </w14:textFill>
              </w:rPr>
              <w:t>|</w:t>
            </w:r>
            <w:r w:rsidRPr="0052633D">
              <w:rPr>
                <w:rFonts w:eastAsia="Arial Narrow" w:cs="Arial Narrow"/>
              </w:rPr>
              <w:t xml:space="preserve">%; Year 6: </w:t>
            </w:r>
            <w:r w:rsidR="0056079A" w:rsidRPr="0056079A">
              <w:rPr>
                <w:rFonts w:eastAsia="Arial Narrow" w:cs="Arial Narrow"/>
                <w:color w:val="000000"/>
                <w:spacing w:val="54"/>
                <w:shd w:val="solid" w:color="000000" w:fill="000000"/>
                <w:fitText w:val="333" w:id="-762091519"/>
                <w14:textFill>
                  <w14:solidFill>
                    <w14:srgbClr w14:val="000000">
                      <w14:alpha w14:val="100000"/>
                    </w14:srgbClr>
                  </w14:solidFill>
                </w14:textFill>
              </w:rPr>
              <w:t>|||</w:t>
            </w:r>
            <w:r w:rsidR="0056079A" w:rsidRPr="0056079A">
              <w:rPr>
                <w:rFonts w:eastAsia="Arial Narrow" w:cs="Arial Narrow"/>
                <w:color w:val="000000"/>
                <w:spacing w:val="1"/>
                <w:shd w:val="solid" w:color="000000" w:fill="000000"/>
                <w:fitText w:val="333" w:id="-762091519"/>
                <w14:textFill>
                  <w14:solidFill>
                    <w14:srgbClr w14:val="000000">
                      <w14:alpha w14:val="100000"/>
                    </w14:srgbClr>
                  </w14:solidFill>
                </w14:textFill>
              </w:rPr>
              <w:t>|</w:t>
            </w:r>
            <w:r w:rsidRPr="0052633D">
              <w:rPr>
                <w:rFonts w:eastAsia="Arial Narrow" w:cs="Arial Narrow"/>
              </w:rPr>
              <w:t>%</w:t>
            </w:r>
          </w:p>
          <w:p w14:paraId="2BBF590B" w14:textId="13DEEBD0" w:rsidR="00AC46CD" w:rsidRPr="0098262F" w:rsidRDefault="000825B9" w:rsidP="000769B4">
            <w:pPr>
              <w:pStyle w:val="TableText0"/>
            </w:pPr>
            <w:r>
              <w:rPr>
                <w:rFonts w:eastAsia="Arial Narrow" w:cs="Arial Narrow"/>
              </w:rPr>
              <w:t>Calculated by</w:t>
            </w:r>
            <w:r w:rsidR="00DF1F42">
              <w:rPr>
                <w:rFonts w:eastAsia="Arial Narrow" w:cs="Arial Narrow"/>
              </w:rPr>
              <w:t xml:space="preserve"> </w:t>
            </w:r>
            <w:r w:rsidR="00AC46CD">
              <w:rPr>
                <w:rFonts w:eastAsia="Arial Narrow" w:cs="Arial Narrow"/>
              </w:rPr>
              <w:t>divid</w:t>
            </w:r>
            <w:r>
              <w:rPr>
                <w:rFonts w:eastAsia="Arial Narrow" w:cs="Arial Narrow"/>
              </w:rPr>
              <w:t>ing the numbers in the row above</w:t>
            </w:r>
            <w:r w:rsidR="00AC46CD">
              <w:rPr>
                <w:rFonts w:eastAsia="Arial Narrow" w:cs="Arial Narrow"/>
              </w:rPr>
              <w:t xml:space="preserve"> by the </w:t>
            </w:r>
            <w:r w:rsidR="00DF1F42">
              <w:rPr>
                <w:rFonts w:eastAsia="Arial Narrow" w:cs="Arial Narrow"/>
              </w:rPr>
              <w:t>estimated number</w:t>
            </w:r>
            <w:r w:rsidR="00AC46CD">
              <w:rPr>
                <w:rFonts w:eastAsia="Arial Narrow" w:cs="Arial Narrow"/>
              </w:rPr>
              <w:t xml:space="preserve"> patients treated with lanadelumab (</w:t>
            </w:r>
            <w:r w:rsidR="00DF1F42">
              <w:rPr>
                <w:rFonts w:eastAsia="Arial Narrow" w:cs="Arial Narrow"/>
              </w:rPr>
              <w:t xml:space="preserve">the submission estimated that </w:t>
            </w:r>
            <w:r w:rsidR="0056079A" w:rsidRPr="0056079A">
              <w:rPr>
                <w:rFonts w:eastAsia="Arial Narrow" w:cs="Arial Narrow"/>
                <w:color w:val="000000"/>
                <w:spacing w:val="54"/>
                <w:shd w:val="solid" w:color="000000" w:fill="000000"/>
                <w:fitText w:val="334" w:id="-762091518"/>
                <w14:textFill>
                  <w14:solidFill>
                    <w14:srgbClr w14:val="000000">
                      <w14:alpha w14:val="100000"/>
                    </w14:srgbClr>
                  </w14:solidFill>
                </w14:textFill>
              </w:rPr>
              <w:t>|||</w:t>
            </w:r>
            <w:r w:rsidR="0056079A" w:rsidRPr="0056079A">
              <w:rPr>
                <w:rFonts w:eastAsia="Arial Narrow" w:cs="Arial Narrow"/>
                <w:color w:val="000000"/>
                <w:spacing w:val="2"/>
                <w:shd w:val="solid" w:color="000000" w:fill="000000"/>
                <w:fitText w:val="334" w:id="-762091518"/>
                <w14:textFill>
                  <w14:solidFill>
                    <w14:srgbClr w14:val="000000">
                      <w14:alpha w14:val="100000"/>
                    </w14:srgbClr>
                  </w14:solidFill>
                </w14:textFill>
              </w:rPr>
              <w:t>|</w:t>
            </w:r>
            <w:r w:rsidR="00A9504C" w:rsidRPr="00A9504C">
              <w:rPr>
                <w:rFonts w:eastAsia="Arial Narrow" w:cs="Arial Narrow"/>
                <w:vertAlign w:val="superscript"/>
              </w:rPr>
              <w:t>1</w:t>
            </w:r>
            <w:r w:rsidR="00DF1F42">
              <w:rPr>
                <w:rFonts w:eastAsia="Arial Narrow" w:cs="Arial Narrow"/>
              </w:rPr>
              <w:t xml:space="preserve"> patients are currently on lanadelumab treatment, based on</w:t>
            </w:r>
            <w:r w:rsidR="00AC46CD">
              <w:rPr>
                <w:rFonts w:eastAsia="Arial Narrow" w:cs="Arial Narrow"/>
              </w:rPr>
              <w:t xml:space="preserve"> the </w:t>
            </w:r>
            <w:r w:rsidR="00AC46CD" w:rsidRPr="009F5D84">
              <w:rPr>
                <w:rFonts w:eastAsia="Arial Narrow" w:cs="Arial Narrow"/>
              </w:rPr>
              <w:t xml:space="preserve">average </w:t>
            </w:r>
            <w:r w:rsidR="00DF1F42" w:rsidRPr="009F5D84">
              <w:rPr>
                <w:rFonts w:eastAsia="Arial Narrow" w:cs="Arial Narrow"/>
              </w:rPr>
              <w:t xml:space="preserve">number of </w:t>
            </w:r>
            <w:r w:rsidR="00AC46CD" w:rsidRPr="009F5D84">
              <w:rPr>
                <w:rFonts w:eastAsia="Arial Narrow" w:cs="Arial Narrow"/>
              </w:rPr>
              <w:t>scripts per month, April–May 2024 (128.5), assuming 1.67 scripts (20 ÷ 12) per patient)</w:t>
            </w:r>
          </w:p>
        </w:tc>
        <w:tc>
          <w:tcPr>
            <w:tcW w:w="2015" w:type="pct"/>
            <w:shd w:val="clear" w:color="auto" w:fill="auto"/>
            <w:vAlign w:val="center"/>
          </w:tcPr>
          <w:p w14:paraId="5916214D" w14:textId="77777777" w:rsidR="00E944BA" w:rsidRDefault="00AC46CD" w:rsidP="000769B4">
            <w:pPr>
              <w:pStyle w:val="TableText0"/>
              <w:rPr>
                <w:rFonts w:eastAsia="Arial Narrow" w:cs="Arial Narrow"/>
              </w:rPr>
            </w:pPr>
            <w:r w:rsidRPr="009D2FF9">
              <w:rPr>
                <w:rFonts w:eastAsia="Arial Narrow" w:cs="Arial Narrow"/>
              </w:rPr>
              <w:t>Th</w:t>
            </w:r>
            <w:r w:rsidR="00DB1C52">
              <w:rPr>
                <w:rFonts w:eastAsia="Arial Narrow" w:cs="Arial Narrow"/>
              </w:rPr>
              <w:t>e evaluation and DUSC considered that th</w:t>
            </w:r>
            <w:r w:rsidRPr="009D2FF9">
              <w:rPr>
                <w:rFonts w:eastAsia="Arial Narrow" w:cs="Arial Narrow"/>
              </w:rPr>
              <w:t xml:space="preserve">is </w:t>
            </w:r>
            <w:r w:rsidR="000825B9">
              <w:rPr>
                <w:rFonts w:eastAsia="Arial Narrow" w:cs="Arial Narrow"/>
              </w:rPr>
              <w:t>may</w:t>
            </w:r>
            <w:r w:rsidRPr="009D2FF9">
              <w:rPr>
                <w:rFonts w:eastAsia="Arial Narrow" w:cs="Arial Narrow"/>
              </w:rPr>
              <w:t xml:space="preserve"> be inaccurate due to the conversion of the number of scripts into patient numbers, which was then used to derive an estimate that would be applied to script numbers.</w:t>
            </w:r>
            <w:r w:rsidR="005D210D" w:rsidRPr="009D2FF9" w:rsidDel="005D210D">
              <w:rPr>
                <w:rFonts w:eastAsia="Arial Narrow" w:cs="Arial Narrow"/>
              </w:rPr>
              <w:t xml:space="preserve"> </w:t>
            </w:r>
          </w:p>
          <w:p w14:paraId="66C7C7F2" w14:textId="01428FCA" w:rsidR="00AC46CD" w:rsidRPr="009D2FF9" w:rsidRDefault="00E944BA" w:rsidP="000769B4">
            <w:pPr>
              <w:pStyle w:val="TableText0"/>
            </w:pPr>
            <w:r>
              <w:t xml:space="preserve">The PBAC advised that the submission’s method for </w:t>
            </w:r>
            <w:r w:rsidRPr="000769B4">
              <w:t>estimating market growth due to patients switching from C1-INH</w:t>
            </w:r>
            <w:r>
              <w:t xml:space="preserve"> was likely reliable but should be corrected for the issues identified by DUSC (including the error outlined in the row above).</w:t>
            </w:r>
          </w:p>
        </w:tc>
      </w:tr>
      <w:tr w:rsidR="00AC46CD" w:rsidRPr="0098262F" w14:paraId="1F683337" w14:textId="77777777" w:rsidTr="00865AE2">
        <w:tc>
          <w:tcPr>
            <w:tcW w:w="862" w:type="pct"/>
            <w:shd w:val="clear" w:color="auto" w:fill="auto"/>
            <w:vAlign w:val="center"/>
          </w:tcPr>
          <w:p w14:paraId="733781B3" w14:textId="77777777" w:rsidR="00AC46CD" w:rsidRPr="00EB7A7A" w:rsidRDefault="00AC46CD" w:rsidP="000769B4">
            <w:pPr>
              <w:pStyle w:val="TableText0"/>
            </w:pPr>
            <w:r w:rsidRPr="0098262F">
              <w:rPr>
                <w:rFonts w:eastAsia="Arial Narrow" w:cs="Arial Narrow"/>
              </w:rPr>
              <w:t>Uptake rate</w:t>
            </w:r>
          </w:p>
        </w:tc>
        <w:tc>
          <w:tcPr>
            <w:tcW w:w="2122" w:type="pct"/>
            <w:shd w:val="clear" w:color="auto" w:fill="auto"/>
            <w:vAlign w:val="center"/>
          </w:tcPr>
          <w:p w14:paraId="3377B0E8" w14:textId="077B5E29" w:rsidR="00AC46CD" w:rsidRDefault="0056079A" w:rsidP="000769B4">
            <w:pPr>
              <w:pStyle w:val="TableText0"/>
            </w:pPr>
            <w:r w:rsidRPr="0056079A">
              <w:rPr>
                <w:rFonts w:eastAsia="Arial Narrow" w:cs="Arial Narrow"/>
                <w:color w:val="000000"/>
                <w:spacing w:val="54"/>
                <w:shd w:val="solid" w:color="000000" w:fill="000000"/>
                <w:fitText w:val="334" w:id="-762091517"/>
                <w14:textFill>
                  <w14:solidFill>
                    <w14:srgbClr w14:val="000000">
                      <w14:alpha w14:val="100000"/>
                    </w14:srgbClr>
                  </w14:solidFill>
                </w14:textFill>
              </w:rPr>
              <w:t>|||</w:t>
            </w:r>
            <w:r w:rsidRPr="0056079A">
              <w:rPr>
                <w:rFonts w:eastAsia="Arial Narrow" w:cs="Arial Narrow"/>
                <w:color w:val="000000"/>
                <w:spacing w:val="2"/>
                <w:shd w:val="solid" w:color="000000" w:fill="000000"/>
                <w:fitText w:val="334" w:id="-762091517"/>
                <w14:textFill>
                  <w14:solidFill>
                    <w14:srgbClr w14:val="000000">
                      <w14:alpha w14:val="100000"/>
                    </w14:srgbClr>
                  </w14:solidFill>
                </w14:textFill>
              </w:rPr>
              <w:t>|</w:t>
            </w:r>
            <w:r w:rsidR="00AC46CD" w:rsidRPr="00A33502">
              <w:rPr>
                <w:rFonts w:eastAsia="Arial Narrow" w:cs="Arial Narrow"/>
              </w:rPr>
              <w:t xml:space="preserve">% in Year 1, increasing to </w:t>
            </w:r>
            <w:r w:rsidRPr="0056079A">
              <w:rPr>
                <w:rFonts w:eastAsia="Arial Narrow" w:cs="Arial Narrow"/>
                <w:color w:val="000000"/>
                <w:spacing w:val="49"/>
                <w:shd w:val="solid" w:color="000000" w:fill="000000"/>
                <w:fitText w:val="320" w:id="-762091516"/>
                <w14:textFill>
                  <w14:solidFill>
                    <w14:srgbClr w14:val="000000">
                      <w14:alpha w14:val="100000"/>
                    </w14:srgbClr>
                  </w14:solidFill>
                </w14:textFill>
              </w:rPr>
              <w:t>|||</w:t>
            </w:r>
            <w:r w:rsidRPr="0056079A">
              <w:rPr>
                <w:rFonts w:eastAsia="Arial Narrow" w:cs="Arial Narrow"/>
                <w:color w:val="000000"/>
                <w:spacing w:val="3"/>
                <w:shd w:val="solid" w:color="000000" w:fill="000000"/>
                <w:fitText w:val="320" w:id="-762091516"/>
                <w14:textFill>
                  <w14:solidFill>
                    <w14:srgbClr w14:val="000000">
                      <w14:alpha w14:val="100000"/>
                    </w14:srgbClr>
                  </w14:solidFill>
                </w14:textFill>
              </w:rPr>
              <w:t>|</w:t>
            </w:r>
            <w:r w:rsidR="00AC46CD" w:rsidRPr="0052633D">
              <w:rPr>
                <w:rFonts w:eastAsia="Arial Narrow" w:cs="Arial Narrow"/>
              </w:rPr>
              <w:t>%</w:t>
            </w:r>
            <w:r w:rsidR="00AC46CD" w:rsidRPr="00A33502">
              <w:rPr>
                <w:rFonts w:eastAsia="Arial Narrow" w:cs="Arial Narrow"/>
              </w:rPr>
              <w:t xml:space="preserve"> by Year 5 (assumed)</w:t>
            </w:r>
          </w:p>
        </w:tc>
        <w:tc>
          <w:tcPr>
            <w:tcW w:w="2015" w:type="pct"/>
            <w:shd w:val="clear" w:color="auto" w:fill="auto"/>
            <w:vAlign w:val="center"/>
          </w:tcPr>
          <w:p w14:paraId="11CA77F2" w14:textId="4DAE37B3" w:rsidR="00AC46CD" w:rsidRPr="009D2FF9" w:rsidRDefault="00AC46CD" w:rsidP="000769B4">
            <w:pPr>
              <w:pStyle w:val="TableText0"/>
            </w:pPr>
            <w:r w:rsidRPr="009D2FF9">
              <w:rPr>
                <w:rFonts w:eastAsia="Arial Narrow" w:cs="Arial Narrow"/>
              </w:rPr>
              <w:t xml:space="preserve">The </w:t>
            </w:r>
            <w:r w:rsidR="000825B9">
              <w:rPr>
                <w:rFonts w:eastAsia="Arial Narrow" w:cs="Arial Narrow"/>
              </w:rPr>
              <w:t xml:space="preserve">evaluation considered that the </w:t>
            </w:r>
            <w:r w:rsidRPr="009D2FF9">
              <w:rPr>
                <w:rFonts w:eastAsia="Arial Narrow" w:cs="Arial Narrow"/>
              </w:rPr>
              <w:t>basis for this was unclear</w:t>
            </w:r>
            <w:r w:rsidR="000825B9">
              <w:rPr>
                <w:rFonts w:eastAsia="Arial Narrow" w:cs="Arial Narrow"/>
              </w:rPr>
              <w:t>, and g</w:t>
            </w:r>
            <w:r w:rsidRPr="009D2FF9">
              <w:rPr>
                <w:rFonts w:eastAsia="Arial Narrow" w:cs="Arial Narrow"/>
              </w:rPr>
              <w:t>iven the assumed high proportion of patients currently treated with lanadelumab Q2W or Q3W, uptake may be higher in initial years.</w:t>
            </w:r>
            <w:r w:rsidR="00865AE2" w:rsidRPr="009D2FF9">
              <w:rPr>
                <w:rFonts w:eastAsia="Arial Narrow" w:cs="Arial Narrow"/>
              </w:rPr>
              <w:t xml:space="preserve"> </w:t>
            </w:r>
            <w:r w:rsidR="000825B9">
              <w:rPr>
                <w:rFonts w:eastAsia="Arial Narrow" w:cs="Arial Narrow"/>
              </w:rPr>
              <w:t xml:space="preserve">However, </w:t>
            </w:r>
            <w:r w:rsidR="00865AE2" w:rsidRPr="009D2FF9">
              <w:t xml:space="preserve">DUSC </w:t>
            </w:r>
            <w:r w:rsidR="00E944BA">
              <w:t xml:space="preserve">and PBAC </w:t>
            </w:r>
            <w:r w:rsidR="00865AE2" w:rsidRPr="009D2FF9">
              <w:t>considered th</w:t>
            </w:r>
            <w:r w:rsidR="000825B9">
              <w:t xml:space="preserve">at while this estimate was </w:t>
            </w:r>
            <w:r w:rsidR="00865AE2" w:rsidRPr="009D2FF9">
              <w:t>uncertain</w:t>
            </w:r>
            <w:r w:rsidR="000825B9">
              <w:t xml:space="preserve">, </w:t>
            </w:r>
            <w:r w:rsidR="00865AE2" w:rsidRPr="009D2FF9">
              <w:t>it may be reasonable.</w:t>
            </w:r>
          </w:p>
        </w:tc>
      </w:tr>
      <w:tr w:rsidR="00AC46CD" w:rsidRPr="0098262F" w14:paraId="3630EB8E" w14:textId="77777777" w:rsidTr="00865AE2">
        <w:tc>
          <w:tcPr>
            <w:tcW w:w="862" w:type="pct"/>
            <w:shd w:val="clear" w:color="auto" w:fill="auto"/>
            <w:vAlign w:val="center"/>
          </w:tcPr>
          <w:p w14:paraId="7B819693" w14:textId="77777777" w:rsidR="00AC46CD" w:rsidRPr="00EB7A7A" w:rsidRDefault="00AC46CD" w:rsidP="000769B4">
            <w:pPr>
              <w:pStyle w:val="TableText0"/>
            </w:pPr>
            <w:r>
              <w:rPr>
                <w:rFonts w:eastAsia="Arial Narrow" w:cs="Arial Narrow"/>
              </w:rPr>
              <w:t>Garadacimab substitution rate of lanadelumab scripts</w:t>
            </w:r>
          </w:p>
        </w:tc>
        <w:tc>
          <w:tcPr>
            <w:tcW w:w="2122" w:type="pct"/>
            <w:shd w:val="clear" w:color="auto" w:fill="auto"/>
            <w:vAlign w:val="center"/>
          </w:tcPr>
          <w:p w14:paraId="357A7E30" w14:textId="6AAEEB12" w:rsidR="00AC46CD" w:rsidRPr="00A61B85" w:rsidRDefault="00AC46CD" w:rsidP="000769B4">
            <w:pPr>
              <w:pStyle w:val="TableText0"/>
            </w:pPr>
            <w:r w:rsidRPr="00A61B85">
              <w:rPr>
                <w:rFonts w:eastAsia="Arial Narrow" w:cs="Arial Narrow"/>
              </w:rPr>
              <w:t>Initial: 1.2; Continuing: 0.6</w:t>
            </w:r>
          </w:p>
          <w:p w14:paraId="3747C9C9" w14:textId="7ABEECFD" w:rsidR="00AC46CD" w:rsidRDefault="00AC46CD" w:rsidP="000769B4">
            <w:pPr>
              <w:pStyle w:val="TableText0"/>
            </w:pPr>
            <w:r w:rsidRPr="00A61B85">
              <w:rPr>
                <w:rFonts w:eastAsia="Arial Narrow" w:cs="Arial Narrow"/>
              </w:rPr>
              <w:t>Based on garadacimab use of 2 scripts in the first month, 1 script per month thereafter; and lanadelumab use of 1.67 scripts per month (assuming 20 scripts per year, based on</w:t>
            </w:r>
            <w:r>
              <w:rPr>
                <w:rFonts w:eastAsia="Arial Narrow" w:cs="Arial Narrow"/>
              </w:rPr>
              <w:t xml:space="preserve"> the CMA)</w:t>
            </w:r>
          </w:p>
        </w:tc>
        <w:tc>
          <w:tcPr>
            <w:tcW w:w="2015" w:type="pct"/>
            <w:shd w:val="clear" w:color="auto" w:fill="auto"/>
            <w:vAlign w:val="center"/>
          </w:tcPr>
          <w:p w14:paraId="5814EF65" w14:textId="07D05E40" w:rsidR="00AC46CD" w:rsidRPr="009D2FF9" w:rsidRDefault="00AC46CD" w:rsidP="000769B4">
            <w:pPr>
              <w:pStyle w:val="TableText0"/>
            </w:pPr>
            <w:r w:rsidRPr="009D2FF9">
              <w:rPr>
                <w:rFonts w:eastAsia="Arial Narrow" w:cs="Arial Narrow"/>
              </w:rPr>
              <w:t>As the submission proposed a separate item for the initial script (which covers both doses), this approach overestimated the number of initial scripts.</w:t>
            </w:r>
            <w:r w:rsidR="00865AE2" w:rsidRPr="009D2FF9">
              <w:rPr>
                <w:rFonts w:eastAsia="Arial Narrow" w:cs="Arial Narrow"/>
              </w:rPr>
              <w:t xml:space="preserve"> </w:t>
            </w:r>
            <w:r w:rsidR="00865AE2" w:rsidRPr="009D2FF9">
              <w:t xml:space="preserve">DUSC noted the uncertainty in script substitution but considered the estimates for the number of scripts </w:t>
            </w:r>
            <w:r w:rsidR="004F7ADE">
              <w:t>may</w:t>
            </w:r>
            <w:r w:rsidR="00865AE2" w:rsidRPr="009D2FF9">
              <w:t xml:space="preserve"> be reasonable, noting the significant impact of small changes in these assumptions on treatment costs.</w:t>
            </w:r>
          </w:p>
        </w:tc>
      </w:tr>
      <w:tr w:rsidR="00AC46CD" w:rsidRPr="0098262F" w14:paraId="212E864C" w14:textId="77777777" w:rsidTr="00865AE2">
        <w:tc>
          <w:tcPr>
            <w:tcW w:w="862" w:type="pct"/>
            <w:shd w:val="clear" w:color="auto" w:fill="auto"/>
            <w:vAlign w:val="center"/>
          </w:tcPr>
          <w:p w14:paraId="0DC975B7" w14:textId="77777777" w:rsidR="00AC46CD" w:rsidRPr="00EB7A7A" w:rsidRDefault="00AC46CD" w:rsidP="000769B4">
            <w:pPr>
              <w:pStyle w:val="TableText0"/>
            </w:pPr>
            <w:r>
              <w:rPr>
                <w:rFonts w:eastAsia="Arial Narrow" w:cs="Arial Narrow"/>
              </w:rPr>
              <w:lastRenderedPageBreak/>
              <w:t>Proportion of garadacimab scripts that are initial scripts</w:t>
            </w:r>
          </w:p>
        </w:tc>
        <w:tc>
          <w:tcPr>
            <w:tcW w:w="2122" w:type="pct"/>
            <w:shd w:val="clear" w:color="auto" w:fill="auto"/>
            <w:vAlign w:val="center"/>
          </w:tcPr>
          <w:p w14:paraId="04B599C4" w14:textId="68F8424D" w:rsidR="00AC46CD" w:rsidRDefault="00AC46CD" w:rsidP="000769B4">
            <w:pPr>
              <w:pStyle w:val="TableText0"/>
            </w:pPr>
            <w:r w:rsidRPr="00643654">
              <w:rPr>
                <w:rFonts w:eastAsia="Arial Narrow" w:cs="Arial Narrow"/>
              </w:rPr>
              <w:t xml:space="preserve">Year 1: </w:t>
            </w:r>
            <w:r w:rsidR="0056079A" w:rsidRPr="0056079A">
              <w:rPr>
                <w:rFonts w:eastAsia="Arial Narrow" w:cs="Arial Narrow"/>
                <w:color w:val="000000"/>
                <w:spacing w:val="54"/>
                <w:shd w:val="solid" w:color="000000" w:fill="000000"/>
                <w:fitText w:val="333" w:id="-762091515"/>
                <w14:textFill>
                  <w14:solidFill>
                    <w14:srgbClr w14:val="000000">
                      <w14:alpha w14:val="100000"/>
                    </w14:srgbClr>
                  </w14:solidFill>
                </w14:textFill>
              </w:rPr>
              <w:t>|||</w:t>
            </w:r>
            <w:r w:rsidR="0056079A" w:rsidRPr="0056079A">
              <w:rPr>
                <w:rFonts w:eastAsia="Arial Narrow" w:cs="Arial Narrow"/>
                <w:color w:val="000000"/>
                <w:spacing w:val="1"/>
                <w:shd w:val="solid" w:color="000000" w:fill="000000"/>
                <w:fitText w:val="333" w:id="-762091515"/>
                <w14:textFill>
                  <w14:solidFill>
                    <w14:srgbClr w14:val="000000">
                      <w14:alpha w14:val="100000"/>
                    </w14:srgbClr>
                  </w14:solidFill>
                </w14:textFill>
              </w:rPr>
              <w:t>|</w:t>
            </w:r>
            <w:r w:rsidRPr="00643654">
              <w:rPr>
                <w:rFonts w:eastAsia="Arial Narrow" w:cs="Arial Narrow"/>
              </w:rPr>
              <w:t xml:space="preserve">%; Year 2: </w:t>
            </w:r>
            <w:r w:rsidR="0056079A" w:rsidRPr="0056079A">
              <w:rPr>
                <w:rFonts w:eastAsia="Arial Narrow" w:cs="Arial Narrow"/>
                <w:color w:val="000000"/>
                <w:spacing w:val="54"/>
                <w:shd w:val="solid" w:color="000000" w:fill="000000"/>
                <w:fitText w:val="334" w:id="-762091514"/>
                <w14:textFill>
                  <w14:solidFill>
                    <w14:srgbClr w14:val="000000">
                      <w14:alpha w14:val="100000"/>
                    </w14:srgbClr>
                  </w14:solidFill>
                </w14:textFill>
              </w:rPr>
              <w:t>|||</w:t>
            </w:r>
            <w:r w:rsidR="0056079A" w:rsidRPr="0056079A">
              <w:rPr>
                <w:rFonts w:eastAsia="Arial Narrow" w:cs="Arial Narrow"/>
                <w:color w:val="000000"/>
                <w:spacing w:val="2"/>
                <w:shd w:val="solid" w:color="000000" w:fill="000000"/>
                <w:fitText w:val="334" w:id="-762091514"/>
                <w14:textFill>
                  <w14:solidFill>
                    <w14:srgbClr w14:val="000000">
                      <w14:alpha w14:val="100000"/>
                    </w14:srgbClr>
                  </w14:solidFill>
                </w14:textFill>
              </w:rPr>
              <w:t>|</w:t>
            </w:r>
            <w:r w:rsidRPr="00643654">
              <w:rPr>
                <w:rFonts w:eastAsia="Arial Narrow" w:cs="Arial Narrow"/>
              </w:rPr>
              <w:t xml:space="preserve">%; Year 3: </w:t>
            </w:r>
            <w:r w:rsidR="0056079A" w:rsidRPr="0056079A">
              <w:rPr>
                <w:rFonts w:eastAsia="Arial Narrow" w:cs="Arial Narrow"/>
                <w:color w:val="000000"/>
                <w:spacing w:val="54"/>
                <w:shd w:val="solid" w:color="000000" w:fill="000000"/>
                <w:fitText w:val="333" w:id="-762091513"/>
                <w14:textFill>
                  <w14:solidFill>
                    <w14:srgbClr w14:val="000000">
                      <w14:alpha w14:val="100000"/>
                    </w14:srgbClr>
                  </w14:solidFill>
                </w14:textFill>
              </w:rPr>
              <w:t>|||</w:t>
            </w:r>
            <w:r w:rsidR="0056079A" w:rsidRPr="0056079A">
              <w:rPr>
                <w:rFonts w:eastAsia="Arial Narrow" w:cs="Arial Narrow"/>
                <w:color w:val="000000"/>
                <w:spacing w:val="1"/>
                <w:shd w:val="solid" w:color="000000" w:fill="000000"/>
                <w:fitText w:val="333" w:id="-762091513"/>
                <w14:textFill>
                  <w14:solidFill>
                    <w14:srgbClr w14:val="000000">
                      <w14:alpha w14:val="100000"/>
                    </w14:srgbClr>
                  </w14:solidFill>
                </w14:textFill>
              </w:rPr>
              <w:t>|</w:t>
            </w:r>
            <w:r w:rsidRPr="00643654">
              <w:rPr>
                <w:rFonts w:eastAsia="Arial Narrow" w:cs="Arial Narrow"/>
              </w:rPr>
              <w:t xml:space="preserve">%; Year 4: </w:t>
            </w:r>
            <w:r w:rsidR="0056079A" w:rsidRPr="0056079A">
              <w:rPr>
                <w:rFonts w:eastAsia="Arial Narrow" w:cs="Arial Narrow"/>
                <w:color w:val="000000"/>
                <w:spacing w:val="54"/>
                <w:shd w:val="solid" w:color="000000" w:fill="000000"/>
                <w:fitText w:val="333" w:id="-762091512"/>
                <w14:textFill>
                  <w14:solidFill>
                    <w14:srgbClr w14:val="000000">
                      <w14:alpha w14:val="100000"/>
                    </w14:srgbClr>
                  </w14:solidFill>
                </w14:textFill>
              </w:rPr>
              <w:t>|||</w:t>
            </w:r>
            <w:r w:rsidR="0056079A" w:rsidRPr="0056079A">
              <w:rPr>
                <w:rFonts w:eastAsia="Arial Narrow" w:cs="Arial Narrow"/>
                <w:color w:val="000000"/>
                <w:spacing w:val="1"/>
                <w:shd w:val="solid" w:color="000000" w:fill="000000"/>
                <w:fitText w:val="333" w:id="-762091512"/>
                <w14:textFill>
                  <w14:solidFill>
                    <w14:srgbClr w14:val="000000">
                      <w14:alpha w14:val="100000"/>
                    </w14:srgbClr>
                  </w14:solidFill>
                </w14:textFill>
              </w:rPr>
              <w:t>|</w:t>
            </w:r>
            <w:r w:rsidRPr="00643654">
              <w:rPr>
                <w:rFonts w:eastAsia="Arial Narrow" w:cs="Arial Narrow"/>
              </w:rPr>
              <w:t xml:space="preserve">%; Year 5: </w:t>
            </w:r>
            <w:r w:rsidR="0056079A" w:rsidRPr="0056079A">
              <w:rPr>
                <w:rFonts w:eastAsia="Arial Narrow" w:cs="Arial Narrow"/>
                <w:color w:val="000000"/>
                <w:spacing w:val="54"/>
                <w:shd w:val="solid" w:color="000000" w:fill="000000"/>
                <w:fitText w:val="334" w:id="-762091511"/>
                <w14:textFill>
                  <w14:solidFill>
                    <w14:srgbClr w14:val="000000">
                      <w14:alpha w14:val="100000"/>
                    </w14:srgbClr>
                  </w14:solidFill>
                </w14:textFill>
              </w:rPr>
              <w:t>|||</w:t>
            </w:r>
            <w:r w:rsidR="0056079A" w:rsidRPr="0056079A">
              <w:rPr>
                <w:rFonts w:eastAsia="Arial Narrow" w:cs="Arial Narrow"/>
                <w:color w:val="000000"/>
                <w:spacing w:val="2"/>
                <w:shd w:val="solid" w:color="000000" w:fill="000000"/>
                <w:fitText w:val="334" w:id="-762091511"/>
                <w14:textFill>
                  <w14:solidFill>
                    <w14:srgbClr w14:val="000000">
                      <w14:alpha w14:val="100000"/>
                    </w14:srgbClr>
                  </w14:solidFill>
                </w14:textFill>
              </w:rPr>
              <w:t>|</w:t>
            </w:r>
            <w:r w:rsidRPr="00643654">
              <w:rPr>
                <w:rFonts w:eastAsia="Arial Narrow" w:cs="Arial Narrow"/>
              </w:rPr>
              <w:t xml:space="preserve">%; Year 6: </w:t>
            </w:r>
            <w:r w:rsidR="0056079A" w:rsidRPr="0056079A">
              <w:rPr>
                <w:rFonts w:eastAsia="Arial Narrow" w:cs="Arial Narrow"/>
                <w:color w:val="000000"/>
                <w:spacing w:val="54"/>
                <w:shd w:val="solid" w:color="000000" w:fill="000000"/>
                <w:fitText w:val="333" w:id="-762091510"/>
                <w14:textFill>
                  <w14:solidFill>
                    <w14:srgbClr w14:val="000000">
                      <w14:alpha w14:val="100000"/>
                    </w14:srgbClr>
                  </w14:solidFill>
                </w14:textFill>
              </w:rPr>
              <w:t>|||</w:t>
            </w:r>
            <w:r w:rsidR="0056079A" w:rsidRPr="0056079A">
              <w:rPr>
                <w:rFonts w:eastAsia="Arial Narrow" w:cs="Arial Narrow"/>
                <w:color w:val="000000"/>
                <w:spacing w:val="1"/>
                <w:shd w:val="solid" w:color="000000" w:fill="000000"/>
                <w:fitText w:val="333" w:id="-762091510"/>
                <w14:textFill>
                  <w14:solidFill>
                    <w14:srgbClr w14:val="000000">
                      <w14:alpha w14:val="100000"/>
                    </w14:srgbClr>
                  </w14:solidFill>
                </w14:textFill>
              </w:rPr>
              <w:t>|</w:t>
            </w:r>
            <w:r w:rsidRPr="00643654">
              <w:rPr>
                <w:rFonts w:eastAsia="Arial Narrow" w:cs="Arial Narrow"/>
              </w:rPr>
              <w:t>%</w:t>
            </w:r>
          </w:p>
          <w:p w14:paraId="45D8B517" w14:textId="77777777" w:rsidR="00AC46CD" w:rsidRDefault="00AC46CD" w:rsidP="000769B4">
            <w:pPr>
              <w:pStyle w:val="TableText0"/>
            </w:pPr>
          </w:p>
          <w:p w14:paraId="25A818BC" w14:textId="2580930C" w:rsidR="00AC46CD" w:rsidRDefault="00AC46CD" w:rsidP="000769B4">
            <w:pPr>
              <w:pStyle w:val="TableText0"/>
            </w:pPr>
            <w:r>
              <w:rPr>
                <w:rFonts w:eastAsia="Arial Narrow" w:cs="Arial Narrow"/>
              </w:rPr>
              <w:t xml:space="preserve">Derived from the proportion of initial scripts assuming </w:t>
            </w:r>
            <w:r w:rsidR="0056079A" w:rsidRPr="0056079A">
              <w:rPr>
                <w:rFonts w:eastAsia="Arial Narrow" w:cs="Arial Narrow"/>
                <w:color w:val="000000"/>
                <w:spacing w:val="54"/>
                <w:shd w:val="solid" w:color="000000" w:fill="000000"/>
                <w:fitText w:val="333" w:id="-762091509"/>
                <w14:textFill>
                  <w14:solidFill>
                    <w14:srgbClr w14:val="000000">
                      <w14:alpha w14:val="100000"/>
                    </w14:srgbClr>
                  </w14:solidFill>
                </w14:textFill>
              </w:rPr>
              <w:t>|||</w:t>
            </w:r>
            <w:r w:rsidR="0056079A" w:rsidRPr="0056079A">
              <w:rPr>
                <w:rFonts w:eastAsia="Arial Narrow" w:cs="Arial Narrow"/>
                <w:color w:val="000000"/>
                <w:spacing w:val="1"/>
                <w:shd w:val="solid" w:color="000000" w:fill="000000"/>
                <w:fitText w:val="333" w:id="-762091509"/>
                <w14:textFill>
                  <w14:solidFill>
                    <w14:srgbClr w14:val="000000">
                      <w14:alpha w14:val="100000"/>
                    </w14:srgbClr>
                  </w14:solidFill>
                </w14:textFill>
              </w:rPr>
              <w:t>|</w:t>
            </w:r>
            <w:r w:rsidR="00586C1E" w:rsidRPr="00586C1E">
              <w:rPr>
                <w:rFonts w:eastAsia="Arial Narrow" w:cs="Arial Narrow"/>
                <w:vertAlign w:val="superscript"/>
              </w:rPr>
              <w:t>1</w:t>
            </w:r>
            <w:r>
              <w:rPr>
                <w:rFonts w:eastAsia="Arial Narrow" w:cs="Arial Narrow"/>
              </w:rPr>
              <w:t xml:space="preserve"> patients </w:t>
            </w:r>
            <w:r w:rsidR="004F7ADE">
              <w:rPr>
                <w:rFonts w:eastAsia="Arial Narrow" w:cs="Arial Narrow"/>
              </w:rPr>
              <w:t xml:space="preserve">are </w:t>
            </w:r>
            <w:r>
              <w:rPr>
                <w:rFonts w:eastAsia="Arial Narrow" w:cs="Arial Narrow"/>
              </w:rPr>
              <w:t xml:space="preserve">currently treated with lanadelumab, who uptake garadacimab </w:t>
            </w:r>
            <w:r w:rsidR="0056079A" w:rsidRPr="0056079A">
              <w:rPr>
                <w:rFonts w:eastAsia="Arial Narrow" w:cs="Arial Narrow"/>
                <w:color w:val="000000"/>
                <w:spacing w:val="54"/>
                <w:shd w:val="solid" w:color="000000" w:fill="000000"/>
                <w:fitText w:val="333" w:id="-762091508"/>
                <w14:textFill>
                  <w14:solidFill>
                    <w14:srgbClr w14:val="000000">
                      <w14:alpha w14:val="100000"/>
                    </w14:srgbClr>
                  </w14:solidFill>
                </w14:textFill>
              </w:rPr>
              <w:t>|||</w:t>
            </w:r>
            <w:r w:rsidR="0056079A" w:rsidRPr="0056079A">
              <w:rPr>
                <w:rFonts w:eastAsia="Arial Narrow" w:cs="Arial Narrow"/>
                <w:color w:val="000000"/>
                <w:spacing w:val="1"/>
                <w:shd w:val="solid" w:color="000000" w:fill="000000"/>
                <w:fitText w:val="333" w:id="-762091508"/>
                <w14:textFill>
                  <w14:solidFill>
                    <w14:srgbClr w14:val="000000">
                      <w14:alpha w14:val="100000"/>
                    </w14:srgbClr>
                  </w14:solidFill>
                </w14:textFill>
              </w:rPr>
              <w:t>|</w:t>
            </w:r>
            <w:r w:rsidRPr="000F74F8">
              <w:rPr>
                <w:rFonts w:eastAsia="Arial Narrow" w:cs="Arial Narrow"/>
              </w:rPr>
              <w:t>–</w:t>
            </w:r>
            <w:r w:rsidR="0056079A" w:rsidRPr="0056079A">
              <w:rPr>
                <w:rFonts w:eastAsia="Arial Narrow" w:cs="Arial Narrow"/>
                <w:color w:val="000000"/>
                <w:spacing w:val="54"/>
                <w:shd w:val="solid" w:color="000000" w:fill="000000"/>
                <w:fitText w:val="334" w:id="-762091507"/>
                <w14:textFill>
                  <w14:solidFill>
                    <w14:srgbClr w14:val="000000">
                      <w14:alpha w14:val="100000"/>
                    </w14:srgbClr>
                  </w14:solidFill>
                </w14:textFill>
              </w:rPr>
              <w:t>|||</w:t>
            </w:r>
            <w:r w:rsidR="0056079A" w:rsidRPr="0056079A">
              <w:rPr>
                <w:rFonts w:eastAsia="Arial Narrow" w:cs="Arial Narrow"/>
                <w:color w:val="000000"/>
                <w:spacing w:val="2"/>
                <w:shd w:val="solid" w:color="000000" w:fill="000000"/>
                <w:fitText w:val="334" w:id="-762091507"/>
                <w14:textFill>
                  <w14:solidFill>
                    <w14:srgbClr w14:val="000000">
                      <w14:alpha w14:val="100000"/>
                    </w14:srgbClr>
                  </w14:solidFill>
                </w14:textFill>
              </w:rPr>
              <w:t>|</w:t>
            </w:r>
            <w:r w:rsidRPr="008F46CB">
              <w:rPr>
                <w:rFonts w:eastAsia="Arial Narrow" w:cs="Arial Narrow"/>
              </w:rPr>
              <w:t>%</w:t>
            </w:r>
            <w:r>
              <w:rPr>
                <w:rFonts w:eastAsia="Arial Narrow" w:cs="Arial Narrow"/>
              </w:rPr>
              <w:t xml:space="preserve"> over Years 1–6</w:t>
            </w:r>
          </w:p>
        </w:tc>
        <w:tc>
          <w:tcPr>
            <w:tcW w:w="2015" w:type="pct"/>
            <w:shd w:val="clear" w:color="auto" w:fill="auto"/>
            <w:vAlign w:val="center"/>
          </w:tcPr>
          <w:p w14:paraId="3CC9B4EC" w14:textId="0E7C65F5" w:rsidR="00AC46CD" w:rsidRPr="009D2FF9" w:rsidRDefault="00AC46CD" w:rsidP="000769B4">
            <w:pPr>
              <w:pStyle w:val="TableText0"/>
            </w:pPr>
            <w:r w:rsidRPr="009D2FF9">
              <w:rPr>
                <w:rFonts w:eastAsia="Arial Narrow" w:cs="Arial Narrow"/>
              </w:rPr>
              <w:t>Th</w:t>
            </w:r>
            <w:r w:rsidR="000825B9">
              <w:rPr>
                <w:rFonts w:eastAsia="Arial Narrow" w:cs="Arial Narrow"/>
              </w:rPr>
              <w:t>e evaluation considered that th</w:t>
            </w:r>
            <w:r w:rsidRPr="009D2FF9">
              <w:rPr>
                <w:rFonts w:eastAsia="Arial Narrow" w:cs="Arial Narrow"/>
              </w:rPr>
              <w:t xml:space="preserve">is approach was not justified, was not consistent with other assumptions applied and was implemented erroneously. </w:t>
            </w:r>
            <w:r w:rsidR="004F7ADE">
              <w:rPr>
                <w:rFonts w:eastAsia="Arial Narrow" w:cs="Arial Narrow"/>
              </w:rPr>
              <w:t>Overall, t</w:t>
            </w:r>
            <w:r w:rsidR="004F7ADE" w:rsidRPr="004F7ADE">
              <w:rPr>
                <w:rFonts w:eastAsia="Arial Narrow" w:cs="Arial Narrow"/>
              </w:rPr>
              <w:t xml:space="preserve">he PBAC advised that, where possible, the financial estimates should be updated to be based on patient-level PBS data. </w:t>
            </w:r>
          </w:p>
        </w:tc>
      </w:tr>
      <w:tr w:rsidR="00AC46CD" w:rsidRPr="0098262F" w14:paraId="216A89EB" w14:textId="77777777" w:rsidTr="00865AE2">
        <w:tc>
          <w:tcPr>
            <w:tcW w:w="862" w:type="pct"/>
            <w:shd w:val="clear" w:color="auto" w:fill="auto"/>
            <w:vAlign w:val="center"/>
          </w:tcPr>
          <w:p w14:paraId="10E2CCCE" w14:textId="77777777" w:rsidR="00AC46CD" w:rsidRPr="0098262F" w:rsidRDefault="00AC46CD" w:rsidP="000769B4">
            <w:pPr>
              <w:pStyle w:val="TableText0"/>
            </w:pPr>
            <w:r w:rsidRPr="0098262F">
              <w:rPr>
                <w:rFonts w:eastAsia="Arial Narrow" w:cs="Arial Narrow"/>
              </w:rPr>
              <w:t>Grandfathered patients</w:t>
            </w:r>
          </w:p>
        </w:tc>
        <w:tc>
          <w:tcPr>
            <w:tcW w:w="2122" w:type="pct"/>
            <w:shd w:val="clear" w:color="auto" w:fill="auto"/>
            <w:vAlign w:val="center"/>
          </w:tcPr>
          <w:p w14:paraId="67D7C157" w14:textId="4D3B5E50" w:rsidR="00AC46CD" w:rsidRPr="0098262F" w:rsidRDefault="0056079A" w:rsidP="000769B4">
            <w:pPr>
              <w:pStyle w:val="TableText0"/>
            </w:pPr>
            <w:r w:rsidRPr="0056079A">
              <w:rPr>
                <w:rFonts w:eastAsia="Arial Narrow" w:cs="Arial Narrow"/>
                <w:color w:val="000000"/>
                <w:spacing w:val="54"/>
                <w:shd w:val="solid" w:color="000000" w:fill="000000"/>
                <w:fitText w:val="334" w:id="-762091506"/>
                <w14:textFill>
                  <w14:solidFill>
                    <w14:srgbClr w14:val="000000">
                      <w14:alpha w14:val="100000"/>
                    </w14:srgbClr>
                  </w14:solidFill>
                </w14:textFill>
              </w:rPr>
              <w:t>|||</w:t>
            </w:r>
            <w:r w:rsidRPr="0056079A">
              <w:rPr>
                <w:rFonts w:eastAsia="Arial Narrow" w:cs="Arial Narrow"/>
                <w:color w:val="000000"/>
                <w:spacing w:val="2"/>
                <w:shd w:val="solid" w:color="000000" w:fill="000000"/>
                <w:fitText w:val="334" w:id="-762091506"/>
                <w14:textFill>
                  <w14:solidFill>
                    <w14:srgbClr w14:val="000000">
                      <w14:alpha w14:val="100000"/>
                    </w14:srgbClr>
                  </w14:solidFill>
                </w14:textFill>
              </w:rPr>
              <w:t>|</w:t>
            </w:r>
            <w:r w:rsidR="005C51DF" w:rsidRPr="00586C1E">
              <w:rPr>
                <w:rFonts w:eastAsia="Arial Narrow" w:cs="Arial Narrow"/>
                <w:vertAlign w:val="superscript"/>
              </w:rPr>
              <w:t>1</w:t>
            </w:r>
            <w:r w:rsidR="00AC46CD">
              <w:rPr>
                <w:rFonts w:eastAsia="Arial Narrow" w:cs="Arial Narrow"/>
              </w:rPr>
              <w:t xml:space="preserve"> based on the n</w:t>
            </w:r>
            <w:r w:rsidR="00265888">
              <w:rPr>
                <w:rFonts w:eastAsia="Arial Narrow" w:cs="Arial Narrow"/>
              </w:rPr>
              <w:t>umber of</w:t>
            </w:r>
            <w:r w:rsidR="00AC46CD">
              <w:rPr>
                <w:rFonts w:eastAsia="Arial Narrow" w:cs="Arial Narrow"/>
              </w:rPr>
              <w:t xml:space="preserve"> Australian patients enrolled in the garadacimab open-label extension study.</w:t>
            </w:r>
          </w:p>
        </w:tc>
        <w:tc>
          <w:tcPr>
            <w:tcW w:w="2015" w:type="pct"/>
            <w:shd w:val="clear" w:color="auto" w:fill="auto"/>
            <w:vAlign w:val="center"/>
          </w:tcPr>
          <w:p w14:paraId="5B2123E2" w14:textId="5B1DCE71" w:rsidR="00AC46CD" w:rsidRPr="009D2FF9" w:rsidRDefault="00AC46CD" w:rsidP="000769B4">
            <w:pPr>
              <w:pStyle w:val="TableText0"/>
              <w:rPr>
                <w:rFonts w:eastAsia="Arial Narrow" w:cs="Arial Narrow"/>
              </w:rPr>
            </w:pPr>
            <w:r w:rsidRPr="009D2FF9">
              <w:rPr>
                <w:rFonts w:eastAsia="Arial Narrow" w:cs="Arial Narrow"/>
              </w:rPr>
              <w:t>Th</w:t>
            </w:r>
            <w:r w:rsidR="009348D7">
              <w:rPr>
                <w:rFonts w:eastAsia="Arial Narrow" w:cs="Arial Narrow"/>
              </w:rPr>
              <w:t>e estimated number of patients</w:t>
            </w:r>
            <w:r w:rsidRPr="009D2FF9">
              <w:rPr>
                <w:rFonts w:eastAsia="Arial Narrow" w:cs="Arial Narrow"/>
              </w:rPr>
              <w:t xml:space="preserve"> was reasonable, however garadacimab use was not quantified in these patients. </w:t>
            </w:r>
            <w:r w:rsidR="009348D7">
              <w:rPr>
                <w:rFonts w:eastAsia="Arial Narrow" w:cs="Arial Narrow"/>
              </w:rPr>
              <w:t xml:space="preserve">The PBAC considered that </w:t>
            </w:r>
            <w:r w:rsidR="000769B4">
              <w:rPr>
                <w:rFonts w:eastAsia="Arial Narrow" w:cs="Arial Narrow"/>
              </w:rPr>
              <w:t xml:space="preserve">it may be reasonable to include the </w:t>
            </w:r>
            <w:r w:rsidR="009348D7">
              <w:rPr>
                <w:rFonts w:eastAsia="Arial Narrow" w:cs="Arial Narrow"/>
              </w:rPr>
              <w:t xml:space="preserve">grandfather patients in the financial </w:t>
            </w:r>
            <w:r w:rsidR="000769B4">
              <w:rPr>
                <w:rFonts w:eastAsia="Arial Narrow" w:cs="Arial Narrow"/>
              </w:rPr>
              <w:t xml:space="preserve">in the financial </w:t>
            </w:r>
            <w:r w:rsidR="009348D7">
              <w:rPr>
                <w:rFonts w:eastAsia="Arial Narrow" w:cs="Arial Narrow"/>
              </w:rPr>
              <w:t>estimates</w:t>
            </w:r>
            <w:r w:rsidR="000769B4">
              <w:rPr>
                <w:rFonts w:eastAsia="Arial Narrow" w:cs="Arial Narrow"/>
              </w:rPr>
              <w:t xml:space="preserve"> given the market share approach and the relatively low uptake assumed in Year 1</w:t>
            </w:r>
            <w:r w:rsidR="009348D7">
              <w:rPr>
                <w:rFonts w:eastAsia="Arial Narrow" w:cs="Arial Narrow"/>
              </w:rPr>
              <w:t>.</w:t>
            </w:r>
          </w:p>
        </w:tc>
      </w:tr>
    </w:tbl>
    <w:p w14:paraId="0F39B6AB" w14:textId="77777777" w:rsidR="00AC46CD" w:rsidRDefault="00AC46CD" w:rsidP="00AC46CD">
      <w:pPr>
        <w:pStyle w:val="TableFigureFooter"/>
      </w:pPr>
      <w:r>
        <w:t>Source: Table 4.1, p149 of the submission.</w:t>
      </w:r>
    </w:p>
    <w:p w14:paraId="37812AC6" w14:textId="77777777" w:rsidR="00B4785B" w:rsidRDefault="00AC46CD" w:rsidP="00B4785B">
      <w:pPr>
        <w:pStyle w:val="TableFigureFooter"/>
        <w:rPr>
          <w:i/>
        </w:rPr>
      </w:pPr>
      <w:r>
        <w:t xml:space="preserve">ABS = </w:t>
      </w:r>
      <w:r w:rsidRPr="00F311FE">
        <w:t>Australian Bureau of Statistics</w:t>
      </w:r>
      <w:r>
        <w:t>; C1-INH = C1-esterase inhibitor;</w:t>
      </w:r>
      <w:r w:rsidRPr="001647BC">
        <w:rPr>
          <w:rFonts w:ascii="Calibri" w:hAnsi="Calibri"/>
          <w:snapToGrid/>
          <w:sz w:val="24"/>
          <w:szCs w:val="24"/>
        </w:rPr>
        <w:t xml:space="preserve"> </w:t>
      </w:r>
      <w:r w:rsidRPr="001647BC">
        <w:t xml:space="preserve">CMA = cost-minimisation approach; </w:t>
      </w:r>
      <w:r>
        <w:t xml:space="preserve"> HAE = hereditary angioedema; mAb = </w:t>
      </w:r>
      <w:r w:rsidRPr="009D2FF9">
        <w:t>monoclonal antibody; Q2W = once every 2 weeks; Q3W = once every 3 weeks</w:t>
      </w:r>
      <w:r w:rsidR="00B4785B" w:rsidRPr="00B4785B">
        <w:rPr>
          <w:i/>
        </w:rPr>
        <w:t xml:space="preserve"> </w:t>
      </w:r>
    </w:p>
    <w:p w14:paraId="055A1C7C" w14:textId="18ACC7FE" w:rsidR="00B4785B" w:rsidRPr="00B4785B" w:rsidRDefault="00B4785B" w:rsidP="00B4785B">
      <w:pPr>
        <w:pStyle w:val="TableFigureFooter"/>
        <w:rPr>
          <w:i/>
        </w:rPr>
      </w:pPr>
      <w:r w:rsidRPr="00B4785B">
        <w:rPr>
          <w:i/>
        </w:rPr>
        <w:t>The redacted values correspond to the following ranges:</w:t>
      </w:r>
    </w:p>
    <w:p w14:paraId="03E1774F" w14:textId="1D624DF5" w:rsidR="00AC46CD" w:rsidRPr="00BA14A7" w:rsidRDefault="00B4785B" w:rsidP="00BA14A7">
      <w:pPr>
        <w:pStyle w:val="TableFigureFooter"/>
        <w:spacing w:after="120"/>
        <w:rPr>
          <w:i/>
        </w:rPr>
      </w:pPr>
      <w:r w:rsidRPr="00B4785B">
        <w:rPr>
          <w:i/>
          <w:vertAlign w:val="superscript"/>
        </w:rPr>
        <w:t>1</w:t>
      </w:r>
      <w:r w:rsidRPr="00B4785B">
        <w:rPr>
          <w:i/>
        </w:rPr>
        <w:t xml:space="preserve"> &lt; 500</w:t>
      </w:r>
    </w:p>
    <w:p w14:paraId="7BAAB549" w14:textId="604C9FF8" w:rsidR="00AC46CD" w:rsidRPr="000769B4" w:rsidRDefault="00AC46CD" w:rsidP="00AC46CD">
      <w:pPr>
        <w:pStyle w:val="3-BodyText"/>
      </w:pPr>
      <w:bookmarkStart w:id="67" w:name="_Ref183502913"/>
      <w:r w:rsidRPr="00AF1033">
        <w:t xml:space="preserve">As lanadelumab is currently the only monoclonal antibody (mAb) listed on the PBS for the prophylactic treatment of HAE, the submission estimated the size of the current market based on the number of lanadelumab scripts dispensed (PBS item 12790E), over the 12-month period, May 2023 – April 2024. </w:t>
      </w:r>
      <w:r w:rsidR="00E9558F" w:rsidRPr="00AF1033">
        <w:t>The evaluation considered t</w:t>
      </w:r>
      <w:r w:rsidRPr="00AF1033">
        <w:t>his was reasonable. To project estimates over the first 6 years of listing, the submission applied a 2.2% growth rate</w:t>
      </w:r>
      <w:r w:rsidRPr="009D2FF9">
        <w:t xml:space="preserve">, assumed to represent population growth. </w:t>
      </w:r>
      <w:r w:rsidR="005F6EA5">
        <w:t xml:space="preserve">However, </w:t>
      </w:r>
      <w:r w:rsidR="00865AE2" w:rsidRPr="009D2FF9">
        <w:t xml:space="preserve">DUSC </w:t>
      </w:r>
      <w:r w:rsidR="005F6EA5">
        <w:t xml:space="preserve">and PBAC </w:t>
      </w:r>
      <w:r w:rsidR="00E9558F" w:rsidRPr="009D2FF9">
        <w:t>considered th</w:t>
      </w:r>
      <w:r w:rsidR="004703CA">
        <w:t>is</w:t>
      </w:r>
      <w:r w:rsidR="005F0BC1">
        <w:t xml:space="preserve"> </w:t>
      </w:r>
      <w:r w:rsidRPr="009D2FF9">
        <w:t xml:space="preserve">was an overestimate, </w:t>
      </w:r>
      <w:r w:rsidR="00865AE2" w:rsidRPr="009D2FF9">
        <w:t xml:space="preserve">with a more </w:t>
      </w:r>
      <w:r w:rsidR="004703CA">
        <w:t>likely</w:t>
      </w:r>
      <w:r w:rsidR="00865AE2" w:rsidRPr="009D2FF9">
        <w:t xml:space="preserve"> estimate to be in the</w:t>
      </w:r>
      <w:r w:rsidR="00865AE2" w:rsidRPr="00AF1033">
        <w:t xml:space="preserve"> range of 1.2% (based on </w:t>
      </w:r>
      <w:r w:rsidR="00865AE2" w:rsidRPr="000769B4">
        <w:t xml:space="preserve">Pharmaceutical Benefits Scheme (PBS) script numbers) to 1.6% </w:t>
      </w:r>
      <w:r w:rsidRPr="000769B4">
        <w:t>(</w:t>
      </w:r>
      <w:r w:rsidR="00865AE2" w:rsidRPr="000769B4">
        <w:t>based on Australian Bureau of Statistics (ABS) projections</w:t>
      </w:r>
      <w:r w:rsidR="00415008" w:rsidRPr="000769B4">
        <w:t xml:space="preserve"> for the population aged 12+</w:t>
      </w:r>
      <w:r w:rsidR="00865AE2" w:rsidRPr="000769B4">
        <w:t>).</w:t>
      </w:r>
      <w:bookmarkEnd w:id="67"/>
    </w:p>
    <w:p w14:paraId="21CB2899" w14:textId="1D0C1FD2" w:rsidR="00415008" w:rsidRPr="000769B4" w:rsidRDefault="00AC46CD" w:rsidP="003452AF">
      <w:pPr>
        <w:pStyle w:val="3-BodyText"/>
      </w:pPr>
      <w:bookmarkStart w:id="68" w:name="_Ref177047371"/>
      <w:bookmarkStart w:id="69" w:name="_Ref183698461"/>
      <w:r w:rsidRPr="000769B4">
        <w:t xml:space="preserve">In addition to population growth, the submission assumed that the introduction of garadacimab would grow the market </w:t>
      </w:r>
      <w:r w:rsidR="005F6EA5" w:rsidRPr="000769B4">
        <w:t xml:space="preserve">for monoclonal antibody (mAb) prophylaxis </w:t>
      </w:r>
      <w:r w:rsidRPr="000769B4">
        <w:t xml:space="preserve">due to </w:t>
      </w:r>
      <w:r w:rsidR="005F6EA5" w:rsidRPr="000769B4">
        <w:t xml:space="preserve">patients </w:t>
      </w:r>
      <w:r w:rsidRPr="000769B4">
        <w:t>switching from prophylactic C1-INH</w:t>
      </w:r>
      <w:r w:rsidR="00A62276" w:rsidRPr="000769B4">
        <w:t xml:space="preserve">. </w:t>
      </w:r>
      <w:r w:rsidR="00265888" w:rsidRPr="000769B4">
        <w:t xml:space="preserve">The submission noted that there had been some </w:t>
      </w:r>
      <w:bookmarkStart w:id="70" w:name="_Hlk183507446"/>
      <w:r w:rsidR="00265888" w:rsidRPr="000769B4">
        <w:t xml:space="preserve">switching from lanadelumab back to (subcutaneous) C1-INH due to efficacy concerns and injection site pain </w:t>
      </w:r>
      <w:bookmarkEnd w:id="70"/>
      <w:r w:rsidR="00265888" w:rsidRPr="000769B4">
        <w:t>in Australian clinical practice.</w:t>
      </w:r>
      <w:bookmarkEnd w:id="68"/>
      <w:r w:rsidR="005D210D" w:rsidRPr="000769B4">
        <w:t xml:space="preserve"> </w:t>
      </w:r>
      <w:r w:rsidR="000E5607" w:rsidRPr="000769B4">
        <w:t xml:space="preserve">DUSC agreed that, while a significant proportion of patients had already transitioned from C1-INH to lanadelumab, there had been some small movement back to C1-INH due to side-effects experienced with lanadelumab. </w:t>
      </w:r>
      <w:r w:rsidR="003C6F74" w:rsidRPr="000769B4">
        <w:t>The PBAC considered that, with the listing of garadacimab, there may be a small increase to the size of the market for mAb prophylaxis as</w:t>
      </w:r>
      <w:r w:rsidR="005F6EA5" w:rsidRPr="000769B4">
        <w:t xml:space="preserve"> it is likely that</w:t>
      </w:r>
      <w:r w:rsidR="003C6F74" w:rsidRPr="000769B4">
        <w:t xml:space="preserve"> some patients </w:t>
      </w:r>
      <w:r w:rsidR="005F6EA5" w:rsidRPr="000769B4">
        <w:t xml:space="preserve">may </w:t>
      </w:r>
      <w:r w:rsidR="003C6F74" w:rsidRPr="000769B4">
        <w:t xml:space="preserve">have </w:t>
      </w:r>
      <w:r w:rsidR="009A3DA2">
        <w:t>trialled</w:t>
      </w:r>
      <w:r w:rsidR="009A3DA2" w:rsidRPr="00B05DD4">
        <w:t xml:space="preserve"> lanadelumab </w:t>
      </w:r>
      <w:r w:rsidR="009A3DA2">
        <w:t xml:space="preserve">but switched </w:t>
      </w:r>
      <w:r w:rsidR="009A3DA2" w:rsidRPr="00B05DD4">
        <w:t>back to subcutaneous C1-INH due to tolerability</w:t>
      </w:r>
      <w:r w:rsidR="009A3DA2">
        <w:t xml:space="preserve"> concerns</w:t>
      </w:r>
      <w:r w:rsidR="003C6F74" w:rsidRPr="000769B4">
        <w:t>.</w:t>
      </w:r>
      <w:bookmarkEnd w:id="69"/>
    </w:p>
    <w:p w14:paraId="4285D656" w14:textId="0A81F407" w:rsidR="004C3B5E" w:rsidRDefault="009348D7" w:rsidP="009348D7">
      <w:pPr>
        <w:pStyle w:val="3-BodyText"/>
      </w:pPr>
      <w:bookmarkStart w:id="71" w:name="_Ref175927099"/>
      <w:r w:rsidRPr="009348D7">
        <w:t xml:space="preserve">The evaluation and DUSC considered that </w:t>
      </w:r>
      <w:r w:rsidRPr="000769B4">
        <w:t>the</w:t>
      </w:r>
      <w:r w:rsidR="00B84B28">
        <w:t>re may have been inaccuracies in the</w:t>
      </w:r>
      <w:r w:rsidRPr="000769B4">
        <w:t xml:space="preserve"> submission’s method for estimating market growth due to patients switching from C1-INH </w:t>
      </w:r>
      <w:r w:rsidR="003C6F74" w:rsidRPr="000769B4">
        <w:t>because:</w:t>
      </w:r>
      <w:r w:rsidR="00AC46CD" w:rsidRPr="000769B4">
        <w:t xml:space="preserve"> </w:t>
      </w:r>
      <w:r w:rsidR="003C6F74" w:rsidRPr="000769B4">
        <w:t>the basis for the number of patients on prophylactic C1-INH was not well described</w:t>
      </w:r>
      <w:r w:rsidR="00FA12DE" w:rsidRPr="000769B4">
        <w:t>;</w:t>
      </w:r>
      <w:r w:rsidR="003C6F74" w:rsidRPr="000769B4">
        <w:t xml:space="preserve"> </w:t>
      </w:r>
      <w:r w:rsidR="000769B4" w:rsidRPr="000769B4">
        <w:t xml:space="preserve">the calculation included an error (the number of patients on C1-INH should be </w:t>
      </w:r>
      <w:r w:rsidR="00A926D8" w:rsidRPr="00A926D8">
        <w:t>&lt; 500</w:t>
      </w:r>
      <w:r w:rsidR="000769B4" w:rsidRPr="000769B4">
        <w:t xml:space="preserve"> in Year 1 based on the submission’s methods); </w:t>
      </w:r>
      <w:r w:rsidR="00FA12DE" w:rsidRPr="000769B4">
        <w:t xml:space="preserve">and </w:t>
      </w:r>
      <w:r w:rsidR="00AC46CD" w:rsidRPr="000769B4">
        <w:t xml:space="preserve">patient numbers </w:t>
      </w:r>
      <w:r w:rsidR="00FA12DE" w:rsidRPr="000769B4">
        <w:t xml:space="preserve">were </w:t>
      </w:r>
      <w:r w:rsidR="00FA12DE" w:rsidRPr="000769B4">
        <w:lastRenderedPageBreak/>
        <w:t xml:space="preserve">estimated from </w:t>
      </w:r>
      <w:r w:rsidR="00AC46CD" w:rsidRPr="000769B4">
        <w:t>script numbers</w:t>
      </w:r>
      <w:r w:rsidR="003A4D3B" w:rsidRPr="000769B4">
        <w:t xml:space="preserve">, </w:t>
      </w:r>
      <w:r w:rsidR="00FA12DE" w:rsidRPr="000769B4">
        <w:t>with</w:t>
      </w:r>
      <w:r w:rsidR="00AC46CD" w:rsidRPr="000769B4">
        <w:t xml:space="preserve"> the derived patient numbers then being used to determine script volumes. </w:t>
      </w:r>
      <w:r w:rsidR="00FA12DE" w:rsidRPr="000769B4">
        <w:t>DUSC stated that, a</w:t>
      </w:r>
      <w:r w:rsidR="00AC46CD" w:rsidRPr="000769B4">
        <w:t>lternatively, these patients could have been included separately, with estimates of use then applied.</w:t>
      </w:r>
      <w:bookmarkEnd w:id="71"/>
      <w:r w:rsidR="00AF1033" w:rsidRPr="000769B4">
        <w:t xml:space="preserve"> </w:t>
      </w:r>
    </w:p>
    <w:p w14:paraId="2A31E7E6" w14:textId="7B790D1A" w:rsidR="00AC46CD" w:rsidRPr="006865AA" w:rsidRDefault="00AC46CD" w:rsidP="009348D7">
      <w:pPr>
        <w:pStyle w:val="3-BodyText"/>
      </w:pPr>
      <w:r w:rsidRPr="006865AA">
        <w:t xml:space="preserve">The submission assumed that the uptake of garadacimab would increase from </w:t>
      </w:r>
      <w:r w:rsidR="0056079A" w:rsidRPr="005E7B79">
        <w:rPr>
          <w:color w:val="000000"/>
          <w:w w:val="15"/>
          <w:shd w:val="solid" w:color="000000" w:fill="000000"/>
          <w:fitText w:val="-20" w:id="-762091505"/>
          <w14:textFill>
            <w14:solidFill>
              <w14:srgbClr w14:val="000000">
                <w14:alpha w14:val="100000"/>
              </w14:srgbClr>
            </w14:solidFill>
          </w14:textFill>
        </w:rPr>
        <w:t xml:space="preserve">|  </w:t>
      </w:r>
      <w:r w:rsidR="0056079A" w:rsidRPr="005E7B79">
        <w:rPr>
          <w:color w:val="000000"/>
          <w:spacing w:val="-69"/>
          <w:w w:val="15"/>
          <w:shd w:val="solid" w:color="000000" w:fill="000000"/>
          <w:fitText w:val="-20" w:id="-762091505"/>
          <w14:textFill>
            <w14:solidFill>
              <w14:srgbClr w14:val="000000">
                <w14:alpha w14:val="100000"/>
              </w14:srgbClr>
            </w14:solidFill>
          </w14:textFill>
        </w:rPr>
        <w:t>|</w:t>
      </w:r>
      <w:r w:rsidRPr="00E3545A">
        <w:t>%</w:t>
      </w:r>
      <w:r w:rsidRPr="006865AA">
        <w:t xml:space="preserve"> in Year 1, to </w:t>
      </w:r>
      <w:r w:rsidR="0056079A" w:rsidRPr="005E7B79">
        <w:rPr>
          <w:color w:val="000000"/>
          <w:w w:val="15"/>
          <w:shd w:val="solid" w:color="000000" w:fill="000000"/>
          <w:fitText w:val="-20" w:id="-762091504"/>
          <w14:textFill>
            <w14:solidFill>
              <w14:srgbClr w14:val="000000">
                <w14:alpha w14:val="100000"/>
              </w14:srgbClr>
            </w14:solidFill>
          </w14:textFill>
        </w:rPr>
        <w:t xml:space="preserve">|  </w:t>
      </w:r>
      <w:r w:rsidR="0056079A" w:rsidRPr="005E7B79">
        <w:rPr>
          <w:color w:val="000000"/>
          <w:spacing w:val="-69"/>
          <w:w w:val="15"/>
          <w:shd w:val="solid" w:color="000000" w:fill="000000"/>
          <w:fitText w:val="-20" w:id="-762091504"/>
          <w14:textFill>
            <w14:solidFill>
              <w14:srgbClr w14:val="000000">
                <w14:alpha w14:val="100000"/>
              </w14:srgbClr>
            </w14:solidFill>
          </w14:textFill>
        </w:rPr>
        <w:t>|</w:t>
      </w:r>
      <w:r w:rsidRPr="00E3545A">
        <w:t>%</w:t>
      </w:r>
      <w:r w:rsidRPr="006865AA">
        <w:t xml:space="preserve"> in Year 5. </w:t>
      </w:r>
      <w:r w:rsidR="00C83687" w:rsidRPr="006865AA">
        <w:t>The evaluation considered that u</w:t>
      </w:r>
      <w:r w:rsidRPr="006865AA">
        <w:t>ptake may be higher in initial years given the high proportion of patients currently treated with lanadelumab Q2W or Q3W (53%, based on a survey of clinicians) and if patients switching from C1-INH would preferentially receive garadacimab</w:t>
      </w:r>
      <w:r w:rsidR="004C3B5E">
        <w:t xml:space="preserve"> e.g. </w:t>
      </w:r>
      <w:r w:rsidR="000E5607" w:rsidRPr="000E5607">
        <w:t>due to its dosing profile</w:t>
      </w:r>
      <w:r w:rsidR="000E5607">
        <w:t xml:space="preserve">. Overall, DUSC </w:t>
      </w:r>
      <w:r w:rsidR="000769B4">
        <w:t xml:space="preserve">and PBAC </w:t>
      </w:r>
      <w:r w:rsidR="000E5607" w:rsidRPr="000E5607">
        <w:t xml:space="preserve">considered </w:t>
      </w:r>
      <w:r w:rsidR="000E5607">
        <w:t xml:space="preserve">that </w:t>
      </w:r>
      <w:r w:rsidR="000E5607" w:rsidRPr="000E5607">
        <w:t>the submission’s estimated uptake rate, while uncertain,</w:t>
      </w:r>
      <w:r w:rsidR="000E5607" w:rsidRPr="000E5607" w:rsidDel="00BA6677">
        <w:t xml:space="preserve"> </w:t>
      </w:r>
      <w:r w:rsidR="000E5607" w:rsidRPr="000E5607">
        <w:t>may be reasonable</w:t>
      </w:r>
      <w:r w:rsidR="000E5607" w:rsidRPr="000E5607" w:rsidDel="00BA6677">
        <w:t xml:space="preserve"> </w:t>
      </w:r>
    </w:p>
    <w:p w14:paraId="4563235A" w14:textId="18F04B6B" w:rsidR="003B3E7B" w:rsidRDefault="003B3E7B" w:rsidP="00AC46CD">
      <w:pPr>
        <w:pStyle w:val="3-BodyText"/>
      </w:pPr>
      <w:bookmarkStart w:id="72" w:name="_Ref177389032"/>
      <w:r w:rsidRPr="003B3E7B">
        <w:t xml:space="preserve">The commentary </w:t>
      </w:r>
      <w:r>
        <w:t xml:space="preserve">and DUSC </w:t>
      </w:r>
      <w:r w:rsidRPr="003B3E7B">
        <w:t xml:space="preserve">considered that the method used to estimate the proportion of </w:t>
      </w:r>
      <w:r w:rsidR="00DF244A">
        <w:t xml:space="preserve">initial </w:t>
      </w:r>
      <w:r w:rsidR="009348D7">
        <w:t xml:space="preserve">garadacimab </w:t>
      </w:r>
      <w:r w:rsidRPr="003B3E7B">
        <w:t xml:space="preserve">scripts </w:t>
      </w:r>
      <w:r>
        <w:t>(</w:t>
      </w:r>
      <w:r w:rsidR="004F7ADE">
        <w:t>which</w:t>
      </w:r>
      <w:r>
        <w:t xml:space="preserve"> require a loading dose) </w:t>
      </w:r>
      <w:r w:rsidRPr="003B3E7B">
        <w:t xml:space="preserve">had inherent inaccuracies </w:t>
      </w:r>
      <w:r>
        <w:t>due to:</w:t>
      </w:r>
    </w:p>
    <w:p w14:paraId="757A5C68" w14:textId="662A7CAB" w:rsidR="003B3E7B" w:rsidRDefault="004C3B5E" w:rsidP="003B3E7B">
      <w:pPr>
        <w:pStyle w:val="3-BodyText"/>
        <w:numPr>
          <w:ilvl w:val="0"/>
          <w:numId w:val="18"/>
        </w:numPr>
      </w:pPr>
      <w:r>
        <w:t>t</w:t>
      </w:r>
      <w:r w:rsidR="003B3E7B" w:rsidRPr="003B3E7B">
        <w:t xml:space="preserve">he number of patients was not assumed to change over time, which was not consistent with growth estimates applied </w:t>
      </w:r>
      <w:r w:rsidR="003B3E7B">
        <w:t>elsewhere in the financial estimates;</w:t>
      </w:r>
      <w:r>
        <w:t xml:space="preserve"> and</w:t>
      </w:r>
    </w:p>
    <w:p w14:paraId="06CB6147" w14:textId="007FFDA7" w:rsidR="003B3E7B" w:rsidRDefault="004C3B5E" w:rsidP="003B3E7B">
      <w:pPr>
        <w:pStyle w:val="3-BodyText"/>
        <w:numPr>
          <w:ilvl w:val="0"/>
          <w:numId w:val="18"/>
        </w:numPr>
      </w:pPr>
      <w:r>
        <w:t>t</w:t>
      </w:r>
      <w:r w:rsidR="003B3E7B">
        <w:t xml:space="preserve">he conversion from scripts to patient numbers, which was required because the submission did not have access to patient-level data. An analysis conducted by the DUSC Secretariat found the number of initiating lanadelumab patients was </w:t>
      </w:r>
      <w:r w:rsidR="00A60422">
        <w:t>high</w:t>
      </w:r>
      <w:r w:rsidR="003B3E7B">
        <w:t xml:space="preserve">er than estimated in the submission. </w:t>
      </w:r>
    </w:p>
    <w:p w14:paraId="435F994A" w14:textId="0470D9F4" w:rsidR="003B3E7B" w:rsidRDefault="003B3E7B" w:rsidP="003B3E7B">
      <w:pPr>
        <w:pStyle w:val="3-BodyText"/>
      </w:pPr>
      <w:r>
        <w:t xml:space="preserve">DUSC considered that the use of PBS data could be considered to better estimate dosing and script equivalencies between lanadelumab and garadacimab. The PBAC agreed and advised that, where possible, the financial estimates should be updated to be based on patient-level PBS data. </w:t>
      </w:r>
    </w:p>
    <w:bookmarkEnd w:id="72"/>
    <w:p w14:paraId="19A968DF" w14:textId="49E8773D" w:rsidR="009348D7" w:rsidRPr="009348D7" w:rsidRDefault="00A632C9" w:rsidP="009348D7">
      <w:pPr>
        <w:pStyle w:val="3-BodyText"/>
      </w:pPr>
      <w:r w:rsidRPr="004703CA">
        <w:t>DUSC considered that</w:t>
      </w:r>
      <w:r w:rsidR="004F7ADE">
        <w:t xml:space="preserve"> </w:t>
      </w:r>
      <w:r w:rsidRPr="004703CA">
        <w:t>there was scope for the market</w:t>
      </w:r>
      <w:r w:rsidR="004F7ADE">
        <w:t xml:space="preserve"> for mAb prophylaxis</w:t>
      </w:r>
      <w:r w:rsidRPr="004703CA">
        <w:t xml:space="preserve"> to grow </w:t>
      </w:r>
      <w:r w:rsidR="004F7ADE">
        <w:t xml:space="preserve">beyond the level estimated (e.g. due to </w:t>
      </w:r>
      <w:r w:rsidRPr="004703CA">
        <w:t>patients who are not currently on prophylaxis</w:t>
      </w:r>
      <w:r w:rsidR="004F7ADE">
        <w:t>)</w:t>
      </w:r>
      <w:r w:rsidR="009348D7">
        <w:t xml:space="preserve"> and potential for use outside the restriction in patients</w:t>
      </w:r>
      <w:r w:rsidR="009348D7" w:rsidRPr="009348D7">
        <w:t xml:space="preserve"> with less severe disease due to the subjective nature of what constitutes a</w:t>
      </w:r>
      <w:r w:rsidR="009348D7">
        <w:t xml:space="preserve"> </w:t>
      </w:r>
      <w:r w:rsidR="009348D7" w:rsidRPr="009348D7">
        <w:t xml:space="preserve">HAE attack. However, the </w:t>
      </w:r>
      <w:r w:rsidR="009348D7">
        <w:t>p</w:t>
      </w:r>
      <w:r w:rsidR="009348D7" w:rsidRPr="009348D7">
        <w:t>re-PBAC response argued that attacks requiring acute treatment are not ambiguous as these are determined by severity and clinical need</w:t>
      </w:r>
      <w:r w:rsidR="009348D7">
        <w:t>. Overall, the PBAC considered these issue</w:t>
      </w:r>
      <w:r w:rsidR="004C3B5E">
        <w:t>s</w:t>
      </w:r>
      <w:r w:rsidR="009348D7">
        <w:t xml:space="preserve"> </w:t>
      </w:r>
      <w:r w:rsidR="00534EFB">
        <w:t>were</w:t>
      </w:r>
      <w:r w:rsidR="009348D7">
        <w:t xml:space="preserve"> adequately addressed </w:t>
      </w:r>
      <w:r w:rsidR="00534EFB">
        <w:t xml:space="preserve">given the requirement for a </w:t>
      </w:r>
      <w:r w:rsidR="009348D7">
        <w:t>written Authority for initial treatment and the RSA</w:t>
      </w:r>
      <w:r w:rsidR="009B632E">
        <w:t>.</w:t>
      </w:r>
    </w:p>
    <w:p w14:paraId="3518B12E" w14:textId="3D73BF18" w:rsidR="00AC46CD" w:rsidRPr="00871999" w:rsidRDefault="00AC46CD" w:rsidP="00AC46CD">
      <w:pPr>
        <w:pStyle w:val="3-BodyText"/>
      </w:pPr>
      <w:r w:rsidRPr="00871999">
        <w:t xml:space="preserve">The proposed PBS listing for garadacimab was expected to result in a decrease in the use of lanadelumab. No changes </w:t>
      </w:r>
      <w:r w:rsidR="009B632E">
        <w:t xml:space="preserve">to the </w:t>
      </w:r>
      <w:r w:rsidRPr="00871999">
        <w:t>utilisation of other PBS-listed medicines were expected to arise from the inclusion of garadacimab</w:t>
      </w:r>
      <w:r w:rsidR="009B632E">
        <w:t xml:space="preserve"> on the PBS</w:t>
      </w:r>
      <w:r w:rsidRPr="00871999">
        <w:t xml:space="preserve">. </w:t>
      </w:r>
    </w:p>
    <w:p w14:paraId="0F51EF9B" w14:textId="3217A464" w:rsidR="00AC46CD" w:rsidRPr="00533B9B" w:rsidRDefault="00AC46CD" w:rsidP="00AC46CD">
      <w:pPr>
        <w:pStyle w:val="3-BodyText"/>
      </w:pPr>
      <w:r w:rsidRPr="00871999">
        <w:t xml:space="preserve">The submission’s estimates for the number of patients treated and financial impact of garadacimab over the first 6 years of listing is presented in </w:t>
      </w:r>
      <w:r w:rsidRPr="00871999">
        <w:fldChar w:fldCharType="begin" w:fldLock="1"/>
      </w:r>
      <w:r w:rsidRPr="00871999">
        <w:instrText xml:space="preserve"> REF _Ref104805295 \h </w:instrText>
      </w:r>
      <w:r w:rsidR="00871999" w:rsidRPr="00871999">
        <w:instrText xml:space="preserve"> \* MERGEFORMAT </w:instrText>
      </w:r>
      <w:r w:rsidRPr="00871999">
        <w:fldChar w:fldCharType="separate"/>
      </w:r>
      <w:r w:rsidR="00106090" w:rsidRPr="0098262F">
        <w:t xml:space="preserve">Table </w:t>
      </w:r>
      <w:r w:rsidR="00106090">
        <w:rPr>
          <w:noProof/>
        </w:rPr>
        <w:t>14</w:t>
      </w:r>
      <w:r w:rsidRPr="00871999">
        <w:fldChar w:fldCharType="end"/>
      </w:r>
      <w:r w:rsidRPr="00533B9B">
        <w:t>.</w:t>
      </w:r>
    </w:p>
    <w:p w14:paraId="5561C222" w14:textId="5ABCF3D3" w:rsidR="00AC46CD" w:rsidRPr="0098262F" w:rsidRDefault="00AC46CD" w:rsidP="00AC46CD">
      <w:pPr>
        <w:pStyle w:val="TableFigureHeading"/>
      </w:pPr>
      <w:bookmarkStart w:id="73" w:name="_Ref104805295"/>
      <w:r w:rsidRPr="0098262F">
        <w:lastRenderedPageBreak/>
        <w:t xml:space="preserve">Table </w:t>
      </w:r>
      <w:r w:rsidR="00106090">
        <w:fldChar w:fldCharType="begin" w:fldLock="1"/>
      </w:r>
      <w:r w:rsidR="00106090">
        <w:instrText xml:space="preserve"> SEQ Table \* ARABIC </w:instrText>
      </w:r>
      <w:r w:rsidR="00106090">
        <w:fldChar w:fldCharType="separate"/>
      </w:r>
      <w:r w:rsidR="00106090">
        <w:rPr>
          <w:noProof/>
        </w:rPr>
        <w:t>14</w:t>
      </w:r>
      <w:r w:rsidR="00106090">
        <w:rPr>
          <w:noProof/>
        </w:rPr>
        <w:fldChar w:fldCharType="end"/>
      </w:r>
      <w:bookmarkEnd w:id="73"/>
      <w:r w:rsidRPr="0098262F">
        <w:t>:</w:t>
      </w:r>
      <w:r w:rsidRPr="0098262F">
        <w:rPr>
          <w:rStyle w:val="CommentReference"/>
          <w:b/>
          <w:szCs w:val="24"/>
        </w:rPr>
        <w:t xml:space="preserve"> Estimated use and financial implications</w:t>
      </w:r>
    </w:p>
    <w:tbl>
      <w:tblPr>
        <w:tblStyle w:val="TableGrid1"/>
        <w:tblW w:w="4964" w:type="pct"/>
        <w:tblLayout w:type="fixed"/>
        <w:tblLook w:val="04A0" w:firstRow="1" w:lastRow="0" w:firstColumn="1" w:lastColumn="0" w:noHBand="0" w:noVBand="1"/>
      </w:tblPr>
      <w:tblGrid>
        <w:gridCol w:w="2154"/>
        <w:gridCol w:w="1132"/>
        <w:gridCol w:w="1137"/>
        <w:gridCol w:w="1133"/>
        <w:gridCol w:w="1135"/>
        <w:gridCol w:w="1135"/>
        <w:gridCol w:w="1126"/>
      </w:tblGrid>
      <w:tr w:rsidR="004F678D" w:rsidRPr="000B1D5C" w14:paraId="202A7D4B" w14:textId="77777777" w:rsidTr="004F678D">
        <w:tc>
          <w:tcPr>
            <w:tcW w:w="1203" w:type="pct"/>
            <w:noWrap/>
            <w:hideMark/>
          </w:tcPr>
          <w:p w14:paraId="22616E5E" w14:textId="77777777" w:rsidR="00AC46CD" w:rsidRPr="000B1D5C" w:rsidRDefault="00AC46CD" w:rsidP="00EC33B8">
            <w:pPr>
              <w:pStyle w:val="In-tableHeading"/>
            </w:pPr>
          </w:p>
        </w:tc>
        <w:tc>
          <w:tcPr>
            <w:tcW w:w="632" w:type="pct"/>
            <w:noWrap/>
          </w:tcPr>
          <w:p w14:paraId="0ED3C1BA" w14:textId="77777777" w:rsidR="00AC46CD" w:rsidRPr="000B1D5C" w:rsidRDefault="00AC46CD" w:rsidP="00EC33B8">
            <w:pPr>
              <w:pStyle w:val="In-tableHeading"/>
              <w:jc w:val="center"/>
            </w:pPr>
            <w:r>
              <w:t>Year 1</w:t>
            </w:r>
          </w:p>
        </w:tc>
        <w:tc>
          <w:tcPr>
            <w:tcW w:w="635" w:type="pct"/>
            <w:noWrap/>
          </w:tcPr>
          <w:p w14:paraId="6CBBAB2C" w14:textId="77777777" w:rsidR="00AC46CD" w:rsidRPr="000B1D5C" w:rsidRDefault="00AC46CD" w:rsidP="00EC33B8">
            <w:pPr>
              <w:pStyle w:val="In-tableHeading"/>
              <w:jc w:val="center"/>
            </w:pPr>
            <w:r>
              <w:t>Year 2</w:t>
            </w:r>
          </w:p>
        </w:tc>
        <w:tc>
          <w:tcPr>
            <w:tcW w:w="633" w:type="pct"/>
            <w:noWrap/>
          </w:tcPr>
          <w:p w14:paraId="76A2B66F" w14:textId="77777777" w:rsidR="00AC46CD" w:rsidRPr="000B1D5C" w:rsidRDefault="00AC46CD" w:rsidP="00EC33B8">
            <w:pPr>
              <w:pStyle w:val="In-tableHeading"/>
              <w:jc w:val="center"/>
            </w:pPr>
            <w:r>
              <w:t>Year 3</w:t>
            </w:r>
          </w:p>
        </w:tc>
        <w:tc>
          <w:tcPr>
            <w:tcW w:w="634" w:type="pct"/>
            <w:noWrap/>
          </w:tcPr>
          <w:p w14:paraId="5B3DBF7A" w14:textId="77777777" w:rsidR="00AC46CD" w:rsidRPr="000B1D5C" w:rsidRDefault="00AC46CD" w:rsidP="00EC33B8">
            <w:pPr>
              <w:pStyle w:val="In-tableHeading"/>
              <w:jc w:val="center"/>
            </w:pPr>
            <w:r>
              <w:t>Year 4</w:t>
            </w:r>
          </w:p>
        </w:tc>
        <w:tc>
          <w:tcPr>
            <w:tcW w:w="634" w:type="pct"/>
            <w:noWrap/>
          </w:tcPr>
          <w:p w14:paraId="6AE78E99" w14:textId="77777777" w:rsidR="00AC46CD" w:rsidRPr="000B1D5C" w:rsidRDefault="00AC46CD" w:rsidP="00EC33B8">
            <w:pPr>
              <w:pStyle w:val="In-tableHeading"/>
              <w:jc w:val="center"/>
            </w:pPr>
            <w:r>
              <w:t>Year 5</w:t>
            </w:r>
          </w:p>
        </w:tc>
        <w:tc>
          <w:tcPr>
            <w:tcW w:w="629" w:type="pct"/>
            <w:noWrap/>
          </w:tcPr>
          <w:p w14:paraId="50567745" w14:textId="77777777" w:rsidR="00AC46CD" w:rsidRPr="000B1D5C" w:rsidRDefault="00AC46CD" w:rsidP="00EC33B8">
            <w:pPr>
              <w:pStyle w:val="In-tableHeading"/>
              <w:jc w:val="center"/>
            </w:pPr>
            <w:r>
              <w:t>Year 6</w:t>
            </w:r>
          </w:p>
        </w:tc>
      </w:tr>
      <w:tr w:rsidR="004F678D" w:rsidRPr="000B1D5C" w14:paraId="239CA26E" w14:textId="77777777" w:rsidTr="004F678D">
        <w:tc>
          <w:tcPr>
            <w:tcW w:w="1203" w:type="pct"/>
            <w:tcBorders>
              <w:bottom w:val="single" w:sz="4" w:space="0" w:color="000000" w:themeColor="text1"/>
            </w:tcBorders>
            <w:noWrap/>
          </w:tcPr>
          <w:p w14:paraId="191556F4" w14:textId="77777777" w:rsidR="00AC46CD" w:rsidRPr="000B1D5C" w:rsidRDefault="00AC46CD" w:rsidP="00EC33B8">
            <w:pPr>
              <w:pStyle w:val="TableText0"/>
              <w:keepNext/>
            </w:pPr>
            <w:r w:rsidRPr="00E64BCB">
              <w:rPr>
                <w:rFonts w:eastAsia="Arial Narrow" w:cs="Arial Narrow"/>
              </w:rPr>
              <w:t>Growth in lanadelumab scripts, due to population growth</w:t>
            </w:r>
          </w:p>
        </w:tc>
        <w:tc>
          <w:tcPr>
            <w:tcW w:w="632" w:type="pct"/>
            <w:tcBorders>
              <w:bottom w:val="single" w:sz="4" w:space="0" w:color="000000" w:themeColor="text1"/>
            </w:tcBorders>
            <w:noWrap/>
            <w:vAlign w:val="center"/>
          </w:tcPr>
          <w:p w14:paraId="62B584AA" w14:textId="77777777" w:rsidR="00AC46CD" w:rsidRPr="00F0771E" w:rsidRDefault="00AC46CD" w:rsidP="0096499A">
            <w:pPr>
              <w:pStyle w:val="TableText0"/>
              <w:keepNext/>
              <w:jc w:val="center"/>
            </w:pPr>
            <w:r w:rsidRPr="00890D9C">
              <w:rPr>
                <w:rFonts w:eastAsia="Arial Narrow" w:cs="Arial Narrow"/>
              </w:rPr>
              <w:t>2.2%</w:t>
            </w:r>
          </w:p>
        </w:tc>
        <w:tc>
          <w:tcPr>
            <w:tcW w:w="635" w:type="pct"/>
            <w:tcBorders>
              <w:bottom w:val="single" w:sz="4" w:space="0" w:color="000000" w:themeColor="text1"/>
            </w:tcBorders>
            <w:noWrap/>
            <w:vAlign w:val="center"/>
          </w:tcPr>
          <w:p w14:paraId="68AF462C" w14:textId="77777777" w:rsidR="00AC46CD" w:rsidRPr="00F0771E" w:rsidRDefault="00AC46CD" w:rsidP="0096499A">
            <w:pPr>
              <w:pStyle w:val="TableText0"/>
              <w:keepNext/>
              <w:jc w:val="center"/>
            </w:pPr>
            <w:r w:rsidRPr="00890D9C">
              <w:rPr>
                <w:rFonts w:eastAsia="Arial Narrow" w:cs="Arial Narrow"/>
              </w:rPr>
              <w:t>2.2%</w:t>
            </w:r>
          </w:p>
        </w:tc>
        <w:tc>
          <w:tcPr>
            <w:tcW w:w="633" w:type="pct"/>
            <w:tcBorders>
              <w:bottom w:val="single" w:sz="4" w:space="0" w:color="000000" w:themeColor="text1"/>
            </w:tcBorders>
            <w:noWrap/>
            <w:vAlign w:val="center"/>
          </w:tcPr>
          <w:p w14:paraId="2723ECB7" w14:textId="77777777" w:rsidR="00AC46CD" w:rsidRPr="00F0771E" w:rsidRDefault="00AC46CD" w:rsidP="0096499A">
            <w:pPr>
              <w:pStyle w:val="TableText0"/>
              <w:keepNext/>
              <w:jc w:val="center"/>
            </w:pPr>
            <w:r w:rsidRPr="00890D9C">
              <w:rPr>
                <w:rFonts w:eastAsia="Arial Narrow" w:cs="Arial Narrow"/>
              </w:rPr>
              <w:t>2.2%</w:t>
            </w:r>
          </w:p>
        </w:tc>
        <w:tc>
          <w:tcPr>
            <w:tcW w:w="634" w:type="pct"/>
            <w:tcBorders>
              <w:bottom w:val="single" w:sz="4" w:space="0" w:color="000000" w:themeColor="text1"/>
            </w:tcBorders>
            <w:noWrap/>
            <w:vAlign w:val="center"/>
          </w:tcPr>
          <w:p w14:paraId="283CDD15" w14:textId="77777777" w:rsidR="00AC46CD" w:rsidRPr="00F0771E" w:rsidRDefault="00AC46CD" w:rsidP="0096499A">
            <w:pPr>
              <w:pStyle w:val="TableText0"/>
              <w:keepNext/>
              <w:jc w:val="center"/>
            </w:pPr>
            <w:r w:rsidRPr="00890D9C">
              <w:rPr>
                <w:rFonts w:eastAsia="Arial Narrow" w:cs="Arial Narrow"/>
              </w:rPr>
              <w:t>2.2%</w:t>
            </w:r>
          </w:p>
        </w:tc>
        <w:tc>
          <w:tcPr>
            <w:tcW w:w="634" w:type="pct"/>
            <w:tcBorders>
              <w:bottom w:val="single" w:sz="4" w:space="0" w:color="000000" w:themeColor="text1"/>
            </w:tcBorders>
            <w:noWrap/>
            <w:vAlign w:val="center"/>
          </w:tcPr>
          <w:p w14:paraId="41FA35BC" w14:textId="77777777" w:rsidR="00AC46CD" w:rsidRPr="00F0771E" w:rsidRDefault="00AC46CD" w:rsidP="0096499A">
            <w:pPr>
              <w:pStyle w:val="TableText0"/>
              <w:keepNext/>
              <w:jc w:val="center"/>
            </w:pPr>
            <w:r w:rsidRPr="00890D9C">
              <w:rPr>
                <w:rFonts w:eastAsia="Arial Narrow" w:cs="Arial Narrow"/>
              </w:rPr>
              <w:t>2.2%</w:t>
            </w:r>
          </w:p>
        </w:tc>
        <w:tc>
          <w:tcPr>
            <w:tcW w:w="629" w:type="pct"/>
            <w:tcBorders>
              <w:bottom w:val="single" w:sz="4" w:space="0" w:color="000000" w:themeColor="text1"/>
            </w:tcBorders>
            <w:noWrap/>
            <w:vAlign w:val="center"/>
          </w:tcPr>
          <w:p w14:paraId="36EC5599" w14:textId="77777777" w:rsidR="00AC46CD" w:rsidRPr="00F0771E" w:rsidRDefault="00AC46CD" w:rsidP="0096499A">
            <w:pPr>
              <w:pStyle w:val="TableText0"/>
              <w:keepNext/>
              <w:jc w:val="center"/>
            </w:pPr>
            <w:r w:rsidRPr="00890D9C">
              <w:rPr>
                <w:rFonts w:eastAsia="Arial Narrow" w:cs="Arial Narrow"/>
              </w:rPr>
              <w:t>2.2%</w:t>
            </w:r>
          </w:p>
        </w:tc>
      </w:tr>
      <w:tr w:rsidR="004F678D" w:rsidRPr="000B1D5C" w14:paraId="06300086" w14:textId="77777777" w:rsidTr="004F678D">
        <w:tc>
          <w:tcPr>
            <w:tcW w:w="1203" w:type="pct"/>
            <w:tcBorders>
              <w:bottom w:val="single" w:sz="4" w:space="0" w:color="000000" w:themeColor="text1"/>
            </w:tcBorders>
            <w:noWrap/>
          </w:tcPr>
          <w:p w14:paraId="4B101340" w14:textId="77777777" w:rsidR="00AC46CD" w:rsidRPr="000B1D5C" w:rsidRDefault="00AC46CD" w:rsidP="00EC33B8">
            <w:pPr>
              <w:pStyle w:val="TableText0"/>
              <w:keepNext/>
            </w:pPr>
            <w:r w:rsidRPr="00E64BCB">
              <w:rPr>
                <w:rFonts w:eastAsia="Arial Narrow" w:cs="Arial Narrow"/>
              </w:rPr>
              <w:t>Growth in lanadelumab scripts, due to switching from C1-INH</w:t>
            </w:r>
          </w:p>
        </w:tc>
        <w:tc>
          <w:tcPr>
            <w:tcW w:w="632" w:type="pct"/>
            <w:tcBorders>
              <w:bottom w:val="single" w:sz="4" w:space="0" w:color="000000" w:themeColor="text1"/>
            </w:tcBorders>
            <w:noWrap/>
            <w:vAlign w:val="center"/>
          </w:tcPr>
          <w:p w14:paraId="42BF6E6B" w14:textId="48251A2E" w:rsidR="00AC46CD" w:rsidRPr="0030485B" w:rsidRDefault="0056079A" w:rsidP="00BA14A7">
            <w:pPr>
              <w:pStyle w:val="TableText0"/>
              <w:keepNext/>
              <w:jc w:val="center"/>
            </w:pPr>
            <w:r w:rsidRPr="0056079A">
              <w:rPr>
                <w:rFonts w:eastAsia="Arial Narrow" w:cs="Arial Narrow"/>
                <w:color w:val="000000"/>
                <w:shd w:val="solid" w:color="000000" w:fill="000000"/>
                <w14:textFill>
                  <w14:solidFill>
                    <w14:srgbClr w14:val="000000">
                      <w14:alpha w14:val="100000"/>
                    </w14:srgbClr>
                  </w14:solidFill>
                </w14:textFill>
              </w:rPr>
              <w:t>|</w:t>
            </w:r>
            <w:r w:rsidR="00AC46CD" w:rsidRPr="0030485B">
              <w:rPr>
                <w:rFonts w:eastAsia="Arial Narrow" w:cs="Arial Narrow"/>
              </w:rPr>
              <w:t>%</w:t>
            </w:r>
          </w:p>
        </w:tc>
        <w:tc>
          <w:tcPr>
            <w:tcW w:w="635" w:type="pct"/>
            <w:tcBorders>
              <w:bottom w:val="single" w:sz="4" w:space="0" w:color="000000" w:themeColor="text1"/>
            </w:tcBorders>
            <w:noWrap/>
            <w:vAlign w:val="center"/>
          </w:tcPr>
          <w:p w14:paraId="44FBD57D" w14:textId="3B4A9908" w:rsidR="00AC46CD" w:rsidRPr="0030485B" w:rsidRDefault="0056079A" w:rsidP="00BA14A7">
            <w:pPr>
              <w:pStyle w:val="TableText0"/>
              <w:keepNext/>
              <w:jc w:val="center"/>
            </w:pPr>
            <w:r w:rsidRPr="0056079A">
              <w:rPr>
                <w:rFonts w:eastAsia="Arial Narrow" w:cs="Arial Narrow"/>
                <w:color w:val="000000"/>
                <w:shd w:val="solid" w:color="000000" w:fill="000000"/>
                <w14:textFill>
                  <w14:solidFill>
                    <w14:srgbClr w14:val="000000">
                      <w14:alpha w14:val="100000"/>
                    </w14:srgbClr>
                  </w14:solidFill>
                </w14:textFill>
              </w:rPr>
              <w:t>|</w:t>
            </w:r>
            <w:r w:rsidR="00AC46CD" w:rsidRPr="0030485B">
              <w:rPr>
                <w:rFonts w:eastAsia="Arial Narrow" w:cs="Arial Narrow"/>
              </w:rPr>
              <w:t>%</w:t>
            </w:r>
          </w:p>
        </w:tc>
        <w:tc>
          <w:tcPr>
            <w:tcW w:w="633" w:type="pct"/>
            <w:tcBorders>
              <w:bottom w:val="single" w:sz="4" w:space="0" w:color="000000" w:themeColor="text1"/>
            </w:tcBorders>
            <w:noWrap/>
            <w:vAlign w:val="center"/>
          </w:tcPr>
          <w:p w14:paraId="0C39F55B" w14:textId="35E450C1" w:rsidR="00AC46CD" w:rsidRPr="0030485B" w:rsidRDefault="0056079A" w:rsidP="00BA14A7">
            <w:pPr>
              <w:pStyle w:val="TableText0"/>
              <w:keepNext/>
              <w:jc w:val="center"/>
            </w:pPr>
            <w:r w:rsidRPr="0056079A">
              <w:rPr>
                <w:rFonts w:eastAsia="Arial Narrow" w:cs="Arial Narrow"/>
                <w:color w:val="000000"/>
                <w:shd w:val="solid" w:color="000000" w:fill="000000"/>
                <w14:textFill>
                  <w14:solidFill>
                    <w14:srgbClr w14:val="000000">
                      <w14:alpha w14:val="100000"/>
                    </w14:srgbClr>
                  </w14:solidFill>
                </w14:textFill>
              </w:rPr>
              <w:t>|</w:t>
            </w:r>
            <w:r w:rsidR="00AC46CD" w:rsidRPr="0030485B">
              <w:rPr>
                <w:rFonts w:eastAsia="Arial Narrow" w:cs="Arial Narrow"/>
              </w:rPr>
              <w:t>%</w:t>
            </w:r>
          </w:p>
        </w:tc>
        <w:tc>
          <w:tcPr>
            <w:tcW w:w="634" w:type="pct"/>
            <w:tcBorders>
              <w:bottom w:val="single" w:sz="4" w:space="0" w:color="000000" w:themeColor="text1"/>
            </w:tcBorders>
            <w:noWrap/>
            <w:vAlign w:val="center"/>
          </w:tcPr>
          <w:p w14:paraId="2686487A" w14:textId="6C2A80E1" w:rsidR="00AC46CD" w:rsidRPr="0030485B" w:rsidRDefault="0056079A" w:rsidP="00BA14A7">
            <w:pPr>
              <w:pStyle w:val="TableText0"/>
              <w:keepNext/>
              <w:jc w:val="center"/>
            </w:pPr>
            <w:r w:rsidRPr="0056079A">
              <w:rPr>
                <w:rFonts w:eastAsia="Arial Narrow" w:cs="Arial Narrow"/>
                <w:color w:val="000000"/>
                <w:shd w:val="solid" w:color="000000" w:fill="000000"/>
                <w14:textFill>
                  <w14:solidFill>
                    <w14:srgbClr w14:val="000000">
                      <w14:alpha w14:val="100000"/>
                    </w14:srgbClr>
                  </w14:solidFill>
                </w14:textFill>
              </w:rPr>
              <w:t>|</w:t>
            </w:r>
            <w:r w:rsidR="00AC46CD" w:rsidRPr="0030485B">
              <w:rPr>
                <w:rFonts w:eastAsia="Arial Narrow" w:cs="Arial Narrow"/>
              </w:rPr>
              <w:t>%</w:t>
            </w:r>
          </w:p>
        </w:tc>
        <w:tc>
          <w:tcPr>
            <w:tcW w:w="634" w:type="pct"/>
            <w:tcBorders>
              <w:bottom w:val="single" w:sz="4" w:space="0" w:color="000000" w:themeColor="text1"/>
            </w:tcBorders>
            <w:noWrap/>
            <w:vAlign w:val="center"/>
          </w:tcPr>
          <w:p w14:paraId="08972E71" w14:textId="4DD484A8" w:rsidR="00AC46CD" w:rsidRPr="0030485B" w:rsidRDefault="0056079A" w:rsidP="00BA14A7">
            <w:pPr>
              <w:pStyle w:val="TableText0"/>
              <w:keepNext/>
              <w:jc w:val="center"/>
            </w:pPr>
            <w:r w:rsidRPr="0056079A">
              <w:rPr>
                <w:rFonts w:eastAsia="Arial Narrow" w:cs="Arial Narrow"/>
                <w:color w:val="000000"/>
                <w:shd w:val="solid" w:color="000000" w:fill="000000"/>
                <w14:textFill>
                  <w14:solidFill>
                    <w14:srgbClr w14:val="000000">
                      <w14:alpha w14:val="100000"/>
                    </w14:srgbClr>
                  </w14:solidFill>
                </w14:textFill>
              </w:rPr>
              <w:t>|</w:t>
            </w:r>
            <w:r w:rsidR="00AC46CD" w:rsidRPr="0030485B">
              <w:rPr>
                <w:rFonts w:eastAsia="Arial Narrow" w:cs="Arial Narrow"/>
              </w:rPr>
              <w:t>%</w:t>
            </w:r>
          </w:p>
        </w:tc>
        <w:tc>
          <w:tcPr>
            <w:tcW w:w="629" w:type="pct"/>
            <w:tcBorders>
              <w:bottom w:val="single" w:sz="4" w:space="0" w:color="000000" w:themeColor="text1"/>
            </w:tcBorders>
            <w:noWrap/>
            <w:vAlign w:val="center"/>
          </w:tcPr>
          <w:p w14:paraId="2ADD486B" w14:textId="54C17B8C" w:rsidR="00AC46CD" w:rsidRPr="0030485B" w:rsidRDefault="0056079A" w:rsidP="00BA14A7">
            <w:pPr>
              <w:pStyle w:val="TableText0"/>
              <w:keepNext/>
              <w:jc w:val="center"/>
            </w:pPr>
            <w:r w:rsidRPr="0056079A">
              <w:rPr>
                <w:rFonts w:eastAsia="Arial Narrow" w:cs="Arial Narrow"/>
                <w:color w:val="000000"/>
                <w:shd w:val="solid" w:color="000000" w:fill="000000"/>
                <w14:textFill>
                  <w14:solidFill>
                    <w14:srgbClr w14:val="000000">
                      <w14:alpha w14:val="100000"/>
                    </w14:srgbClr>
                  </w14:solidFill>
                </w14:textFill>
              </w:rPr>
              <w:t>|</w:t>
            </w:r>
            <w:r w:rsidR="00AC46CD" w:rsidRPr="0030485B">
              <w:rPr>
                <w:rFonts w:eastAsia="Arial Narrow" w:cs="Arial Narrow"/>
              </w:rPr>
              <w:t>%</w:t>
            </w:r>
          </w:p>
        </w:tc>
      </w:tr>
      <w:tr w:rsidR="004F678D" w:rsidRPr="000B1D5C" w14:paraId="759D3F49" w14:textId="77777777" w:rsidTr="004F678D">
        <w:tc>
          <w:tcPr>
            <w:tcW w:w="1203" w:type="pct"/>
            <w:tcBorders>
              <w:bottom w:val="single" w:sz="4" w:space="0" w:color="000000" w:themeColor="text1"/>
            </w:tcBorders>
            <w:noWrap/>
          </w:tcPr>
          <w:p w14:paraId="7A90CB60" w14:textId="77777777" w:rsidR="00AC46CD" w:rsidRPr="000B1D5C" w:rsidRDefault="00AC46CD" w:rsidP="00EC33B8">
            <w:pPr>
              <w:pStyle w:val="TableText0"/>
              <w:keepNext/>
            </w:pPr>
            <w:r>
              <w:rPr>
                <w:rFonts w:eastAsia="Arial Narrow" w:cs="Arial Narrow"/>
              </w:rPr>
              <w:t xml:space="preserve">Projected </w:t>
            </w:r>
            <w:proofErr w:type="spellStart"/>
            <w:r>
              <w:rPr>
                <w:rFonts w:eastAsia="Arial Narrow" w:cs="Arial Narrow"/>
              </w:rPr>
              <w:t>lanadelumab</w:t>
            </w:r>
            <w:proofErr w:type="spellEnd"/>
            <w:r>
              <w:rPr>
                <w:rFonts w:eastAsia="Arial Narrow" w:cs="Arial Narrow"/>
              </w:rPr>
              <w:t xml:space="preserve"> market </w:t>
            </w:r>
            <w:proofErr w:type="spellStart"/>
            <w:r w:rsidRPr="00394DAC">
              <w:rPr>
                <w:rFonts w:eastAsia="Arial Narrow" w:cs="Arial Narrow"/>
                <w:vertAlign w:val="superscript"/>
              </w:rPr>
              <w:t>a,b</w:t>
            </w:r>
            <w:proofErr w:type="spellEnd"/>
          </w:p>
        </w:tc>
        <w:tc>
          <w:tcPr>
            <w:tcW w:w="632" w:type="pct"/>
            <w:tcBorders>
              <w:bottom w:val="single" w:sz="4" w:space="0" w:color="000000" w:themeColor="text1"/>
            </w:tcBorders>
            <w:noWrap/>
            <w:vAlign w:val="center"/>
          </w:tcPr>
          <w:p w14:paraId="1FD712A5" w14:textId="49D07ABF" w:rsidR="00AC46CD" w:rsidRPr="00BE2A83" w:rsidRDefault="0056079A" w:rsidP="00BA14A7">
            <w:pPr>
              <w:pStyle w:val="TableText0"/>
              <w:keepNext/>
              <w:jc w:val="center"/>
              <w:rPr>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2D0DDA" w:rsidRPr="002D0DDA">
              <w:rPr>
                <w:rFonts w:eastAsia="Arial Narrow" w:cs="Arial Narrow"/>
                <w:vertAlign w:val="superscript"/>
              </w:rPr>
              <w:t>1</w:t>
            </w:r>
          </w:p>
        </w:tc>
        <w:tc>
          <w:tcPr>
            <w:tcW w:w="635" w:type="pct"/>
            <w:tcBorders>
              <w:bottom w:val="single" w:sz="4" w:space="0" w:color="000000" w:themeColor="text1"/>
            </w:tcBorders>
            <w:noWrap/>
            <w:vAlign w:val="center"/>
          </w:tcPr>
          <w:p w14:paraId="18F305A8" w14:textId="237F2649" w:rsidR="00AC46CD" w:rsidRPr="00BE2A83" w:rsidRDefault="0056079A" w:rsidP="00BA14A7">
            <w:pPr>
              <w:pStyle w:val="TableText0"/>
              <w:keepNext/>
              <w:jc w:val="center"/>
              <w:rPr>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2D0DDA" w:rsidRPr="002D0DDA">
              <w:rPr>
                <w:rFonts w:eastAsia="Arial Narrow" w:cs="Arial Narrow"/>
                <w:vertAlign w:val="superscript"/>
              </w:rPr>
              <w:t>1</w:t>
            </w:r>
          </w:p>
        </w:tc>
        <w:tc>
          <w:tcPr>
            <w:tcW w:w="633" w:type="pct"/>
            <w:tcBorders>
              <w:bottom w:val="single" w:sz="4" w:space="0" w:color="000000" w:themeColor="text1"/>
            </w:tcBorders>
            <w:noWrap/>
            <w:vAlign w:val="center"/>
          </w:tcPr>
          <w:p w14:paraId="3E2CBCF9" w14:textId="45306A4D" w:rsidR="00AC46CD" w:rsidRPr="00BE2A83" w:rsidRDefault="0056079A" w:rsidP="00BA14A7">
            <w:pPr>
              <w:pStyle w:val="TableText0"/>
              <w:keepNext/>
              <w:jc w:val="center"/>
              <w:rPr>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2D0DDA" w:rsidRPr="002D0DDA">
              <w:rPr>
                <w:rFonts w:eastAsia="Arial Narrow" w:cs="Arial Narrow"/>
                <w:vertAlign w:val="superscript"/>
              </w:rPr>
              <w:t>1</w:t>
            </w:r>
          </w:p>
        </w:tc>
        <w:tc>
          <w:tcPr>
            <w:tcW w:w="634" w:type="pct"/>
            <w:tcBorders>
              <w:bottom w:val="single" w:sz="4" w:space="0" w:color="000000" w:themeColor="text1"/>
            </w:tcBorders>
            <w:noWrap/>
            <w:vAlign w:val="center"/>
          </w:tcPr>
          <w:p w14:paraId="555A661C" w14:textId="7255C4E4" w:rsidR="00AC46CD" w:rsidRPr="00BE2A83" w:rsidRDefault="0056079A" w:rsidP="00BA14A7">
            <w:pPr>
              <w:pStyle w:val="TableText0"/>
              <w:keepNext/>
              <w:jc w:val="center"/>
              <w:rPr>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2D0DDA" w:rsidRPr="002D0DDA">
              <w:rPr>
                <w:rFonts w:eastAsia="Arial Narrow" w:cs="Arial Narrow"/>
                <w:vertAlign w:val="superscript"/>
              </w:rPr>
              <w:t>1</w:t>
            </w:r>
          </w:p>
        </w:tc>
        <w:tc>
          <w:tcPr>
            <w:tcW w:w="634" w:type="pct"/>
            <w:tcBorders>
              <w:bottom w:val="single" w:sz="4" w:space="0" w:color="000000" w:themeColor="text1"/>
            </w:tcBorders>
            <w:noWrap/>
            <w:vAlign w:val="center"/>
          </w:tcPr>
          <w:p w14:paraId="080C2F38" w14:textId="25DCC17B" w:rsidR="00AC46CD" w:rsidRPr="00BE2A83" w:rsidRDefault="0056079A" w:rsidP="00BA14A7">
            <w:pPr>
              <w:pStyle w:val="TableText0"/>
              <w:keepNext/>
              <w:jc w:val="center"/>
              <w:rPr>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2D0DDA" w:rsidRPr="002D0DDA">
              <w:rPr>
                <w:rFonts w:eastAsia="Arial Narrow" w:cs="Arial Narrow"/>
                <w:vertAlign w:val="superscript"/>
              </w:rPr>
              <w:t>1</w:t>
            </w:r>
          </w:p>
        </w:tc>
        <w:tc>
          <w:tcPr>
            <w:tcW w:w="629" w:type="pct"/>
            <w:tcBorders>
              <w:bottom w:val="single" w:sz="4" w:space="0" w:color="000000" w:themeColor="text1"/>
            </w:tcBorders>
            <w:noWrap/>
            <w:vAlign w:val="center"/>
          </w:tcPr>
          <w:p w14:paraId="567C3229" w14:textId="4B552C06" w:rsidR="00AC46CD" w:rsidRPr="00BE2A83" w:rsidRDefault="0056079A" w:rsidP="00BA14A7">
            <w:pPr>
              <w:pStyle w:val="TableText0"/>
              <w:keepNext/>
              <w:jc w:val="center"/>
              <w:rPr>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2D0DDA" w:rsidRPr="002D0DDA">
              <w:rPr>
                <w:rFonts w:eastAsia="Arial Narrow" w:cs="Arial Narrow"/>
                <w:vertAlign w:val="superscript"/>
              </w:rPr>
              <w:t>1</w:t>
            </w:r>
          </w:p>
        </w:tc>
      </w:tr>
      <w:tr w:rsidR="004F678D" w:rsidRPr="000B1D5C" w14:paraId="1B2CA2B3" w14:textId="77777777" w:rsidTr="004F678D">
        <w:tc>
          <w:tcPr>
            <w:tcW w:w="1203" w:type="pct"/>
            <w:tcBorders>
              <w:bottom w:val="single" w:sz="4" w:space="0" w:color="000000" w:themeColor="text1"/>
            </w:tcBorders>
            <w:noWrap/>
          </w:tcPr>
          <w:p w14:paraId="2C91BF0B" w14:textId="77777777" w:rsidR="00AC46CD" w:rsidRPr="000B1D5C" w:rsidRDefault="00AC46CD" w:rsidP="00EC33B8">
            <w:pPr>
              <w:pStyle w:val="TableText0"/>
              <w:keepNext/>
            </w:pPr>
            <w:r>
              <w:rPr>
                <w:rFonts w:eastAsia="Arial Narrow" w:cs="Arial Narrow"/>
              </w:rPr>
              <w:t>Garadacimab market share</w:t>
            </w:r>
          </w:p>
        </w:tc>
        <w:tc>
          <w:tcPr>
            <w:tcW w:w="632" w:type="pct"/>
            <w:tcBorders>
              <w:bottom w:val="single" w:sz="4" w:space="0" w:color="000000" w:themeColor="text1"/>
            </w:tcBorders>
            <w:noWrap/>
            <w:vAlign w:val="center"/>
          </w:tcPr>
          <w:p w14:paraId="6E5AD5A5" w14:textId="7E6C14CD" w:rsidR="00AC46CD" w:rsidRPr="00E46EE1" w:rsidRDefault="0056079A" w:rsidP="00BA14A7">
            <w:pPr>
              <w:pStyle w:val="TableText0"/>
              <w:keepNext/>
              <w:jc w:val="center"/>
            </w:pPr>
            <w:r w:rsidRPr="0056079A">
              <w:rPr>
                <w:rFonts w:eastAsia="Arial Narrow" w:cs="Arial Narrow"/>
                <w:color w:val="000000"/>
                <w:shd w:val="solid" w:color="000000" w:fill="000000"/>
                <w14:textFill>
                  <w14:solidFill>
                    <w14:srgbClr w14:val="000000">
                      <w14:alpha w14:val="100000"/>
                    </w14:srgbClr>
                  </w14:solidFill>
                </w14:textFill>
              </w:rPr>
              <w:t>|</w:t>
            </w:r>
            <w:r w:rsidR="00AC46CD" w:rsidRPr="00E46EE1">
              <w:rPr>
                <w:rFonts w:eastAsia="Arial Narrow" w:cs="Arial Narrow"/>
              </w:rPr>
              <w:t>%</w:t>
            </w:r>
          </w:p>
        </w:tc>
        <w:tc>
          <w:tcPr>
            <w:tcW w:w="635" w:type="pct"/>
            <w:tcBorders>
              <w:bottom w:val="single" w:sz="4" w:space="0" w:color="000000" w:themeColor="text1"/>
            </w:tcBorders>
            <w:noWrap/>
            <w:vAlign w:val="center"/>
          </w:tcPr>
          <w:p w14:paraId="2DC3142D" w14:textId="67FE1921" w:rsidR="00AC46CD" w:rsidRPr="00E46EE1" w:rsidRDefault="0056079A" w:rsidP="00BA14A7">
            <w:pPr>
              <w:pStyle w:val="TableText0"/>
              <w:keepNext/>
              <w:jc w:val="center"/>
            </w:pPr>
            <w:r w:rsidRPr="0056079A">
              <w:rPr>
                <w:rFonts w:eastAsia="Arial Narrow" w:cs="Arial Narrow"/>
                <w:color w:val="000000"/>
                <w:shd w:val="solid" w:color="000000" w:fill="000000"/>
                <w14:textFill>
                  <w14:solidFill>
                    <w14:srgbClr w14:val="000000">
                      <w14:alpha w14:val="100000"/>
                    </w14:srgbClr>
                  </w14:solidFill>
                </w14:textFill>
              </w:rPr>
              <w:t>|</w:t>
            </w:r>
            <w:r w:rsidR="00AC46CD" w:rsidRPr="00E46EE1">
              <w:rPr>
                <w:rFonts w:eastAsia="Arial Narrow" w:cs="Arial Narrow"/>
              </w:rPr>
              <w:t>%</w:t>
            </w:r>
          </w:p>
        </w:tc>
        <w:tc>
          <w:tcPr>
            <w:tcW w:w="633" w:type="pct"/>
            <w:tcBorders>
              <w:bottom w:val="single" w:sz="4" w:space="0" w:color="000000" w:themeColor="text1"/>
            </w:tcBorders>
            <w:noWrap/>
            <w:vAlign w:val="center"/>
          </w:tcPr>
          <w:p w14:paraId="2FE9D84B" w14:textId="260948E6" w:rsidR="00AC46CD" w:rsidRPr="00E46EE1" w:rsidRDefault="0056079A" w:rsidP="00BA14A7">
            <w:pPr>
              <w:pStyle w:val="TableText0"/>
              <w:keepNext/>
              <w:jc w:val="center"/>
            </w:pPr>
            <w:r w:rsidRPr="0056079A">
              <w:rPr>
                <w:rFonts w:eastAsia="Arial Narrow" w:cs="Arial Narrow"/>
                <w:color w:val="000000"/>
                <w:shd w:val="solid" w:color="000000" w:fill="000000"/>
                <w14:textFill>
                  <w14:solidFill>
                    <w14:srgbClr w14:val="000000">
                      <w14:alpha w14:val="100000"/>
                    </w14:srgbClr>
                  </w14:solidFill>
                </w14:textFill>
              </w:rPr>
              <w:t>|</w:t>
            </w:r>
            <w:r w:rsidR="00AC46CD" w:rsidRPr="00E46EE1">
              <w:rPr>
                <w:rFonts w:eastAsia="Arial Narrow" w:cs="Arial Narrow"/>
              </w:rPr>
              <w:t>%</w:t>
            </w:r>
          </w:p>
        </w:tc>
        <w:tc>
          <w:tcPr>
            <w:tcW w:w="634" w:type="pct"/>
            <w:tcBorders>
              <w:bottom w:val="single" w:sz="4" w:space="0" w:color="000000" w:themeColor="text1"/>
            </w:tcBorders>
            <w:noWrap/>
            <w:vAlign w:val="center"/>
          </w:tcPr>
          <w:p w14:paraId="391B75D6" w14:textId="0372BBEA" w:rsidR="00AC46CD" w:rsidRPr="00E46EE1" w:rsidRDefault="0056079A" w:rsidP="00BA14A7">
            <w:pPr>
              <w:pStyle w:val="TableText0"/>
              <w:keepNext/>
              <w:jc w:val="center"/>
            </w:pPr>
            <w:r w:rsidRPr="0056079A">
              <w:rPr>
                <w:rFonts w:eastAsia="Arial Narrow" w:cs="Arial Narrow"/>
                <w:color w:val="000000"/>
                <w:shd w:val="solid" w:color="000000" w:fill="000000"/>
                <w14:textFill>
                  <w14:solidFill>
                    <w14:srgbClr w14:val="000000">
                      <w14:alpha w14:val="100000"/>
                    </w14:srgbClr>
                  </w14:solidFill>
                </w14:textFill>
              </w:rPr>
              <w:t>|</w:t>
            </w:r>
            <w:r w:rsidR="00AC46CD" w:rsidRPr="00E46EE1">
              <w:rPr>
                <w:rFonts w:eastAsia="Arial Narrow" w:cs="Arial Narrow"/>
              </w:rPr>
              <w:t>%</w:t>
            </w:r>
          </w:p>
        </w:tc>
        <w:tc>
          <w:tcPr>
            <w:tcW w:w="634" w:type="pct"/>
            <w:tcBorders>
              <w:bottom w:val="single" w:sz="4" w:space="0" w:color="000000" w:themeColor="text1"/>
            </w:tcBorders>
            <w:noWrap/>
            <w:vAlign w:val="center"/>
          </w:tcPr>
          <w:p w14:paraId="6D845C3F" w14:textId="7060895F" w:rsidR="00AC46CD" w:rsidRPr="00E46EE1" w:rsidRDefault="0056079A" w:rsidP="00BA14A7">
            <w:pPr>
              <w:pStyle w:val="TableText0"/>
              <w:keepNext/>
              <w:jc w:val="center"/>
            </w:pPr>
            <w:r w:rsidRPr="0056079A">
              <w:rPr>
                <w:rFonts w:eastAsia="Arial Narrow" w:cs="Arial Narrow"/>
                <w:color w:val="000000"/>
                <w:shd w:val="solid" w:color="000000" w:fill="000000"/>
                <w14:textFill>
                  <w14:solidFill>
                    <w14:srgbClr w14:val="000000">
                      <w14:alpha w14:val="100000"/>
                    </w14:srgbClr>
                  </w14:solidFill>
                </w14:textFill>
              </w:rPr>
              <w:t>|</w:t>
            </w:r>
            <w:r w:rsidR="00AC46CD" w:rsidRPr="00E46EE1">
              <w:rPr>
                <w:rFonts w:eastAsia="Arial Narrow" w:cs="Arial Narrow"/>
              </w:rPr>
              <w:t>%</w:t>
            </w:r>
          </w:p>
        </w:tc>
        <w:tc>
          <w:tcPr>
            <w:tcW w:w="629" w:type="pct"/>
            <w:tcBorders>
              <w:bottom w:val="single" w:sz="4" w:space="0" w:color="000000" w:themeColor="text1"/>
            </w:tcBorders>
            <w:noWrap/>
            <w:vAlign w:val="center"/>
          </w:tcPr>
          <w:p w14:paraId="09D3BDFF" w14:textId="1D579647" w:rsidR="00AC46CD" w:rsidRPr="00E46EE1" w:rsidRDefault="0056079A" w:rsidP="00BA14A7">
            <w:pPr>
              <w:pStyle w:val="TableText0"/>
              <w:keepNext/>
              <w:jc w:val="center"/>
            </w:pPr>
            <w:r w:rsidRPr="0056079A">
              <w:rPr>
                <w:rFonts w:eastAsia="Arial Narrow" w:cs="Arial Narrow"/>
                <w:color w:val="000000"/>
                <w:shd w:val="solid" w:color="000000" w:fill="000000"/>
                <w14:textFill>
                  <w14:solidFill>
                    <w14:srgbClr w14:val="000000">
                      <w14:alpha w14:val="100000"/>
                    </w14:srgbClr>
                  </w14:solidFill>
                </w14:textFill>
              </w:rPr>
              <w:t>|</w:t>
            </w:r>
            <w:r w:rsidR="00AC46CD" w:rsidRPr="00E46EE1">
              <w:rPr>
                <w:rFonts w:eastAsia="Arial Narrow" w:cs="Arial Narrow"/>
              </w:rPr>
              <w:t>%</w:t>
            </w:r>
          </w:p>
        </w:tc>
      </w:tr>
      <w:tr w:rsidR="004F678D" w:rsidRPr="000B1D5C" w14:paraId="13F8070B" w14:textId="77777777" w:rsidTr="004F678D">
        <w:tc>
          <w:tcPr>
            <w:tcW w:w="1203" w:type="pct"/>
            <w:tcBorders>
              <w:bottom w:val="single" w:sz="4" w:space="0" w:color="000000" w:themeColor="text1"/>
            </w:tcBorders>
            <w:noWrap/>
          </w:tcPr>
          <w:p w14:paraId="1A6A764F" w14:textId="77777777" w:rsidR="00AC46CD" w:rsidRDefault="00AC46CD" w:rsidP="00EC33B8">
            <w:pPr>
              <w:pStyle w:val="TableText0"/>
              <w:keepNext/>
            </w:pPr>
            <w:r w:rsidRPr="000B1D5C">
              <w:rPr>
                <w:rFonts w:eastAsia="Arial Narrow" w:cs="Arial Narrow"/>
              </w:rPr>
              <w:t>Reduction in lanadelumab scripts</w:t>
            </w:r>
            <w:r>
              <w:rPr>
                <w:rFonts w:eastAsia="Arial Narrow" w:cs="Arial Narrow"/>
              </w:rPr>
              <w:t xml:space="preserve"> </w:t>
            </w:r>
            <w:r w:rsidRPr="00460566">
              <w:rPr>
                <w:rFonts w:eastAsia="Arial Narrow" w:cs="Arial Narrow"/>
              </w:rPr>
              <w:t>[A]</w:t>
            </w:r>
          </w:p>
        </w:tc>
        <w:tc>
          <w:tcPr>
            <w:tcW w:w="632" w:type="pct"/>
            <w:tcBorders>
              <w:bottom w:val="single" w:sz="4" w:space="0" w:color="000000" w:themeColor="text1"/>
            </w:tcBorders>
            <w:noWrap/>
            <w:vAlign w:val="center"/>
          </w:tcPr>
          <w:p w14:paraId="014980E8" w14:textId="5F5570AA" w:rsidR="00AC46CD" w:rsidRPr="00E86DC5" w:rsidRDefault="0056079A" w:rsidP="00BA14A7">
            <w:pPr>
              <w:pStyle w:val="TableText0"/>
              <w:keepNext/>
              <w:jc w:val="center"/>
              <w:rPr>
                <w:highlight w:val="darkGray"/>
              </w:rPr>
            </w:pPr>
            <w:r w:rsidRPr="00BA14A7">
              <w:rPr>
                <w:rFonts w:eastAsia="Arial Narrow" w:cs="Arial Narrow"/>
                <w:color w:val="000000"/>
                <w:spacing w:val="49"/>
                <w:w w:val="24"/>
                <w:shd w:val="solid" w:color="000000" w:fill="000000"/>
                <w:fitText w:val="107" w:id="-762091520"/>
                <w14:textFill>
                  <w14:solidFill>
                    <w14:srgbClr w14:val="000000">
                      <w14:alpha w14:val="100000"/>
                    </w14:srgbClr>
                  </w14:solidFill>
                </w14:textFill>
              </w:rPr>
              <w:t>|</w:t>
            </w:r>
            <w:r w:rsidRPr="00BA14A7">
              <w:rPr>
                <w:rFonts w:eastAsia="Arial Narrow" w:cs="Arial Narrow"/>
                <w:color w:val="000000"/>
                <w:spacing w:val="1"/>
                <w:w w:val="24"/>
                <w:shd w:val="solid" w:color="000000" w:fill="000000"/>
                <w:fitText w:val="107" w:id="-762091520"/>
                <w14:textFill>
                  <w14:solidFill>
                    <w14:srgbClr w14:val="000000">
                      <w14:alpha w14:val="100000"/>
                    </w14:srgbClr>
                  </w14:solidFill>
                </w14:textFill>
              </w:rPr>
              <w:t xml:space="preserve">　</w:t>
            </w:r>
            <w:r w:rsidR="00C26065" w:rsidRPr="00C26065">
              <w:rPr>
                <w:rFonts w:eastAsia="Arial Narrow" w:cs="Arial Narrow"/>
                <w:vertAlign w:val="superscript"/>
              </w:rPr>
              <w:t>2</w:t>
            </w:r>
          </w:p>
        </w:tc>
        <w:tc>
          <w:tcPr>
            <w:tcW w:w="635" w:type="pct"/>
            <w:tcBorders>
              <w:bottom w:val="single" w:sz="4" w:space="0" w:color="000000" w:themeColor="text1"/>
            </w:tcBorders>
            <w:noWrap/>
            <w:vAlign w:val="center"/>
          </w:tcPr>
          <w:p w14:paraId="7BE2ED57" w14:textId="6BD02097" w:rsidR="00AC46CD" w:rsidRPr="00E86DC5" w:rsidRDefault="0056079A" w:rsidP="00BA14A7">
            <w:pPr>
              <w:pStyle w:val="TableText0"/>
              <w:keepNext/>
              <w:jc w:val="center"/>
              <w:rPr>
                <w:highlight w:val="darkGray"/>
              </w:rPr>
            </w:pPr>
            <w:r w:rsidRPr="00BA14A7">
              <w:rPr>
                <w:rFonts w:eastAsia="Arial Narrow" w:cs="Arial Narrow"/>
                <w:color w:val="000000"/>
                <w:spacing w:val="49"/>
                <w:w w:val="24"/>
                <w:shd w:val="solid" w:color="000000" w:fill="000000"/>
                <w:fitText w:val="107" w:id="-762091519"/>
                <w14:textFill>
                  <w14:solidFill>
                    <w14:srgbClr w14:val="000000">
                      <w14:alpha w14:val="100000"/>
                    </w14:srgbClr>
                  </w14:solidFill>
                </w14:textFill>
              </w:rPr>
              <w:t>|</w:t>
            </w:r>
            <w:r w:rsidRPr="00BA14A7">
              <w:rPr>
                <w:rFonts w:eastAsia="Arial Narrow" w:cs="Arial Narrow"/>
                <w:color w:val="000000"/>
                <w:spacing w:val="1"/>
                <w:w w:val="24"/>
                <w:shd w:val="solid" w:color="000000" w:fill="000000"/>
                <w:fitText w:val="107" w:id="-762091519"/>
                <w14:textFill>
                  <w14:solidFill>
                    <w14:srgbClr w14:val="000000">
                      <w14:alpha w14:val="100000"/>
                    </w14:srgbClr>
                  </w14:solidFill>
                </w14:textFill>
              </w:rPr>
              <w:t xml:space="preserve">　</w:t>
            </w:r>
            <w:r w:rsidR="00AF2CED" w:rsidRPr="002D0DDA">
              <w:rPr>
                <w:rFonts w:eastAsia="Arial Narrow" w:cs="Arial Narrow"/>
                <w:vertAlign w:val="superscript"/>
              </w:rPr>
              <w:t>1</w:t>
            </w:r>
          </w:p>
        </w:tc>
        <w:tc>
          <w:tcPr>
            <w:tcW w:w="633" w:type="pct"/>
            <w:tcBorders>
              <w:bottom w:val="single" w:sz="4" w:space="0" w:color="000000" w:themeColor="text1"/>
            </w:tcBorders>
            <w:noWrap/>
            <w:vAlign w:val="center"/>
          </w:tcPr>
          <w:p w14:paraId="4BB81120" w14:textId="2A7F4435" w:rsidR="00AC46CD" w:rsidRPr="00E86DC5" w:rsidRDefault="0056079A" w:rsidP="00BA14A7">
            <w:pPr>
              <w:pStyle w:val="TableText0"/>
              <w:keepNext/>
              <w:jc w:val="center"/>
              <w:rPr>
                <w:highlight w:val="darkGray"/>
              </w:rPr>
            </w:pPr>
            <w:r w:rsidRPr="00BA14A7">
              <w:rPr>
                <w:rFonts w:eastAsia="Arial Narrow" w:cs="Arial Narrow"/>
                <w:color w:val="000000"/>
                <w:spacing w:val="50"/>
                <w:w w:val="23"/>
                <w:shd w:val="solid" w:color="000000" w:fill="000000"/>
                <w:fitText w:val="106" w:id="-762091518"/>
                <w14:textFill>
                  <w14:solidFill>
                    <w14:srgbClr w14:val="000000">
                      <w14:alpha w14:val="100000"/>
                    </w14:srgbClr>
                  </w14:solidFill>
                </w14:textFill>
              </w:rPr>
              <w:t>|</w:t>
            </w:r>
            <w:r w:rsidRPr="00BA14A7">
              <w:rPr>
                <w:rFonts w:eastAsia="Arial Narrow" w:cs="Arial Narrow"/>
                <w:color w:val="000000"/>
                <w:spacing w:val="1"/>
                <w:w w:val="23"/>
                <w:shd w:val="solid" w:color="000000" w:fill="000000"/>
                <w:fitText w:val="106" w:id="-762091518"/>
                <w14:textFill>
                  <w14:solidFill>
                    <w14:srgbClr w14:val="000000">
                      <w14:alpha w14:val="100000"/>
                    </w14:srgbClr>
                  </w14:solidFill>
                </w14:textFill>
              </w:rPr>
              <w:t xml:space="preserve">　</w:t>
            </w:r>
            <w:r w:rsidR="00AF2CED" w:rsidRPr="002D0DDA">
              <w:rPr>
                <w:rFonts w:eastAsia="Arial Narrow" w:cs="Arial Narrow"/>
                <w:vertAlign w:val="superscript"/>
              </w:rPr>
              <w:t>1</w:t>
            </w:r>
          </w:p>
        </w:tc>
        <w:tc>
          <w:tcPr>
            <w:tcW w:w="634" w:type="pct"/>
            <w:tcBorders>
              <w:bottom w:val="single" w:sz="4" w:space="0" w:color="000000" w:themeColor="text1"/>
            </w:tcBorders>
            <w:noWrap/>
            <w:vAlign w:val="center"/>
          </w:tcPr>
          <w:p w14:paraId="6F75DB01" w14:textId="6F6868C3" w:rsidR="00AC46CD" w:rsidRPr="00E86DC5" w:rsidRDefault="0056079A" w:rsidP="00BA14A7">
            <w:pPr>
              <w:pStyle w:val="TableText0"/>
              <w:keepNext/>
              <w:jc w:val="center"/>
              <w:rPr>
                <w:highlight w:val="darkGray"/>
              </w:rPr>
            </w:pPr>
            <w:r w:rsidRPr="00BA14A7">
              <w:rPr>
                <w:rFonts w:eastAsia="Arial Narrow" w:cs="Arial Narrow"/>
                <w:color w:val="000000"/>
                <w:spacing w:val="49"/>
                <w:w w:val="24"/>
                <w:shd w:val="solid" w:color="000000" w:fill="000000"/>
                <w:fitText w:val="107" w:id="-762091517"/>
                <w14:textFill>
                  <w14:solidFill>
                    <w14:srgbClr w14:val="000000">
                      <w14:alpha w14:val="100000"/>
                    </w14:srgbClr>
                  </w14:solidFill>
                </w14:textFill>
              </w:rPr>
              <w:t>|</w:t>
            </w:r>
            <w:r w:rsidRPr="00BA14A7">
              <w:rPr>
                <w:rFonts w:eastAsia="Arial Narrow" w:cs="Arial Narrow"/>
                <w:color w:val="000000"/>
                <w:spacing w:val="1"/>
                <w:w w:val="24"/>
                <w:shd w:val="solid" w:color="000000" w:fill="000000"/>
                <w:fitText w:val="107" w:id="-762091517"/>
                <w14:textFill>
                  <w14:solidFill>
                    <w14:srgbClr w14:val="000000">
                      <w14:alpha w14:val="100000"/>
                    </w14:srgbClr>
                  </w14:solidFill>
                </w14:textFill>
              </w:rPr>
              <w:t xml:space="preserve">　</w:t>
            </w:r>
            <w:r w:rsidR="00AF2CED" w:rsidRPr="002D0DDA">
              <w:rPr>
                <w:rFonts w:eastAsia="Arial Narrow" w:cs="Arial Narrow"/>
                <w:vertAlign w:val="superscript"/>
              </w:rPr>
              <w:t>1</w:t>
            </w:r>
          </w:p>
        </w:tc>
        <w:tc>
          <w:tcPr>
            <w:tcW w:w="634" w:type="pct"/>
            <w:tcBorders>
              <w:bottom w:val="single" w:sz="4" w:space="0" w:color="000000" w:themeColor="text1"/>
            </w:tcBorders>
            <w:noWrap/>
            <w:vAlign w:val="center"/>
          </w:tcPr>
          <w:p w14:paraId="175FA229" w14:textId="1387F3EF" w:rsidR="00AC46CD" w:rsidRPr="00E86DC5" w:rsidRDefault="0056079A" w:rsidP="00BA14A7">
            <w:pPr>
              <w:pStyle w:val="TableText0"/>
              <w:keepNext/>
              <w:jc w:val="center"/>
              <w:rPr>
                <w:highlight w:val="darkGray"/>
              </w:rPr>
            </w:pPr>
            <w:r w:rsidRPr="00BA14A7">
              <w:rPr>
                <w:rFonts w:eastAsia="Arial Narrow" w:cs="Arial Narrow"/>
                <w:color w:val="000000"/>
                <w:spacing w:val="49"/>
                <w:w w:val="24"/>
                <w:shd w:val="solid" w:color="000000" w:fill="000000"/>
                <w:fitText w:val="107" w:id="-762091516"/>
                <w14:textFill>
                  <w14:solidFill>
                    <w14:srgbClr w14:val="000000">
                      <w14:alpha w14:val="100000"/>
                    </w14:srgbClr>
                  </w14:solidFill>
                </w14:textFill>
              </w:rPr>
              <w:t>|</w:t>
            </w:r>
            <w:r w:rsidRPr="00BA14A7">
              <w:rPr>
                <w:rFonts w:eastAsia="Arial Narrow" w:cs="Arial Narrow"/>
                <w:color w:val="000000"/>
                <w:spacing w:val="1"/>
                <w:w w:val="24"/>
                <w:shd w:val="solid" w:color="000000" w:fill="000000"/>
                <w:fitText w:val="107" w:id="-762091516"/>
                <w14:textFill>
                  <w14:solidFill>
                    <w14:srgbClr w14:val="000000">
                      <w14:alpha w14:val="100000"/>
                    </w14:srgbClr>
                  </w14:solidFill>
                </w14:textFill>
              </w:rPr>
              <w:t xml:space="preserve">　</w:t>
            </w:r>
            <w:r w:rsidR="00AF2CED" w:rsidRPr="002D0DDA">
              <w:rPr>
                <w:rFonts w:eastAsia="Arial Narrow" w:cs="Arial Narrow"/>
                <w:vertAlign w:val="superscript"/>
              </w:rPr>
              <w:t>1</w:t>
            </w:r>
          </w:p>
        </w:tc>
        <w:tc>
          <w:tcPr>
            <w:tcW w:w="629" w:type="pct"/>
            <w:tcBorders>
              <w:bottom w:val="single" w:sz="4" w:space="0" w:color="000000" w:themeColor="text1"/>
            </w:tcBorders>
            <w:noWrap/>
            <w:vAlign w:val="center"/>
          </w:tcPr>
          <w:p w14:paraId="4ADCCED8" w14:textId="61A5CB4C" w:rsidR="00AC46CD" w:rsidRPr="00E86DC5" w:rsidRDefault="0056079A" w:rsidP="00BA14A7">
            <w:pPr>
              <w:pStyle w:val="TableText0"/>
              <w:keepNext/>
              <w:jc w:val="center"/>
              <w:rPr>
                <w:highlight w:val="darkGray"/>
              </w:rPr>
            </w:pPr>
            <w:r w:rsidRPr="00BA14A7">
              <w:rPr>
                <w:rFonts w:eastAsia="Arial Narrow" w:cs="Arial Narrow"/>
                <w:color w:val="000000"/>
                <w:spacing w:val="50"/>
                <w:w w:val="23"/>
                <w:shd w:val="solid" w:color="000000" w:fill="000000"/>
                <w:fitText w:val="106" w:id="-762091515"/>
                <w14:textFill>
                  <w14:solidFill>
                    <w14:srgbClr w14:val="000000">
                      <w14:alpha w14:val="100000"/>
                    </w14:srgbClr>
                  </w14:solidFill>
                </w14:textFill>
              </w:rPr>
              <w:t>|</w:t>
            </w:r>
            <w:r w:rsidRPr="00BA14A7">
              <w:rPr>
                <w:rFonts w:eastAsia="Arial Narrow" w:cs="Arial Narrow"/>
                <w:color w:val="000000"/>
                <w:spacing w:val="1"/>
                <w:w w:val="23"/>
                <w:shd w:val="solid" w:color="000000" w:fill="000000"/>
                <w:fitText w:val="106" w:id="-762091515"/>
                <w14:textFill>
                  <w14:solidFill>
                    <w14:srgbClr w14:val="000000">
                      <w14:alpha w14:val="100000"/>
                    </w14:srgbClr>
                  </w14:solidFill>
                </w14:textFill>
              </w:rPr>
              <w:t xml:space="preserve">　</w:t>
            </w:r>
            <w:r w:rsidR="00AF2CED" w:rsidRPr="002D0DDA">
              <w:rPr>
                <w:rFonts w:eastAsia="Arial Narrow" w:cs="Arial Narrow"/>
                <w:vertAlign w:val="superscript"/>
              </w:rPr>
              <w:t>1</w:t>
            </w:r>
          </w:p>
        </w:tc>
      </w:tr>
      <w:tr w:rsidR="004F678D" w:rsidRPr="000B1D5C" w14:paraId="186259CC" w14:textId="77777777" w:rsidTr="004F678D">
        <w:tc>
          <w:tcPr>
            <w:tcW w:w="1203" w:type="pct"/>
            <w:tcBorders>
              <w:top w:val="nil"/>
              <w:bottom w:val="single" w:sz="4" w:space="0" w:color="000000" w:themeColor="text1"/>
            </w:tcBorders>
            <w:noWrap/>
          </w:tcPr>
          <w:p w14:paraId="2D32EAEB" w14:textId="77777777" w:rsidR="00AC46CD" w:rsidRDefault="00AC46CD" w:rsidP="00EC33B8">
            <w:pPr>
              <w:pStyle w:val="TableText0"/>
              <w:keepNext/>
            </w:pPr>
            <w:r>
              <w:rPr>
                <w:rFonts w:eastAsia="Arial Narrow" w:cs="Arial Narrow"/>
              </w:rPr>
              <w:t xml:space="preserve">Proportion of garadacimab scripts that are initial </w:t>
            </w:r>
            <w:r w:rsidRPr="00460566">
              <w:rPr>
                <w:rFonts w:eastAsia="Arial Narrow" w:cs="Arial Narrow"/>
              </w:rPr>
              <w:t>[B]</w:t>
            </w:r>
          </w:p>
        </w:tc>
        <w:tc>
          <w:tcPr>
            <w:tcW w:w="632" w:type="pct"/>
            <w:tcBorders>
              <w:top w:val="nil"/>
              <w:bottom w:val="single" w:sz="4" w:space="0" w:color="000000" w:themeColor="text1"/>
            </w:tcBorders>
            <w:noWrap/>
            <w:vAlign w:val="center"/>
          </w:tcPr>
          <w:p w14:paraId="156AFC83" w14:textId="4AD408F8" w:rsidR="00AC46CD" w:rsidRPr="00E46EE1" w:rsidRDefault="0056079A" w:rsidP="00BA14A7">
            <w:pPr>
              <w:pStyle w:val="TableText0"/>
              <w:keepNext/>
              <w:jc w:val="center"/>
            </w:pPr>
            <w:r w:rsidRPr="0056079A">
              <w:rPr>
                <w:rFonts w:eastAsia="Arial Narrow" w:cs="Arial Narrow"/>
                <w:color w:val="000000"/>
                <w:shd w:val="solid" w:color="000000" w:fill="000000"/>
                <w14:textFill>
                  <w14:solidFill>
                    <w14:srgbClr w14:val="000000">
                      <w14:alpha w14:val="100000"/>
                    </w14:srgbClr>
                  </w14:solidFill>
                </w14:textFill>
              </w:rPr>
              <w:t>|</w:t>
            </w:r>
            <w:r w:rsidR="00AC46CD" w:rsidRPr="00E46EE1">
              <w:rPr>
                <w:rFonts w:eastAsia="Arial Narrow" w:cs="Arial Narrow"/>
              </w:rPr>
              <w:t>%</w:t>
            </w:r>
          </w:p>
        </w:tc>
        <w:tc>
          <w:tcPr>
            <w:tcW w:w="635" w:type="pct"/>
            <w:tcBorders>
              <w:top w:val="nil"/>
              <w:bottom w:val="single" w:sz="4" w:space="0" w:color="000000" w:themeColor="text1"/>
            </w:tcBorders>
            <w:noWrap/>
            <w:vAlign w:val="center"/>
          </w:tcPr>
          <w:p w14:paraId="4465D77A" w14:textId="14714193" w:rsidR="00AC46CD" w:rsidRPr="00E46EE1" w:rsidRDefault="0056079A" w:rsidP="00BA14A7">
            <w:pPr>
              <w:pStyle w:val="TableText0"/>
              <w:keepNext/>
              <w:jc w:val="center"/>
            </w:pPr>
            <w:r w:rsidRPr="0056079A">
              <w:rPr>
                <w:rFonts w:eastAsia="Arial Narrow" w:cs="Arial Narrow"/>
                <w:color w:val="000000"/>
                <w:shd w:val="solid" w:color="000000" w:fill="000000"/>
                <w14:textFill>
                  <w14:solidFill>
                    <w14:srgbClr w14:val="000000">
                      <w14:alpha w14:val="100000"/>
                    </w14:srgbClr>
                  </w14:solidFill>
                </w14:textFill>
              </w:rPr>
              <w:t>|</w:t>
            </w:r>
            <w:r w:rsidR="00AC46CD" w:rsidRPr="00E46EE1">
              <w:rPr>
                <w:rFonts w:eastAsia="Arial Narrow" w:cs="Arial Narrow"/>
              </w:rPr>
              <w:t>%</w:t>
            </w:r>
          </w:p>
        </w:tc>
        <w:tc>
          <w:tcPr>
            <w:tcW w:w="633" w:type="pct"/>
            <w:tcBorders>
              <w:top w:val="nil"/>
              <w:bottom w:val="single" w:sz="4" w:space="0" w:color="000000" w:themeColor="text1"/>
            </w:tcBorders>
            <w:noWrap/>
            <w:vAlign w:val="center"/>
          </w:tcPr>
          <w:p w14:paraId="12082B68" w14:textId="1ECC7F8C" w:rsidR="00AC46CD" w:rsidRPr="00E46EE1" w:rsidRDefault="0056079A" w:rsidP="00BA14A7">
            <w:pPr>
              <w:pStyle w:val="TableText0"/>
              <w:keepNext/>
              <w:jc w:val="center"/>
            </w:pPr>
            <w:r w:rsidRPr="0056079A">
              <w:rPr>
                <w:rFonts w:eastAsia="Arial Narrow" w:cs="Arial Narrow"/>
                <w:color w:val="000000"/>
                <w:shd w:val="solid" w:color="000000" w:fill="000000"/>
                <w14:textFill>
                  <w14:solidFill>
                    <w14:srgbClr w14:val="000000">
                      <w14:alpha w14:val="100000"/>
                    </w14:srgbClr>
                  </w14:solidFill>
                </w14:textFill>
              </w:rPr>
              <w:t>|</w:t>
            </w:r>
            <w:r w:rsidR="00AC46CD" w:rsidRPr="00E46EE1">
              <w:rPr>
                <w:rFonts w:eastAsia="Arial Narrow" w:cs="Arial Narrow"/>
              </w:rPr>
              <w:t>%</w:t>
            </w:r>
          </w:p>
        </w:tc>
        <w:tc>
          <w:tcPr>
            <w:tcW w:w="634" w:type="pct"/>
            <w:tcBorders>
              <w:top w:val="nil"/>
              <w:bottom w:val="single" w:sz="4" w:space="0" w:color="000000" w:themeColor="text1"/>
            </w:tcBorders>
            <w:noWrap/>
            <w:vAlign w:val="center"/>
          </w:tcPr>
          <w:p w14:paraId="5E75DE37" w14:textId="15889126" w:rsidR="00AC46CD" w:rsidRPr="00E46EE1" w:rsidRDefault="0056079A" w:rsidP="00BA14A7">
            <w:pPr>
              <w:pStyle w:val="TableText0"/>
              <w:keepNext/>
              <w:jc w:val="center"/>
            </w:pPr>
            <w:r w:rsidRPr="0056079A">
              <w:rPr>
                <w:rFonts w:eastAsia="Arial Narrow" w:cs="Arial Narrow"/>
                <w:color w:val="000000"/>
                <w:shd w:val="solid" w:color="000000" w:fill="000000"/>
                <w14:textFill>
                  <w14:solidFill>
                    <w14:srgbClr w14:val="000000">
                      <w14:alpha w14:val="100000"/>
                    </w14:srgbClr>
                  </w14:solidFill>
                </w14:textFill>
              </w:rPr>
              <w:t>|</w:t>
            </w:r>
            <w:r w:rsidR="00AC46CD" w:rsidRPr="00E46EE1">
              <w:rPr>
                <w:rFonts w:eastAsia="Arial Narrow" w:cs="Arial Narrow"/>
              </w:rPr>
              <w:t>%</w:t>
            </w:r>
          </w:p>
        </w:tc>
        <w:tc>
          <w:tcPr>
            <w:tcW w:w="634" w:type="pct"/>
            <w:tcBorders>
              <w:top w:val="nil"/>
              <w:bottom w:val="single" w:sz="4" w:space="0" w:color="000000" w:themeColor="text1"/>
            </w:tcBorders>
            <w:noWrap/>
            <w:vAlign w:val="center"/>
          </w:tcPr>
          <w:p w14:paraId="6ADACEFA" w14:textId="5BC1CCD2" w:rsidR="00AC46CD" w:rsidRPr="00E46EE1" w:rsidRDefault="0056079A" w:rsidP="00BA14A7">
            <w:pPr>
              <w:pStyle w:val="TableText0"/>
              <w:keepNext/>
              <w:jc w:val="center"/>
            </w:pPr>
            <w:r w:rsidRPr="0056079A">
              <w:rPr>
                <w:rFonts w:eastAsia="Arial Narrow" w:cs="Arial Narrow"/>
                <w:color w:val="000000"/>
                <w:shd w:val="solid" w:color="000000" w:fill="000000"/>
                <w14:textFill>
                  <w14:solidFill>
                    <w14:srgbClr w14:val="000000">
                      <w14:alpha w14:val="100000"/>
                    </w14:srgbClr>
                  </w14:solidFill>
                </w14:textFill>
              </w:rPr>
              <w:t>|</w:t>
            </w:r>
            <w:r w:rsidR="00AC46CD" w:rsidRPr="00E46EE1">
              <w:rPr>
                <w:rFonts w:eastAsia="Arial Narrow" w:cs="Arial Narrow"/>
              </w:rPr>
              <w:t>%</w:t>
            </w:r>
          </w:p>
        </w:tc>
        <w:tc>
          <w:tcPr>
            <w:tcW w:w="629" w:type="pct"/>
            <w:tcBorders>
              <w:top w:val="nil"/>
              <w:bottom w:val="single" w:sz="4" w:space="0" w:color="000000" w:themeColor="text1"/>
            </w:tcBorders>
            <w:noWrap/>
            <w:vAlign w:val="center"/>
          </w:tcPr>
          <w:p w14:paraId="67433558" w14:textId="37377CF1" w:rsidR="00AC46CD" w:rsidRPr="00E46EE1" w:rsidRDefault="0056079A" w:rsidP="00BA14A7">
            <w:pPr>
              <w:pStyle w:val="TableText0"/>
              <w:keepNext/>
              <w:jc w:val="center"/>
            </w:pPr>
            <w:r w:rsidRPr="0056079A">
              <w:rPr>
                <w:rFonts w:eastAsia="Arial Narrow" w:cs="Arial Narrow"/>
                <w:color w:val="000000"/>
                <w:shd w:val="solid" w:color="000000" w:fill="000000"/>
                <w14:textFill>
                  <w14:solidFill>
                    <w14:srgbClr w14:val="000000">
                      <w14:alpha w14:val="100000"/>
                    </w14:srgbClr>
                  </w14:solidFill>
                </w14:textFill>
              </w:rPr>
              <w:t>|</w:t>
            </w:r>
            <w:r w:rsidR="00AC46CD" w:rsidRPr="00E46EE1">
              <w:rPr>
                <w:rFonts w:eastAsia="Arial Narrow" w:cs="Arial Narrow"/>
              </w:rPr>
              <w:t>%</w:t>
            </w:r>
          </w:p>
        </w:tc>
      </w:tr>
      <w:tr w:rsidR="004F678D" w:rsidRPr="003F17E1" w14:paraId="2B11D3F5" w14:textId="77777777" w:rsidTr="004F678D">
        <w:tc>
          <w:tcPr>
            <w:tcW w:w="1203" w:type="pct"/>
            <w:tcBorders>
              <w:bottom w:val="single" w:sz="4" w:space="0" w:color="000000" w:themeColor="text1"/>
            </w:tcBorders>
            <w:noWrap/>
          </w:tcPr>
          <w:p w14:paraId="101B9F02" w14:textId="77777777" w:rsidR="00AC46CD" w:rsidRPr="003F17E1" w:rsidRDefault="00AC46CD" w:rsidP="00EC33B8">
            <w:pPr>
              <w:pStyle w:val="TableText0"/>
              <w:keepNext/>
              <w:rPr>
                <w:b/>
                <w:bCs/>
              </w:rPr>
            </w:pPr>
            <w:r>
              <w:rPr>
                <w:rFonts w:eastAsia="Arial Narrow" w:cs="Arial Narrow"/>
                <w:b/>
                <w:bCs/>
              </w:rPr>
              <w:t>No</w:t>
            </w:r>
            <w:r w:rsidRPr="003F17E1">
              <w:rPr>
                <w:rFonts w:eastAsia="Arial Narrow" w:cs="Arial Narrow"/>
                <w:b/>
                <w:bCs/>
              </w:rPr>
              <w:t xml:space="preserve"> garadacimab scripts</w:t>
            </w:r>
          </w:p>
        </w:tc>
        <w:tc>
          <w:tcPr>
            <w:tcW w:w="632" w:type="pct"/>
            <w:tcBorders>
              <w:bottom w:val="single" w:sz="4" w:space="0" w:color="000000" w:themeColor="text1"/>
            </w:tcBorders>
            <w:noWrap/>
            <w:vAlign w:val="center"/>
          </w:tcPr>
          <w:p w14:paraId="0EAFD68A" w14:textId="5564EED5" w:rsidR="00AC46CD" w:rsidRPr="00E86DC5" w:rsidRDefault="0056079A" w:rsidP="00BA14A7">
            <w:pPr>
              <w:pStyle w:val="TableText0"/>
              <w:keepNext/>
              <w:jc w:val="center"/>
              <w:rPr>
                <w:b/>
                <w:bCs/>
                <w:highlight w:val="darkGray"/>
              </w:rPr>
            </w:pPr>
            <w:r w:rsidRPr="0056079A">
              <w:rPr>
                <w:rFonts w:eastAsia="Arial Narrow" w:cs="Arial Narrow"/>
                <w:b/>
                <w:bCs/>
                <w:color w:val="000000"/>
                <w:shd w:val="solid" w:color="000000" w:fill="000000"/>
                <w14:textFill>
                  <w14:solidFill>
                    <w14:srgbClr w14:val="000000">
                      <w14:alpha w14:val="100000"/>
                    </w14:srgbClr>
                  </w14:solidFill>
                </w14:textFill>
              </w:rPr>
              <w:t>|</w:t>
            </w:r>
            <w:r w:rsidR="000574B7" w:rsidRPr="00C26065">
              <w:rPr>
                <w:rFonts w:eastAsia="Arial Narrow" w:cs="Arial Narrow"/>
                <w:vertAlign w:val="superscript"/>
              </w:rPr>
              <w:t>2</w:t>
            </w:r>
          </w:p>
        </w:tc>
        <w:tc>
          <w:tcPr>
            <w:tcW w:w="635" w:type="pct"/>
            <w:tcBorders>
              <w:bottom w:val="single" w:sz="4" w:space="0" w:color="000000" w:themeColor="text1"/>
            </w:tcBorders>
            <w:noWrap/>
            <w:vAlign w:val="center"/>
          </w:tcPr>
          <w:p w14:paraId="0AC61233" w14:textId="774538FE" w:rsidR="00AC46CD" w:rsidRPr="00E86DC5" w:rsidRDefault="0056079A" w:rsidP="00BA14A7">
            <w:pPr>
              <w:pStyle w:val="TableText0"/>
              <w:keepNext/>
              <w:jc w:val="center"/>
              <w:rPr>
                <w:b/>
                <w:bCs/>
                <w:highlight w:val="darkGray"/>
              </w:rPr>
            </w:pPr>
            <w:r w:rsidRPr="0056079A">
              <w:rPr>
                <w:rFonts w:eastAsia="Arial Narrow" w:cs="Arial Narrow"/>
                <w:b/>
                <w:bCs/>
                <w:color w:val="000000"/>
                <w:shd w:val="solid" w:color="000000" w:fill="000000"/>
                <w14:textFill>
                  <w14:solidFill>
                    <w14:srgbClr w14:val="000000">
                      <w14:alpha w14:val="100000"/>
                    </w14:srgbClr>
                  </w14:solidFill>
                </w14:textFill>
              </w:rPr>
              <w:t>|</w:t>
            </w:r>
            <w:r w:rsidR="000574B7" w:rsidRPr="00C26065">
              <w:rPr>
                <w:rFonts w:eastAsia="Arial Narrow" w:cs="Arial Narrow"/>
                <w:vertAlign w:val="superscript"/>
              </w:rPr>
              <w:t>2</w:t>
            </w:r>
          </w:p>
        </w:tc>
        <w:tc>
          <w:tcPr>
            <w:tcW w:w="633" w:type="pct"/>
            <w:tcBorders>
              <w:bottom w:val="single" w:sz="4" w:space="0" w:color="000000" w:themeColor="text1"/>
            </w:tcBorders>
            <w:noWrap/>
            <w:vAlign w:val="center"/>
          </w:tcPr>
          <w:p w14:paraId="6BB4EC7E" w14:textId="2B62BA9E" w:rsidR="00AC46CD" w:rsidRPr="00E86DC5" w:rsidRDefault="0056079A" w:rsidP="00BA14A7">
            <w:pPr>
              <w:pStyle w:val="TableText0"/>
              <w:keepNext/>
              <w:jc w:val="center"/>
              <w:rPr>
                <w:b/>
                <w:bCs/>
                <w:highlight w:val="darkGray"/>
              </w:rPr>
            </w:pPr>
            <w:r w:rsidRPr="0056079A">
              <w:rPr>
                <w:rFonts w:eastAsia="Arial Narrow" w:cs="Arial Narrow"/>
                <w:b/>
                <w:bCs/>
                <w:color w:val="000000"/>
                <w:shd w:val="solid" w:color="000000" w:fill="000000"/>
                <w14:textFill>
                  <w14:solidFill>
                    <w14:srgbClr w14:val="000000">
                      <w14:alpha w14:val="100000"/>
                    </w14:srgbClr>
                  </w14:solidFill>
                </w14:textFill>
              </w:rPr>
              <w:t>|</w:t>
            </w:r>
            <w:r w:rsidR="00C43991" w:rsidRPr="002D0DDA">
              <w:rPr>
                <w:rFonts w:eastAsia="Arial Narrow" w:cs="Arial Narrow"/>
                <w:vertAlign w:val="superscript"/>
              </w:rPr>
              <w:t>1</w:t>
            </w:r>
          </w:p>
        </w:tc>
        <w:tc>
          <w:tcPr>
            <w:tcW w:w="634" w:type="pct"/>
            <w:tcBorders>
              <w:bottom w:val="single" w:sz="4" w:space="0" w:color="000000" w:themeColor="text1"/>
            </w:tcBorders>
            <w:noWrap/>
            <w:vAlign w:val="center"/>
          </w:tcPr>
          <w:p w14:paraId="16E17FEF" w14:textId="1EF6B027" w:rsidR="00AC46CD" w:rsidRPr="00E86DC5" w:rsidRDefault="0056079A" w:rsidP="00BA14A7">
            <w:pPr>
              <w:pStyle w:val="TableText0"/>
              <w:keepNext/>
              <w:jc w:val="center"/>
              <w:rPr>
                <w:b/>
                <w:bCs/>
                <w:highlight w:val="darkGray"/>
              </w:rPr>
            </w:pPr>
            <w:r w:rsidRPr="0056079A">
              <w:rPr>
                <w:rFonts w:eastAsia="Arial Narrow" w:cs="Arial Narrow"/>
                <w:b/>
                <w:bCs/>
                <w:color w:val="000000"/>
                <w:shd w:val="solid" w:color="000000" w:fill="000000"/>
                <w14:textFill>
                  <w14:solidFill>
                    <w14:srgbClr w14:val="000000">
                      <w14:alpha w14:val="100000"/>
                    </w14:srgbClr>
                  </w14:solidFill>
                </w14:textFill>
              </w:rPr>
              <w:t>|</w:t>
            </w:r>
            <w:r w:rsidR="00C43991" w:rsidRPr="002D0DDA">
              <w:rPr>
                <w:rFonts w:eastAsia="Arial Narrow" w:cs="Arial Narrow"/>
                <w:vertAlign w:val="superscript"/>
              </w:rPr>
              <w:t>1</w:t>
            </w:r>
          </w:p>
        </w:tc>
        <w:tc>
          <w:tcPr>
            <w:tcW w:w="634" w:type="pct"/>
            <w:tcBorders>
              <w:bottom w:val="single" w:sz="4" w:space="0" w:color="000000" w:themeColor="text1"/>
            </w:tcBorders>
            <w:noWrap/>
            <w:vAlign w:val="center"/>
          </w:tcPr>
          <w:p w14:paraId="63F5A580" w14:textId="39F0AE73" w:rsidR="00AC46CD" w:rsidRPr="00E86DC5" w:rsidRDefault="0056079A" w:rsidP="00BA14A7">
            <w:pPr>
              <w:pStyle w:val="TableText0"/>
              <w:keepNext/>
              <w:jc w:val="center"/>
              <w:rPr>
                <w:b/>
                <w:bCs/>
                <w:highlight w:val="darkGray"/>
              </w:rPr>
            </w:pPr>
            <w:r w:rsidRPr="0056079A">
              <w:rPr>
                <w:rFonts w:eastAsia="Arial Narrow" w:cs="Arial Narrow"/>
                <w:b/>
                <w:bCs/>
                <w:color w:val="000000"/>
                <w:shd w:val="solid" w:color="000000" w:fill="000000"/>
                <w14:textFill>
                  <w14:solidFill>
                    <w14:srgbClr w14:val="000000">
                      <w14:alpha w14:val="100000"/>
                    </w14:srgbClr>
                  </w14:solidFill>
                </w14:textFill>
              </w:rPr>
              <w:t>|</w:t>
            </w:r>
            <w:r w:rsidR="00C43991" w:rsidRPr="002D0DDA">
              <w:rPr>
                <w:rFonts w:eastAsia="Arial Narrow" w:cs="Arial Narrow"/>
                <w:vertAlign w:val="superscript"/>
              </w:rPr>
              <w:t>1</w:t>
            </w:r>
          </w:p>
        </w:tc>
        <w:tc>
          <w:tcPr>
            <w:tcW w:w="629" w:type="pct"/>
            <w:tcBorders>
              <w:bottom w:val="single" w:sz="4" w:space="0" w:color="000000" w:themeColor="text1"/>
            </w:tcBorders>
            <w:noWrap/>
            <w:vAlign w:val="center"/>
          </w:tcPr>
          <w:p w14:paraId="61DB09BF" w14:textId="5D7E5922" w:rsidR="00AC46CD" w:rsidRPr="00E86DC5" w:rsidRDefault="0056079A" w:rsidP="00BA14A7">
            <w:pPr>
              <w:pStyle w:val="TableText0"/>
              <w:keepNext/>
              <w:jc w:val="center"/>
              <w:rPr>
                <w:b/>
                <w:bCs/>
                <w:highlight w:val="darkGray"/>
              </w:rPr>
            </w:pPr>
            <w:r w:rsidRPr="0056079A">
              <w:rPr>
                <w:rFonts w:eastAsia="Arial Narrow" w:cs="Arial Narrow"/>
                <w:b/>
                <w:bCs/>
                <w:color w:val="000000"/>
                <w:shd w:val="solid" w:color="000000" w:fill="000000"/>
                <w14:textFill>
                  <w14:solidFill>
                    <w14:srgbClr w14:val="000000">
                      <w14:alpha w14:val="100000"/>
                    </w14:srgbClr>
                  </w14:solidFill>
                </w14:textFill>
              </w:rPr>
              <w:t>|</w:t>
            </w:r>
            <w:r w:rsidR="00C43991" w:rsidRPr="002D0DDA">
              <w:rPr>
                <w:rFonts w:eastAsia="Arial Narrow" w:cs="Arial Narrow"/>
                <w:vertAlign w:val="superscript"/>
              </w:rPr>
              <w:t>1</w:t>
            </w:r>
          </w:p>
        </w:tc>
      </w:tr>
      <w:tr w:rsidR="004F678D" w:rsidRPr="003F17E1" w14:paraId="3E1AA846" w14:textId="77777777" w:rsidTr="004F678D">
        <w:tc>
          <w:tcPr>
            <w:tcW w:w="1203" w:type="pct"/>
            <w:tcBorders>
              <w:bottom w:val="nil"/>
            </w:tcBorders>
            <w:noWrap/>
          </w:tcPr>
          <w:p w14:paraId="65FD233C" w14:textId="77777777" w:rsidR="00AC46CD" w:rsidRPr="003F17E1" w:rsidRDefault="00AC46CD" w:rsidP="003B3E7B">
            <w:pPr>
              <w:pStyle w:val="TableText0"/>
              <w:keepNext/>
              <w:numPr>
                <w:ilvl w:val="0"/>
                <w:numId w:val="16"/>
              </w:numPr>
              <w:ind w:left="175" w:hanging="130"/>
              <w:rPr>
                <w:b/>
                <w:bCs/>
              </w:rPr>
            </w:pPr>
            <w:r>
              <w:rPr>
                <w:rFonts w:eastAsia="Arial Narrow" w:cs="Arial Narrow"/>
              </w:rPr>
              <w:t>Initial [A × B × 1.2]</w:t>
            </w:r>
          </w:p>
        </w:tc>
        <w:tc>
          <w:tcPr>
            <w:tcW w:w="632" w:type="pct"/>
            <w:tcBorders>
              <w:bottom w:val="nil"/>
            </w:tcBorders>
            <w:noWrap/>
            <w:vAlign w:val="center"/>
          </w:tcPr>
          <w:p w14:paraId="3B3DAEB5" w14:textId="3D98BB3B" w:rsidR="00AC46CD" w:rsidRPr="000D2C6C" w:rsidRDefault="0056079A" w:rsidP="00BA14A7">
            <w:pPr>
              <w:pStyle w:val="TableText0"/>
              <w:keepNext/>
              <w:jc w:val="center"/>
              <w:rPr>
                <w:b/>
                <w:bCs/>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0574B7" w:rsidRPr="00C26065">
              <w:rPr>
                <w:rFonts w:eastAsia="Arial Narrow" w:cs="Arial Narrow"/>
                <w:vertAlign w:val="superscript"/>
              </w:rPr>
              <w:t>2</w:t>
            </w:r>
          </w:p>
        </w:tc>
        <w:tc>
          <w:tcPr>
            <w:tcW w:w="635" w:type="pct"/>
            <w:tcBorders>
              <w:bottom w:val="nil"/>
            </w:tcBorders>
            <w:noWrap/>
            <w:vAlign w:val="center"/>
          </w:tcPr>
          <w:p w14:paraId="48641D89" w14:textId="2D2D3E78" w:rsidR="00AC46CD" w:rsidRPr="000D2C6C" w:rsidRDefault="0056079A" w:rsidP="00BA14A7">
            <w:pPr>
              <w:pStyle w:val="TableText0"/>
              <w:keepNext/>
              <w:jc w:val="center"/>
              <w:rPr>
                <w:b/>
                <w:bCs/>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0574B7" w:rsidRPr="00C26065">
              <w:rPr>
                <w:rFonts w:eastAsia="Arial Narrow" w:cs="Arial Narrow"/>
                <w:vertAlign w:val="superscript"/>
              </w:rPr>
              <w:t>2</w:t>
            </w:r>
          </w:p>
        </w:tc>
        <w:tc>
          <w:tcPr>
            <w:tcW w:w="633" w:type="pct"/>
            <w:tcBorders>
              <w:bottom w:val="nil"/>
            </w:tcBorders>
            <w:noWrap/>
            <w:vAlign w:val="center"/>
          </w:tcPr>
          <w:p w14:paraId="43CDEB0F" w14:textId="2ACC8DC5" w:rsidR="00AC46CD" w:rsidRPr="000D2C6C" w:rsidRDefault="0056079A" w:rsidP="00BA14A7">
            <w:pPr>
              <w:pStyle w:val="TableText0"/>
              <w:keepNext/>
              <w:jc w:val="center"/>
              <w:rPr>
                <w:b/>
                <w:bCs/>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0574B7" w:rsidRPr="00C26065">
              <w:rPr>
                <w:rFonts w:eastAsia="Arial Narrow" w:cs="Arial Narrow"/>
                <w:vertAlign w:val="superscript"/>
              </w:rPr>
              <w:t>2</w:t>
            </w:r>
          </w:p>
        </w:tc>
        <w:tc>
          <w:tcPr>
            <w:tcW w:w="634" w:type="pct"/>
            <w:tcBorders>
              <w:bottom w:val="nil"/>
            </w:tcBorders>
            <w:noWrap/>
            <w:vAlign w:val="center"/>
          </w:tcPr>
          <w:p w14:paraId="4DBF7391" w14:textId="79EC363C" w:rsidR="00AC46CD" w:rsidRPr="000D2C6C" w:rsidRDefault="0056079A" w:rsidP="00BA14A7">
            <w:pPr>
              <w:pStyle w:val="TableText0"/>
              <w:keepNext/>
              <w:jc w:val="center"/>
              <w:rPr>
                <w:b/>
                <w:bCs/>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0574B7" w:rsidRPr="00C26065">
              <w:rPr>
                <w:rFonts w:eastAsia="Arial Narrow" w:cs="Arial Narrow"/>
                <w:vertAlign w:val="superscript"/>
              </w:rPr>
              <w:t>2</w:t>
            </w:r>
          </w:p>
        </w:tc>
        <w:tc>
          <w:tcPr>
            <w:tcW w:w="634" w:type="pct"/>
            <w:tcBorders>
              <w:bottom w:val="nil"/>
            </w:tcBorders>
            <w:noWrap/>
            <w:vAlign w:val="center"/>
          </w:tcPr>
          <w:p w14:paraId="44C168B4" w14:textId="6F4822B0" w:rsidR="00AC46CD" w:rsidRPr="000D2C6C" w:rsidRDefault="0056079A" w:rsidP="00BA14A7">
            <w:pPr>
              <w:pStyle w:val="TableText0"/>
              <w:keepNext/>
              <w:jc w:val="center"/>
              <w:rPr>
                <w:b/>
                <w:bCs/>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0574B7" w:rsidRPr="00C26065">
              <w:rPr>
                <w:rFonts w:eastAsia="Arial Narrow" w:cs="Arial Narrow"/>
                <w:vertAlign w:val="superscript"/>
              </w:rPr>
              <w:t>2</w:t>
            </w:r>
          </w:p>
        </w:tc>
        <w:tc>
          <w:tcPr>
            <w:tcW w:w="629" w:type="pct"/>
            <w:tcBorders>
              <w:bottom w:val="nil"/>
            </w:tcBorders>
            <w:noWrap/>
            <w:vAlign w:val="center"/>
          </w:tcPr>
          <w:p w14:paraId="4ADA91DD" w14:textId="08B99261" w:rsidR="00AC46CD" w:rsidRPr="000D2C6C" w:rsidRDefault="0056079A" w:rsidP="00BA14A7">
            <w:pPr>
              <w:pStyle w:val="TableText0"/>
              <w:keepNext/>
              <w:jc w:val="center"/>
              <w:rPr>
                <w:b/>
                <w:bCs/>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0574B7" w:rsidRPr="00C26065">
              <w:rPr>
                <w:rFonts w:eastAsia="Arial Narrow" w:cs="Arial Narrow"/>
                <w:vertAlign w:val="superscript"/>
              </w:rPr>
              <w:t>2</w:t>
            </w:r>
          </w:p>
        </w:tc>
      </w:tr>
      <w:tr w:rsidR="004F678D" w:rsidRPr="003F17E1" w14:paraId="27929A55" w14:textId="77777777" w:rsidTr="004F678D">
        <w:tc>
          <w:tcPr>
            <w:tcW w:w="1203" w:type="pct"/>
            <w:tcBorders>
              <w:top w:val="nil"/>
            </w:tcBorders>
            <w:noWrap/>
          </w:tcPr>
          <w:p w14:paraId="1FB648DE" w14:textId="77777777" w:rsidR="00AC46CD" w:rsidRPr="003F17E1" w:rsidRDefault="00AC46CD" w:rsidP="003B3E7B">
            <w:pPr>
              <w:pStyle w:val="TableText0"/>
              <w:keepNext/>
              <w:numPr>
                <w:ilvl w:val="0"/>
                <w:numId w:val="16"/>
              </w:numPr>
              <w:ind w:left="175" w:hanging="130"/>
              <w:rPr>
                <w:b/>
                <w:bCs/>
              </w:rPr>
            </w:pPr>
            <w:r>
              <w:rPr>
                <w:rFonts w:eastAsia="Arial Narrow" w:cs="Arial Narrow"/>
              </w:rPr>
              <w:t>Continuing [A × (1 – B) × 0.6]</w:t>
            </w:r>
          </w:p>
        </w:tc>
        <w:tc>
          <w:tcPr>
            <w:tcW w:w="632" w:type="pct"/>
            <w:tcBorders>
              <w:top w:val="nil"/>
            </w:tcBorders>
            <w:noWrap/>
            <w:vAlign w:val="center"/>
          </w:tcPr>
          <w:p w14:paraId="2F163268" w14:textId="158E3C5F" w:rsidR="00AC46CD" w:rsidRPr="000D2C6C" w:rsidRDefault="0056079A" w:rsidP="00BA14A7">
            <w:pPr>
              <w:pStyle w:val="TableText0"/>
              <w:keepNext/>
              <w:jc w:val="center"/>
              <w:rPr>
                <w:b/>
                <w:bCs/>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0574B7" w:rsidRPr="00C26065">
              <w:rPr>
                <w:rFonts w:eastAsia="Arial Narrow" w:cs="Arial Narrow"/>
                <w:vertAlign w:val="superscript"/>
              </w:rPr>
              <w:t>2</w:t>
            </w:r>
          </w:p>
        </w:tc>
        <w:tc>
          <w:tcPr>
            <w:tcW w:w="635" w:type="pct"/>
            <w:tcBorders>
              <w:top w:val="nil"/>
            </w:tcBorders>
            <w:noWrap/>
            <w:vAlign w:val="center"/>
          </w:tcPr>
          <w:p w14:paraId="01989DBF" w14:textId="1868C6AF" w:rsidR="00AC46CD" w:rsidRPr="000D2C6C" w:rsidRDefault="0056079A" w:rsidP="00BA14A7">
            <w:pPr>
              <w:pStyle w:val="TableText0"/>
              <w:keepNext/>
              <w:jc w:val="center"/>
              <w:rPr>
                <w:b/>
                <w:bCs/>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0574B7" w:rsidRPr="00C26065">
              <w:rPr>
                <w:rFonts w:eastAsia="Arial Narrow" w:cs="Arial Narrow"/>
                <w:vertAlign w:val="superscript"/>
              </w:rPr>
              <w:t>2</w:t>
            </w:r>
          </w:p>
        </w:tc>
        <w:tc>
          <w:tcPr>
            <w:tcW w:w="633" w:type="pct"/>
            <w:tcBorders>
              <w:top w:val="nil"/>
            </w:tcBorders>
            <w:noWrap/>
            <w:vAlign w:val="center"/>
          </w:tcPr>
          <w:p w14:paraId="56E85352" w14:textId="04D429F5" w:rsidR="00AC46CD" w:rsidRPr="000D2C6C" w:rsidRDefault="0056079A" w:rsidP="00BA14A7">
            <w:pPr>
              <w:pStyle w:val="TableText0"/>
              <w:keepNext/>
              <w:jc w:val="center"/>
              <w:rPr>
                <w:b/>
                <w:bCs/>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0574B7" w:rsidRPr="00C26065">
              <w:rPr>
                <w:rFonts w:eastAsia="Arial Narrow" w:cs="Arial Narrow"/>
                <w:vertAlign w:val="superscript"/>
              </w:rPr>
              <w:t>2</w:t>
            </w:r>
          </w:p>
        </w:tc>
        <w:tc>
          <w:tcPr>
            <w:tcW w:w="634" w:type="pct"/>
            <w:tcBorders>
              <w:top w:val="nil"/>
            </w:tcBorders>
            <w:noWrap/>
            <w:vAlign w:val="center"/>
          </w:tcPr>
          <w:p w14:paraId="29D14DB4" w14:textId="48A01182" w:rsidR="00AC46CD" w:rsidRPr="000D2C6C" w:rsidRDefault="0056079A" w:rsidP="00BA14A7">
            <w:pPr>
              <w:pStyle w:val="TableText0"/>
              <w:keepNext/>
              <w:jc w:val="center"/>
              <w:rPr>
                <w:b/>
                <w:bCs/>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C43991" w:rsidRPr="002D0DDA">
              <w:rPr>
                <w:rFonts w:eastAsia="Arial Narrow" w:cs="Arial Narrow"/>
                <w:vertAlign w:val="superscript"/>
              </w:rPr>
              <w:t>1</w:t>
            </w:r>
          </w:p>
        </w:tc>
        <w:tc>
          <w:tcPr>
            <w:tcW w:w="634" w:type="pct"/>
            <w:tcBorders>
              <w:top w:val="nil"/>
            </w:tcBorders>
            <w:noWrap/>
            <w:vAlign w:val="center"/>
          </w:tcPr>
          <w:p w14:paraId="5D9EBA52" w14:textId="06844913" w:rsidR="00AC46CD" w:rsidRPr="000D2C6C" w:rsidRDefault="0056079A" w:rsidP="00BA14A7">
            <w:pPr>
              <w:pStyle w:val="TableText0"/>
              <w:keepNext/>
              <w:jc w:val="center"/>
              <w:rPr>
                <w:b/>
                <w:bCs/>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C43991" w:rsidRPr="002D0DDA">
              <w:rPr>
                <w:rFonts w:eastAsia="Arial Narrow" w:cs="Arial Narrow"/>
                <w:vertAlign w:val="superscript"/>
              </w:rPr>
              <w:t>1</w:t>
            </w:r>
          </w:p>
        </w:tc>
        <w:tc>
          <w:tcPr>
            <w:tcW w:w="629" w:type="pct"/>
            <w:tcBorders>
              <w:top w:val="nil"/>
            </w:tcBorders>
            <w:noWrap/>
            <w:vAlign w:val="center"/>
          </w:tcPr>
          <w:p w14:paraId="2D5EC404" w14:textId="482CC44D" w:rsidR="00AC46CD" w:rsidRPr="000D2C6C" w:rsidRDefault="0056079A" w:rsidP="00BA14A7">
            <w:pPr>
              <w:pStyle w:val="TableText0"/>
              <w:keepNext/>
              <w:jc w:val="center"/>
              <w:rPr>
                <w:b/>
                <w:bCs/>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C43991" w:rsidRPr="002D0DDA">
              <w:rPr>
                <w:rFonts w:eastAsia="Arial Narrow" w:cs="Arial Narrow"/>
                <w:vertAlign w:val="superscript"/>
              </w:rPr>
              <w:t>1</w:t>
            </w:r>
          </w:p>
        </w:tc>
      </w:tr>
      <w:tr w:rsidR="004F678D" w:rsidRPr="00460566" w14:paraId="5C59CEEF" w14:textId="77777777" w:rsidTr="004F678D">
        <w:tc>
          <w:tcPr>
            <w:tcW w:w="1203" w:type="pct"/>
            <w:noWrap/>
          </w:tcPr>
          <w:p w14:paraId="3E37704B" w14:textId="77777777" w:rsidR="00AC46CD" w:rsidRPr="00460566" w:rsidRDefault="00AC46CD" w:rsidP="00EC33B8">
            <w:pPr>
              <w:pStyle w:val="TableText0"/>
              <w:keepNext/>
            </w:pPr>
            <w:r w:rsidRPr="00460566">
              <w:rPr>
                <w:rFonts w:eastAsia="Arial Narrow" w:cs="Arial Narrow"/>
              </w:rPr>
              <w:t>Cost of garadacimab to the PBS/</w:t>
            </w:r>
            <w:r>
              <w:rPr>
                <w:rFonts w:eastAsia="Arial Narrow" w:cs="Arial Narrow"/>
              </w:rPr>
              <w:t>R</w:t>
            </w:r>
            <w:r w:rsidRPr="00460566">
              <w:rPr>
                <w:rFonts w:eastAsia="Arial Narrow" w:cs="Arial Narrow"/>
              </w:rPr>
              <w:t>PBS, less patient copayments </w:t>
            </w:r>
            <w:r w:rsidRPr="00460566">
              <w:rPr>
                <w:rFonts w:eastAsia="Arial Narrow" w:cs="Arial Narrow"/>
                <w:vertAlign w:val="superscript"/>
              </w:rPr>
              <w:t>c</w:t>
            </w:r>
          </w:p>
        </w:tc>
        <w:tc>
          <w:tcPr>
            <w:tcW w:w="632" w:type="pct"/>
            <w:noWrap/>
            <w:vAlign w:val="center"/>
          </w:tcPr>
          <w:p w14:paraId="6FDBB6AC" w14:textId="1C731345" w:rsidR="00AC46CD" w:rsidRPr="000D2C6C" w:rsidRDefault="0056079A" w:rsidP="00BA14A7">
            <w:pPr>
              <w:pStyle w:val="TableText0"/>
              <w:keepNext/>
              <w:jc w:val="center"/>
              <w:rPr>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D775D0" w:rsidRPr="00D775D0">
              <w:rPr>
                <w:rFonts w:eastAsia="Arial Narrow" w:cs="Arial Narrow"/>
                <w:vertAlign w:val="superscript"/>
              </w:rPr>
              <w:t>3</w:t>
            </w:r>
          </w:p>
        </w:tc>
        <w:tc>
          <w:tcPr>
            <w:tcW w:w="635" w:type="pct"/>
            <w:noWrap/>
            <w:vAlign w:val="center"/>
          </w:tcPr>
          <w:p w14:paraId="5AFBE4FC" w14:textId="0F99FD12" w:rsidR="00AC46CD" w:rsidRPr="000D2C6C" w:rsidRDefault="0056079A" w:rsidP="00BA14A7">
            <w:pPr>
              <w:pStyle w:val="TableText0"/>
              <w:keepNext/>
              <w:jc w:val="center"/>
              <w:rPr>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551399" w:rsidRPr="00551399">
              <w:rPr>
                <w:rFonts w:eastAsia="Arial Narrow" w:cs="Arial Narrow"/>
                <w:vertAlign w:val="superscript"/>
              </w:rPr>
              <w:t>4</w:t>
            </w:r>
          </w:p>
        </w:tc>
        <w:tc>
          <w:tcPr>
            <w:tcW w:w="633" w:type="pct"/>
            <w:noWrap/>
            <w:vAlign w:val="center"/>
          </w:tcPr>
          <w:p w14:paraId="0C8C852C" w14:textId="68F03AC0" w:rsidR="00AC46CD" w:rsidRPr="000D2C6C" w:rsidRDefault="0056079A" w:rsidP="00BA14A7">
            <w:pPr>
              <w:pStyle w:val="TableText0"/>
              <w:keepNext/>
              <w:jc w:val="center"/>
              <w:rPr>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355513" w:rsidRPr="00355513">
              <w:rPr>
                <w:rFonts w:eastAsia="Arial Narrow" w:cs="Arial Narrow"/>
                <w:vertAlign w:val="superscript"/>
              </w:rPr>
              <w:t>5</w:t>
            </w:r>
          </w:p>
        </w:tc>
        <w:tc>
          <w:tcPr>
            <w:tcW w:w="634" w:type="pct"/>
            <w:noWrap/>
            <w:vAlign w:val="center"/>
          </w:tcPr>
          <w:p w14:paraId="05DD9280" w14:textId="7D5B3851" w:rsidR="00AC46CD" w:rsidRPr="000D2C6C" w:rsidRDefault="0056079A" w:rsidP="00BA14A7">
            <w:pPr>
              <w:pStyle w:val="TableText0"/>
              <w:keepNext/>
              <w:jc w:val="center"/>
              <w:rPr>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355513" w:rsidRPr="00355513">
              <w:rPr>
                <w:rFonts w:eastAsia="Arial Narrow" w:cs="Arial Narrow"/>
                <w:vertAlign w:val="superscript"/>
              </w:rPr>
              <w:t>5</w:t>
            </w:r>
          </w:p>
        </w:tc>
        <w:tc>
          <w:tcPr>
            <w:tcW w:w="634" w:type="pct"/>
            <w:noWrap/>
            <w:vAlign w:val="center"/>
          </w:tcPr>
          <w:p w14:paraId="2049DDBE" w14:textId="3E08E7F6" w:rsidR="00AC46CD" w:rsidRPr="000D2C6C" w:rsidRDefault="0056079A" w:rsidP="00BA14A7">
            <w:pPr>
              <w:pStyle w:val="TableText0"/>
              <w:keepNext/>
              <w:jc w:val="center"/>
              <w:rPr>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355513" w:rsidRPr="00355513">
              <w:rPr>
                <w:rFonts w:eastAsia="Arial Narrow" w:cs="Arial Narrow"/>
                <w:vertAlign w:val="superscript"/>
              </w:rPr>
              <w:t>6</w:t>
            </w:r>
          </w:p>
        </w:tc>
        <w:tc>
          <w:tcPr>
            <w:tcW w:w="629" w:type="pct"/>
            <w:noWrap/>
            <w:vAlign w:val="center"/>
          </w:tcPr>
          <w:p w14:paraId="4CCC8010" w14:textId="6EA0BFE6" w:rsidR="00AC46CD" w:rsidRPr="000D2C6C" w:rsidRDefault="0056079A" w:rsidP="00BA14A7">
            <w:pPr>
              <w:pStyle w:val="TableText0"/>
              <w:keepNext/>
              <w:jc w:val="center"/>
              <w:rPr>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355513" w:rsidRPr="00355513">
              <w:rPr>
                <w:rFonts w:eastAsia="Arial Narrow" w:cs="Arial Narrow"/>
                <w:vertAlign w:val="superscript"/>
              </w:rPr>
              <w:t>6</w:t>
            </w:r>
          </w:p>
        </w:tc>
      </w:tr>
      <w:tr w:rsidR="004F678D" w:rsidRPr="00460566" w14:paraId="48AD961D" w14:textId="77777777" w:rsidTr="004F678D">
        <w:tc>
          <w:tcPr>
            <w:tcW w:w="1203" w:type="pct"/>
            <w:noWrap/>
          </w:tcPr>
          <w:p w14:paraId="7C64A0F4" w14:textId="77777777" w:rsidR="00AC46CD" w:rsidRPr="00460566" w:rsidRDefault="00AC46CD" w:rsidP="00EC33B8">
            <w:pPr>
              <w:pStyle w:val="TableText0"/>
              <w:keepNext/>
            </w:pPr>
            <w:r w:rsidRPr="00460566">
              <w:rPr>
                <w:rFonts w:eastAsia="Arial Narrow" w:cs="Arial Narrow"/>
              </w:rPr>
              <w:t>Reduction in cost of lanadelumab to the PBS/</w:t>
            </w:r>
            <w:r>
              <w:rPr>
                <w:rFonts w:eastAsia="Arial Narrow" w:cs="Arial Narrow"/>
              </w:rPr>
              <w:t>R</w:t>
            </w:r>
            <w:r w:rsidRPr="00460566">
              <w:rPr>
                <w:rFonts w:eastAsia="Arial Narrow" w:cs="Arial Narrow"/>
              </w:rPr>
              <w:t>PBS, less patient copayments </w:t>
            </w:r>
            <w:r w:rsidRPr="00460566">
              <w:rPr>
                <w:rFonts w:eastAsia="Arial Narrow" w:cs="Arial Narrow"/>
                <w:vertAlign w:val="superscript"/>
              </w:rPr>
              <w:t>d</w:t>
            </w:r>
          </w:p>
        </w:tc>
        <w:tc>
          <w:tcPr>
            <w:tcW w:w="632" w:type="pct"/>
            <w:noWrap/>
            <w:vAlign w:val="center"/>
          </w:tcPr>
          <w:p w14:paraId="3B7FB3B1" w14:textId="6EB08733" w:rsidR="00AC46CD" w:rsidRPr="000D2C6C" w:rsidRDefault="0056079A" w:rsidP="00BA14A7">
            <w:pPr>
              <w:pStyle w:val="TableText0"/>
              <w:keepNext/>
              <w:jc w:val="center"/>
              <w:rPr>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D775D0" w:rsidRPr="00D775D0">
              <w:rPr>
                <w:rFonts w:eastAsia="Arial Narrow" w:cs="Arial Narrow"/>
                <w:vertAlign w:val="superscript"/>
              </w:rPr>
              <w:t>3</w:t>
            </w:r>
          </w:p>
        </w:tc>
        <w:tc>
          <w:tcPr>
            <w:tcW w:w="635" w:type="pct"/>
            <w:noWrap/>
            <w:vAlign w:val="center"/>
          </w:tcPr>
          <w:p w14:paraId="2D1D5B4D" w14:textId="075B84B1" w:rsidR="00AC46CD" w:rsidRPr="000D2C6C" w:rsidRDefault="0056079A" w:rsidP="00BA14A7">
            <w:pPr>
              <w:pStyle w:val="TableText0"/>
              <w:keepNext/>
              <w:jc w:val="center"/>
              <w:rPr>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D775D0" w:rsidRPr="00D775D0">
              <w:rPr>
                <w:rFonts w:eastAsia="Arial Narrow" w:cs="Arial Narrow"/>
                <w:vertAlign w:val="superscript"/>
              </w:rPr>
              <w:t>3</w:t>
            </w:r>
          </w:p>
        </w:tc>
        <w:tc>
          <w:tcPr>
            <w:tcW w:w="633" w:type="pct"/>
            <w:noWrap/>
            <w:vAlign w:val="center"/>
          </w:tcPr>
          <w:p w14:paraId="5A44762F" w14:textId="78821437" w:rsidR="00AC46CD" w:rsidRPr="000D2C6C" w:rsidRDefault="0056079A" w:rsidP="00BA14A7">
            <w:pPr>
              <w:pStyle w:val="TableText0"/>
              <w:keepNext/>
              <w:jc w:val="center"/>
              <w:rPr>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8B621B" w:rsidRPr="00551399">
              <w:rPr>
                <w:rFonts w:eastAsia="Arial Narrow" w:cs="Arial Narrow"/>
                <w:vertAlign w:val="superscript"/>
              </w:rPr>
              <w:t>4</w:t>
            </w:r>
          </w:p>
        </w:tc>
        <w:tc>
          <w:tcPr>
            <w:tcW w:w="634" w:type="pct"/>
            <w:noWrap/>
            <w:vAlign w:val="center"/>
          </w:tcPr>
          <w:p w14:paraId="0F76C16B" w14:textId="3E0858E8" w:rsidR="00AC46CD" w:rsidRPr="000D2C6C" w:rsidRDefault="0056079A" w:rsidP="00BA14A7">
            <w:pPr>
              <w:pStyle w:val="TableText0"/>
              <w:keepNext/>
              <w:jc w:val="center"/>
              <w:rPr>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8B621B" w:rsidRPr="00551399">
              <w:rPr>
                <w:rFonts w:eastAsia="Arial Narrow" w:cs="Arial Narrow"/>
                <w:vertAlign w:val="superscript"/>
              </w:rPr>
              <w:t>4</w:t>
            </w:r>
          </w:p>
        </w:tc>
        <w:tc>
          <w:tcPr>
            <w:tcW w:w="634" w:type="pct"/>
            <w:noWrap/>
            <w:vAlign w:val="center"/>
          </w:tcPr>
          <w:p w14:paraId="59E6DF44" w14:textId="21A85915" w:rsidR="00AC46CD" w:rsidRPr="000D2C6C" w:rsidRDefault="0056079A" w:rsidP="00BA14A7">
            <w:pPr>
              <w:pStyle w:val="TableText0"/>
              <w:keepNext/>
              <w:jc w:val="center"/>
              <w:rPr>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355513" w:rsidRPr="00355513">
              <w:rPr>
                <w:rFonts w:eastAsia="Arial Narrow" w:cs="Arial Narrow"/>
                <w:vertAlign w:val="superscript"/>
              </w:rPr>
              <w:t>5</w:t>
            </w:r>
          </w:p>
        </w:tc>
        <w:tc>
          <w:tcPr>
            <w:tcW w:w="629" w:type="pct"/>
            <w:noWrap/>
            <w:vAlign w:val="center"/>
          </w:tcPr>
          <w:p w14:paraId="091012CA" w14:textId="5EECB0C8" w:rsidR="00AC46CD" w:rsidRPr="000D2C6C" w:rsidRDefault="0056079A" w:rsidP="00BA14A7">
            <w:pPr>
              <w:pStyle w:val="TableText0"/>
              <w:keepNext/>
              <w:jc w:val="center"/>
              <w:rPr>
                <w:highlight w:val="darkGray"/>
              </w:rPr>
            </w:pPr>
            <w:r w:rsidRPr="0056079A">
              <w:rPr>
                <w:rFonts w:eastAsia="Arial Narrow" w:cs="Arial Narrow"/>
                <w:color w:val="000000"/>
                <w:shd w:val="solid" w:color="000000" w:fill="000000"/>
                <w14:textFill>
                  <w14:solidFill>
                    <w14:srgbClr w14:val="000000">
                      <w14:alpha w14:val="100000"/>
                    </w14:srgbClr>
                  </w14:solidFill>
                </w14:textFill>
              </w:rPr>
              <w:t>|</w:t>
            </w:r>
            <w:r w:rsidR="00355513" w:rsidRPr="00355513">
              <w:rPr>
                <w:rFonts w:eastAsia="Arial Narrow" w:cs="Arial Narrow"/>
                <w:vertAlign w:val="superscript"/>
              </w:rPr>
              <w:t>5</w:t>
            </w:r>
          </w:p>
        </w:tc>
      </w:tr>
      <w:tr w:rsidR="004F678D" w:rsidRPr="00460566" w14:paraId="215262D4" w14:textId="77777777" w:rsidTr="004F678D">
        <w:tc>
          <w:tcPr>
            <w:tcW w:w="1203" w:type="pct"/>
            <w:tcBorders>
              <w:bottom w:val="single" w:sz="4" w:space="0" w:color="000000" w:themeColor="text1"/>
            </w:tcBorders>
            <w:noWrap/>
          </w:tcPr>
          <w:p w14:paraId="4664C25B" w14:textId="77777777" w:rsidR="00AC46CD" w:rsidRPr="00460566" w:rsidRDefault="00AC46CD" w:rsidP="00EC33B8">
            <w:pPr>
              <w:pStyle w:val="TableText0"/>
              <w:keepNext/>
              <w:rPr>
                <w:b/>
                <w:bCs/>
              </w:rPr>
            </w:pPr>
            <w:r w:rsidRPr="00460566">
              <w:rPr>
                <w:rFonts w:eastAsia="Arial Narrow" w:cs="Arial Narrow"/>
                <w:b/>
                <w:bCs/>
              </w:rPr>
              <w:t>Net cost to the PBS/RPBS</w:t>
            </w:r>
          </w:p>
        </w:tc>
        <w:tc>
          <w:tcPr>
            <w:tcW w:w="632" w:type="pct"/>
            <w:tcBorders>
              <w:bottom w:val="single" w:sz="4" w:space="0" w:color="000000" w:themeColor="text1"/>
            </w:tcBorders>
            <w:noWrap/>
            <w:vAlign w:val="center"/>
          </w:tcPr>
          <w:p w14:paraId="22810583" w14:textId="13834AF7" w:rsidR="00AC46CD" w:rsidRPr="000D2C6C" w:rsidRDefault="0056079A" w:rsidP="00BA14A7">
            <w:pPr>
              <w:pStyle w:val="TableText0"/>
              <w:keepNext/>
              <w:jc w:val="center"/>
              <w:rPr>
                <w:b/>
                <w:bCs/>
                <w:highlight w:val="darkGray"/>
              </w:rPr>
            </w:pPr>
            <w:r w:rsidRPr="0056079A">
              <w:rPr>
                <w:rFonts w:eastAsia="Arial Narrow" w:cs="Arial Narrow"/>
                <w:b/>
                <w:bCs/>
                <w:color w:val="000000"/>
                <w:shd w:val="solid" w:color="000000" w:fill="000000"/>
                <w14:textFill>
                  <w14:solidFill>
                    <w14:srgbClr w14:val="000000">
                      <w14:alpha w14:val="100000"/>
                    </w14:srgbClr>
                  </w14:solidFill>
                </w14:textFill>
              </w:rPr>
              <w:t>|</w:t>
            </w:r>
            <w:r w:rsidR="00D775D0" w:rsidRPr="00D775D0">
              <w:rPr>
                <w:rFonts w:eastAsia="Arial Narrow" w:cs="Arial Narrow"/>
                <w:vertAlign w:val="superscript"/>
              </w:rPr>
              <w:t>3</w:t>
            </w:r>
          </w:p>
        </w:tc>
        <w:tc>
          <w:tcPr>
            <w:tcW w:w="635" w:type="pct"/>
            <w:tcBorders>
              <w:bottom w:val="single" w:sz="4" w:space="0" w:color="000000" w:themeColor="text1"/>
            </w:tcBorders>
            <w:noWrap/>
            <w:vAlign w:val="center"/>
          </w:tcPr>
          <w:p w14:paraId="4ABD2E02" w14:textId="69ECA5BF" w:rsidR="00AC46CD" w:rsidRPr="000D2C6C" w:rsidRDefault="0056079A" w:rsidP="00BA14A7">
            <w:pPr>
              <w:pStyle w:val="TableText0"/>
              <w:keepNext/>
              <w:jc w:val="center"/>
              <w:rPr>
                <w:b/>
                <w:bCs/>
                <w:highlight w:val="darkGray"/>
              </w:rPr>
            </w:pPr>
            <w:r w:rsidRPr="0056079A">
              <w:rPr>
                <w:rFonts w:eastAsia="Arial Narrow" w:cs="Arial Narrow"/>
                <w:b/>
                <w:bCs/>
                <w:color w:val="000000"/>
                <w:shd w:val="solid" w:color="000000" w:fill="000000"/>
                <w14:textFill>
                  <w14:solidFill>
                    <w14:srgbClr w14:val="000000">
                      <w14:alpha w14:val="100000"/>
                    </w14:srgbClr>
                  </w14:solidFill>
                </w14:textFill>
              </w:rPr>
              <w:t>|</w:t>
            </w:r>
            <w:r w:rsidR="00D775D0" w:rsidRPr="00D775D0">
              <w:rPr>
                <w:rFonts w:eastAsia="Arial Narrow" w:cs="Arial Narrow"/>
                <w:vertAlign w:val="superscript"/>
              </w:rPr>
              <w:t>3</w:t>
            </w:r>
          </w:p>
        </w:tc>
        <w:tc>
          <w:tcPr>
            <w:tcW w:w="633" w:type="pct"/>
            <w:tcBorders>
              <w:bottom w:val="single" w:sz="4" w:space="0" w:color="000000" w:themeColor="text1"/>
            </w:tcBorders>
            <w:noWrap/>
            <w:vAlign w:val="center"/>
          </w:tcPr>
          <w:p w14:paraId="569ADE23" w14:textId="662B3525" w:rsidR="00AC46CD" w:rsidRPr="000D2C6C" w:rsidRDefault="0056079A" w:rsidP="00BA14A7">
            <w:pPr>
              <w:pStyle w:val="TableText0"/>
              <w:keepNext/>
              <w:jc w:val="center"/>
              <w:rPr>
                <w:b/>
                <w:bCs/>
                <w:highlight w:val="darkGray"/>
              </w:rPr>
            </w:pPr>
            <w:r w:rsidRPr="0056079A">
              <w:rPr>
                <w:rFonts w:eastAsia="Arial Narrow" w:cs="Arial Narrow"/>
                <w:b/>
                <w:bCs/>
                <w:color w:val="000000"/>
                <w:shd w:val="solid" w:color="000000" w:fill="000000"/>
                <w14:textFill>
                  <w14:solidFill>
                    <w14:srgbClr w14:val="000000">
                      <w14:alpha w14:val="100000"/>
                    </w14:srgbClr>
                  </w14:solidFill>
                </w14:textFill>
              </w:rPr>
              <w:t>|</w:t>
            </w:r>
            <w:r w:rsidR="00D775D0" w:rsidRPr="00D775D0">
              <w:rPr>
                <w:rFonts w:eastAsia="Arial Narrow" w:cs="Arial Narrow"/>
                <w:vertAlign w:val="superscript"/>
              </w:rPr>
              <w:t>3</w:t>
            </w:r>
          </w:p>
        </w:tc>
        <w:tc>
          <w:tcPr>
            <w:tcW w:w="634" w:type="pct"/>
            <w:tcBorders>
              <w:bottom w:val="single" w:sz="4" w:space="0" w:color="000000" w:themeColor="text1"/>
            </w:tcBorders>
            <w:noWrap/>
            <w:vAlign w:val="center"/>
          </w:tcPr>
          <w:p w14:paraId="0E48D5A3" w14:textId="13FB904C" w:rsidR="00AC46CD" w:rsidRPr="000D2C6C" w:rsidRDefault="0056079A" w:rsidP="00BA14A7">
            <w:pPr>
              <w:pStyle w:val="TableText0"/>
              <w:keepNext/>
              <w:jc w:val="center"/>
              <w:rPr>
                <w:b/>
                <w:bCs/>
                <w:highlight w:val="darkGray"/>
              </w:rPr>
            </w:pPr>
            <w:r w:rsidRPr="0056079A">
              <w:rPr>
                <w:rFonts w:eastAsia="Arial Narrow" w:cs="Arial Narrow"/>
                <w:b/>
                <w:bCs/>
                <w:color w:val="000000"/>
                <w:shd w:val="solid" w:color="000000" w:fill="000000"/>
                <w14:textFill>
                  <w14:solidFill>
                    <w14:srgbClr w14:val="000000">
                      <w14:alpha w14:val="100000"/>
                    </w14:srgbClr>
                  </w14:solidFill>
                </w14:textFill>
              </w:rPr>
              <w:t>|</w:t>
            </w:r>
            <w:r w:rsidR="00D775D0" w:rsidRPr="00D775D0">
              <w:rPr>
                <w:rFonts w:eastAsia="Arial Narrow" w:cs="Arial Narrow"/>
                <w:vertAlign w:val="superscript"/>
              </w:rPr>
              <w:t>3</w:t>
            </w:r>
          </w:p>
        </w:tc>
        <w:tc>
          <w:tcPr>
            <w:tcW w:w="634" w:type="pct"/>
            <w:tcBorders>
              <w:bottom w:val="single" w:sz="4" w:space="0" w:color="000000" w:themeColor="text1"/>
            </w:tcBorders>
            <w:noWrap/>
            <w:vAlign w:val="center"/>
          </w:tcPr>
          <w:p w14:paraId="1B38776E" w14:textId="562845C2" w:rsidR="00AC46CD" w:rsidRPr="000D2C6C" w:rsidRDefault="0056079A" w:rsidP="00BA14A7">
            <w:pPr>
              <w:pStyle w:val="TableText0"/>
              <w:keepNext/>
              <w:jc w:val="center"/>
              <w:rPr>
                <w:b/>
                <w:bCs/>
                <w:highlight w:val="darkGray"/>
              </w:rPr>
            </w:pPr>
            <w:r w:rsidRPr="0056079A">
              <w:rPr>
                <w:rFonts w:eastAsia="Arial Narrow" w:cs="Arial Narrow"/>
                <w:b/>
                <w:bCs/>
                <w:color w:val="000000"/>
                <w:shd w:val="solid" w:color="000000" w:fill="000000"/>
                <w14:textFill>
                  <w14:solidFill>
                    <w14:srgbClr w14:val="000000">
                      <w14:alpha w14:val="100000"/>
                    </w14:srgbClr>
                  </w14:solidFill>
                </w14:textFill>
              </w:rPr>
              <w:t>|</w:t>
            </w:r>
            <w:r w:rsidR="008B621B" w:rsidRPr="00551399">
              <w:rPr>
                <w:rFonts w:eastAsia="Arial Narrow" w:cs="Arial Narrow"/>
                <w:vertAlign w:val="superscript"/>
              </w:rPr>
              <w:t>4</w:t>
            </w:r>
          </w:p>
        </w:tc>
        <w:tc>
          <w:tcPr>
            <w:tcW w:w="629" w:type="pct"/>
            <w:tcBorders>
              <w:bottom w:val="single" w:sz="4" w:space="0" w:color="000000" w:themeColor="text1"/>
            </w:tcBorders>
            <w:noWrap/>
            <w:vAlign w:val="center"/>
          </w:tcPr>
          <w:p w14:paraId="604A66B0" w14:textId="1DA8EBC0" w:rsidR="00AC46CD" w:rsidRPr="000D2C6C" w:rsidRDefault="0056079A" w:rsidP="00BA14A7">
            <w:pPr>
              <w:pStyle w:val="TableText0"/>
              <w:keepNext/>
              <w:jc w:val="center"/>
              <w:rPr>
                <w:b/>
                <w:bCs/>
                <w:highlight w:val="darkGray"/>
              </w:rPr>
            </w:pPr>
            <w:r w:rsidRPr="0056079A">
              <w:rPr>
                <w:rFonts w:eastAsia="Arial Narrow" w:cs="Arial Narrow"/>
                <w:b/>
                <w:bCs/>
                <w:color w:val="000000"/>
                <w:shd w:val="solid" w:color="000000" w:fill="000000"/>
                <w14:textFill>
                  <w14:solidFill>
                    <w14:srgbClr w14:val="000000">
                      <w14:alpha w14:val="100000"/>
                    </w14:srgbClr>
                  </w14:solidFill>
                </w14:textFill>
              </w:rPr>
              <w:t>|</w:t>
            </w:r>
            <w:r w:rsidR="008B621B" w:rsidRPr="00551399">
              <w:rPr>
                <w:rFonts w:eastAsia="Arial Narrow" w:cs="Arial Narrow"/>
                <w:vertAlign w:val="superscript"/>
              </w:rPr>
              <w:t>4</w:t>
            </w:r>
          </w:p>
        </w:tc>
      </w:tr>
    </w:tbl>
    <w:p w14:paraId="70A62047" w14:textId="77777777" w:rsidR="00AC46CD" w:rsidRDefault="00AC46CD" w:rsidP="00E42953">
      <w:pPr>
        <w:pStyle w:val="TableFigureFooter"/>
        <w:jc w:val="both"/>
      </w:pPr>
      <w:r>
        <w:t>Source: ‘2e. Scripts – market’ and ‘3a. Scripts – proposed’ worksheet of the ‘Attachment 14 - Garadacimab utilisation and cost workbook.xlsx’ included in the submission and Table 4.10, p156 of the submission.</w:t>
      </w:r>
    </w:p>
    <w:p w14:paraId="303125A7" w14:textId="77777777" w:rsidR="00AC46CD" w:rsidRDefault="00AC46CD" w:rsidP="00E42953">
      <w:pPr>
        <w:pStyle w:val="TableFigureFooter"/>
        <w:jc w:val="both"/>
      </w:pPr>
      <w:r>
        <w:t>C1-INH = C1-esterase inhibitor</w:t>
      </w:r>
    </w:p>
    <w:p w14:paraId="687E33D5" w14:textId="77777777" w:rsidR="00AC46CD" w:rsidRDefault="00AC46CD" w:rsidP="00E42953">
      <w:pPr>
        <w:pStyle w:val="TableFigureFooter"/>
        <w:jc w:val="both"/>
      </w:pPr>
      <w:r w:rsidRPr="00DB51FC">
        <w:rPr>
          <w:vertAlign w:val="superscript"/>
        </w:rPr>
        <w:t>a</w:t>
      </w:r>
      <w:r>
        <w:t xml:space="preserve"> Assuming 1,434 lanadelumab scripts in the year prior to listing, based on utilisation of PBS item </w:t>
      </w:r>
      <w:r w:rsidRPr="006A3F75">
        <w:t xml:space="preserve">12790E, </w:t>
      </w:r>
      <w:r>
        <w:t xml:space="preserve">over the 12-month period, </w:t>
      </w:r>
      <w:r w:rsidRPr="006A3F75">
        <w:t>May 2023 – April 2024</w:t>
      </w:r>
    </w:p>
    <w:p w14:paraId="4C976D1C" w14:textId="77777777" w:rsidR="00AC46CD" w:rsidRPr="000B1D5C" w:rsidRDefault="00AC46CD" w:rsidP="00E42953">
      <w:pPr>
        <w:pStyle w:val="TableFigureFooter"/>
        <w:jc w:val="both"/>
      </w:pPr>
      <w:r w:rsidRPr="002E3146">
        <w:rPr>
          <w:vertAlign w:val="superscript"/>
        </w:rPr>
        <w:t>b</w:t>
      </w:r>
      <w:r>
        <w:t xml:space="preserve"> Scripts in the previous year multiplied by (1 + population growth + growth due to switching from C1-INH), so in 2025 this was estimated from 1,434 × (1 + 0.022 + 0.097)</w:t>
      </w:r>
    </w:p>
    <w:p w14:paraId="6841B93D" w14:textId="5C69CE04" w:rsidR="00AC46CD" w:rsidRDefault="00AC46CD" w:rsidP="00AC46CD">
      <w:pPr>
        <w:pStyle w:val="TableFigureFooter"/>
      </w:pPr>
      <w:r w:rsidRPr="00460566">
        <w:rPr>
          <w:vertAlign w:val="superscript"/>
        </w:rPr>
        <w:t>c</w:t>
      </w:r>
      <w:r>
        <w:t xml:space="preserve"> </w:t>
      </w:r>
      <w:r w:rsidRPr="00460566">
        <w:t>$</w:t>
      </w:r>
      <w:r w:rsidR="0056079A" w:rsidRPr="0056079A">
        <w:rPr>
          <w:color w:val="000000"/>
          <w:spacing w:val="216"/>
          <w:shd w:val="solid" w:color="000000" w:fill="000000"/>
          <w:fitText w:val="293" w:id="-762091514"/>
          <w14:textFill>
            <w14:solidFill>
              <w14:srgbClr w14:val="000000">
                <w14:alpha w14:val="100000"/>
              </w14:srgbClr>
            </w14:solidFill>
          </w14:textFill>
        </w:rPr>
        <w:t>|</w:t>
      </w:r>
      <w:r w:rsidR="0056079A" w:rsidRPr="0056079A">
        <w:rPr>
          <w:color w:val="000000"/>
          <w:spacing w:val="1"/>
          <w:shd w:val="solid" w:color="000000" w:fill="000000"/>
          <w:fitText w:val="293" w:id="-762091514"/>
          <w14:textFill>
            <w14:solidFill>
              <w14:srgbClr w14:val="000000">
                <w14:alpha w14:val="100000"/>
              </w14:srgbClr>
            </w14:solidFill>
          </w14:textFill>
        </w:rPr>
        <w:t>|</w:t>
      </w:r>
      <w:r w:rsidRPr="00460566">
        <w:t xml:space="preserve"> per script</w:t>
      </w:r>
    </w:p>
    <w:p w14:paraId="1D43AFC4" w14:textId="322C3F7D" w:rsidR="002D0DDA" w:rsidRDefault="00AC46CD" w:rsidP="00AD57D8">
      <w:pPr>
        <w:pStyle w:val="TableFigureFooter"/>
        <w:spacing w:after="120"/>
      </w:pPr>
      <w:r w:rsidRPr="00460566">
        <w:rPr>
          <w:vertAlign w:val="superscript"/>
        </w:rPr>
        <w:t>d</w:t>
      </w:r>
      <w:r>
        <w:t xml:space="preserve"> </w:t>
      </w:r>
      <w:r w:rsidRPr="00460566">
        <w:t>$</w:t>
      </w:r>
      <w:r w:rsidR="0056079A" w:rsidRPr="00621F66">
        <w:rPr>
          <w:color w:val="000000"/>
          <w:spacing w:val="216"/>
          <w:shd w:val="solid" w:color="000000" w:fill="000000"/>
          <w:fitText w:val="293" w:id="-762091513"/>
          <w14:textFill>
            <w14:solidFill>
              <w14:srgbClr w14:val="000000">
                <w14:alpha w14:val="100000"/>
              </w14:srgbClr>
            </w14:solidFill>
          </w14:textFill>
        </w:rPr>
        <w:t>|</w:t>
      </w:r>
      <w:r w:rsidR="0056079A" w:rsidRPr="00621F66">
        <w:rPr>
          <w:color w:val="000000"/>
          <w:spacing w:val="1"/>
          <w:shd w:val="solid" w:color="000000" w:fill="000000"/>
          <w:fitText w:val="293" w:id="-762091513"/>
          <w14:textFill>
            <w14:solidFill>
              <w14:srgbClr w14:val="000000">
                <w14:alpha w14:val="100000"/>
              </w14:srgbClr>
            </w14:solidFill>
          </w14:textFill>
        </w:rPr>
        <w:t>|</w:t>
      </w:r>
      <w:r w:rsidRPr="00460566">
        <w:t xml:space="preserve"> per script</w:t>
      </w:r>
    </w:p>
    <w:p w14:paraId="5109FAD4" w14:textId="6D43BF6C" w:rsidR="00AD57D8" w:rsidRPr="0096499A" w:rsidRDefault="00AD57D8" w:rsidP="00AD57D8">
      <w:pPr>
        <w:pStyle w:val="TableFigureFooter"/>
        <w:spacing w:after="120"/>
        <w:rPr>
          <w:i/>
          <w:iCs/>
        </w:rPr>
      </w:pPr>
      <w:r w:rsidRPr="0096499A">
        <w:rPr>
          <w:i/>
          <w:iCs/>
        </w:rPr>
        <w:t>The redacted values correspond to the following ranges:</w:t>
      </w:r>
    </w:p>
    <w:p w14:paraId="2D281898" w14:textId="7861E166" w:rsidR="007C32C5" w:rsidRPr="0096499A" w:rsidRDefault="007C32C5" w:rsidP="00AD57D8">
      <w:pPr>
        <w:pStyle w:val="TableFigureFooter"/>
        <w:spacing w:after="120"/>
        <w:rPr>
          <w:i/>
          <w:iCs/>
        </w:rPr>
      </w:pPr>
      <w:r w:rsidRPr="0096499A">
        <w:rPr>
          <w:i/>
          <w:iCs/>
        </w:rPr>
        <w:t>1 500 to &lt; 5,000</w:t>
      </w:r>
    </w:p>
    <w:p w14:paraId="06E87B33" w14:textId="5B90C041" w:rsidR="00AD57D8" w:rsidRPr="0096499A" w:rsidRDefault="007C32C5" w:rsidP="00AD57D8">
      <w:pPr>
        <w:pStyle w:val="TableFigureFooter"/>
        <w:spacing w:after="120"/>
        <w:rPr>
          <w:i/>
          <w:iCs/>
        </w:rPr>
      </w:pPr>
      <w:r w:rsidRPr="0096499A">
        <w:rPr>
          <w:i/>
          <w:iCs/>
        </w:rPr>
        <w:t>2</w:t>
      </w:r>
      <w:r w:rsidR="00AD57D8" w:rsidRPr="0096499A">
        <w:rPr>
          <w:i/>
          <w:iCs/>
        </w:rPr>
        <w:t xml:space="preserve"> &lt; 500</w:t>
      </w:r>
    </w:p>
    <w:p w14:paraId="578F70A1" w14:textId="77777777" w:rsidR="00551399" w:rsidRPr="0096499A" w:rsidRDefault="00AD57D8" w:rsidP="00AD57D8">
      <w:pPr>
        <w:pStyle w:val="TableFigureFooter"/>
        <w:spacing w:after="120"/>
        <w:rPr>
          <w:i/>
          <w:iCs/>
        </w:rPr>
      </w:pPr>
      <w:r w:rsidRPr="0096499A">
        <w:rPr>
          <w:i/>
          <w:iCs/>
        </w:rPr>
        <w:t>3 $0 to &lt; $10 million</w:t>
      </w:r>
    </w:p>
    <w:p w14:paraId="2AE6A82C" w14:textId="77777777" w:rsidR="00355513" w:rsidRPr="0096499A" w:rsidRDefault="00551399" w:rsidP="00355513">
      <w:pPr>
        <w:pStyle w:val="TableFigureFooter"/>
        <w:spacing w:after="120"/>
        <w:rPr>
          <w:i/>
          <w:iCs/>
        </w:rPr>
      </w:pPr>
      <w:r w:rsidRPr="0096499A">
        <w:rPr>
          <w:i/>
          <w:iCs/>
        </w:rPr>
        <w:t>4 $10 million to &lt; $20 million</w:t>
      </w:r>
    </w:p>
    <w:p w14:paraId="047CCE5D" w14:textId="539A75F8" w:rsidR="00355513" w:rsidRPr="0096499A" w:rsidRDefault="00355513" w:rsidP="00355513">
      <w:pPr>
        <w:pStyle w:val="TableFigureFooter"/>
        <w:spacing w:after="120"/>
        <w:rPr>
          <w:i/>
          <w:iCs/>
        </w:rPr>
      </w:pPr>
      <w:r w:rsidRPr="0096499A">
        <w:rPr>
          <w:i/>
          <w:iCs/>
        </w:rPr>
        <w:t>5 $20 million to &lt; $30 million</w:t>
      </w:r>
    </w:p>
    <w:p w14:paraId="430589D2" w14:textId="15C013A2" w:rsidR="00355513" w:rsidRPr="0096499A" w:rsidRDefault="00355513" w:rsidP="00355513">
      <w:pPr>
        <w:pStyle w:val="TableFigureFooter"/>
        <w:spacing w:after="120"/>
        <w:rPr>
          <w:i/>
          <w:iCs/>
        </w:rPr>
      </w:pPr>
      <w:r w:rsidRPr="0096499A">
        <w:rPr>
          <w:i/>
          <w:iCs/>
        </w:rPr>
        <w:t>6 $30 million to &lt; $40 million</w:t>
      </w:r>
    </w:p>
    <w:p w14:paraId="74E83979" w14:textId="3F8F01C2" w:rsidR="004C3B5E" w:rsidRDefault="00AC46CD" w:rsidP="005658EA">
      <w:pPr>
        <w:pStyle w:val="3-BodyText"/>
      </w:pPr>
      <w:r>
        <w:t xml:space="preserve">As the estimates were presented based on proposed </w:t>
      </w:r>
      <w:r w:rsidRPr="00952154">
        <w:t>published pricing of garadacimab (based on cost-minimisation to the Q2W dosing of lanadelumab), net</w:t>
      </w:r>
      <w:r w:rsidRPr="00570E29">
        <w:t xml:space="preserve"> costs to the PBS/RPBS were estimated to be </w:t>
      </w:r>
      <w:r w:rsidR="00C31894" w:rsidRPr="00C31894">
        <w:t>$10 million to &lt; $20 million</w:t>
      </w:r>
      <w:r w:rsidR="00091DE9">
        <w:t xml:space="preserve"> </w:t>
      </w:r>
      <w:r w:rsidRPr="00570E29">
        <w:t xml:space="preserve">in Year 6, and a total of </w:t>
      </w:r>
      <w:r w:rsidR="008D465B" w:rsidRPr="008D465B">
        <w:t>$40 million to &lt; $50 mil</w:t>
      </w:r>
      <w:r w:rsidR="00091DE9">
        <w:t>l</w:t>
      </w:r>
      <w:r w:rsidRPr="00570E29">
        <w:t>i</w:t>
      </w:r>
      <w:r w:rsidR="00091DE9">
        <w:t>o</w:t>
      </w:r>
      <w:r w:rsidRPr="00570E29">
        <w:t>n</w:t>
      </w:r>
      <w:r w:rsidR="00091DE9">
        <w:t xml:space="preserve"> in</w:t>
      </w:r>
      <w:r w:rsidRPr="00570E29">
        <w:t xml:space="preserve"> the first 6 years of listing. The submission </w:t>
      </w:r>
      <w:r w:rsidR="003B6B65">
        <w:t>stat</w:t>
      </w:r>
      <w:r w:rsidR="003B6B65" w:rsidRPr="00570E29">
        <w:t xml:space="preserve">ed </w:t>
      </w:r>
      <w:r w:rsidRPr="00570E29">
        <w:t xml:space="preserve">that </w:t>
      </w:r>
      <w:r w:rsidR="004C3B5E" w:rsidRPr="00570E29">
        <w:t xml:space="preserve">the estimated net financial implication would be expected to be neutral </w:t>
      </w:r>
      <w:r w:rsidR="004C3B5E">
        <w:t>if</w:t>
      </w:r>
      <w:r w:rsidRPr="00570E29">
        <w:t xml:space="preserve"> the effective pric</w:t>
      </w:r>
      <w:r w:rsidR="004C3B5E">
        <w:t>es were applied</w:t>
      </w:r>
      <w:r w:rsidRPr="00570E29">
        <w:t xml:space="preserve">. </w:t>
      </w:r>
      <w:bookmarkStart w:id="74" w:name="_Ref176793673"/>
    </w:p>
    <w:bookmarkEnd w:id="74"/>
    <w:p w14:paraId="7F79CE6A" w14:textId="3AB1A421" w:rsidR="004C3B5E" w:rsidRDefault="00AC46CD" w:rsidP="005658EA">
      <w:pPr>
        <w:pStyle w:val="3-BodyText"/>
      </w:pPr>
      <w:r w:rsidRPr="00A632C9">
        <w:t xml:space="preserve">The submission assumed that the listing of garadacimab would result in no changes to the use and cost of MBS items. While this was not consistent with the reduction in </w:t>
      </w:r>
      <w:r w:rsidRPr="00A632C9">
        <w:lastRenderedPageBreak/>
        <w:t xml:space="preserve">specialist attendances (from 3.3 to 2.0 per patient per year) </w:t>
      </w:r>
      <w:r w:rsidR="004C3B5E">
        <w:t>assum</w:t>
      </w:r>
      <w:r w:rsidRPr="00A632C9">
        <w:t>ed in the</w:t>
      </w:r>
      <w:r w:rsidR="003B6B65">
        <w:t xml:space="preserve"> submission’s</w:t>
      </w:r>
      <w:r w:rsidRPr="00A632C9">
        <w:t xml:space="preserve"> CMA, the </w:t>
      </w:r>
      <w:r w:rsidR="003C6F74">
        <w:t xml:space="preserve">PBAC considered that the </w:t>
      </w:r>
      <w:r w:rsidR="004C3B5E" w:rsidRPr="00A632C9">
        <w:t xml:space="preserve">claimed </w:t>
      </w:r>
      <w:r w:rsidRPr="00A632C9">
        <w:t>reduction may not be realised</w:t>
      </w:r>
      <w:r w:rsidR="004C3B5E" w:rsidRPr="004C3B5E">
        <w:t xml:space="preserve"> </w:t>
      </w:r>
      <w:r w:rsidR="004C3B5E">
        <w:t>(</w:t>
      </w:r>
      <w:r w:rsidR="004C3B5E" w:rsidRPr="00A632C9">
        <w:t>as described in paragraph</w:t>
      </w:r>
      <w:r w:rsidR="004C3B5E">
        <w:t xml:space="preserve"> </w:t>
      </w:r>
      <w:r w:rsidR="009B632E">
        <w:fldChar w:fldCharType="begin" w:fldLock="1"/>
      </w:r>
      <w:r w:rsidR="009B632E">
        <w:instrText xml:space="preserve"> REF _Ref183517545 \r \h </w:instrText>
      </w:r>
      <w:r w:rsidR="009B632E">
        <w:fldChar w:fldCharType="separate"/>
      </w:r>
      <w:r w:rsidR="00106090">
        <w:t>6.45</w:t>
      </w:r>
      <w:r w:rsidR="009B632E">
        <w:fldChar w:fldCharType="end"/>
      </w:r>
      <w:r w:rsidR="004C3B5E">
        <w:t>)</w:t>
      </w:r>
      <w:r w:rsidRPr="00A632C9">
        <w:t xml:space="preserve">. </w:t>
      </w:r>
    </w:p>
    <w:p w14:paraId="23BCAA02" w14:textId="351F4F10" w:rsidR="005658EA" w:rsidRPr="00A632C9" w:rsidRDefault="00AC46CD" w:rsidP="005658EA">
      <w:pPr>
        <w:pStyle w:val="3-BodyText"/>
      </w:pPr>
      <w:r w:rsidRPr="00A632C9">
        <w:t xml:space="preserve">While not explicitly calculated, the submission considered that there would also be savings to the health system due to patients who switch from C1-INH (which is currently accessed through the NBA). </w:t>
      </w:r>
      <w:r w:rsidR="004C3B5E">
        <w:t>The evaluation noted that a</w:t>
      </w:r>
      <w:r w:rsidRPr="00A632C9">
        <w:t xml:space="preserve"> reduction in these costs would only occur if these patients would not otherwise have switched to lanadelumab.</w:t>
      </w:r>
    </w:p>
    <w:p w14:paraId="1D06C7E6" w14:textId="77777777" w:rsidR="005658EA" w:rsidRPr="005658EA" w:rsidRDefault="005658EA" w:rsidP="005658EA">
      <w:pPr>
        <w:pStyle w:val="4-SubsectionHeading"/>
        <w:rPr>
          <w:i w:val="0"/>
        </w:rPr>
      </w:pPr>
      <w:r w:rsidRPr="005658EA">
        <w:rPr>
          <w:i w:val="0"/>
        </w:rPr>
        <w:t>Quality use of Medicines</w:t>
      </w:r>
    </w:p>
    <w:p w14:paraId="41E96A65" w14:textId="7C93A2C1" w:rsidR="005658EA" w:rsidRDefault="005658EA" w:rsidP="005658EA">
      <w:pPr>
        <w:pStyle w:val="3-BodyText"/>
      </w:pPr>
      <w:r w:rsidRPr="00DD0B38">
        <w:t>DUSC considered that there was some potential for discontinuation and episodic use</w:t>
      </w:r>
      <w:r>
        <w:t>,</w:t>
      </w:r>
      <w:r w:rsidRPr="00DD0B38">
        <w:t xml:space="preserve"> and that </w:t>
      </w:r>
      <w:r>
        <w:t>associated</w:t>
      </w:r>
      <w:r w:rsidRPr="00DD0B38">
        <w:t xml:space="preserve"> risk</w:t>
      </w:r>
      <w:r>
        <w:t>s</w:t>
      </w:r>
      <w:r w:rsidRPr="00DD0B38">
        <w:t xml:space="preserve"> and management of flares could be considered in any education material.</w:t>
      </w:r>
    </w:p>
    <w:p w14:paraId="34413760" w14:textId="36884424" w:rsidR="00A632C9" w:rsidRPr="00A632C9" w:rsidRDefault="005658EA" w:rsidP="00A632C9">
      <w:pPr>
        <w:pStyle w:val="3-BodyText"/>
      </w:pPr>
      <w:r w:rsidRPr="00A632C9">
        <w:t>DUSC noted differences in the refrigeration requirements of lanadelumab compared to garadacimab</w:t>
      </w:r>
      <w:r w:rsidR="00A632C9" w:rsidRPr="00A632C9">
        <w:t xml:space="preserve"> in that garadacimab can be stored outside for longer</w:t>
      </w:r>
      <w:r w:rsidRPr="00A632C9">
        <w:t xml:space="preserve">, and considered </w:t>
      </w:r>
      <w:r w:rsidR="00A632C9" w:rsidRPr="00A632C9">
        <w:t>that</w:t>
      </w:r>
      <w:r w:rsidR="00A632C9">
        <w:t xml:space="preserve"> </w:t>
      </w:r>
      <w:r w:rsidRPr="00A632C9">
        <w:t>the sponsor could highlight these differences in educational material, for the awareness of patients switching between products.</w:t>
      </w:r>
    </w:p>
    <w:p w14:paraId="6015A395" w14:textId="58EDAB31" w:rsidR="00576972" w:rsidRPr="0015004F" w:rsidRDefault="00576972" w:rsidP="00324372">
      <w:pPr>
        <w:pStyle w:val="4-SubsectionHeading"/>
        <w:rPr>
          <w:i w:val="0"/>
        </w:rPr>
      </w:pPr>
      <w:r w:rsidRPr="0015004F">
        <w:rPr>
          <w:i w:val="0"/>
        </w:rPr>
        <w:t>Financial Management – Risk Sharing Arrangements</w:t>
      </w:r>
      <w:bookmarkEnd w:id="64"/>
      <w:bookmarkEnd w:id="65"/>
    </w:p>
    <w:p w14:paraId="548CD1C4" w14:textId="0492DA17" w:rsidR="0022225E" w:rsidRPr="0015004F" w:rsidRDefault="00092482" w:rsidP="00FA660D">
      <w:pPr>
        <w:pStyle w:val="3-BodyText"/>
      </w:pPr>
      <w:r w:rsidRPr="0015004F">
        <w:t>The submission noted that lanadelumab is subject to an RSA</w:t>
      </w:r>
      <w:r w:rsidR="0022225E" w:rsidRPr="0015004F">
        <w:t>.</w:t>
      </w:r>
      <w:r w:rsidRPr="0015004F">
        <w:t xml:space="preserve"> </w:t>
      </w:r>
      <w:r w:rsidR="0022225E" w:rsidRPr="0015004F">
        <w:t xml:space="preserve">The evaluation and the ESC noted that the RSA was established for the following </w:t>
      </w:r>
      <w:r w:rsidR="00C6653F" w:rsidRPr="0015004F">
        <w:t>three</w:t>
      </w:r>
      <w:r w:rsidR="0022225E" w:rsidRPr="0015004F">
        <w:t xml:space="preserve"> reasons: </w:t>
      </w:r>
    </w:p>
    <w:p w14:paraId="6AF1D6E2" w14:textId="06C10FBE" w:rsidR="00723703" w:rsidRPr="0015004F" w:rsidRDefault="00092482" w:rsidP="00BA3D95">
      <w:pPr>
        <w:pStyle w:val="3-BodyText"/>
        <w:numPr>
          <w:ilvl w:val="0"/>
          <w:numId w:val="12"/>
        </w:numPr>
        <w:ind w:left="1134"/>
      </w:pPr>
      <w:r w:rsidRPr="0015004F">
        <w:t>to account for</w:t>
      </w:r>
      <w:r w:rsidR="00C6653F" w:rsidRPr="0015004F">
        <w:t xml:space="preserve"> the risk of patients receiving more than 13 lanadelumab injections per year (given lanadelumab can be administered Q2W or Q4</w:t>
      </w:r>
      <w:r w:rsidR="004B7746" w:rsidRPr="0015004F">
        <w:t>W</w:t>
      </w:r>
      <w:r w:rsidR="00C6653F" w:rsidRPr="0015004F">
        <w:t xml:space="preserve">); </w:t>
      </w:r>
    </w:p>
    <w:p w14:paraId="3B67984D" w14:textId="034B9769" w:rsidR="0046370E" w:rsidRPr="0015004F" w:rsidRDefault="00723703" w:rsidP="0046370E">
      <w:pPr>
        <w:pStyle w:val="3-BodyText"/>
        <w:numPr>
          <w:ilvl w:val="0"/>
          <w:numId w:val="12"/>
        </w:numPr>
        <w:ind w:left="1134"/>
      </w:pPr>
      <w:r w:rsidRPr="0015004F">
        <w:t xml:space="preserve">to </w:t>
      </w:r>
      <w:r w:rsidR="003F4EE9" w:rsidRPr="0015004F">
        <w:t>manage the risk of use in cost-ineffective populations</w:t>
      </w:r>
      <w:r w:rsidR="008B6101" w:rsidRPr="0015004F">
        <w:t>,</w:t>
      </w:r>
      <w:r w:rsidR="00AB5FE1" w:rsidRPr="0015004F">
        <w:t xml:space="preserve"> notably </w:t>
      </w:r>
      <w:r w:rsidR="00507007" w:rsidRPr="0015004F">
        <w:t xml:space="preserve">the risk of </w:t>
      </w:r>
      <w:r w:rsidR="00B206A3" w:rsidRPr="0015004F">
        <w:t>use in patients who experience ≤ 24 attacks per year</w:t>
      </w:r>
      <w:r w:rsidR="00170167" w:rsidRPr="0015004F">
        <w:t>;</w:t>
      </w:r>
      <w:r w:rsidR="003F4EE9" w:rsidRPr="0015004F">
        <w:t xml:space="preserve"> and </w:t>
      </w:r>
    </w:p>
    <w:p w14:paraId="13BCBE14" w14:textId="052DBF35" w:rsidR="0046370E" w:rsidRPr="0015004F" w:rsidRDefault="00723703" w:rsidP="0046370E">
      <w:pPr>
        <w:pStyle w:val="3-BodyText"/>
        <w:numPr>
          <w:ilvl w:val="0"/>
          <w:numId w:val="12"/>
        </w:numPr>
        <w:ind w:left="1134"/>
      </w:pPr>
      <w:r w:rsidRPr="0015004F">
        <w:t xml:space="preserve">to </w:t>
      </w:r>
      <w:r w:rsidR="003F4EE9" w:rsidRPr="0015004F">
        <w:t xml:space="preserve">achieve </w:t>
      </w:r>
      <w:r w:rsidR="006072B5" w:rsidRPr="0015004F">
        <w:t xml:space="preserve">cost-effectiveness, i.e. to achieve </w:t>
      </w:r>
      <w:r w:rsidR="003F4EE9" w:rsidRPr="0015004F">
        <w:t xml:space="preserve">the </w:t>
      </w:r>
      <w:r w:rsidR="00B37983" w:rsidRPr="0015004F">
        <w:t xml:space="preserve">price at which the PBAC had considered </w:t>
      </w:r>
      <w:r w:rsidR="00EA4A0B" w:rsidRPr="0015004F">
        <w:t xml:space="preserve">lanadelumab </w:t>
      </w:r>
      <w:r w:rsidR="0012417D" w:rsidRPr="0015004F">
        <w:t xml:space="preserve">would </w:t>
      </w:r>
      <w:r w:rsidR="00EA4A0B" w:rsidRPr="0015004F">
        <w:t>represent</w:t>
      </w:r>
      <w:r w:rsidR="0012417D" w:rsidRPr="0015004F">
        <w:t xml:space="preserve"> an acceptable level of </w:t>
      </w:r>
      <w:r w:rsidR="003F4EE9" w:rsidRPr="0015004F">
        <w:t>cost-effective</w:t>
      </w:r>
      <w:r w:rsidR="00523656" w:rsidRPr="0015004F">
        <w:t>ness</w:t>
      </w:r>
      <w:r w:rsidR="003F4EE9" w:rsidRPr="0015004F">
        <w:t xml:space="preserve"> </w:t>
      </w:r>
      <w:r w:rsidR="006510AC" w:rsidRPr="0015004F">
        <w:t xml:space="preserve">in those patients who switch from SoC </w:t>
      </w:r>
      <w:r w:rsidR="00A94B1A" w:rsidRPr="0015004F">
        <w:t xml:space="preserve">(Paragraphs </w:t>
      </w:r>
      <w:r w:rsidR="00523656" w:rsidRPr="0015004F">
        <w:t xml:space="preserve">6.29, </w:t>
      </w:r>
      <w:r w:rsidR="00A94B1A" w:rsidRPr="0015004F">
        <w:t>6.57 and 6.58, Lanadelumab Minutes, July 2021 PBAC Meeting).</w:t>
      </w:r>
      <w:r w:rsidR="00BE634D" w:rsidRPr="0015004F">
        <w:t xml:space="preserve"> </w:t>
      </w:r>
    </w:p>
    <w:p w14:paraId="24B37673" w14:textId="77777777" w:rsidR="003A04B9" w:rsidRDefault="00B754CA" w:rsidP="0006551A">
      <w:pPr>
        <w:pStyle w:val="3-BodyText"/>
      </w:pPr>
      <w:r w:rsidRPr="0015004F">
        <w:t>The</w:t>
      </w:r>
      <w:r w:rsidR="00FA660D" w:rsidRPr="0015004F">
        <w:t xml:space="preserve"> evaluation and the ESC</w:t>
      </w:r>
      <w:r w:rsidR="0046370E" w:rsidRPr="0015004F">
        <w:t xml:space="preserve"> agreed with the submission </w:t>
      </w:r>
      <w:r w:rsidR="0067312B" w:rsidRPr="0015004F">
        <w:t xml:space="preserve">that the risk of </w:t>
      </w:r>
      <w:r w:rsidR="0006551A" w:rsidRPr="0015004F">
        <w:t xml:space="preserve">more frequent </w:t>
      </w:r>
      <w:r w:rsidR="0067312B" w:rsidRPr="0015004F">
        <w:t xml:space="preserve">lanadelumab dosing would not be relevant for garadacimab </w:t>
      </w:r>
      <w:r w:rsidR="008B6101" w:rsidRPr="0015004F">
        <w:t>which is administered</w:t>
      </w:r>
      <w:r w:rsidR="0006551A" w:rsidRPr="0015004F">
        <w:t xml:space="preserve"> a</w:t>
      </w:r>
      <w:r w:rsidR="008B6101" w:rsidRPr="0015004F">
        <w:t>s</w:t>
      </w:r>
      <w:r w:rsidR="0067312B" w:rsidRPr="0015004F">
        <w:t xml:space="preserve"> a fixed once-monthly dos</w:t>
      </w:r>
      <w:r w:rsidR="008B6101" w:rsidRPr="0015004F">
        <w:t>ing regimen</w:t>
      </w:r>
      <w:r w:rsidR="0006551A" w:rsidRPr="0015004F">
        <w:t xml:space="preserve">. </w:t>
      </w:r>
      <w:r w:rsidR="008B6101" w:rsidRPr="0015004F">
        <w:t xml:space="preserve">Thus, the ESC </w:t>
      </w:r>
      <w:r w:rsidR="00A40C0E">
        <w:t xml:space="preserve">considered </w:t>
      </w:r>
      <w:r w:rsidR="008B6101" w:rsidRPr="0015004F">
        <w:t xml:space="preserve">that the sponsor of garadacimab should not be adversely affected by the risks associated with the uncertain lanadelumab dosing frequency. </w:t>
      </w:r>
    </w:p>
    <w:p w14:paraId="2ECBE46D" w14:textId="54E2DE3F" w:rsidR="00EC4896" w:rsidRDefault="0046370E" w:rsidP="0006551A">
      <w:pPr>
        <w:pStyle w:val="3-BodyText"/>
      </w:pPr>
      <w:r w:rsidRPr="0015004F">
        <w:t>However, the</w:t>
      </w:r>
      <w:r w:rsidR="0067312B" w:rsidRPr="0015004F">
        <w:t xml:space="preserve"> evaluation and the ESC</w:t>
      </w:r>
      <w:r w:rsidRPr="0015004F">
        <w:t xml:space="preserve"> </w:t>
      </w:r>
      <w:r w:rsidR="003A04B9">
        <w:t>considered that</w:t>
      </w:r>
      <w:r w:rsidR="00FA660D" w:rsidRPr="0015004F">
        <w:t xml:space="preserve"> b</w:t>
      </w:r>
      <w:r w:rsidR="00BE634D" w:rsidRPr="0015004F">
        <w:t>oth</w:t>
      </w:r>
      <w:r w:rsidR="003A04B9">
        <w:t xml:space="preserve"> of the</w:t>
      </w:r>
      <w:r w:rsidR="00BE634D" w:rsidRPr="0015004F">
        <w:t xml:space="preserve"> </w:t>
      </w:r>
      <w:r w:rsidR="0067312B" w:rsidRPr="0015004F">
        <w:t xml:space="preserve">other </w:t>
      </w:r>
      <w:r w:rsidR="00BE634D" w:rsidRPr="0015004F">
        <w:t xml:space="preserve">risks </w:t>
      </w:r>
      <w:r w:rsidR="008B6101" w:rsidRPr="0015004F">
        <w:t xml:space="preserve">would be relevant </w:t>
      </w:r>
      <w:r w:rsidR="00394D72" w:rsidRPr="0015004F">
        <w:t>to garadacimab</w:t>
      </w:r>
      <w:r w:rsidR="00E83D8D" w:rsidRPr="0015004F">
        <w:t xml:space="preserve"> and would need to be managed through an RSA</w:t>
      </w:r>
      <w:r w:rsidR="008B6101" w:rsidRPr="0015004F">
        <w:t>.</w:t>
      </w:r>
      <w:r w:rsidR="0067312B" w:rsidRPr="0015004F">
        <w:t xml:space="preserve"> </w:t>
      </w:r>
    </w:p>
    <w:p w14:paraId="5AA17008" w14:textId="77777777" w:rsidR="005E20CF" w:rsidRDefault="008B6101" w:rsidP="002C51A0">
      <w:pPr>
        <w:pStyle w:val="3-BodyText"/>
      </w:pPr>
      <w:r w:rsidRPr="0015004F">
        <w:t xml:space="preserve">The ESC advised that a combined RSA expenditure cap would be appropriate given </w:t>
      </w:r>
      <w:r w:rsidR="003545E6" w:rsidRPr="0015004F">
        <w:t>garadacimab is expected to replace lanadelumab (</w:t>
      </w:r>
      <w:r w:rsidR="005B478D" w:rsidRPr="0015004F">
        <w:t xml:space="preserve">and listing </w:t>
      </w:r>
      <w:r w:rsidR="003A04B9">
        <w:t>wa</w:t>
      </w:r>
      <w:r w:rsidR="005B478D" w:rsidRPr="0015004F">
        <w:t>s sought on a cost-minimisation basis</w:t>
      </w:r>
      <w:r w:rsidR="003545E6" w:rsidRPr="0015004F">
        <w:t xml:space="preserve">), </w:t>
      </w:r>
      <w:r w:rsidRPr="0015004F">
        <w:t xml:space="preserve">consistent with </w:t>
      </w:r>
      <w:r w:rsidR="00036264" w:rsidRPr="0015004F">
        <w:t>usual practice</w:t>
      </w:r>
      <w:r w:rsidRPr="0015004F">
        <w:t>.</w:t>
      </w:r>
      <w:r w:rsidR="00036264" w:rsidRPr="0015004F">
        <w:t xml:space="preserve"> </w:t>
      </w:r>
      <w:r w:rsidR="00532844" w:rsidRPr="0015004F">
        <w:t xml:space="preserve">In addition, as the lanadelumab RSA is required to achieve a particular level of cost-effectiveness, </w:t>
      </w:r>
      <w:r w:rsidR="001149EE" w:rsidRPr="0015004F">
        <w:t>a joint RSA</w:t>
      </w:r>
      <w:r w:rsidR="005B478D" w:rsidRPr="0015004F">
        <w:t xml:space="preserve"> </w:t>
      </w:r>
      <w:r w:rsidR="005B478D" w:rsidRPr="0015004F">
        <w:lastRenderedPageBreak/>
        <w:t>expenditure cap</w:t>
      </w:r>
      <w:r w:rsidR="001149EE" w:rsidRPr="0015004F">
        <w:t xml:space="preserve"> </w:t>
      </w:r>
      <w:r w:rsidR="00D413E2" w:rsidRPr="0015004F">
        <w:t xml:space="preserve">would </w:t>
      </w:r>
      <w:r w:rsidR="003A2C51" w:rsidRPr="0015004F">
        <w:t xml:space="preserve">help </w:t>
      </w:r>
      <w:r w:rsidR="00D413E2" w:rsidRPr="0015004F">
        <w:t xml:space="preserve">ensure an equivalent level of cost-effectiveness for both </w:t>
      </w:r>
      <w:r w:rsidR="003A2C51" w:rsidRPr="0015004F">
        <w:t>item</w:t>
      </w:r>
      <w:r w:rsidR="00D413E2" w:rsidRPr="0015004F">
        <w:t xml:space="preserve">s. </w:t>
      </w:r>
    </w:p>
    <w:p w14:paraId="66E6E03B" w14:textId="30C7C8AE" w:rsidR="009B632E" w:rsidRDefault="002C51A0" w:rsidP="002C51A0">
      <w:pPr>
        <w:pStyle w:val="3-BodyText"/>
      </w:pPr>
      <w:bookmarkStart w:id="75" w:name="_Ref183516772"/>
      <w:r>
        <w:t xml:space="preserve">The </w:t>
      </w:r>
      <w:r w:rsidR="005E20CF">
        <w:t>p</w:t>
      </w:r>
      <w:r>
        <w:t xml:space="preserve">re-PBAC response reiterated concerns regarding garadacimab joining the lanadelumab RSA, particularly if </w:t>
      </w:r>
      <w:r w:rsidRPr="00D706DE">
        <w:t xml:space="preserve">garadacimab </w:t>
      </w:r>
      <w:r>
        <w:t xml:space="preserve">is cost-minimised </w:t>
      </w:r>
      <w:r w:rsidRPr="00D706DE">
        <w:t xml:space="preserve">to lanadelumab Q4W without considering </w:t>
      </w:r>
      <w:r w:rsidR="005E20CF">
        <w:t>the dosing frequency used in Australian clinical practice</w:t>
      </w:r>
      <w:r w:rsidRPr="00D706DE">
        <w:t xml:space="preserve">. </w:t>
      </w:r>
      <w:r>
        <w:t xml:space="preserve">The </w:t>
      </w:r>
      <w:r w:rsidR="005E20CF">
        <w:t>p</w:t>
      </w:r>
      <w:r>
        <w:t xml:space="preserve">re-PBAC response </w:t>
      </w:r>
      <w:r w:rsidR="005E20CF">
        <w:t>stat</w:t>
      </w:r>
      <w:r>
        <w:t>ed that</w:t>
      </w:r>
      <w:r w:rsidR="004139EF">
        <w:t xml:space="preserve">, under </w:t>
      </w:r>
      <w:r w:rsidR="005E20CF">
        <w:t xml:space="preserve">a combined RSA </w:t>
      </w:r>
      <w:r w:rsidR="004139EF">
        <w:t>with</w:t>
      </w:r>
      <w:r w:rsidRPr="00D706DE">
        <w:t xml:space="preserve"> annual treatment costs based on lanadelumab Q4W, lanadelumab would </w:t>
      </w:r>
      <w:r w:rsidR="006D1849">
        <w:t>“</w:t>
      </w:r>
      <w:r w:rsidRPr="00D706DE">
        <w:t xml:space="preserve">disproportionally consume </w:t>
      </w:r>
      <w:r w:rsidRPr="009B632E">
        <w:t>more of the cap, as 54% of stabilised lanadelumab patients are on a Q2W dosing regimen</w:t>
      </w:r>
      <w:r w:rsidR="0088361F">
        <w:t>.</w:t>
      </w:r>
      <w:r w:rsidR="006D1849">
        <w:t>”</w:t>
      </w:r>
      <w:r w:rsidRPr="009B632E">
        <w:t xml:space="preserve"> The </w:t>
      </w:r>
      <w:r w:rsidR="004139EF" w:rsidRPr="009B632E">
        <w:t>p</w:t>
      </w:r>
      <w:r w:rsidRPr="009B632E">
        <w:t xml:space="preserve">re-PBAC response </w:t>
      </w:r>
      <w:r w:rsidR="004139EF" w:rsidRPr="009B632E">
        <w:t>argu</w:t>
      </w:r>
      <w:r w:rsidRPr="009B632E">
        <w:t xml:space="preserve">ed that </w:t>
      </w:r>
      <w:r w:rsidR="006D1849">
        <w:t>“</w:t>
      </w:r>
      <w:r w:rsidR="004139EF" w:rsidRPr="009B632E">
        <w:t xml:space="preserve">the </w:t>
      </w:r>
      <w:r w:rsidRPr="009B632E">
        <w:t>most practical method to cost minimise garadacimab to lanadelumab is to use the approach described in the submission which accurately calculates the equi-effective dose by considering dose mix informed by actual PBS-funded lanadelumab use in the Australian clinical setting, including the proportion of lanadelumab patients on Q2W, Q3W and Q4W treatment regimens</w:t>
      </w:r>
      <w:r w:rsidR="0088361F">
        <w:t>.</w:t>
      </w:r>
      <w:r w:rsidR="006D1849">
        <w:t>”</w:t>
      </w:r>
      <w:r w:rsidRPr="009B632E">
        <w:t xml:space="preserve"> The PBAC noted these concerns</w:t>
      </w:r>
      <w:r w:rsidR="009B632E">
        <w:t xml:space="preserve"> and advised</w:t>
      </w:r>
      <w:r w:rsidR="009B632E" w:rsidRPr="009B632E">
        <w:t xml:space="preserve"> that a combined RSA expenditure cap would be appropriate but </w:t>
      </w:r>
      <w:r w:rsidR="009B632E">
        <w:t xml:space="preserve">considered that </w:t>
      </w:r>
      <w:r w:rsidR="009B632E" w:rsidRPr="009B632E">
        <w:t>the sponsor of garadacimab should not be adversely affected by more frequent lanadelumab dosing.</w:t>
      </w:r>
    </w:p>
    <w:p w14:paraId="1169B3B9" w14:textId="545305F8" w:rsidR="00B754CA" w:rsidRPr="0015004F" w:rsidRDefault="00B754CA" w:rsidP="003316C5">
      <w:pPr>
        <w:pStyle w:val="3-BodyText"/>
      </w:pPr>
      <w:bookmarkStart w:id="76" w:name="_Hlk182394810"/>
      <w:bookmarkEnd w:id="75"/>
      <w:r w:rsidRPr="0015004F">
        <w:t xml:space="preserve">Additionally, the ESC </w:t>
      </w:r>
      <w:r w:rsidR="003D5F94" w:rsidRPr="0015004F">
        <w:t xml:space="preserve">considered </w:t>
      </w:r>
      <w:r w:rsidRPr="0015004F">
        <w:t>that some patients currently on C1-INH</w:t>
      </w:r>
      <w:r w:rsidR="008B6101" w:rsidRPr="0015004F">
        <w:t>,</w:t>
      </w:r>
      <w:r w:rsidRPr="0015004F">
        <w:t xml:space="preserve"> who </w:t>
      </w:r>
      <w:r w:rsidR="003D5F94" w:rsidRPr="0015004F">
        <w:t>would not otherwise be treated with</w:t>
      </w:r>
      <w:r w:rsidRPr="0015004F">
        <w:t xml:space="preserve"> lanadelumab </w:t>
      </w:r>
      <w:r w:rsidR="003D5F94" w:rsidRPr="0015004F">
        <w:t>(e</w:t>
      </w:r>
      <w:r w:rsidR="0088361F">
        <w:t>.</w:t>
      </w:r>
      <w:r w:rsidR="003D5F94" w:rsidRPr="0015004F">
        <w:t>g</w:t>
      </w:r>
      <w:r w:rsidR="0088361F">
        <w:t>.</w:t>
      </w:r>
      <w:r w:rsidR="003D5F94" w:rsidRPr="0015004F">
        <w:t xml:space="preserve"> </w:t>
      </w:r>
      <w:r w:rsidRPr="0015004F">
        <w:t xml:space="preserve">due to </w:t>
      </w:r>
      <w:r w:rsidR="009B632E">
        <w:t>adverse effects</w:t>
      </w:r>
      <w:r w:rsidR="003D5F94" w:rsidRPr="0015004F">
        <w:t>)</w:t>
      </w:r>
      <w:r w:rsidRPr="0015004F">
        <w:t xml:space="preserve"> may switch to </w:t>
      </w:r>
      <w:r w:rsidR="003D5F94" w:rsidRPr="0015004F">
        <w:t>garadacimab, and therefore a s</w:t>
      </w:r>
      <w:r w:rsidRPr="0015004F">
        <w:t xml:space="preserve">mall </w:t>
      </w:r>
      <w:r w:rsidR="00723703" w:rsidRPr="0015004F">
        <w:t>increase</w:t>
      </w:r>
      <w:r w:rsidRPr="0015004F">
        <w:t xml:space="preserve"> in </w:t>
      </w:r>
      <w:r w:rsidR="008B6101" w:rsidRPr="0015004F">
        <w:t xml:space="preserve">the </w:t>
      </w:r>
      <w:r w:rsidRPr="0015004F">
        <w:t xml:space="preserve">RSA </w:t>
      </w:r>
      <w:r w:rsidR="008B6101" w:rsidRPr="0015004F">
        <w:t xml:space="preserve">expenditure </w:t>
      </w:r>
      <w:r w:rsidRPr="0015004F">
        <w:t>cap may be reasonable</w:t>
      </w:r>
      <w:r w:rsidR="004B46B4">
        <w:t xml:space="preserve"> (refer to paragraph </w:t>
      </w:r>
      <w:r w:rsidR="00E944BA">
        <w:fldChar w:fldCharType="begin" w:fldLock="1"/>
      </w:r>
      <w:r w:rsidR="00E944BA">
        <w:instrText xml:space="preserve"> REF _Ref183698461 \r \h </w:instrText>
      </w:r>
      <w:r w:rsidR="00E944BA">
        <w:fldChar w:fldCharType="separate"/>
      </w:r>
      <w:r w:rsidR="00106090">
        <w:t>6.52</w:t>
      </w:r>
      <w:r w:rsidR="00E944BA">
        <w:fldChar w:fldCharType="end"/>
      </w:r>
      <w:r w:rsidR="00E944BA">
        <w:t xml:space="preserve"> and </w:t>
      </w:r>
      <w:r w:rsidR="00E944BA">
        <w:fldChar w:fldCharType="begin" w:fldLock="1"/>
      </w:r>
      <w:r w:rsidR="00E944BA">
        <w:instrText xml:space="preserve"> REF _Ref175927099 \r \h </w:instrText>
      </w:r>
      <w:r w:rsidR="00E944BA">
        <w:fldChar w:fldCharType="separate"/>
      </w:r>
      <w:r w:rsidR="00106090">
        <w:t>6.53</w:t>
      </w:r>
      <w:r w:rsidR="00E944BA">
        <w:fldChar w:fldCharType="end"/>
      </w:r>
      <w:r w:rsidR="00E944BA">
        <w:t>)</w:t>
      </w:r>
      <w:r w:rsidR="003D5F94" w:rsidRPr="0015004F">
        <w:t>.</w:t>
      </w:r>
      <w:r w:rsidR="00467ABA">
        <w:t xml:space="preserve"> </w:t>
      </w:r>
    </w:p>
    <w:p w14:paraId="2195349D" w14:textId="3C2EF7B0" w:rsidR="00324372" w:rsidRPr="00282C49" w:rsidRDefault="00282C49" w:rsidP="00282C49">
      <w:pPr>
        <w:pStyle w:val="3-BodyText"/>
        <w:numPr>
          <w:ilvl w:val="0"/>
          <w:numId w:val="0"/>
        </w:numPr>
        <w:ind w:left="720"/>
        <w:rPr>
          <w:i/>
          <w:iCs/>
        </w:rPr>
      </w:pPr>
      <w:bookmarkStart w:id="77" w:name="_Toc177480635"/>
      <w:bookmarkEnd w:id="76"/>
      <w:r w:rsidRPr="00282C49">
        <w:rPr>
          <w:i/>
          <w:iCs/>
        </w:rPr>
        <w:t>For more detail on PBAC’s view, see section 7 PBAC outcome.</w:t>
      </w:r>
    </w:p>
    <w:p w14:paraId="06E50384" w14:textId="20524707" w:rsidR="00DB2063" w:rsidRPr="006416CC" w:rsidRDefault="004F0CC7" w:rsidP="006416CC">
      <w:pPr>
        <w:pStyle w:val="2-SectionHeading"/>
        <w:numPr>
          <w:ilvl w:val="0"/>
          <w:numId w:val="1"/>
        </w:numPr>
        <w:rPr>
          <w:iCs/>
        </w:rPr>
      </w:pPr>
      <w:bookmarkStart w:id="78" w:name="_Hlk76381249"/>
      <w:bookmarkStart w:id="79" w:name="_Hlk76377955"/>
      <w:bookmarkEnd w:id="77"/>
      <w:r w:rsidRPr="006416CC">
        <w:rPr>
          <w:iCs/>
        </w:rPr>
        <w:t>PBAC Outcome</w:t>
      </w:r>
    </w:p>
    <w:p w14:paraId="3C636DD7" w14:textId="186664A0" w:rsidR="00793D67" w:rsidRDefault="004F0CC7" w:rsidP="002F7835">
      <w:pPr>
        <w:widowControl w:val="0"/>
        <w:numPr>
          <w:ilvl w:val="1"/>
          <w:numId w:val="1"/>
        </w:numPr>
        <w:spacing w:after="120"/>
      </w:pPr>
      <w:r w:rsidRPr="00740778">
        <w:rPr>
          <w:rFonts w:asciiTheme="minorHAnsi" w:hAnsiTheme="minorHAnsi"/>
          <w:snapToGrid w:val="0"/>
          <w:lang w:val="en-GB"/>
        </w:rPr>
        <w:t>The PBAC recommended the</w:t>
      </w:r>
      <w:r w:rsidR="001B2A82" w:rsidRPr="00740778">
        <w:t xml:space="preserve"> </w:t>
      </w:r>
      <w:r w:rsidR="001B2A82" w:rsidRPr="00740778">
        <w:rPr>
          <w:rFonts w:asciiTheme="minorHAnsi" w:hAnsiTheme="minorHAnsi"/>
          <w:snapToGrid w:val="0"/>
          <w:lang w:val="en-GB"/>
        </w:rPr>
        <w:tab/>
        <w:t>General Schedule</w:t>
      </w:r>
      <w:r w:rsidR="0003720B">
        <w:rPr>
          <w:rFonts w:asciiTheme="minorHAnsi" w:hAnsiTheme="minorHAnsi"/>
          <w:snapToGrid w:val="0"/>
          <w:lang w:val="en-GB"/>
        </w:rPr>
        <w:t xml:space="preserve">, Authority Required </w:t>
      </w:r>
      <w:r w:rsidRPr="00740778">
        <w:rPr>
          <w:rFonts w:asciiTheme="minorHAnsi" w:hAnsiTheme="minorHAnsi"/>
          <w:snapToGrid w:val="0"/>
          <w:lang w:val="en-GB"/>
        </w:rPr>
        <w:t xml:space="preserve">listing of </w:t>
      </w:r>
      <w:r w:rsidR="001B2A82" w:rsidRPr="00740778">
        <w:rPr>
          <w:rFonts w:asciiTheme="minorHAnsi" w:hAnsiTheme="minorHAnsi"/>
          <w:snapToGrid w:val="0"/>
          <w:lang w:val="en-GB"/>
        </w:rPr>
        <w:t xml:space="preserve">garadacimab </w:t>
      </w:r>
      <w:r w:rsidR="001B2A82" w:rsidRPr="00740778">
        <w:rPr>
          <w:rFonts w:asciiTheme="minorHAnsi" w:hAnsiTheme="minorHAnsi"/>
          <w:snapToGrid w:val="0"/>
        </w:rPr>
        <w:t xml:space="preserve">for the prophylaxis of recurrent attacks of hereditary angioedema (HAE) Types I and II. </w:t>
      </w:r>
      <w:r w:rsidR="00793D67" w:rsidRPr="00740778">
        <w:t>The PBAC’s recommendation for listing was based on, among other matters, its assessment that the cost-effectiveness of garadacimab would be acceptable if it were cost-minimised against lanadelumab. The PBAC advised that garadacimab should join the existing</w:t>
      </w:r>
      <w:r w:rsidR="0094252D">
        <w:t xml:space="preserve"> lanadelumab</w:t>
      </w:r>
      <w:r w:rsidR="00793D67" w:rsidRPr="00740778">
        <w:t xml:space="preserve"> RSA</w:t>
      </w:r>
      <w:r w:rsidR="00477990" w:rsidRPr="00740778">
        <w:t xml:space="preserve"> </w:t>
      </w:r>
      <w:r w:rsidR="00793D67" w:rsidRPr="00740778">
        <w:t xml:space="preserve">with a small increase in expenditure </w:t>
      </w:r>
      <w:r w:rsidR="00793D67" w:rsidRPr="0088361F">
        <w:t xml:space="preserve">caps due to switching of patients from C1-INH who would not otherwise be </w:t>
      </w:r>
      <w:r w:rsidR="004841D5">
        <w:t>treated with</w:t>
      </w:r>
      <w:r w:rsidR="00793D67" w:rsidRPr="0088361F">
        <w:t xml:space="preserve"> lanadelumab.</w:t>
      </w:r>
    </w:p>
    <w:p w14:paraId="756F6119" w14:textId="3944CF06" w:rsidR="002C51A0" w:rsidRDefault="002C51A0" w:rsidP="007D00F7">
      <w:pPr>
        <w:pStyle w:val="3-BodyText"/>
        <w:rPr>
          <w:rFonts w:ascii="Calibri" w:eastAsia="Times New Roman" w:hAnsi="Calibri" w:cs="Arial"/>
          <w:szCs w:val="24"/>
        </w:rPr>
      </w:pPr>
      <w:r w:rsidRPr="002C51A0">
        <w:rPr>
          <w:rFonts w:ascii="Calibri" w:eastAsia="Times New Roman" w:hAnsi="Calibri" w:cs="Arial"/>
          <w:szCs w:val="24"/>
        </w:rPr>
        <w:t>The PBAC noted and welcomed the input from individuals</w:t>
      </w:r>
      <w:r w:rsidR="00124AC4">
        <w:rPr>
          <w:rFonts w:ascii="Calibri" w:eastAsia="Times New Roman" w:hAnsi="Calibri" w:cs="Arial"/>
          <w:szCs w:val="24"/>
        </w:rPr>
        <w:t>, health professionals</w:t>
      </w:r>
      <w:r w:rsidRPr="002C51A0">
        <w:rPr>
          <w:rFonts w:ascii="Calibri" w:eastAsia="Times New Roman" w:hAnsi="Calibri" w:cs="Arial"/>
          <w:szCs w:val="24"/>
        </w:rPr>
        <w:t xml:space="preserve"> and organisations via the Consumer Comments facility. </w:t>
      </w:r>
      <w:r w:rsidR="00124AC4">
        <w:rPr>
          <w:rFonts w:ascii="Calibri" w:eastAsia="Times New Roman" w:hAnsi="Calibri" w:cs="Arial"/>
          <w:szCs w:val="24"/>
        </w:rPr>
        <w:t>T</w:t>
      </w:r>
      <w:r w:rsidRPr="002C51A0">
        <w:rPr>
          <w:rFonts w:ascii="Calibri" w:eastAsia="Times New Roman" w:hAnsi="Calibri" w:cs="Arial"/>
          <w:szCs w:val="24"/>
        </w:rPr>
        <w:t xml:space="preserve">he PBAC noted that the comments highlighted the variable individual responses </w:t>
      </w:r>
      <w:r w:rsidR="001D5BFB">
        <w:rPr>
          <w:rFonts w:ascii="Calibri" w:eastAsia="Times New Roman" w:hAnsi="Calibri" w:cs="Arial"/>
          <w:szCs w:val="24"/>
        </w:rPr>
        <w:t>and</w:t>
      </w:r>
      <w:r w:rsidR="001D5BFB" w:rsidRPr="002C51A0">
        <w:rPr>
          <w:rFonts w:ascii="Calibri" w:eastAsia="Times New Roman" w:hAnsi="Calibri" w:cs="Arial"/>
          <w:szCs w:val="24"/>
        </w:rPr>
        <w:t xml:space="preserve"> </w:t>
      </w:r>
      <w:r w:rsidRPr="002C51A0">
        <w:rPr>
          <w:rFonts w:ascii="Calibri" w:eastAsia="Times New Roman" w:hAnsi="Calibri" w:cs="Arial"/>
          <w:szCs w:val="24"/>
        </w:rPr>
        <w:t>tolerability to existing treatments</w:t>
      </w:r>
      <w:r w:rsidR="00EF5F85">
        <w:rPr>
          <w:rFonts w:ascii="Calibri" w:eastAsia="Times New Roman" w:hAnsi="Calibri" w:cs="Arial"/>
          <w:szCs w:val="24"/>
        </w:rPr>
        <w:t>,</w:t>
      </w:r>
      <w:r w:rsidRPr="002C51A0">
        <w:rPr>
          <w:rFonts w:ascii="Calibri" w:eastAsia="Times New Roman" w:hAnsi="Calibri" w:cs="Arial"/>
          <w:szCs w:val="24"/>
        </w:rPr>
        <w:t xml:space="preserve"> a</w:t>
      </w:r>
      <w:r w:rsidR="00EF5F85">
        <w:rPr>
          <w:rFonts w:ascii="Calibri" w:eastAsia="Times New Roman" w:hAnsi="Calibri" w:cs="Arial"/>
          <w:szCs w:val="24"/>
        </w:rPr>
        <w:t>long with</w:t>
      </w:r>
      <w:r w:rsidRPr="002C51A0">
        <w:rPr>
          <w:rFonts w:ascii="Calibri" w:eastAsia="Times New Roman" w:hAnsi="Calibri" w:cs="Arial"/>
          <w:szCs w:val="24"/>
        </w:rPr>
        <w:t xml:space="preserve"> </w:t>
      </w:r>
      <w:r w:rsidR="00124AC4">
        <w:rPr>
          <w:rFonts w:ascii="Calibri" w:eastAsia="Times New Roman" w:hAnsi="Calibri" w:cs="Arial"/>
          <w:szCs w:val="24"/>
        </w:rPr>
        <w:t>the advantages that garadacimab may have given the potential for self-administration and less frequent dosing. Overall, the comments outlined</w:t>
      </w:r>
      <w:r w:rsidRPr="002C51A0">
        <w:rPr>
          <w:rFonts w:ascii="Calibri" w:eastAsia="Times New Roman" w:hAnsi="Calibri" w:cs="Arial"/>
          <w:szCs w:val="24"/>
        </w:rPr>
        <w:t xml:space="preserve"> </w:t>
      </w:r>
      <w:r w:rsidR="00675AE4">
        <w:rPr>
          <w:rFonts w:ascii="Calibri" w:eastAsia="Times New Roman" w:hAnsi="Calibri" w:cs="Arial"/>
          <w:szCs w:val="24"/>
        </w:rPr>
        <w:t xml:space="preserve">that </w:t>
      </w:r>
      <w:r w:rsidRPr="002C51A0">
        <w:rPr>
          <w:rFonts w:ascii="Calibri" w:eastAsia="Times New Roman" w:hAnsi="Calibri" w:cs="Arial"/>
          <w:szCs w:val="24"/>
        </w:rPr>
        <w:t>the availability of garadacimab would provide a</w:t>
      </w:r>
      <w:r w:rsidR="00675AE4">
        <w:rPr>
          <w:rFonts w:ascii="Calibri" w:eastAsia="Times New Roman" w:hAnsi="Calibri" w:cs="Arial"/>
          <w:szCs w:val="24"/>
        </w:rPr>
        <w:t xml:space="preserve"> valuable</w:t>
      </w:r>
      <w:r w:rsidRPr="002C51A0">
        <w:rPr>
          <w:rFonts w:ascii="Calibri" w:eastAsia="Times New Roman" w:hAnsi="Calibri" w:cs="Arial"/>
          <w:szCs w:val="24"/>
        </w:rPr>
        <w:t xml:space="preserve"> </w:t>
      </w:r>
      <w:r w:rsidR="00675AE4">
        <w:rPr>
          <w:rFonts w:ascii="Calibri" w:eastAsia="Times New Roman" w:hAnsi="Calibri" w:cs="Arial"/>
          <w:szCs w:val="24"/>
        </w:rPr>
        <w:t>alternative</w:t>
      </w:r>
      <w:r w:rsidRPr="002C51A0">
        <w:rPr>
          <w:rFonts w:ascii="Calibri" w:eastAsia="Times New Roman" w:hAnsi="Calibri" w:cs="Arial"/>
          <w:szCs w:val="24"/>
        </w:rPr>
        <w:t xml:space="preserve"> therapy for patients.</w:t>
      </w:r>
    </w:p>
    <w:p w14:paraId="1A80A544" w14:textId="2A528895" w:rsidR="00FE60D7" w:rsidRDefault="00FE60D7" w:rsidP="007D00F7">
      <w:pPr>
        <w:pStyle w:val="3-BodyText"/>
        <w:rPr>
          <w:rFonts w:ascii="Calibri" w:eastAsia="Times New Roman" w:hAnsi="Calibri" w:cs="Arial"/>
          <w:szCs w:val="24"/>
        </w:rPr>
      </w:pPr>
      <w:r>
        <w:rPr>
          <w:rFonts w:ascii="Calibri" w:eastAsia="Times New Roman" w:hAnsi="Calibri" w:cs="Arial"/>
          <w:szCs w:val="24"/>
        </w:rPr>
        <w:t xml:space="preserve">The PBAC considered </w:t>
      </w:r>
      <w:r w:rsidR="001D5BFB">
        <w:rPr>
          <w:rFonts w:ascii="Calibri" w:eastAsia="Times New Roman" w:hAnsi="Calibri" w:cs="Arial"/>
          <w:szCs w:val="24"/>
        </w:rPr>
        <w:t xml:space="preserve">that the </w:t>
      </w:r>
      <w:r>
        <w:rPr>
          <w:rFonts w:ascii="Calibri" w:eastAsia="Times New Roman" w:hAnsi="Calibri" w:cs="Arial"/>
          <w:szCs w:val="24"/>
        </w:rPr>
        <w:t xml:space="preserve">nominated comparator of lanadelumab was appropriate. </w:t>
      </w:r>
    </w:p>
    <w:p w14:paraId="1A30E578" w14:textId="417BDA08" w:rsidR="00D546B4" w:rsidRDefault="00D546B4" w:rsidP="007D00F7">
      <w:pPr>
        <w:pStyle w:val="3-BodyText"/>
        <w:rPr>
          <w:rFonts w:ascii="Calibri" w:eastAsia="Times New Roman" w:hAnsi="Calibri" w:cs="Arial"/>
          <w:szCs w:val="24"/>
        </w:rPr>
      </w:pPr>
      <w:r w:rsidRPr="00D546B4">
        <w:rPr>
          <w:rFonts w:ascii="Calibri" w:eastAsia="Times New Roman" w:hAnsi="Calibri" w:cs="Arial"/>
          <w:szCs w:val="24"/>
        </w:rPr>
        <w:lastRenderedPageBreak/>
        <w:t xml:space="preserve">The PBAC noted the submission was supported by one randomised controlled trial (RCT) </w:t>
      </w:r>
      <w:r w:rsidR="0088361F">
        <w:rPr>
          <w:rFonts w:ascii="Calibri" w:eastAsia="Times New Roman" w:hAnsi="Calibri" w:cs="Arial"/>
          <w:szCs w:val="24"/>
        </w:rPr>
        <w:t xml:space="preserve">that </w:t>
      </w:r>
      <w:r w:rsidRPr="00D546B4">
        <w:rPr>
          <w:rFonts w:ascii="Calibri" w:eastAsia="Times New Roman" w:hAnsi="Calibri" w:cs="Arial"/>
          <w:szCs w:val="24"/>
        </w:rPr>
        <w:t>compar</w:t>
      </w:r>
      <w:r w:rsidR="0088361F">
        <w:rPr>
          <w:rFonts w:ascii="Calibri" w:eastAsia="Times New Roman" w:hAnsi="Calibri" w:cs="Arial"/>
          <w:szCs w:val="24"/>
        </w:rPr>
        <w:t>ed</w:t>
      </w:r>
      <w:r w:rsidRPr="00D546B4">
        <w:rPr>
          <w:rFonts w:ascii="Calibri" w:eastAsia="Times New Roman" w:hAnsi="Calibri" w:cs="Arial"/>
          <w:szCs w:val="24"/>
        </w:rPr>
        <w:t xml:space="preserve"> garadacimab </w:t>
      </w:r>
      <w:r w:rsidR="00FB0C71">
        <w:rPr>
          <w:rFonts w:ascii="Calibri" w:eastAsia="Times New Roman" w:hAnsi="Calibri" w:cs="Arial"/>
          <w:szCs w:val="24"/>
        </w:rPr>
        <w:t>with</w:t>
      </w:r>
      <w:r w:rsidRPr="00D546B4">
        <w:rPr>
          <w:rFonts w:ascii="Calibri" w:eastAsia="Times New Roman" w:hAnsi="Calibri" w:cs="Arial"/>
          <w:szCs w:val="24"/>
        </w:rPr>
        <w:t xml:space="preserve"> placebo (VANGUARD)</w:t>
      </w:r>
      <w:r w:rsidR="00EF5F85">
        <w:rPr>
          <w:rFonts w:ascii="Calibri" w:eastAsia="Times New Roman" w:hAnsi="Calibri" w:cs="Arial"/>
          <w:szCs w:val="24"/>
        </w:rPr>
        <w:t>.</w:t>
      </w:r>
      <w:r w:rsidRPr="00D546B4">
        <w:rPr>
          <w:rFonts w:ascii="Calibri" w:eastAsia="Times New Roman" w:hAnsi="Calibri" w:cs="Arial"/>
          <w:szCs w:val="24"/>
        </w:rPr>
        <w:t xml:space="preserve"> </w:t>
      </w:r>
      <w:r w:rsidR="00EF5F85">
        <w:rPr>
          <w:rFonts w:ascii="Calibri" w:eastAsia="Times New Roman" w:hAnsi="Calibri" w:cs="Arial"/>
          <w:szCs w:val="24"/>
        </w:rPr>
        <w:t>T</w:t>
      </w:r>
      <w:r w:rsidRPr="00D546B4">
        <w:rPr>
          <w:rFonts w:ascii="Calibri" w:eastAsia="Times New Roman" w:hAnsi="Calibri" w:cs="Arial"/>
          <w:szCs w:val="24"/>
        </w:rPr>
        <w:t xml:space="preserve">he </w:t>
      </w:r>
      <w:r w:rsidR="00FB0C71">
        <w:rPr>
          <w:rFonts w:ascii="Calibri" w:eastAsia="Times New Roman" w:hAnsi="Calibri" w:cs="Arial"/>
          <w:szCs w:val="24"/>
        </w:rPr>
        <w:t xml:space="preserve">submission’s </w:t>
      </w:r>
      <w:r w:rsidRPr="00D546B4">
        <w:rPr>
          <w:rFonts w:ascii="Calibri" w:eastAsia="Times New Roman" w:hAnsi="Calibri" w:cs="Arial"/>
          <w:szCs w:val="24"/>
        </w:rPr>
        <w:t>claim of non-inferior comparative effectiveness and safety was based on an indirect comparison</w:t>
      </w:r>
      <w:r w:rsidR="00EF5F85">
        <w:rPr>
          <w:rFonts w:ascii="Calibri" w:eastAsia="Times New Roman" w:hAnsi="Calibri" w:cs="Arial"/>
          <w:szCs w:val="24"/>
        </w:rPr>
        <w:t xml:space="preserve"> between the</w:t>
      </w:r>
      <w:r w:rsidR="00EF5F85" w:rsidRPr="00EF5F85">
        <w:rPr>
          <w:rFonts w:ascii="Calibri" w:eastAsia="Times New Roman" w:hAnsi="Calibri" w:cs="Arial"/>
          <w:szCs w:val="24"/>
        </w:rPr>
        <w:t xml:space="preserve"> </w:t>
      </w:r>
      <w:r w:rsidR="00EF5F85" w:rsidRPr="00D546B4">
        <w:rPr>
          <w:rFonts w:ascii="Calibri" w:eastAsia="Times New Roman" w:hAnsi="Calibri" w:cs="Arial"/>
          <w:szCs w:val="24"/>
        </w:rPr>
        <w:t>VANGUARD</w:t>
      </w:r>
      <w:r w:rsidR="00EF5F85">
        <w:rPr>
          <w:rFonts w:ascii="Calibri" w:eastAsia="Times New Roman" w:hAnsi="Calibri" w:cs="Arial"/>
          <w:szCs w:val="24"/>
        </w:rPr>
        <w:t xml:space="preserve"> trial and the key trial of </w:t>
      </w:r>
      <w:r w:rsidR="00EF5F85" w:rsidRPr="00D546B4">
        <w:rPr>
          <w:rFonts w:ascii="Calibri" w:eastAsia="Times New Roman" w:hAnsi="Calibri" w:cs="Arial"/>
          <w:szCs w:val="24"/>
        </w:rPr>
        <w:t xml:space="preserve">lanadelumab </w:t>
      </w:r>
      <w:r w:rsidR="00EF5F85">
        <w:rPr>
          <w:rFonts w:ascii="Calibri" w:eastAsia="Times New Roman" w:hAnsi="Calibri" w:cs="Arial"/>
          <w:szCs w:val="24"/>
        </w:rPr>
        <w:t>versus</w:t>
      </w:r>
      <w:r w:rsidR="00EF5F85" w:rsidRPr="00D546B4">
        <w:rPr>
          <w:rFonts w:ascii="Calibri" w:eastAsia="Times New Roman" w:hAnsi="Calibri" w:cs="Arial"/>
          <w:szCs w:val="24"/>
        </w:rPr>
        <w:t xml:space="preserve"> placebo (HELP)</w:t>
      </w:r>
      <w:r w:rsidRPr="00D546B4">
        <w:rPr>
          <w:rFonts w:ascii="Calibri" w:eastAsia="Times New Roman" w:hAnsi="Calibri" w:cs="Arial"/>
          <w:szCs w:val="24"/>
        </w:rPr>
        <w:t xml:space="preserve">. The </w:t>
      </w:r>
      <w:r w:rsidR="0088361F">
        <w:rPr>
          <w:rFonts w:ascii="Calibri" w:eastAsia="Times New Roman" w:hAnsi="Calibri" w:cs="Arial"/>
          <w:szCs w:val="24"/>
        </w:rPr>
        <w:t>PBAC</w:t>
      </w:r>
      <w:r w:rsidRPr="00D546B4">
        <w:rPr>
          <w:rFonts w:ascii="Calibri" w:eastAsia="Times New Roman" w:hAnsi="Calibri" w:cs="Arial"/>
          <w:szCs w:val="24"/>
        </w:rPr>
        <w:t xml:space="preserve"> noted the trials were small,</w:t>
      </w:r>
      <w:r>
        <w:rPr>
          <w:rFonts w:ascii="Calibri" w:eastAsia="Times New Roman" w:hAnsi="Calibri" w:cs="Arial"/>
          <w:szCs w:val="24"/>
        </w:rPr>
        <w:t xml:space="preserve"> which add</w:t>
      </w:r>
      <w:r w:rsidR="00571458">
        <w:rPr>
          <w:rFonts w:ascii="Calibri" w:eastAsia="Times New Roman" w:hAnsi="Calibri" w:cs="Arial"/>
          <w:szCs w:val="24"/>
        </w:rPr>
        <w:t>ed</w:t>
      </w:r>
      <w:r>
        <w:rPr>
          <w:rFonts w:ascii="Calibri" w:eastAsia="Times New Roman" w:hAnsi="Calibri" w:cs="Arial"/>
          <w:szCs w:val="24"/>
        </w:rPr>
        <w:t xml:space="preserve"> uncertainty to the analyses,</w:t>
      </w:r>
      <w:r w:rsidRPr="00D546B4">
        <w:rPr>
          <w:rFonts w:ascii="Calibri" w:eastAsia="Times New Roman" w:hAnsi="Calibri" w:cs="Arial"/>
          <w:szCs w:val="24"/>
        </w:rPr>
        <w:t xml:space="preserve"> but acknowledged </w:t>
      </w:r>
      <w:r w:rsidR="00EF5F85">
        <w:rPr>
          <w:rFonts w:ascii="Calibri" w:eastAsia="Times New Roman" w:hAnsi="Calibri" w:cs="Arial"/>
          <w:szCs w:val="24"/>
        </w:rPr>
        <w:t xml:space="preserve">that </w:t>
      </w:r>
      <w:r w:rsidRPr="00D546B4">
        <w:rPr>
          <w:rFonts w:ascii="Calibri" w:eastAsia="Times New Roman" w:hAnsi="Calibri" w:cs="Arial"/>
          <w:szCs w:val="24"/>
        </w:rPr>
        <w:t>HAE is a rare condition.</w:t>
      </w:r>
      <w:r w:rsidR="00FB0C71" w:rsidRPr="00FB0C71">
        <w:rPr>
          <w:rFonts w:ascii="Calibri" w:eastAsia="Times New Roman" w:hAnsi="Calibri" w:cs="Arial"/>
          <w:szCs w:val="24"/>
        </w:rPr>
        <w:t xml:space="preserve"> </w:t>
      </w:r>
      <w:r w:rsidR="00FB0C71" w:rsidRPr="00FE60D7">
        <w:rPr>
          <w:rFonts w:ascii="Calibri" w:eastAsia="Times New Roman" w:hAnsi="Calibri" w:cs="Arial"/>
          <w:szCs w:val="24"/>
        </w:rPr>
        <w:t xml:space="preserve">The PBAC considered that </w:t>
      </w:r>
      <w:r w:rsidR="00FB0C71">
        <w:rPr>
          <w:rFonts w:ascii="Calibri" w:eastAsia="Times New Roman" w:hAnsi="Calibri" w:cs="Arial"/>
          <w:szCs w:val="24"/>
        </w:rPr>
        <w:t xml:space="preserve">the </w:t>
      </w:r>
      <w:r w:rsidR="0088361F" w:rsidRPr="00D546B4">
        <w:rPr>
          <w:rFonts w:ascii="Calibri" w:eastAsia="Times New Roman" w:hAnsi="Calibri" w:cs="Arial"/>
          <w:szCs w:val="24"/>
        </w:rPr>
        <w:t>VANGUARD</w:t>
      </w:r>
      <w:r w:rsidR="0088361F">
        <w:rPr>
          <w:rFonts w:ascii="Calibri" w:eastAsia="Times New Roman" w:hAnsi="Calibri" w:cs="Arial"/>
          <w:szCs w:val="24"/>
        </w:rPr>
        <w:t xml:space="preserve"> and HELP </w:t>
      </w:r>
      <w:r w:rsidR="00FB0C71">
        <w:rPr>
          <w:rFonts w:ascii="Calibri" w:eastAsia="Times New Roman" w:hAnsi="Calibri" w:cs="Arial"/>
          <w:szCs w:val="24"/>
        </w:rPr>
        <w:t xml:space="preserve">trials were sufficiently similar to enable a reliable indirect comparison, noting the </w:t>
      </w:r>
      <w:r w:rsidR="00FB0C71" w:rsidRPr="00FE60D7">
        <w:rPr>
          <w:rFonts w:ascii="Calibri" w:eastAsia="Times New Roman" w:hAnsi="Calibri" w:cs="Arial"/>
          <w:szCs w:val="24"/>
        </w:rPr>
        <w:t xml:space="preserve">similar </w:t>
      </w:r>
      <w:r w:rsidR="00FB0C71" w:rsidRPr="00FB0C71">
        <w:rPr>
          <w:rFonts w:ascii="Calibri" w:eastAsia="Times New Roman" w:hAnsi="Calibri" w:cs="Arial"/>
          <w:szCs w:val="24"/>
        </w:rPr>
        <w:t>event rates in the placebo arms of the trials</w:t>
      </w:r>
      <w:r w:rsidR="00FB0C71">
        <w:rPr>
          <w:rFonts w:ascii="Calibri" w:eastAsia="Times New Roman" w:hAnsi="Calibri" w:cs="Arial"/>
          <w:szCs w:val="24"/>
        </w:rPr>
        <w:t xml:space="preserve">. </w:t>
      </w:r>
    </w:p>
    <w:p w14:paraId="6B6B0C4B" w14:textId="29DE4772" w:rsidR="003D0E65" w:rsidRPr="00D546B4" w:rsidRDefault="00FE60D7" w:rsidP="00D546B4">
      <w:pPr>
        <w:pStyle w:val="3-BodyText"/>
        <w:rPr>
          <w:rFonts w:ascii="Calibri" w:eastAsia="Times New Roman" w:hAnsi="Calibri" w:cs="Arial"/>
          <w:szCs w:val="24"/>
        </w:rPr>
      </w:pPr>
      <w:r w:rsidRPr="00FE60D7">
        <w:rPr>
          <w:rFonts w:ascii="Calibri" w:eastAsia="Times New Roman" w:hAnsi="Calibri" w:cs="Arial"/>
          <w:szCs w:val="24"/>
        </w:rPr>
        <w:t>The PBAC noted that there was no statistical</w:t>
      </w:r>
      <w:r w:rsidR="00EF5F85">
        <w:rPr>
          <w:rFonts w:ascii="Calibri" w:eastAsia="Times New Roman" w:hAnsi="Calibri" w:cs="Arial"/>
          <w:szCs w:val="24"/>
        </w:rPr>
        <w:t>ly significant</w:t>
      </w:r>
      <w:r w:rsidRPr="00FE60D7">
        <w:rPr>
          <w:rFonts w:ascii="Calibri" w:eastAsia="Times New Roman" w:hAnsi="Calibri" w:cs="Arial"/>
          <w:szCs w:val="24"/>
        </w:rPr>
        <w:t xml:space="preserve"> difference in the comparison between garadacimab and either 2</w:t>
      </w:r>
      <w:r w:rsidR="00FB0C71">
        <w:rPr>
          <w:rFonts w:ascii="Calibri" w:eastAsia="Times New Roman" w:hAnsi="Calibri" w:cs="Arial"/>
          <w:szCs w:val="24"/>
        </w:rPr>
        <w:t>-</w:t>
      </w:r>
      <w:r w:rsidRPr="00FE60D7">
        <w:rPr>
          <w:rFonts w:ascii="Calibri" w:eastAsia="Times New Roman" w:hAnsi="Calibri" w:cs="Arial"/>
          <w:szCs w:val="24"/>
        </w:rPr>
        <w:t>weekly or 4</w:t>
      </w:r>
      <w:r w:rsidR="00FB0C71">
        <w:rPr>
          <w:rFonts w:ascii="Calibri" w:eastAsia="Times New Roman" w:hAnsi="Calibri" w:cs="Arial"/>
          <w:szCs w:val="24"/>
        </w:rPr>
        <w:t>-</w:t>
      </w:r>
      <w:r w:rsidRPr="00FE60D7">
        <w:rPr>
          <w:rFonts w:ascii="Calibri" w:eastAsia="Times New Roman" w:hAnsi="Calibri" w:cs="Arial"/>
          <w:szCs w:val="24"/>
        </w:rPr>
        <w:t>weekly lanadelumab</w:t>
      </w:r>
      <w:r w:rsidR="00EF5F85">
        <w:rPr>
          <w:rFonts w:ascii="Calibri" w:eastAsia="Times New Roman" w:hAnsi="Calibri" w:cs="Arial"/>
          <w:szCs w:val="24"/>
        </w:rPr>
        <w:t xml:space="preserve"> in terms of the </w:t>
      </w:r>
      <w:r w:rsidR="00EF5F85" w:rsidRPr="00EF5F85">
        <w:rPr>
          <w:rFonts w:ascii="Calibri" w:eastAsia="Times New Roman" w:hAnsi="Calibri" w:cs="Arial"/>
          <w:szCs w:val="24"/>
        </w:rPr>
        <w:t xml:space="preserve">number of </w:t>
      </w:r>
      <w:r w:rsidR="00FB0C71">
        <w:rPr>
          <w:rFonts w:ascii="Calibri" w:eastAsia="Times New Roman" w:hAnsi="Calibri" w:cs="Arial"/>
          <w:szCs w:val="24"/>
        </w:rPr>
        <w:t>t</w:t>
      </w:r>
      <w:r w:rsidR="00FB0C71" w:rsidRPr="00EF5F85">
        <w:rPr>
          <w:rFonts w:ascii="Calibri" w:eastAsia="Times New Roman" w:hAnsi="Calibri" w:cs="Arial"/>
          <w:szCs w:val="24"/>
        </w:rPr>
        <w:t xml:space="preserve">ime-normalised </w:t>
      </w:r>
      <w:r w:rsidR="00EF5F85" w:rsidRPr="00EF5F85">
        <w:rPr>
          <w:rFonts w:ascii="Calibri" w:eastAsia="Times New Roman" w:hAnsi="Calibri" w:cs="Arial"/>
          <w:szCs w:val="24"/>
        </w:rPr>
        <w:t>HAE attacks</w:t>
      </w:r>
      <w:r w:rsidR="00FB0C71">
        <w:rPr>
          <w:rFonts w:ascii="Calibri" w:eastAsia="Times New Roman" w:hAnsi="Calibri" w:cs="Arial"/>
          <w:szCs w:val="24"/>
        </w:rPr>
        <w:t xml:space="preserve">, </w:t>
      </w:r>
      <w:r w:rsidR="00FB0C71" w:rsidRPr="00EF5F85">
        <w:rPr>
          <w:rFonts w:ascii="Calibri" w:eastAsia="Times New Roman" w:hAnsi="Calibri" w:cs="Arial"/>
          <w:szCs w:val="24"/>
        </w:rPr>
        <w:t>HAE attacks</w:t>
      </w:r>
      <w:r w:rsidR="00FB0C71">
        <w:rPr>
          <w:rFonts w:ascii="Calibri" w:eastAsia="Times New Roman" w:hAnsi="Calibri" w:cs="Arial"/>
          <w:szCs w:val="24"/>
        </w:rPr>
        <w:t xml:space="preserve"> requiring on-demand treatment and </w:t>
      </w:r>
      <w:r w:rsidR="00FB0C71" w:rsidRPr="00FB0C71">
        <w:rPr>
          <w:rFonts w:ascii="Calibri" w:eastAsia="Times New Roman" w:hAnsi="Calibri" w:cs="Arial"/>
          <w:szCs w:val="24"/>
        </w:rPr>
        <w:t>moderate/severe HAE attacks</w:t>
      </w:r>
      <w:r w:rsidRPr="00FE60D7">
        <w:rPr>
          <w:rFonts w:ascii="Calibri" w:eastAsia="Times New Roman" w:hAnsi="Calibri" w:cs="Arial"/>
          <w:szCs w:val="24"/>
        </w:rPr>
        <w:t xml:space="preserve">, acknowledging the wide confidence intervals. </w:t>
      </w:r>
      <w:r w:rsidR="003D0E65" w:rsidRPr="00D546B4">
        <w:rPr>
          <w:rFonts w:ascii="Calibri" w:eastAsia="Times New Roman" w:hAnsi="Calibri" w:cs="Arial"/>
          <w:szCs w:val="24"/>
        </w:rPr>
        <w:t xml:space="preserve">The PBAC considered that the claim of non-inferior </w:t>
      </w:r>
      <w:r w:rsidR="00EF5F85">
        <w:rPr>
          <w:rFonts w:ascii="Calibri" w:eastAsia="Times New Roman" w:hAnsi="Calibri" w:cs="Arial"/>
          <w:szCs w:val="24"/>
        </w:rPr>
        <w:t xml:space="preserve">comparative </w:t>
      </w:r>
      <w:r w:rsidR="003D0E65" w:rsidRPr="00D546B4">
        <w:rPr>
          <w:rFonts w:ascii="Calibri" w:eastAsia="Times New Roman" w:hAnsi="Calibri" w:cs="Arial"/>
          <w:szCs w:val="24"/>
        </w:rPr>
        <w:t xml:space="preserve">effectiveness and safety versus lanadelumab was </w:t>
      </w:r>
      <w:r w:rsidR="00EF5F85">
        <w:rPr>
          <w:rFonts w:ascii="Calibri" w:eastAsia="Times New Roman" w:hAnsi="Calibri" w:cs="Arial"/>
          <w:szCs w:val="24"/>
        </w:rPr>
        <w:t>adequate</w:t>
      </w:r>
      <w:r w:rsidR="00EF5F85" w:rsidRPr="00D546B4">
        <w:rPr>
          <w:rFonts w:ascii="Calibri" w:eastAsia="Times New Roman" w:hAnsi="Calibri" w:cs="Arial"/>
          <w:szCs w:val="24"/>
        </w:rPr>
        <w:t xml:space="preserve">ly </w:t>
      </w:r>
      <w:r w:rsidR="003D0E65" w:rsidRPr="00D546B4">
        <w:rPr>
          <w:rFonts w:ascii="Calibri" w:eastAsia="Times New Roman" w:hAnsi="Calibri" w:cs="Arial"/>
          <w:szCs w:val="24"/>
        </w:rPr>
        <w:t>supported</w:t>
      </w:r>
      <w:r w:rsidR="0003720B" w:rsidRPr="00D546B4">
        <w:rPr>
          <w:rFonts w:ascii="Calibri" w:eastAsia="Times New Roman" w:hAnsi="Calibri" w:cs="Arial"/>
          <w:szCs w:val="24"/>
        </w:rPr>
        <w:t xml:space="preserve"> based on the available data</w:t>
      </w:r>
      <w:r w:rsidR="003D0E65" w:rsidRPr="00D546B4">
        <w:rPr>
          <w:rFonts w:ascii="Calibri" w:eastAsia="Times New Roman" w:hAnsi="Calibri" w:cs="Arial"/>
          <w:szCs w:val="24"/>
        </w:rPr>
        <w:t xml:space="preserve">. </w:t>
      </w:r>
    </w:p>
    <w:p w14:paraId="38DDC927" w14:textId="1FBA56F3" w:rsidR="001204D4" w:rsidRPr="001204D4" w:rsidRDefault="00FE60D7" w:rsidP="00FE60D7">
      <w:pPr>
        <w:pStyle w:val="3-BodyText"/>
        <w:rPr>
          <w:snapToGrid w:val="0"/>
        </w:rPr>
      </w:pPr>
      <w:r w:rsidRPr="00026C02">
        <w:t xml:space="preserve">The PBAC </w:t>
      </w:r>
      <w:r w:rsidR="003D0E65" w:rsidRPr="00026C02">
        <w:t xml:space="preserve">therefore considered </w:t>
      </w:r>
      <w:r w:rsidRPr="00026C02">
        <w:t xml:space="preserve">that </w:t>
      </w:r>
      <w:r w:rsidR="00787B7F">
        <w:t>listing on a cost</w:t>
      </w:r>
      <w:r w:rsidR="001204D4">
        <w:t>-</w:t>
      </w:r>
      <w:r w:rsidR="00787B7F">
        <w:t xml:space="preserve">minimisation basis </w:t>
      </w:r>
      <w:r w:rsidR="001204D4">
        <w:t xml:space="preserve">versus lanadelumab </w:t>
      </w:r>
      <w:r w:rsidR="00787B7F">
        <w:t>was reasonable</w:t>
      </w:r>
      <w:r w:rsidR="001204D4">
        <w:t>. The PBAC considered that the</w:t>
      </w:r>
      <w:r w:rsidR="001204D4" w:rsidRPr="001204D4">
        <w:t xml:space="preserve"> cost-minimisation approach</w:t>
      </w:r>
      <w:r w:rsidR="001204D4">
        <w:t xml:space="preserve"> (CMA) should be conducted </w:t>
      </w:r>
      <w:r w:rsidR="001204D4" w:rsidRPr="001204D4">
        <w:t xml:space="preserve">over a 2-year period </w:t>
      </w:r>
      <w:r w:rsidR="001204D4">
        <w:t xml:space="preserve">from the initiation of treatment </w:t>
      </w:r>
      <w:r w:rsidR="001204D4" w:rsidRPr="001204D4">
        <w:t xml:space="preserve">and </w:t>
      </w:r>
      <w:r w:rsidR="001204D4">
        <w:t xml:space="preserve">should </w:t>
      </w:r>
      <w:r w:rsidR="001204D4" w:rsidRPr="001204D4">
        <w:t>include the garadacimab loading dose</w:t>
      </w:r>
      <w:r w:rsidR="003D0E65" w:rsidRPr="00026C02">
        <w:t xml:space="preserve">, </w:t>
      </w:r>
      <w:r w:rsidR="001204D4">
        <w:t xml:space="preserve">consistent with the approach used for other on-going chronic therapies that require a loading dose. The </w:t>
      </w:r>
      <w:r w:rsidR="001204D4" w:rsidRPr="001204D4">
        <w:t>PBAC</w:t>
      </w:r>
      <w:r w:rsidR="001204D4">
        <w:t xml:space="preserve"> further</w:t>
      </w:r>
      <w:r w:rsidR="001204D4" w:rsidRPr="001204D4">
        <w:t xml:space="preserve"> considered that a reduction in specialist attendances </w:t>
      </w:r>
      <w:r w:rsidR="00E514F6">
        <w:t xml:space="preserve">should not be included in the CMA because: </w:t>
      </w:r>
      <w:r w:rsidR="001204D4" w:rsidRPr="001204D4">
        <w:t xml:space="preserve">prescribers can request an increase in the maximum quantity per script; and continuing treatment may be prescribed </w:t>
      </w:r>
      <w:r w:rsidR="00ED16B1">
        <w:t xml:space="preserve">by general practitioners </w:t>
      </w:r>
      <w:r w:rsidR="001204D4" w:rsidRPr="001204D4">
        <w:t xml:space="preserve">in consultation with a specialist allergist or clinical immunologist. </w:t>
      </w:r>
    </w:p>
    <w:p w14:paraId="045F6CA4" w14:textId="2A238FCA" w:rsidR="00EC7238" w:rsidRDefault="00EC7238" w:rsidP="00EC7238">
      <w:pPr>
        <w:pStyle w:val="3-BodyText"/>
      </w:pPr>
      <w:r>
        <w:t xml:space="preserve">The PBAC considered the equi-effective doses </w:t>
      </w:r>
      <w:r w:rsidRPr="00EC7238">
        <w:t>over 2 years from treatment initiation</w:t>
      </w:r>
      <w:r>
        <w:t xml:space="preserve"> to be: garadacimab 5,000 mg and lanadelumab 7,821 mg. </w:t>
      </w:r>
    </w:p>
    <w:p w14:paraId="23C2E2C3" w14:textId="24687E18" w:rsidR="00EC7238" w:rsidRPr="00534EFB" w:rsidRDefault="00EC7238" w:rsidP="00EC7238">
      <w:pPr>
        <w:pStyle w:val="3-BodyText"/>
        <w:rPr>
          <w:snapToGrid w:val="0"/>
        </w:rPr>
      </w:pPr>
      <w:r>
        <w:t xml:space="preserve">The PBAC noted that lanadelumab was recommended for listing based on acceptable cost-effectiveness assuming Q4W dosing; however in practice, lanadelumab </w:t>
      </w:r>
      <w:r w:rsidR="00DD77EB">
        <w:t xml:space="preserve">appears to be </w:t>
      </w:r>
      <w:r>
        <w:t>used more frequently by a substantial proportion of patients (with the submission estimating</w:t>
      </w:r>
      <w:r w:rsidR="0065748E">
        <w:t xml:space="preserve"> that the lanadelumab dosing frequency in clinical practice is:</w:t>
      </w:r>
      <w:r>
        <w:t xml:space="preserve"> </w:t>
      </w:r>
      <w:r w:rsidR="00EB6B07" w:rsidRPr="00EB6B07">
        <w:t>44.4% Q2W</w:t>
      </w:r>
      <w:r w:rsidR="0065748E">
        <w:t>;</w:t>
      </w:r>
      <w:r w:rsidR="00EB6B07">
        <w:t xml:space="preserve"> </w:t>
      </w:r>
      <w:r w:rsidR="00EB6B07" w:rsidRPr="00EB6B07">
        <w:t xml:space="preserve">9.3%; Q3W; </w:t>
      </w:r>
      <w:r w:rsidR="0065748E">
        <w:t xml:space="preserve">and </w:t>
      </w:r>
      <w:r w:rsidR="00EB6B07" w:rsidRPr="00EB6B07">
        <w:t>46.3% Q4W</w:t>
      </w:r>
      <w:r w:rsidR="0065748E">
        <w:t>, based on a clinician survey</w:t>
      </w:r>
      <w:r>
        <w:t xml:space="preserve">). The PBAC advised that the sponsor and Department may consider the actual lanadelumab dosing frequency </w:t>
      </w:r>
      <w:r w:rsidR="00DD77EB">
        <w:t xml:space="preserve">in clinical practice, </w:t>
      </w:r>
      <w:r>
        <w:t xml:space="preserve">in the context of garadacimab joining the existing RSA (refer to paragraph </w:t>
      </w:r>
      <w:r>
        <w:fldChar w:fldCharType="begin" w:fldLock="1"/>
      </w:r>
      <w:r>
        <w:instrText xml:space="preserve"> REF _Ref183685039 \r \h </w:instrText>
      </w:r>
      <w:r>
        <w:fldChar w:fldCharType="separate"/>
      </w:r>
      <w:r w:rsidR="00106090">
        <w:t>7.10</w:t>
      </w:r>
      <w:r>
        <w:fldChar w:fldCharType="end"/>
      </w:r>
      <w:r>
        <w:t>) while ensuring that the cost of garadacimab is no higher than lanadelumab</w:t>
      </w:r>
      <w:r w:rsidR="00EB6B07">
        <w:t>.</w:t>
      </w:r>
    </w:p>
    <w:p w14:paraId="67ED227E" w14:textId="3D397F3C" w:rsidR="00534EFB" w:rsidRPr="00026C02" w:rsidRDefault="00534EFB" w:rsidP="00FE60D7">
      <w:pPr>
        <w:pStyle w:val="3-BodyText"/>
        <w:rPr>
          <w:snapToGrid w:val="0"/>
        </w:rPr>
      </w:pPr>
      <w:r>
        <w:t xml:space="preserve">The PBAC considered that the submission’s </w:t>
      </w:r>
      <w:r w:rsidRPr="00534EFB">
        <w:t>market-share approach</w:t>
      </w:r>
      <w:r>
        <w:t xml:space="preserve"> to estimating utilisation was reasonable and </w:t>
      </w:r>
      <w:r w:rsidRPr="00534EFB">
        <w:t xml:space="preserve">advised that, where possible, the financial estimates should be updated to be based on patient-level PBS data. </w:t>
      </w:r>
      <w:r>
        <w:t xml:space="preserve"> </w:t>
      </w:r>
    </w:p>
    <w:p w14:paraId="69FDDF05" w14:textId="2756B6DA" w:rsidR="006B598D" w:rsidRPr="00026C02" w:rsidRDefault="006B598D" w:rsidP="006B598D">
      <w:pPr>
        <w:pStyle w:val="3-BodyText"/>
      </w:pPr>
      <w:bookmarkStart w:id="80" w:name="_Ref183685039"/>
      <w:r w:rsidRPr="006B598D">
        <w:rPr>
          <w:color w:val="000000" w:themeColor="text1"/>
        </w:rPr>
        <w:t xml:space="preserve">The PBAC noted that lanadelumab is subject to an </w:t>
      </w:r>
      <w:bookmarkStart w:id="81" w:name="_Hlk183679207"/>
      <w:r w:rsidRPr="006B598D">
        <w:rPr>
          <w:color w:val="000000" w:themeColor="text1"/>
        </w:rPr>
        <w:t>RSA</w:t>
      </w:r>
      <w:r w:rsidR="00D546B4">
        <w:rPr>
          <w:color w:val="000000" w:themeColor="text1"/>
        </w:rPr>
        <w:t>, which is intended to</w:t>
      </w:r>
      <w:r w:rsidR="004139EF">
        <w:rPr>
          <w:color w:val="000000" w:themeColor="text1"/>
        </w:rPr>
        <w:t>: (a)</w:t>
      </w:r>
      <w:r w:rsidRPr="006B598D">
        <w:rPr>
          <w:color w:val="000000" w:themeColor="text1"/>
        </w:rPr>
        <w:t xml:space="preserve"> account for the risk of higher dosing frequency</w:t>
      </w:r>
      <w:r w:rsidRPr="006B598D">
        <w:t xml:space="preserve">; </w:t>
      </w:r>
      <w:r w:rsidR="004139EF">
        <w:t xml:space="preserve">(b) </w:t>
      </w:r>
      <w:r w:rsidRPr="006B598D">
        <w:t xml:space="preserve">manage the risk of use in cost-ineffective populations; and </w:t>
      </w:r>
      <w:r w:rsidR="004139EF">
        <w:t xml:space="preserve">(c) </w:t>
      </w:r>
      <w:r w:rsidRPr="006B598D">
        <w:t>achieve cost-effectiveness</w:t>
      </w:r>
      <w:r w:rsidR="00D546B4">
        <w:t xml:space="preserve"> for the listing</w:t>
      </w:r>
      <w:bookmarkEnd w:id="81"/>
      <w:r w:rsidRPr="006B598D">
        <w:t xml:space="preserve">. The PBAC considered that </w:t>
      </w:r>
      <w:r w:rsidR="00D92120">
        <w:t xml:space="preserve">the </w:t>
      </w:r>
      <w:r w:rsidRPr="006B598D">
        <w:t>risk</w:t>
      </w:r>
      <w:r w:rsidR="007B3A14">
        <w:t xml:space="preserve"> </w:t>
      </w:r>
      <w:r w:rsidR="004139EF" w:rsidRPr="006B598D">
        <w:rPr>
          <w:color w:val="000000" w:themeColor="text1"/>
        </w:rPr>
        <w:t xml:space="preserve">of </w:t>
      </w:r>
      <w:r w:rsidR="00D92120">
        <w:rPr>
          <w:color w:val="000000" w:themeColor="text1"/>
        </w:rPr>
        <w:t xml:space="preserve">a </w:t>
      </w:r>
      <w:r w:rsidR="004139EF" w:rsidRPr="006B598D">
        <w:rPr>
          <w:color w:val="000000" w:themeColor="text1"/>
        </w:rPr>
        <w:t>higher dosing frequency</w:t>
      </w:r>
      <w:r w:rsidR="004139EF">
        <w:t xml:space="preserve"> </w:t>
      </w:r>
      <w:r w:rsidR="007B3A14">
        <w:t>was</w:t>
      </w:r>
      <w:r w:rsidR="00D546B4">
        <w:t xml:space="preserve"> not relevant</w:t>
      </w:r>
      <w:r w:rsidRPr="006B598D">
        <w:t xml:space="preserve"> to garadacimab, </w:t>
      </w:r>
      <w:r w:rsidRPr="006B598D">
        <w:lastRenderedPageBreak/>
        <w:t xml:space="preserve">but that the other risks are relevant and </w:t>
      </w:r>
      <w:r w:rsidRPr="00026C02">
        <w:t xml:space="preserve">should be managed within an RSA. </w:t>
      </w:r>
      <w:r w:rsidRPr="00026C02">
        <w:rPr>
          <w:color w:val="000000" w:themeColor="text1"/>
        </w:rPr>
        <w:t xml:space="preserve">The PBAC </w:t>
      </w:r>
      <w:r w:rsidR="009B632E">
        <w:rPr>
          <w:color w:val="000000" w:themeColor="text1"/>
        </w:rPr>
        <w:t>advis</w:t>
      </w:r>
      <w:r w:rsidRPr="00026C02">
        <w:rPr>
          <w:color w:val="000000" w:themeColor="text1"/>
        </w:rPr>
        <w:t xml:space="preserve">ed that </w:t>
      </w:r>
      <w:r w:rsidR="00534EFB">
        <w:rPr>
          <w:color w:val="000000" w:themeColor="text1"/>
        </w:rPr>
        <w:t xml:space="preserve">garadacimab </w:t>
      </w:r>
      <w:r w:rsidR="0094252D">
        <w:rPr>
          <w:color w:val="000000" w:themeColor="text1"/>
        </w:rPr>
        <w:t>should</w:t>
      </w:r>
      <w:r w:rsidR="00534EFB">
        <w:rPr>
          <w:color w:val="000000" w:themeColor="text1"/>
        </w:rPr>
        <w:t xml:space="preserve"> join the existing lanadelumab </w:t>
      </w:r>
      <w:r w:rsidRPr="00026C02">
        <w:rPr>
          <w:color w:val="000000" w:themeColor="text1"/>
        </w:rPr>
        <w:t xml:space="preserve">RSA </w:t>
      </w:r>
      <w:r w:rsidRPr="00026C02">
        <w:t xml:space="preserve">expenditure cap </w:t>
      </w:r>
      <w:r w:rsidR="00534EFB">
        <w:t>given</w:t>
      </w:r>
      <w:r w:rsidR="00D92120">
        <w:t>:</w:t>
      </w:r>
      <w:r w:rsidR="00534EFB">
        <w:t xml:space="preserve"> </w:t>
      </w:r>
      <w:r w:rsidRPr="00026C02">
        <w:t>garadacimab is expected to replace lanadelumab</w:t>
      </w:r>
      <w:r w:rsidR="00D92120">
        <w:t>;</w:t>
      </w:r>
      <w:r w:rsidR="006D1849">
        <w:t xml:space="preserve"> and the </w:t>
      </w:r>
      <w:r w:rsidR="006D1849" w:rsidRPr="006D1849">
        <w:t>RSA is required to achieve a particular level of cost-effectiveness</w:t>
      </w:r>
      <w:r w:rsidR="00534EFB">
        <w:t xml:space="preserve">. However, the PBAC further advised that </w:t>
      </w:r>
      <w:r w:rsidRPr="00026C02">
        <w:t>the sponsor of garadacimab should not be adversely affected by the risk of more frequent lanadelumab dosing.</w:t>
      </w:r>
      <w:bookmarkEnd w:id="80"/>
      <w:r w:rsidRPr="00026C02">
        <w:t xml:space="preserve"> </w:t>
      </w:r>
    </w:p>
    <w:p w14:paraId="2A039277" w14:textId="1F535184" w:rsidR="00B055B1" w:rsidRPr="00F958D1" w:rsidRDefault="00026C02" w:rsidP="00F06281">
      <w:pPr>
        <w:pStyle w:val="3-BodyText"/>
      </w:pPr>
      <w:r w:rsidRPr="00026C02">
        <w:t xml:space="preserve">The PBAC </w:t>
      </w:r>
      <w:r w:rsidR="00571458">
        <w:t>consider</w:t>
      </w:r>
      <w:r w:rsidR="00571458" w:rsidRPr="00026C02">
        <w:t xml:space="preserve">ed a small increase in </w:t>
      </w:r>
      <w:r w:rsidR="00B84B28">
        <w:t xml:space="preserve">tier 1 of </w:t>
      </w:r>
      <w:r w:rsidR="00571458" w:rsidRPr="00026C02">
        <w:t xml:space="preserve">the </w:t>
      </w:r>
      <w:r w:rsidR="003B072A">
        <w:t xml:space="preserve">combined </w:t>
      </w:r>
      <w:r w:rsidR="00571458" w:rsidRPr="00026C02">
        <w:t xml:space="preserve">RSA expenditure </w:t>
      </w:r>
      <w:r w:rsidR="009A3DA2">
        <w:t>threshold</w:t>
      </w:r>
      <w:r w:rsidR="00571458" w:rsidRPr="00026C02">
        <w:t xml:space="preserve"> may be reasonable </w:t>
      </w:r>
      <w:r w:rsidR="00571458">
        <w:t xml:space="preserve">as </w:t>
      </w:r>
      <w:r w:rsidR="00571458" w:rsidRPr="00F958D1">
        <w:t>there may be</w:t>
      </w:r>
      <w:r w:rsidRPr="00F958D1">
        <w:t xml:space="preserve"> </w:t>
      </w:r>
      <w:r w:rsidR="00C76F03" w:rsidRPr="00F958D1">
        <w:t>some</w:t>
      </w:r>
      <w:r w:rsidRPr="00F958D1">
        <w:t xml:space="preserve"> patients </w:t>
      </w:r>
      <w:r w:rsidR="00E514F6">
        <w:t xml:space="preserve">who are </w:t>
      </w:r>
      <w:r w:rsidRPr="00F958D1">
        <w:t xml:space="preserve">currently </w:t>
      </w:r>
      <w:r w:rsidR="00E514F6">
        <w:t>treated with</w:t>
      </w:r>
      <w:r w:rsidRPr="00F958D1">
        <w:t xml:space="preserve"> C1-INH </w:t>
      </w:r>
      <w:r w:rsidR="00ED16B1">
        <w:t xml:space="preserve">who </w:t>
      </w:r>
      <w:r w:rsidRPr="00F958D1">
        <w:t>may switch to garadacimab</w:t>
      </w:r>
      <w:r w:rsidR="00B05DD4">
        <w:t xml:space="preserve"> (</w:t>
      </w:r>
      <w:r w:rsidR="00534EFB">
        <w:t>i.e. to account for</w:t>
      </w:r>
      <w:r w:rsidR="00B05DD4">
        <w:t xml:space="preserve"> patients </w:t>
      </w:r>
      <w:r w:rsidR="00534EFB">
        <w:t xml:space="preserve">who </w:t>
      </w:r>
      <w:r w:rsidR="00B05DD4" w:rsidRPr="00B05DD4">
        <w:t xml:space="preserve">may have </w:t>
      </w:r>
      <w:r w:rsidR="00111390">
        <w:t>trialled</w:t>
      </w:r>
      <w:r w:rsidR="00B05DD4" w:rsidRPr="00B05DD4">
        <w:t xml:space="preserve"> lanadelumab </w:t>
      </w:r>
      <w:r w:rsidR="00111390">
        <w:t xml:space="preserve">but switched </w:t>
      </w:r>
      <w:r w:rsidR="00B05DD4" w:rsidRPr="00B05DD4">
        <w:t>back to subcutaneous C1-INH due to tolerability</w:t>
      </w:r>
      <w:r w:rsidR="00B05DD4">
        <w:t>)</w:t>
      </w:r>
      <w:r w:rsidRPr="00F958D1">
        <w:t xml:space="preserve">. </w:t>
      </w:r>
      <w:r w:rsidR="00B84B28">
        <w:t xml:space="preserve">The PBAC advised that the submission’s method for </w:t>
      </w:r>
      <w:r w:rsidR="00B84B28" w:rsidRPr="000769B4">
        <w:t>estimating market growth due to patients switching from C1-INH</w:t>
      </w:r>
      <w:r w:rsidR="00B84B28">
        <w:t xml:space="preserve"> was likely reliable but should be corrected for the issues identified by DUSC (refer to paragraph </w:t>
      </w:r>
      <w:r w:rsidR="00B84B28">
        <w:fldChar w:fldCharType="begin" w:fldLock="1"/>
      </w:r>
      <w:r w:rsidR="00B84B28">
        <w:instrText xml:space="preserve"> REF _Ref175927099 \r \h </w:instrText>
      </w:r>
      <w:r w:rsidR="00F06281">
        <w:instrText xml:space="preserve"> \* MERGEFORMAT </w:instrText>
      </w:r>
      <w:r w:rsidR="00B84B28">
        <w:fldChar w:fldCharType="separate"/>
      </w:r>
      <w:r w:rsidR="00106090">
        <w:t>6.53</w:t>
      </w:r>
      <w:r w:rsidR="00B84B28">
        <w:fldChar w:fldCharType="end"/>
      </w:r>
      <w:r w:rsidR="00B84B28">
        <w:t>).</w:t>
      </w:r>
    </w:p>
    <w:p w14:paraId="7F663F91" w14:textId="25BBEE8A" w:rsidR="00571458" w:rsidRPr="0020417B" w:rsidRDefault="00571458" w:rsidP="00F06281">
      <w:pPr>
        <w:pStyle w:val="3-BodyText"/>
        <w:rPr>
          <w:i/>
          <w:iCs/>
          <w:snapToGrid w:val="0"/>
          <w:lang w:val="en-GB"/>
        </w:rPr>
      </w:pPr>
      <w:r w:rsidRPr="00F958D1">
        <w:t xml:space="preserve">The PBAC </w:t>
      </w:r>
      <w:r w:rsidR="00ED16B1">
        <w:t>advis</w:t>
      </w:r>
      <w:r w:rsidRPr="00F958D1">
        <w:t xml:space="preserve">ed </w:t>
      </w:r>
      <w:r w:rsidR="00ED16B1">
        <w:t xml:space="preserve">that </w:t>
      </w:r>
      <w:r w:rsidRPr="00F958D1">
        <w:t xml:space="preserve">it </w:t>
      </w:r>
      <w:r w:rsidR="00ED16B1">
        <w:t>would be</w:t>
      </w:r>
      <w:r w:rsidRPr="00F958D1">
        <w:t xml:space="preserve"> appropriate to align the garadacimab </w:t>
      </w:r>
      <w:r w:rsidR="00E07E6C">
        <w:t>listings with</w:t>
      </w:r>
      <w:r w:rsidRPr="00F958D1">
        <w:t xml:space="preserve"> the existing listings for lanadelumab, noting the need for an additional switching restriction and a grandfather restriction. </w:t>
      </w:r>
      <w:r w:rsidR="00F958D1">
        <w:t xml:space="preserve">The PBAC noted that the submission proposed inclusion of a </w:t>
      </w:r>
      <w:r w:rsidR="00974641">
        <w:t xml:space="preserve">criteria </w:t>
      </w:r>
      <w:r w:rsidR="00F958D1">
        <w:t>requir</w:t>
      </w:r>
      <w:r w:rsidR="00974641">
        <w:t>ing</w:t>
      </w:r>
      <w:r w:rsidR="00F958D1">
        <w:t xml:space="preserve"> a patient to be aged 12 years or older to access garadacimab, </w:t>
      </w:r>
      <w:r w:rsidR="00974641">
        <w:t>but</w:t>
      </w:r>
      <w:r w:rsidR="00F958D1">
        <w:t xml:space="preserve"> </w:t>
      </w:r>
      <w:r w:rsidR="00ED16B1">
        <w:t>advis</w:t>
      </w:r>
      <w:r w:rsidR="00F958D1">
        <w:t xml:space="preserve">ed that </w:t>
      </w:r>
      <w:r w:rsidR="00974641">
        <w:t>it would be appropriate for the listing to be age-agnostic.</w:t>
      </w:r>
    </w:p>
    <w:p w14:paraId="7B7275F1" w14:textId="7363FB32" w:rsidR="0020417B" w:rsidRPr="00F958D1" w:rsidRDefault="0020417B" w:rsidP="00F06281">
      <w:pPr>
        <w:pStyle w:val="3-BodyText"/>
        <w:rPr>
          <w:i/>
          <w:iCs/>
          <w:snapToGrid w:val="0"/>
          <w:lang w:val="en-GB"/>
        </w:rPr>
      </w:pPr>
      <w:r>
        <w:t>The PBAC advised that the initial restriction</w:t>
      </w:r>
      <w:r w:rsidR="006B2500">
        <w:t>s</w:t>
      </w:r>
      <w:r>
        <w:t xml:space="preserve"> </w:t>
      </w:r>
      <w:r w:rsidR="006B2500">
        <w:t xml:space="preserve">(initial and balance of supply restrictions) </w:t>
      </w:r>
      <w:r>
        <w:t>for garadacimab should provide up to six months of treatment (</w:t>
      </w:r>
      <w:r w:rsidR="006B2500">
        <w:t>i</w:t>
      </w:r>
      <w:r>
        <w:t xml:space="preserve">ncluding the loading dose), consistent with the lanadelumab restriction. This would allow </w:t>
      </w:r>
      <w:r w:rsidRPr="0020417B">
        <w:t xml:space="preserve">sufficient </w:t>
      </w:r>
      <w:r>
        <w:t xml:space="preserve">time for a patient </w:t>
      </w:r>
      <w:r w:rsidRPr="0020417B">
        <w:t>to demonstrate an adequate response to treatment</w:t>
      </w:r>
      <w:r>
        <w:t>.</w:t>
      </w:r>
    </w:p>
    <w:p w14:paraId="30E280F9" w14:textId="33E3256C" w:rsidR="00F958D1" w:rsidRPr="00F958D1" w:rsidRDefault="00F958D1" w:rsidP="00F06281">
      <w:pPr>
        <w:pStyle w:val="3-BodyText"/>
        <w:rPr>
          <w:i/>
          <w:iCs/>
          <w:snapToGrid w:val="0"/>
          <w:lang w:val="en-GB"/>
        </w:rPr>
      </w:pPr>
      <w:bookmarkStart w:id="82" w:name="_Hlk183683522"/>
      <w:r w:rsidRPr="00F958D1">
        <w:t xml:space="preserve">The PBAC advised that flow-on changes would be required to the lanadelumab </w:t>
      </w:r>
      <w:r>
        <w:t>restriction</w:t>
      </w:r>
      <w:r w:rsidRPr="00F958D1">
        <w:t xml:space="preserve"> to allow switching from garadacimab to lanadelumab and </w:t>
      </w:r>
      <w:r w:rsidR="00E07E6C">
        <w:t xml:space="preserve">to </w:t>
      </w:r>
      <w:r w:rsidRPr="00F958D1">
        <w:t>prevent combination use with garadacimab.</w:t>
      </w:r>
    </w:p>
    <w:bookmarkEnd w:id="82"/>
    <w:p w14:paraId="19EA9D82" w14:textId="6CA73ABE" w:rsidR="004F0CC7" w:rsidRPr="00F958D1" w:rsidRDefault="004F0CC7" w:rsidP="00F06281">
      <w:pPr>
        <w:pStyle w:val="3-BodyText"/>
        <w:rPr>
          <w:lang w:val="en-GB"/>
        </w:rPr>
      </w:pPr>
      <w:r w:rsidRPr="00F958D1">
        <w:rPr>
          <w:bCs/>
          <w:snapToGrid w:val="0"/>
          <w:lang w:val="en-GB"/>
        </w:rPr>
        <w:t xml:space="preserve">The PBAC recommended that </w:t>
      </w:r>
      <w:r w:rsidR="00FC2143" w:rsidRPr="00F958D1">
        <w:rPr>
          <w:bCs/>
          <w:snapToGrid w:val="0"/>
          <w:lang w:val="en-GB"/>
        </w:rPr>
        <w:t>garadacimab</w:t>
      </w:r>
      <w:r w:rsidR="00A06CBA">
        <w:rPr>
          <w:bCs/>
          <w:snapToGrid w:val="0"/>
          <w:lang w:val="en-GB"/>
        </w:rPr>
        <w:t xml:space="preserve"> and lanadelumab</w:t>
      </w:r>
      <w:r w:rsidR="00D546B4" w:rsidRPr="00F958D1">
        <w:rPr>
          <w:bCs/>
          <w:snapToGrid w:val="0"/>
          <w:lang w:val="en-GB"/>
        </w:rPr>
        <w:t xml:space="preserve"> </w:t>
      </w:r>
      <w:r w:rsidRPr="00F958D1">
        <w:rPr>
          <w:bCs/>
          <w:snapToGrid w:val="0"/>
          <w:lang w:val="en-GB"/>
        </w:rPr>
        <w:t>should be treated as interchangeable</w:t>
      </w:r>
      <w:r w:rsidR="00A06CBA">
        <w:rPr>
          <w:bCs/>
          <w:snapToGrid w:val="0"/>
          <w:lang w:val="en-GB"/>
        </w:rPr>
        <w:t xml:space="preserve">, according to s101(3BA) advice. </w:t>
      </w:r>
    </w:p>
    <w:p w14:paraId="5336C35B" w14:textId="42F6B49B" w:rsidR="004F0CC7" w:rsidRPr="00F958D1" w:rsidRDefault="004F0CC7" w:rsidP="00F06281">
      <w:pPr>
        <w:pStyle w:val="3-BodyText"/>
        <w:rPr>
          <w:bCs/>
          <w:snapToGrid w:val="0"/>
          <w:lang w:val="en-GB"/>
        </w:rPr>
      </w:pPr>
      <w:r w:rsidRPr="00F958D1">
        <w:rPr>
          <w:bCs/>
          <w:snapToGrid w:val="0"/>
          <w:lang w:val="en-GB"/>
        </w:rPr>
        <w:t xml:space="preserve">The PBAC advised that </w:t>
      </w:r>
      <w:r w:rsidR="00100FD6" w:rsidRPr="00F958D1">
        <w:rPr>
          <w:bCs/>
          <w:snapToGrid w:val="0"/>
          <w:lang w:val="en-GB"/>
        </w:rPr>
        <w:t>garadacimab</w:t>
      </w:r>
      <w:r w:rsidRPr="00F958D1">
        <w:rPr>
          <w:bCs/>
          <w:snapToGrid w:val="0"/>
          <w:lang w:val="en-GB"/>
        </w:rPr>
        <w:t xml:space="preserve"> is not suitable for prescribing by nurse practitioners. </w:t>
      </w:r>
    </w:p>
    <w:p w14:paraId="1AB23EF3" w14:textId="768C16A9" w:rsidR="00F958D1" w:rsidRPr="00F958D1" w:rsidRDefault="00F958D1" w:rsidP="00F06281">
      <w:pPr>
        <w:pStyle w:val="3-BodyText"/>
        <w:rPr>
          <w:bCs/>
          <w:snapToGrid w:val="0"/>
          <w:lang w:val="en-GB"/>
        </w:rPr>
      </w:pPr>
      <w:r w:rsidRPr="00F958D1">
        <w:rPr>
          <w:rFonts w:eastAsia="Times New Roman" w:cs="Arial"/>
          <w:bCs/>
          <w:snapToGrid w:val="0"/>
          <w:szCs w:val="24"/>
          <w:lang w:val="en-GB"/>
        </w:rPr>
        <w:t xml:space="preserve">The PBAC advised that garadacimab should not be exempt from the Early Supply Rule as it currently applies to lanadelumab. </w:t>
      </w:r>
    </w:p>
    <w:p w14:paraId="06392048" w14:textId="4BD0D7D2" w:rsidR="004F0CC7" w:rsidRPr="00383EAA" w:rsidRDefault="004F0CC7" w:rsidP="00F06281">
      <w:pPr>
        <w:pStyle w:val="3-BodyText"/>
      </w:pPr>
      <w:r w:rsidRPr="00383EAA">
        <w:rPr>
          <w:lang w:val="en-GB"/>
        </w:rPr>
        <w:t xml:space="preserve">The PBAC noted that its recommendation was on a cost-minimisation basis and advised that, because </w:t>
      </w:r>
      <w:r w:rsidR="00383EAA" w:rsidRPr="00383EAA">
        <w:rPr>
          <w:lang w:val="en-GB"/>
        </w:rPr>
        <w:t xml:space="preserve">garadacimab </w:t>
      </w:r>
      <w:r w:rsidRPr="00383EAA">
        <w:rPr>
          <w:lang w:val="en-GB"/>
        </w:rPr>
        <w:t>is not expected to provide a substantial</w:t>
      </w:r>
      <w:r w:rsidRPr="00383EAA">
        <w:rPr>
          <w:bCs/>
          <w:lang w:val="en-GB"/>
        </w:rPr>
        <w:t xml:space="preserve"> and clinically relevant improvement in efficacy, or reduction of toxicity, over </w:t>
      </w:r>
      <w:r w:rsidR="00383EAA" w:rsidRPr="00383EAA">
        <w:rPr>
          <w:bCs/>
          <w:lang w:val="en-GB"/>
        </w:rPr>
        <w:t>lanadelumab</w:t>
      </w:r>
      <w:r w:rsidRPr="00383EAA">
        <w:rPr>
          <w:bCs/>
          <w:lang w:val="en-GB"/>
        </w:rPr>
        <w:t xml:space="preserve">, or not expected to address a high and urgent unmet clinical need given the presence of an alternative therapy, the criteria prescribed by the </w:t>
      </w:r>
      <w:r w:rsidRPr="00F958D1">
        <w:rPr>
          <w:bCs/>
          <w:i/>
          <w:iCs/>
          <w:lang w:val="en-GB"/>
        </w:rPr>
        <w:t>National Health (Pharmaceuticals and Vaccines – Cost Recovery) Regulations 2022</w:t>
      </w:r>
      <w:r w:rsidRPr="00383EAA">
        <w:rPr>
          <w:bCs/>
          <w:lang w:val="en-GB"/>
        </w:rPr>
        <w:t xml:space="preserve"> for Pricing Pathway A were not met.</w:t>
      </w:r>
    </w:p>
    <w:p w14:paraId="1FBB7AB7" w14:textId="25F47BF7" w:rsidR="00383EAA" w:rsidRPr="00383EAA" w:rsidRDefault="004F0CC7" w:rsidP="00F06281">
      <w:pPr>
        <w:pStyle w:val="3-BodyText"/>
        <w:rPr>
          <w:snapToGrid w:val="0"/>
        </w:rPr>
      </w:pPr>
      <w:r w:rsidRPr="00383EAA">
        <w:rPr>
          <w:snapToGrid w:val="0"/>
          <w:lang w:val="en-GB"/>
        </w:rPr>
        <w:lastRenderedPageBreak/>
        <w:t>The PBAC noted that this submission is not eligible for an Independent Review</w:t>
      </w:r>
      <w:r w:rsidR="00383EAA" w:rsidRPr="00383EAA">
        <w:rPr>
          <w:snapToGrid w:val="0"/>
          <w:lang w:val="en-GB"/>
        </w:rPr>
        <w:t xml:space="preserve"> </w:t>
      </w:r>
      <w:r w:rsidR="00383EAA" w:rsidRPr="00383EAA">
        <w:rPr>
          <w:snapToGrid w:val="0"/>
        </w:rPr>
        <w:t xml:space="preserve">as it received a positive recommendation. </w:t>
      </w:r>
    </w:p>
    <w:p w14:paraId="11FF92DD" w14:textId="77777777" w:rsidR="004F0CC7" w:rsidRPr="00383EAA" w:rsidRDefault="004F0CC7" w:rsidP="00F81DFA">
      <w:pPr>
        <w:keepNext/>
        <w:spacing w:before="120"/>
        <w:rPr>
          <w:rFonts w:asciiTheme="minorHAnsi" w:hAnsiTheme="minorHAnsi"/>
          <w:b/>
          <w:bCs/>
          <w:snapToGrid w:val="0"/>
          <w:lang w:val="en-GB"/>
        </w:rPr>
      </w:pPr>
      <w:r w:rsidRPr="00383EAA">
        <w:rPr>
          <w:rFonts w:asciiTheme="minorHAnsi" w:hAnsiTheme="minorHAnsi"/>
          <w:b/>
          <w:bCs/>
          <w:snapToGrid w:val="0"/>
          <w:lang w:val="en-GB"/>
        </w:rPr>
        <w:t>Outcome:</w:t>
      </w:r>
    </w:p>
    <w:p w14:paraId="16510168" w14:textId="13131EC6" w:rsidR="00E42953" w:rsidRPr="00E42953" w:rsidRDefault="004F0CC7" w:rsidP="00F81DFA">
      <w:pPr>
        <w:pStyle w:val="3-BodyText"/>
        <w:numPr>
          <w:ilvl w:val="0"/>
          <w:numId w:val="0"/>
        </w:numPr>
        <w:ind w:left="720" w:hanging="720"/>
      </w:pPr>
      <w:r w:rsidRPr="00F81DFA">
        <w:rPr>
          <w:rStyle w:val="3-BodyTextChar"/>
        </w:rPr>
        <w:t>Recommended</w:t>
      </w:r>
      <w:r w:rsidRPr="00383EAA">
        <w:rPr>
          <w:bCs/>
          <w:lang w:val="en-GB"/>
        </w:rPr>
        <w:t xml:space="preserve"> </w:t>
      </w:r>
      <w:bookmarkEnd w:id="78"/>
    </w:p>
    <w:p w14:paraId="2FAD2DC8" w14:textId="28D1DE7C" w:rsidR="004F0CC7" w:rsidRPr="00C76F03" w:rsidRDefault="004F0CC7" w:rsidP="004F0CC7">
      <w:pPr>
        <w:pStyle w:val="2-SectionHeading"/>
        <w:numPr>
          <w:ilvl w:val="0"/>
          <w:numId w:val="1"/>
        </w:numPr>
      </w:pPr>
      <w:r w:rsidRPr="00C76F03">
        <w:t>Recommended listing</w:t>
      </w:r>
    </w:p>
    <w:p w14:paraId="60C03185" w14:textId="77777777" w:rsidR="00383EAA" w:rsidRPr="00C76F03" w:rsidRDefault="00383EAA" w:rsidP="00F06281">
      <w:pPr>
        <w:pStyle w:val="3-BodyText"/>
        <w:rPr>
          <w:snapToGrid w:val="0"/>
        </w:rPr>
      </w:pPr>
      <w:r w:rsidRPr="00C76F03">
        <w:rPr>
          <w:snapToGrid w:val="0"/>
        </w:rPr>
        <w:t>Add new item:</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383EAA" w:rsidRPr="00C76F03" w14:paraId="61641F52" w14:textId="77777777" w:rsidTr="00AE3496">
        <w:trPr>
          <w:cantSplit/>
          <w:trHeight w:val="471"/>
        </w:trPr>
        <w:tc>
          <w:tcPr>
            <w:tcW w:w="2689" w:type="dxa"/>
          </w:tcPr>
          <w:p w14:paraId="0C011FC6" w14:textId="77777777" w:rsidR="00383EAA" w:rsidRPr="00C76F03" w:rsidRDefault="00383EAA" w:rsidP="00AE3496">
            <w:pPr>
              <w:keepNext/>
              <w:ind w:left="-108"/>
              <w:rPr>
                <w:rFonts w:ascii="Arial Narrow" w:hAnsi="Arial Narrow"/>
                <w:b/>
                <w:sz w:val="20"/>
                <w:szCs w:val="20"/>
              </w:rPr>
            </w:pPr>
            <w:r w:rsidRPr="00C76F03">
              <w:rPr>
                <w:rFonts w:ascii="Arial Narrow" w:hAnsi="Arial Narrow"/>
                <w:b/>
                <w:sz w:val="20"/>
                <w:szCs w:val="20"/>
              </w:rPr>
              <w:t>Name, Restriction,</w:t>
            </w:r>
          </w:p>
          <w:p w14:paraId="222CA6E7" w14:textId="77777777" w:rsidR="00383EAA" w:rsidRPr="00C76F03" w:rsidRDefault="00383EAA" w:rsidP="00AE3496">
            <w:pPr>
              <w:keepNext/>
              <w:ind w:left="-108"/>
              <w:rPr>
                <w:rFonts w:ascii="Arial Narrow" w:hAnsi="Arial Narrow"/>
                <w:b/>
                <w:sz w:val="20"/>
                <w:szCs w:val="20"/>
              </w:rPr>
            </w:pPr>
            <w:r w:rsidRPr="00C76F03">
              <w:rPr>
                <w:rFonts w:ascii="Arial Narrow" w:hAnsi="Arial Narrow"/>
                <w:b/>
                <w:sz w:val="20"/>
                <w:szCs w:val="20"/>
              </w:rPr>
              <w:t>Manner of administration and form</w:t>
            </w:r>
          </w:p>
        </w:tc>
        <w:tc>
          <w:tcPr>
            <w:tcW w:w="1275" w:type="dxa"/>
          </w:tcPr>
          <w:p w14:paraId="260BB9B2" w14:textId="77777777" w:rsidR="00383EAA" w:rsidRPr="00C76F03" w:rsidRDefault="00383EAA" w:rsidP="00AE3496">
            <w:pPr>
              <w:keepNext/>
              <w:ind w:left="-108"/>
              <w:jc w:val="center"/>
              <w:rPr>
                <w:rFonts w:ascii="Arial Narrow" w:hAnsi="Arial Narrow"/>
                <w:b/>
                <w:sz w:val="20"/>
                <w:szCs w:val="20"/>
              </w:rPr>
            </w:pPr>
            <w:r w:rsidRPr="00C76F03">
              <w:rPr>
                <w:rFonts w:ascii="Arial Narrow" w:hAnsi="Arial Narrow"/>
                <w:b/>
                <w:sz w:val="20"/>
                <w:szCs w:val="20"/>
              </w:rPr>
              <w:t>PBS item code</w:t>
            </w:r>
          </w:p>
        </w:tc>
        <w:tc>
          <w:tcPr>
            <w:tcW w:w="851" w:type="dxa"/>
          </w:tcPr>
          <w:p w14:paraId="2ADFA9F9" w14:textId="77777777" w:rsidR="00383EAA" w:rsidRPr="00C76F03" w:rsidRDefault="00383EAA" w:rsidP="00AE3496">
            <w:pPr>
              <w:keepNext/>
              <w:ind w:left="-108"/>
              <w:jc w:val="center"/>
              <w:rPr>
                <w:rFonts w:ascii="Arial Narrow" w:hAnsi="Arial Narrow"/>
                <w:b/>
                <w:sz w:val="20"/>
                <w:szCs w:val="20"/>
              </w:rPr>
            </w:pPr>
            <w:r w:rsidRPr="00C76F03">
              <w:rPr>
                <w:rFonts w:ascii="Arial Narrow" w:hAnsi="Arial Narrow"/>
                <w:b/>
                <w:sz w:val="20"/>
                <w:szCs w:val="20"/>
              </w:rPr>
              <w:t>Max. qty packs</w:t>
            </w:r>
          </w:p>
        </w:tc>
        <w:tc>
          <w:tcPr>
            <w:tcW w:w="850" w:type="dxa"/>
          </w:tcPr>
          <w:p w14:paraId="618873CC" w14:textId="77777777" w:rsidR="00383EAA" w:rsidRPr="00C76F03" w:rsidRDefault="00383EAA" w:rsidP="00AE3496">
            <w:pPr>
              <w:keepNext/>
              <w:ind w:left="-108"/>
              <w:jc w:val="center"/>
              <w:rPr>
                <w:rFonts w:ascii="Arial Narrow" w:hAnsi="Arial Narrow"/>
                <w:b/>
                <w:sz w:val="20"/>
                <w:szCs w:val="20"/>
              </w:rPr>
            </w:pPr>
            <w:r w:rsidRPr="00C76F03">
              <w:rPr>
                <w:rFonts w:ascii="Arial Narrow" w:hAnsi="Arial Narrow"/>
                <w:b/>
                <w:sz w:val="20"/>
                <w:szCs w:val="20"/>
              </w:rPr>
              <w:t>Max. qty units</w:t>
            </w:r>
          </w:p>
        </w:tc>
        <w:tc>
          <w:tcPr>
            <w:tcW w:w="709" w:type="dxa"/>
          </w:tcPr>
          <w:p w14:paraId="4ACF37BE" w14:textId="77777777" w:rsidR="00383EAA" w:rsidRPr="00C76F03" w:rsidRDefault="00383EAA" w:rsidP="00AE3496">
            <w:pPr>
              <w:keepNext/>
              <w:ind w:left="-108"/>
              <w:jc w:val="center"/>
              <w:rPr>
                <w:rFonts w:ascii="Arial Narrow" w:hAnsi="Arial Narrow"/>
                <w:b/>
                <w:sz w:val="20"/>
                <w:szCs w:val="20"/>
              </w:rPr>
            </w:pPr>
            <w:r w:rsidRPr="00C76F03">
              <w:rPr>
                <w:rFonts w:ascii="Arial Narrow" w:hAnsi="Arial Narrow"/>
                <w:b/>
                <w:sz w:val="20"/>
                <w:szCs w:val="20"/>
              </w:rPr>
              <w:t>№.of</w:t>
            </w:r>
          </w:p>
          <w:p w14:paraId="0A9A5DAD" w14:textId="77777777" w:rsidR="00383EAA" w:rsidRPr="00C76F03" w:rsidRDefault="00383EAA" w:rsidP="00AE3496">
            <w:pPr>
              <w:keepNext/>
              <w:ind w:left="-108"/>
              <w:jc w:val="center"/>
              <w:rPr>
                <w:rFonts w:ascii="Arial Narrow" w:hAnsi="Arial Narrow"/>
                <w:b/>
                <w:sz w:val="20"/>
                <w:szCs w:val="20"/>
              </w:rPr>
            </w:pPr>
            <w:r w:rsidRPr="00C76F03">
              <w:rPr>
                <w:rFonts w:ascii="Arial Narrow" w:hAnsi="Arial Narrow"/>
                <w:b/>
                <w:sz w:val="20"/>
                <w:szCs w:val="20"/>
              </w:rPr>
              <w:t>Rpts</w:t>
            </w:r>
          </w:p>
        </w:tc>
        <w:tc>
          <w:tcPr>
            <w:tcW w:w="2551" w:type="dxa"/>
            <w:gridSpan w:val="2"/>
          </w:tcPr>
          <w:p w14:paraId="5F086DAB" w14:textId="77777777" w:rsidR="00383EAA" w:rsidRPr="00C76F03" w:rsidRDefault="00383EAA" w:rsidP="00AE3496">
            <w:pPr>
              <w:keepNext/>
              <w:rPr>
                <w:rFonts w:ascii="Arial Narrow" w:hAnsi="Arial Narrow"/>
                <w:b/>
                <w:sz w:val="20"/>
                <w:szCs w:val="20"/>
                <w:lang w:val="fr-FR"/>
              </w:rPr>
            </w:pPr>
            <w:r w:rsidRPr="00C76F03">
              <w:rPr>
                <w:rFonts w:ascii="Arial Narrow" w:hAnsi="Arial Narrow"/>
                <w:b/>
                <w:sz w:val="20"/>
                <w:szCs w:val="20"/>
              </w:rPr>
              <w:t>Proprietary Name and Manufacturer</w:t>
            </w:r>
          </w:p>
        </w:tc>
      </w:tr>
      <w:tr w:rsidR="00383EAA" w:rsidRPr="00C76F03" w14:paraId="4D04E512" w14:textId="77777777" w:rsidTr="00AE3496">
        <w:trPr>
          <w:cantSplit/>
          <w:trHeight w:val="761"/>
        </w:trPr>
        <w:tc>
          <w:tcPr>
            <w:tcW w:w="2689" w:type="dxa"/>
          </w:tcPr>
          <w:p w14:paraId="591283B3" w14:textId="77777777" w:rsidR="00383EAA" w:rsidRPr="00C76F03" w:rsidRDefault="00383EAA" w:rsidP="00AE3496">
            <w:pPr>
              <w:keepNext/>
              <w:ind w:left="-108"/>
              <w:rPr>
                <w:rFonts w:ascii="Arial Narrow" w:hAnsi="Arial Narrow"/>
                <w:sz w:val="20"/>
                <w:szCs w:val="20"/>
              </w:rPr>
            </w:pPr>
            <w:r w:rsidRPr="00C76F03">
              <w:rPr>
                <w:rFonts w:ascii="Arial Narrow" w:hAnsi="Arial Narrow"/>
                <w:sz w:val="20"/>
                <w:szCs w:val="20"/>
              </w:rPr>
              <w:t>GARADACIMAB</w:t>
            </w:r>
          </w:p>
          <w:p w14:paraId="36534DFC" w14:textId="77777777" w:rsidR="00383EAA" w:rsidRPr="00C76F03" w:rsidRDefault="00383EAA" w:rsidP="00AE3496">
            <w:pPr>
              <w:keepNext/>
              <w:ind w:left="-108"/>
              <w:rPr>
                <w:rFonts w:ascii="Arial Narrow" w:hAnsi="Arial Narrow"/>
                <w:sz w:val="20"/>
                <w:szCs w:val="20"/>
              </w:rPr>
            </w:pPr>
          </w:p>
          <w:p w14:paraId="34E37BDD" w14:textId="77777777" w:rsidR="00383EAA" w:rsidRPr="00C76F03" w:rsidRDefault="00383EAA" w:rsidP="00AE3496">
            <w:pPr>
              <w:keepNext/>
              <w:ind w:left="-108"/>
              <w:rPr>
                <w:rFonts w:ascii="Arial Narrow" w:hAnsi="Arial Narrow"/>
                <w:sz w:val="20"/>
                <w:szCs w:val="20"/>
              </w:rPr>
            </w:pPr>
            <w:r w:rsidRPr="00C76F03">
              <w:rPr>
                <w:rFonts w:ascii="Arial Narrow" w:hAnsi="Arial Narrow"/>
                <w:sz w:val="20"/>
                <w:szCs w:val="20"/>
              </w:rPr>
              <w:t>garadacimab 200 mg/1.2 mL injection, 1.2 mL pen device</w:t>
            </w:r>
          </w:p>
        </w:tc>
        <w:tc>
          <w:tcPr>
            <w:tcW w:w="1275" w:type="dxa"/>
          </w:tcPr>
          <w:p w14:paraId="1613936C" w14:textId="77777777" w:rsidR="00383EAA" w:rsidRPr="00C76F03" w:rsidRDefault="00383EAA" w:rsidP="00AE3496">
            <w:pPr>
              <w:keepNext/>
              <w:ind w:left="-108"/>
              <w:jc w:val="center"/>
              <w:rPr>
                <w:rFonts w:ascii="Arial Narrow" w:hAnsi="Arial Narrow"/>
                <w:sz w:val="20"/>
                <w:szCs w:val="20"/>
              </w:rPr>
            </w:pPr>
          </w:p>
          <w:p w14:paraId="080B4A50" w14:textId="77777777" w:rsidR="00383EAA" w:rsidRPr="00C76F03" w:rsidRDefault="00383EAA" w:rsidP="00AE3496">
            <w:pPr>
              <w:keepNext/>
              <w:ind w:left="-108"/>
              <w:jc w:val="center"/>
              <w:rPr>
                <w:rFonts w:ascii="Arial Narrow" w:hAnsi="Arial Narrow"/>
                <w:sz w:val="20"/>
                <w:szCs w:val="20"/>
              </w:rPr>
            </w:pPr>
          </w:p>
          <w:p w14:paraId="342E9BC1" w14:textId="77777777" w:rsidR="00383EAA" w:rsidRPr="00C76F03" w:rsidRDefault="00383EAA" w:rsidP="00AE3496">
            <w:pPr>
              <w:keepNext/>
              <w:ind w:left="-108"/>
              <w:jc w:val="center"/>
              <w:rPr>
                <w:rFonts w:ascii="Arial Narrow" w:hAnsi="Arial Narrow"/>
                <w:sz w:val="20"/>
                <w:szCs w:val="20"/>
              </w:rPr>
            </w:pPr>
            <w:r w:rsidRPr="00C76F03">
              <w:rPr>
                <w:rFonts w:ascii="Arial Narrow" w:hAnsi="Arial Narrow"/>
                <w:sz w:val="20"/>
                <w:szCs w:val="20"/>
              </w:rPr>
              <w:t>NEW</w:t>
            </w:r>
          </w:p>
        </w:tc>
        <w:tc>
          <w:tcPr>
            <w:tcW w:w="851" w:type="dxa"/>
          </w:tcPr>
          <w:p w14:paraId="7B1A19E5" w14:textId="77777777" w:rsidR="00383EAA" w:rsidRPr="00C76F03" w:rsidRDefault="00383EAA" w:rsidP="00AE3496">
            <w:pPr>
              <w:keepNext/>
              <w:jc w:val="center"/>
              <w:rPr>
                <w:rFonts w:ascii="Arial Narrow" w:hAnsi="Arial Narrow"/>
                <w:sz w:val="20"/>
                <w:szCs w:val="20"/>
              </w:rPr>
            </w:pPr>
          </w:p>
          <w:p w14:paraId="33605DC7" w14:textId="77777777" w:rsidR="00383EAA" w:rsidRPr="00C76F03" w:rsidRDefault="00383EAA" w:rsidP="00AE3496">
            <w:pPr>
              <w:keepNext/>
              <w:ind w:left="-108"/>
              <w:jc w:val="center"/>
              <w:rPr>
                <w:rFonts w:ascii="Arial Narrow" w:hAnsi="Arial Narrow"/>
                <w:sz w:val="20"/>
                <w:szCs w:val="20"/>
              </w:rPr>
            </w:pPr>
          </w:p>
          <w:p w14:paraId="12FA713D" w14:textId="77777777" w:rsidR="00383EAA" w:rsidRPr="00C76F03" w:rsidRDefault="00383EAA" w:rsidP="00AE3496">
            <w:pPr>
              <w:keepNext/>
              <w:jc w:val="center"/>
              <w:rPr>
                <w:rFonts w:ascii="Arial Narrow" w:hAnsi="Arial Narrow"/>
                <w:sz w:val="20"/>
                <w:szCs w:val="20"/>
              </w:rPr>
            </w:pPr>
            <w:r w:rsidRPr="00C76F03">
              <w:rPr>
                <w:rFonts w:ascii="Arial Narrow" w:hAnsi="Arial Narrow"/>
                <w:sz w:val="20"/>
                <w:szCs w:val="20"/>
              </w:rPr>
              <w:t>2</w:t>
            </w:r>
          </w:p>
        </w:tc>
        <w:tc>
          <w:tcPr>
            <w:tcW w:w="850" w:type="dxa"/>
          </w:tcPr>
          <w:p w14:paraId="2CD6F1C0" w14:textId="77777777" w:rsidR="00383EAA" w:rsidRPr="00C76F03" w:rsidRDefault="00383EAA" w:rsidP="00AE3496">
            <w:pPr>
              <w:keepNext/>
              <w:ind w:left="-108"/>
              <w:jc w:val="center"/>
              <w:rPr>
                <w:rFonts w:ascii="Arial Narrow" w:hAnsi="Arial Narrow"/>
                <w:sz w:val="20"/>
                <w:szCs w:val="20"/>
              </w:rPr>
            </w:pPr>
          </w:p>
          <w:p w14:paraId="4D051C41" w14:textId="77777777" w:rsidR="00383EAA" w:rsidRPr="00C76F03" w:rsidRDefault="00383EAA" w:rsidP="00AE3496">
            <w:pPr>
              <w:keepNext/>
              <w:rPr>
                <w:rFonts w:ascii="Arial Narrow" w:hAnsi="Arial Narrow"/>
                <w:sz w:val="20"/>
                <w:szCs w:val="20"/>
              </w:rPr>
            </w:pPr>
          </w:p>
          <w:p w14:paraId="5819CAB8" w14:textId="77777777" w:rsidR="00383EAA" w:rsidRPr="00C76F03" w:rsidRDefault="00383EAA" w:rsidP="00AE3496">
            <w:pPr>
              <w:keepNext/>
              <w:ind w:left="-108"/>
              <w:jc w:val="center"/>
              <w:rPr>
                <w:rFonts w:ascii="Arial Narrow" w:hAnsi="Arial Narrow"/>
                <w:sz w:val="20"/>
                <w:szCs w:val="20"/>
              </w:rPr>
            </w:pPr>
            <w:r w:rsidRPr="00C76F03">
              <w:rPr>
                <w:rFonts w:ascii="Arial Narrow" w:hAnsi="Arial Narrow"/>
                <w:sz w:val="20"/>
                <w:szCs w:val="20"/>
              </w:rPr>
              <w:t>2</w:t>
            </w:r>
          </w:p>
        </w:tc>
        <w:tc>
          <w:tcPr>
            <w:tcW w:w="709" w:type="dxa"/>
          </w:tcPr>
          <w:p w14:paraId="7082DE44" w14:textId="77777777" w:rsidR="00383EAA" w:rsidRPr="00C76F03" w:rsidRDefault="00383EAA" w:rsidP="00AE3496">
            <w:pPr>
              <w:keepNext/>
              <w:ind w:left="-108"/>
              <w:jc w:val="center"/>
              <w:rPr>
                <w:rFonts w:ascii="Arial Narrow" w:hAnsi="Arial Narrow"/>
                <w:sz w:val="20"/>
                <w:szCs w:val="20"/>
              </w:rPr>
            </w:pPr>
          </w:p>
          <w:p w14:paraId="6795C658" w14:textId="77777777" w:rsidR="00383EAA" w:rsidRPr="00C76F03" w:rsidRDefault="00383EAA" w:rsidP="00AE3496">
            <w:pPr>
              <w:keepNext/>
              <w:ind w:left="-108"/>
              <w:jc w:val="center"/>
              <w:rPr>
                <w:rFonts w:ascii="Arial Narrow" w:hAnsi="Arial Narrow"/>
                <w:sz w:val="20"/>
                <w:szCs w:val="20"/>
              </w:rPr>
            </w:pPr>
          </w:p>
          <w:p w14:paraId="77E710AE" w14:textId="77777777" w:rsidR="00383EAA" w:rsidRPr="00C76F03" w:rsidRDefault="00383EAA" w:rsidP="00AE3496">
            <w:pPr>
              <w:keepNext/>
              <w:ind w:left="-108"/>
              <w:jc w:val="center"/>
              <w:rPr>
                <w:rFonts w:ascii="Arial Narrow" w:hAnsi="Arial Narrow"/>
                <w:sz w:val="20"/>
                <w:szCs w:val="20"/>
              </w:rPr>
            </w:pPr>
            <w:r w:rsidRPr="00C76F03">
              <w:rPr>
                <w:rFonts w:ascii="Arial Narrow" w:hAnsi="Arial Narrow"/>
                <w:sz w:val="20"/>
                <w:szCs w:val="20"/>
              </w:rPr>
              <w:t>0</w:t>
            </w:r>
          </w:p>
          <w:p w14:paraId="7677E6EF" w14:textId="77777777" w:rsidR="00383EAA" w:rsidRPr="00C76F03" w:rsidRDefault="00383EAA" w:rsidP="00AE3496">
            <w:pPr>
              <w:keepNext/>
              <w:rPr>
                <w:rFonts w:ascii="Arial Narrow" w:hAnsi="Arial Narrow"/>
                <w:sz w:val="20"/>
                <w:szCs w:val="20"/>
              </w:rPr>
            </w:pPr>
          </w:p>
        </w:tc>
        <w:tc>
          <w:tcPr>
            <w:tcW w:w="1134" w:type="dxa"/>
          </w:tcPr>
          <w:p w14:paraId="70E34540" w14:textId="77777777" w:rsidR="00383EAA" w:rsidRPr="00C76F03" w:rsidRDefault="00383EAA" w:rsidP="00AE3496">
            <w:pPr>
              <w:keepNext/>
              <w:rPr>
                <w:rFonts w:ascii="Arial Narrow" w:hAnsi="Arial Narrow"/>
                <w:sz w:val="20"/>
                <w:szCs w:val="20"/>
              </w:rPr>
            </w:pPr>
          </w:p>
          <w:p w14:paraId="59E48DC7" w14:textId="77777777" w:rsidR="00383EAA" w:rsidRPr="00C76F03" w:rsidRDefault="00383EAA" w:rsidP="00AE3496">
            <w:pPr>
              <w:keepNext/>
              <w:rPr>
                <w:rFonts w:ascii="Arial Narrow" w:hAnsi="Arial Narrow"/>
                <w:sz w:val="20"/>
                <w:szCs w:val="20"/>
              </w:rPr>
            </w:pPr>
          </w:p>
          <w:p w14:paraId="301FE9EE" w14:textId="77777777" w:rsidR="00383EAA" w:rsidRPr="00C76F03" w:rsidRDefault="00383EAA" w:rsidP="00AE3496">
            <w:pPr>
              <w:keepNext/>
              <w:rPr>
                <w:rFonts w:ascii="Arial Narrow" w:hAnsi="Arial Narrow"/>
                <w:sz w:val="20"/>
                <w:szCs w:val="20"/>
              </w:rPr>
            </w:pPr>
            <w:r w:rsidRPr="00C76F03">
              <w:rPr>
                <w:rFonts w:ascii="Arial Narrow" w:hAnsi="Arial Narrow"/>
                <w:sz w:val="20"/>
                <w:szCs w:val="20"/>
              </w:rPr>
              <w:t>ANDEMBRY</w:t>
            </w:r>
          </w:p>
        </w:tc>
        <w:tc>
          <w:tcPr>
            <w:tcW w:w="1417" w:type="dxa"/>
          </w:tcPr>
          <w:p w14:paraId="535E12BF" w14:textId="77777777" w:rsidR="00383EAA" w:rsidRPr="00C76F03" w:rsidRDefault="00383EAA" w:rsidP="00AE3496">
            <w:pPr>
              <w:keepNext/>
              <w:rPr>
                <w:rFonts w:ascii="Arial Narrow" w:hAnsi="Arial Narrow"/>
                <w:sz w:val="20"/>
                <w:szCs w:val="20"/>
              </w:rPr>
            </w:pPr>
          </w:p>
          <w:p w14:paraId="5B020792" w14:textId="77777777" w:rsidR="00383EAA" w:rsidRPr="00C76F03" w:rsidRDefault="00383EAA" w:rsidP="00AE3496">
            <w:pPr>
              <w:keepNext/>
              <w:rPr>
                <w:rFonts w:ascii="Arial Narrow" w:hAnsi="Arial Narrow"/>
                <w:sz w:val="20"/>
                <w:szCs w:val="20"/>
              </w:rPr>
            </w:pPr>
          </w:p>
          <w:p w14:paraId="77E9523D" w14:textId="77777777" w:rsidR="00383EAA" w:rsidRPr="00C76F03" w:rsidRDefault="00383EAA" w:rsidP="00AE3496">
            <w:pPr>
              <w:keepNext/>
              <w:rPr>
                <w:rFonts w:ascii="Arial Narrow" w:hAnsi="Arial Narrow"/>
                <w:sz w:val="20"/>
                <w:szCs w:val="20"/>
              </w:rPr>
            </w:pPr>
            <w:r w:rsidRPr="00C76F03">
              <w:rPr>
                <w:rFonts w:ascii="Arial Narrow" w:hAnsi="Arial Narrow"/>
                <w:sz w:val="20"/>
                <w:szCs w:val="20"/>
              </w:rPr>
              <w:t>CSL Behring (Australia) Pty Ltd</w:t>
            </w:r>
          </w:p>
        </w:tc>
      </w:tr>
    </w:tbl>
    <w:p w14:paraId="3C182593" w14:textId="77777777" w:rsidR="00F61314" w:rsidRPr="002D486D" w:rsidRDefault="00F61314" w:rsidP="00383EAA">
      <w:pPr>
        <w:rPr>
          <w:sz w:val="20"/>
          <w:szCs w:val="20"/>
        </w:rPr>
      </w:pPr>
    </w:p>
    <w:p w14:paraId="30F8F253" w14:textId="40953833" w:rsidR="00383EAA" w:rsidRDefault="00383EAA" w:rsidP="00F06281">
      <w:pPr>
        <w:rPr>
          <w:rFonts w:ascii="Arial Narrow" w:hAnsi="Arial Narrow"/>
          <w:b/>
          <w:sz w:val="20"/>
          <w:szCs w:val="20"/>
          <w:lang w:val="en-GB"/>
        </w:rPr>
      </w:pPr>
      <w:r w:rsidRPr="002D486D">
        <w:rPr>
          <w:rFonts w:ascii="Arial Narrow" w:hAnsi="Arial Narrow"/>
          <w:b/>
          <w:sz w:val="20"/>
          <w:szCs w:val="20"/>
          <w:lang w:val="en-GB"/>
        </w:rPr>
        <w:t>Restriction Summary: Based on 12464 / Treatment of Concept: 12464 (additional initial (switch) restriction</w:t>
      </w:r>
      <w:r w:rsidR="00F61314">
        <w:rPr>
          <w:rFonts w:ascii="Arial Narrow" w:hAnsi="Arial Narrow"/>
          <w:b/>
          <w:sz w:val="20"/>
          <w:szCs w:val="20"/>
          <w:lang w:val="en-GB"/>
        </w:rPr>
        <w:t>, balance of supply,</w:t>
      </w:r>
      <w:r w:rsidRPr="002D486D">
        <w:rPr>
          <w:rFonts w:ascii="Arial Narrow" w:hAnsi="Arial Narrow"/>
          <w:b/>
          <w:sz w:val="20"/>
          <w:szCs w:val="20"/>
          <w:lang w:val="en-GB"/>
        </w:rPr>
        <w:t xml:space="preserve"> Grandfather and continuing restrictions separate due to loading dose for initiation).</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383EAA" w:rsidRPr="002D486D" w14:paraId="4FA40F28" w14:textId="77777777" w:rsidTr="004F678D">
        <w:trPr>
          <w:trHeight w:val="20"/>
        </w:trPr>
        <w:tc>
          <w:tcPr>
            <w:tcW w:w="553" w:type="pct"/>
            <w:tcBorders>
              <w:top w:val="single" w:sz="4" w:space="0" w:color="auto"/>
              <w:left w:val="single" w:sz="4" w:space="0" w:color="auto"/>
              <w:bottom w:val="single" w:sz="4" w:space="0" w:color="auto"/>
              <w:right w:val="single" w:sz="4" w:space="0" w:color="auto"/>
            </w:tcBorders>
          </w:tcPr>
          <w:p w14:paraId="59751C2A" w14:textId="5084A8E4" w:rsidR="00383EAA" w:rsidRPr="002D486D" w:rsidRDefault="00383EAA" w:rsidP="00F06281">
            <w:pPr>
              <w:jc w:val="center"/>
              <w:rPr>
                <w:rFonts w:ascii="Arial Narrow" w:hAnsi="Arial Narrow"/>
                <w:b/>
                <w:sz w:val="20"/>
                <w:szCs w:val="20"/>
              </w:rPr>
            </w:pPr>
          </w:p>
        </w:tc>
        <w:tc>
          <w:tcPr>
            <w:tcW w:w="4447" w:type="pct"/>
            <w:tcBorders>
              <w:top w:val="single" w:sz="4" w:space="0" w:color="auto"/>
              <w:left w:val="single" w:sz="4" w:space="0" w:color="auto"/>
              <w:bottom w:val="single" w:sz="4" w:space="0" w:color="auto"/>
              <w:right w:val="single" w:sz="4" w:space="0" w:color="auto"/>
            </w:tcBorders>
          </w:tcPr>
          <w:p w14:paraId="7CC65211" w14:textId="77777777" w:rsidR="00383EAA" w:rsidRPr="002D486D" w:rsidRDefault="00383EAA" w:rsidP="00F06281">
            <w:pPr>
              <w:rPr>
                <w:rFonts w:ascii="Arial Narrow" w:hAnsi="Arial Narrow"/>
                <w:sz w:val="20"/>
                <w:szCs w:val="20"/>
              </w:rPr>
            </w:pPr>
            <w:r w:rsidRPr="002D486D">
              <w:rPr>
                <w:rFonts w:ascii="Arial Narrow" w:hAnsi="Arial Narrow"/>
                <w:b/>
                <w:sz w:val="20"/>
                <w:szCs w:val="20"/>
              </w:rPr>
              <w:t xml:space="preserve">Category / Program:   </w:t>
            </w:r>
          </w:p>
          <w:p w14:paraId="5F475C12" w14:textId="77777777" w:rsidR="00383EAA" w:rsidRPr="002D486D" w:rsidRDefault="00383EAA" w:rsidP="00F06281">
            <w:pPr>
              <w:rPr>
                <w:rFonts w:ascii="Arial Narrow" w:hAnsi="Arial Narrow"/>
                <w:sz w:val="20"/>
                <w:szCs w:val="20"/>
              </w:rPr>
            </w:pPr>
            <w:r w:rsidRPr="002D486D">
              <w:rPr>
                <w:rFonts w:ascii="Arial Narrow" w:hAnsi="Arial Narrow"/>
                <w:sz w:val="20"/>
                <w:szCs w:val="20"/>
              </w:rPr>
              <w:t xml:space="preserve">GENERAL – General Schedule (Code GE) </w:t>
            </w:r>
          </w:p>
        </w:tc>
      </w:tr>
      <w:tr w:rsidR="00383EAA" w:rsidRPr="002D486D" w14:paraId="2CFF1B23" w14:textId="77777777" w:rsidTr="004F678D">
        <w:trPr>
          <w:trHeight w:val="20"/>
        </w:trPr>
        <w:tc>
          <w:tcPr>
            <w:tcW w:w="553" w:type="pct"/>
            <w:tcBorders>
              <w:top w:val="single" w:sz="4" w:space="0" w:color="auto"/>
              <w:left w:val="single" w:sz="4" w:space="0" w:color="auto"/>
              <w:bottom w:val="single" w:sz="4" w:space="0" w:color="auto"/>
              <w:right w:val="single" w:sz="4" w:space="0" w:color="auto"/>
            </w:tcBorders>
          </w:tcPr>
          <w:p w14:paraId="63E64B98" w14:textId="77777777" w:rsidR="00383EAA" w:rsidRPr="002D486D" w:rsidRDefault="00383EAA" w:rsidP="00F06281">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14EEECCC" w14:textId="77777777" w:rsidR="00383EAA" w:rsidRPr="002D486D" w:rsidRDefault="00383EAA" w:rsidP="00F06281">
            <w:pPr>
              <w:rPr>
                <w:rFonts w:ascii="Arial Narrow" w:hAnsi="Arial Narrow"/>
                <w:sz w:val="20"/>
                <w:szCs w:val="20"/>
              </w:rPr>
            </w:pPr>
            <w:r w:rsidRPr="002D486D">
              <w:rPr>
                <w:rFonts w:ascii="Arial Narrow" w:hAnsi="Arial Narrow"/>
                <w:b/>
                <w:sz w:val="20"/>
                <w:szCs w:val="20"/>
              </w:rPr>
              <w:t xml:space="preserve">Prescriber type:  </w:t>
            </w:r>
            <w:r w:rsidRPr="002D486D">
              <w:rPr>
                <w:rFonts w:ascii="Arial Narrow" w:hAnsi="Arial Narrow"/>
                <w:sz w:val="20"/>
                <w:szCs w:val="20"/>
              </w:rPr>
              <w:fldChar w:fldCharType="begin" w:fldLock="1">
                <w:ffData>
                  <w:name w:val=""/>
                  <w:enabled/>
                  <w:calcOnExit w:val="0"/>
                  <w:checkBox>
                    <w:sizeAuto/>
                    <w:default w:val="1"/>
                  </w:checkBox>
                </w:ffData>
              </w:fldChar>
            </w:r>
            <w:r w:rsidRPr="002D486D">
              <w:rPr>
                <w:rFonts w:ascii="Arial Narrow" w:hAnsi="Arial Narrow"/>
                <w:sz w:val="20"/>
                <w:szCs w:val="20"/>
              </w:rPr>
              <w:instrText xml:space="preserve"> FORMCHECKBOX </w:instrText>
            </w:r>
            <w:r w:rsidRPr="002D486D">
              <w:rPr>
                <w:rFonts w:ascii="Arial Narrow" w:hAnsi="Arial Narrow"/>
                <w:sz w:val="20"/>
                <w:szCs w:val="20"/>
              </w:rPr>
            </w:r>
            <w:r w:rsidRPr="002D486D">
              <w:rPr>
                <w:rFonts w:ascii="Arial Narrow" w:hAnsi="Arial Narrow"/>
                <w:sz w:val="20"/>
                <w:szCs w:val="20"/>
              </w:rPr>
              <w:fldChar w:fldCharType="separate"/>
            </w:r>
            <w:r w:rsidRPr="002D486D">
              <w:rPr>
                <w:rFonts w:ascii="Arial Narrow" w:hAnsi="Arial Narrow"/>
                <w:sz w:val="20"/>
                <w:szCs w:val="20"/>
              </w:rPr>
              <w:fldChar w:fldCharType="end"/>
            </w:r>
            <w:r w:rsidRPr="002D486D">
              <w:rPr>
                <w:rFonts w:ascii="Arial Narrow" w:hAnsi="Arial Narrow"/>
                <w:sz w:val="20"/>
                <w:szCs w:val="20"/>
              </w:rPr>
              <w:t xml:space="preserve">Medical Practitioners  </w:t>
            </w:r>
          </w:p>
        </w:tc>
      </w:tr>
      <w:tr w:rsidR="00383EAA" w:rsidRPr="002D486D" w14:paraId="2BAE48AD" w14:textId="77777777" w:rsidTr="004F678D">
        <w:trPr>
          <w:trHeight w:val="20"/>
        </w:trPr>
        <w:tc>
          <w:tcPr>
            <w:tcW w:w="553" w:type="pct"/>
            <w:tcBorders>
              <w:top w:val="single" w:sz="4" w:space="0" w:color="auto"/>
              <w:left w:val="single" w:sz="4" w:space="0" w:color="auto"/>
              <w:bottom w:val="single" w:sz="4" w:space="0" w:color="auto"/>
              <w:right w:val="single" w:sz="4" w:space="0" w:color="auto"/>
            </w:tcBorders>
          </w:tcPr>
          <w:p w14:paraId="51C0DD10" w14:textId="77777777" w:rsidR="00383EAA" w:rsidRPr="002D486D" w:rsidRDefault="00383EAA" w:rsidP="00F06281">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6EED965C" w14:textId="3799CDD3" w:rsidR="00383EAA" w:rsidRPr="002D486D" w:rsidRDefault="00383EAA" w:rsidP="00F06281">
            <w:pPr>
              <w:rPr>
                <w:rFonts w:ascii="Arial Narrow" w:hAnsi="Arial Narrow"/>
                <w:b/>
                <w:sz w:val="20"/>
                <w:szCs w:val="20"/>
              </w:rPr>
            </w:pPr>
            <w:r w:rsidRPr="002D486D">
              <w:rPr>
                <w:rFonts w:ascii="Arial Narrow" w:hAnsi="Arial Narrow"/>
                <w:b/>
                <w:sz w:val="20"/>
                <w:szCs w:val="20"/>
              </w:rPr>
              <w:t xml:space="preserve">Restriction Level / Method: </w:t>
            </w:r>
            <w:r w:rsidRPr="002D486D">
              <w:rPr>
                <w:rFonts w:ascii="Arial Narrow" w:hAnsi="Arial Narrow"/>
                <w:sz w:val="20"/>
                <w:szCs w:val="20"/>
              </w:rPr>
              <w:fldChar w:fldCharType="begin" w:fldLock="1">
                <w:ffData>
                  <w:name w:val=""/>
                  <w:enabled/>
                  <w:calcOnExit w:val="0"/>
                  <w:checkBox>
                    <w:sizeAuto/>
                    <w:default w:val="1"/>
                  </w:checkBox>
                </w:ffData>
              </w:fldChar>
            </w:r>
            <w:r w:rsidRPr="002D486D">
              <w:rPr>
                <w:rFonts w:ascii="Arial Narrow" w:hAnsi="Arial Narrow"/>
                <w:sz w:val="20"/>
                <w:szCs w:val="20"/>
              </w:rPr>
              <w:instrText xml:space="preserve"> FORMCHECKBOX </w:instrText>
            </w:r>
            <w:r w:rsidRPr="002D486D">
              <w:rPr>
                <w:rFonts w:ascii="Arial Narrow" w:hAnsi="Arial Narrow"/>
                <w:sz w:val="20"/>
                <w:szCs w:val="20"/>
              </w:rPr>
            </w:r>
            <w:r w:rsidRPr="002D486D">
              <w:rPr>
                <w:rFonts w:ascii="Arial Narrow" w:hAnsi="Arial Narrow"/>
                <w:sz w:val="20"/>
                <w:szCs w:val="20"/>
              </w:rPr>
              <w:fldChar w:fldCharType="separate"/>
            </w:r>
            <w:r w:rsidRPr="002D486D">
              <w:rPr>
                <w:rFonts w:ascii="Arial Narrow" w:hAnsi="Arial Narrow"/>
                <w:sz w:val="20"/>
                <w:szCs w:val="20"/>
              </w:rPr>
              <w:fldChar w:fldCharType="end"/>
            </w:r>
            <w:r w:rsidRPr="002D486D">
              <w:rPr>
                <w:rFonts w:ascii="Arial Narrow" w:hAnsi="Arial Narrow"/>
                <w:sz w:val="20"/>
                <w:szCs w:val="20"/>
              </w:rPr>
              <w:t xml:space="preserve">Authority Required </w:t>
            </w:r>
            <w:r w:rsidR="0040554C">
              <w:rPr>
                <w:rFonts w:ascii="Arial Narrow" w:hAnsi="Arial Narrow"/>
                <w:sz w:val="20"/>
                <w:szCs w:val="20"/>
              </w:rPr>
              <w:t>(</w:t>
            </w:r>
            <w:r w:rsidR="00FE0DAF">
              <w:rPr>
                <w:rFonts w:ascii="Arial Narrow" w:hAnsi="Arial Narrow"/>
                <w:sz w:val="20"/>
                <w:szCs w:val="20"/>
              </w:rPr>
              <w:t xml:space="preserve">(Full assessment) </w:t>
            </w:r>
            <w:r w:rsidR="0040554C" w:rsidRPr="001428E9">
              <w:rPr>
                <w:rFonts w:ascii="Arial Narrow" w:eastAsia="Calibri" w:hAnsi="Arial Narrow"/>
                <w:sz w:val="20"/>
                <w:szCs w:val="20"/>
              </w:rPr>
              <w:t>in writing only via post/HPOS upload</w:t>
            </w:r>
            <w:r w:rsidR="0040554C">
              <w:rPr>
                <w:rFonts w:ascii="Arial Narrow" w:hAnsi="Arial Narrow"/>
                <w:sz w:val="20"/>
                <w:szCs w:val="20"/>
              </w:rPr>
              <w:t>)</w:t>
            </w:r>
          </w:p>
        </w:tc>
      </w:tr>
      <w:tr w:rsidR="00383EAA" w:rsidRPr="002D486D" w14:paraId="0C863FB2" w14:textId="77777777" w:rsidTr="004F678D">
        <w:trPr>
          <w:trHeight w:val="20"/>
        </w:trPr>
        <w:tc>
          <w:tcPr>
            <w:tcW w:w="553" w:type="pct"/>
            <w:vAlign w:val="center"/>
          </w:tcPr>
          <w:p w14:paraId="5826D50F" w14:textId="37F05DAD" w:rsidR="00383EAA" w:rsidRPr="002D486D" w:rsidRDefault="00383EAA" w:rsidP="00F06281">
            <w:pPr>
              <w:jc w:val="center"/>
              <w:rPr>
                <w:rFonts w:ascii="Arial Narrow" w:hAnsi="Arial Narrow"/>
                <w:color w:val="333333"/>
                <w:sz w:val="20"/>
                <w:szCs w:val="20"/>
              </w:rPr>
            </w:pPr>
          </w:p>
        </w:tc>
        <w:tc>
          <w:tcPr>
            <w:tcW w:w="4447" w:type="pct"/>
            <w:vAlign w:val="center"/>
          </w:tcPr>
          <w:p w14:paraId="64C893D6"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Administrative Advice:</w:t>
            </w:r>
          </w:p>
          <w:p w14:paraId="7DDC6E73" w14:textId="77777777" w:rsidR="00383EAA" w:rsidRPr="002D486D" w:rsidRDefault="00383EAA" w:rsidP="00F06281">
            <w:pPr>
              <w:rPr>
                <w:rFonts w:ascii="Arial Narrow" w:hAnsi="Arial Narrow"/>
                <w:color w:val="333333"/>
                <w:sz w:val="20"/>
                <w:szCs w:val="20"/>
              </w:rPr>
            </w:pPr>
            <w:r w:rsidRPr="002D486D">
              <w:rPr>
                <w:rFonts w:ascii="Arial Narrow" w:hAnsi="Arial Narrow"/>
                <w:color w:val="333333"/>
                <w:sz w:val="20"/>
                <w:szCs w:val="20"/>
              </w:rPr>
              <w:t>No increase in the maximum quantity or number of units may be authorised.</w:t>
            </w:r>
          </w:p>
        </w:tc>
      </w:tr>
      <w:tr w:rsidR="00383EAA" w:rsidRPr="002D486D" w14:paraId="6071AE8C" w14:textId="77777777" w:rsidTr="004F678D">
        <w:trPr>
          <w:trHeight w:val="20"/>
        </w:trPr>
        <w:tc>
          <w:tcPr>
            <w:tcW w:w="553" w:type="pct"/>
            <w:vAlign w:val="center"/>
          </w:tcPr>
          <w:p w14:paraId="15464457" w14:textId="1B46802E" w:rsidR="00383EAA" w:rsidRPr="002D486D" w:rsidRDefault="00383EAA" w:rsidP="00F06281">
            <w:pPr>
              <w:jc w:val="center"/>
              <w:rPr>
                <w:rFonts w:ascii="Arial Narrow" w:hAnsi="Arial Narrow"/>
                <w:color w:val="333333"/>
                <w:sz w:val="20"/>
                <w:szCs w:val="20"/>
              </w:rPr>
            </w:pPr>
          </w:p>
        </w:tc>
        <w:tc>
          <w:tcPr>
            <w:tcW w:w="4447" w:type="pct"/>
            <w:vAlign w:val="center"/>
          </w:tcPr>
          <w:p w14:paraId="43B88BAE"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Administrative Advice:</w:t>
            </w:r>
          </w:p>
          <w:p w14:paraId="19D37665" w14:textId="77777777" w:rsidR="00383EAA" w:rsidRPr="002D486D" w:rsidRDefault="00383EAA" w:rsidP="00F06281">
            <w:pPr>
              <w:rPr>
                <w:rFonts w:ascii="Arial Narrow" w:hAnsi="Arial Narrow"/>
                <w:b/>
                <w:bCs/>
                <w:color w:val="333333"/>
                <w:sz w:val="20"/>
                <w:szCs w:val="20"/>
              </w:rPr>
            </w:pPr>
            <w:r w:rsidRPr="002D486D">
              <w:rPr>
                <w:rFonts w:ascii="Arial Narrow" w:hAnsi="Arial Narrow"/>
                <w:color w:val="333333"/>
                <w:sz w:val="20"/>
                <w:szCs w:val="20"/>
              </w:rPr>
              <w:t>No increase in the maximum number of repeats may be authorised.</w:t>
            </w:r>
          </w:p>
        </w:tc>
      </w:tr>
      <w:tr w:rsidR="00383EAA" w:rsidRPr="002D486D" w14:paraId="4E669A34" w14:textId="77777777" w:rsidTr="004F678D">
        <w:trPr>
          <w:trHeight w:val="20"/>
        </w:trPr>
        <w:tc>
          <w:tcPr>
            <w:tcW w:w="553" w:type="pct"/>
            <w:vAlign w:val="center"/>
          </w:tcPr>
          <w:p w14:paraId="044210FF" w14:textId="7AB01F60" w:rsidR="00383EAA" w:rsidRPr="002D486D" w:rsidRDefault="00383EAA" w:rsidP="00F06281">
            <w:pPr>
              <w:jc w:val="center"/>
              <w:rPr>
                <w:rFonts w:ascii="Arial Narrow" w:hAnsi="Arial Narrow"/>
                <w:color w:val="333333"/>
                <w:sz w:val="20"/>
                <w:szCs w:val="20"/>
              </w:rPr>
            </w:pPr>
          </w:p>
        </w:tc>
        <w:tc>
          <w:tcPr>
            <w:tcW w:w="4447" w:type="pct"/>
            <w:vAlign w:val="center"/>
          </w:tcPr>
          <w:p w14:paraId="7592BBD5"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Administrative Advice:</w:t>
            </w:r>
          </w:p>
          <w:p w14:paraId="193CD93C" w14:textId="77777777" w:rsidR="00383EAA" w:rsidRPr="002D486D" w:rsidRDefault="00383EAA" w:rsidP="00F06281">
            <w:pPr>
              <w:rPr>
                <w:rFonts w:ascii="Arial Narrow" w:hAnsi="Arial Narrow"/>
                <w:b/>
                <w:bCs/>
                <w:color w:val="333333"/>
                <w:sz w:val="20"/>
                <w:szCs w:val="20"/>
              </w:rPr>
            </w:pPr>
            <w:r w:rsidRPr="002D486D">
              <w:rPr>
                <w:rFonts w:ascii="Arial Narrow" w:hAnsi="Arial Narrow"/>
                <w:color w:val="333333"/>
                <w:sz w:val="20"/>
                <w:szCs w:val="20"/>
              </w:rPr>
              <w:t>Special Pricing Arrangements Apply</w:t>
            </w:r>
          </w:p>
        </w:tc>
      </w:tr>
      <w:tr w:rsidR="00383EAA" w:rsidRPr="002D486D" w14:paraId="5811E0E7" w14:textId="77777777" w:rsidTr="004F678D">
        <w:trPr>
          <w:trHeight w:val="20"/>
        </w:trPr>
        <w:tc>
          <w:tcPr>
            <w:tcW w:w="553" w:type="pct"/>
            <w:vAlign w:val="center"/>
          </w:tcPr>
          <w:p w14:paraId="51369AB3" w14:textId="51B0AEB1" w:rsidR="00383EAA" w:rsidRPr="002D486D" w:rsidRDefault="00383EAA" w:rsidP="00F06281">
            <w:pPr>
              <w:jc w:val="center"/>
              <w:rPr>
                <w:rFonts w:ascii="Arial Narrow" w:hAnsi="Arial Narrow"/>
                <w:color w:val="333333"/>
                <w:sz w:val="20"/>
                <w:szCs w:val="20"/>
              </w:rPr>
            </w:pPr>
          </w:p>
        </w:tc>
        <w:tc>
          <w:tcPr>
            <w:tcW w:w="4447" w:type="pct"/>
            <w:vAlign w:val="center"/>
            <w:hideMark/>
          </w:tcPr>
          <w:p w14:paraId="36D9AEC1"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Indication:</w:t>
            </w:r>
            <w:r w:rsidRPr="002D486D">
              <w:rPr>
                <w:rFonts w:ascii="Arial Narrow" w:hAnsi="Arial Narrow"/>
                <w:color w:val="333333"/>
                <w:sz w:val="20"/>
                <w:szCs w:val="20"/>
              </w:rPr>
              <w:t xml:space="preserve"> Chronic treatment of hereditary angioedema Types 1 or 2</w:t>
            </w:r>
          </w:p>
        </w:tc>
      </w:tr>
      <w:tr w:rsidR="00383EAA" w:rsidRPr="002D486D" w14:paraId="0EDCAE2C" w14:textId="77777777" w:rsidTr="004F678D">
        <w:trPr>
          <w:trHeight w:val="20"/>
        </w:trPr>
        <w:tc>
          <w:tcPr>
            <w:tcW w:w="553" w:type="pct"/>
            <w:vAlign w:val="center"/>
          </w:tcPr>
          <w:p w14:paraId="40EDE000" w14:textId="77777777" w:rsidR="00383EAA" w:rsidRPr="002D486D" w:rsidRDefault="00383EAA" w:rsidP="00F06281">
            <w:pPr>
              <w:jc w:val="center"/>
              <w:rPr>
                <w:rFonts w:ascii="Arial Narrow" w:hAnsi="Arial Narrow"/>
                <w:color w:val="333333"/>
                <w:sz w:val="20"/>
                <w:szCs w:val="20"/>
              </w:rPr>
            </w:pPr>
          </w:p>
        </w:tc>
        <w:tc>
          <w:tcPr>
            <w:tcW w:w="4447" w:type="pct"/>
            <w:vAlign w:val="center"/>
            <w:hideMark/>
          </w:tcPr>
          <w:p w14:paraId="00B730ED"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Treatment Phase:</w:t>
            </w:r>
            <w:r w:rsidRPr="002D486D">
              <w:rPr>
                <w:rFonts w:ascii="Arial Narrow" w:hAnsi="Arial Narrow"/>
                <w:color w:val="333333"/>
                <w:sz w:val="20"/>
                <w:szCs w:val="20"/>
              </w:rPr>
              <w:t xml:space="preserve"> Initial 1: New patient (commencing with no previous treatment with C1-INH for routine prophylaxis)</w:t>
            </w:r>
          </w:p>
        </w:tc>
      </w:tr>
      <w:tr w:rsidR="00383EAA" w:rsidRPr="002D486D" w14:paraId="29852781" w14:textId="77777777" w:rsidTr="004F678D">
        <w:trPr>
          <w:trHeight w:val="20"/>
        </w:trPr>
        <w:tc>
          <w:tcPr>
            <w:tcW w:w="553" w:type="pct"/>
            <w:vAlign w:val="center"/>
          </w:tcPr>
          <w:p w14:paraId="431278B2" w14:textId="022AB038" w:rsidR="00383EAA" w:rsidRPr="002D486D" w:rsidRDefault="00383EAA" w:rsidP="00F06281">
            <w:pPr>
              <w:jc w:val="center"/>
              <w:rPr>
                <w:rFonts w:ascii="Arial Narrow" w:hAnsi="Arial Narrow"/>
                <w:color w:val="333333"/>
                <w:sz w:val="20"/>
                <w:szCs w:val="20"/>
              </w:rPr>
            </w:pPr>
          </w:p>
        </w:tc>
        <w:tc>
          <w:tcPr>
            <w:tcW w:w="4447" w:type="pct"/>
            <w:vAlign w:val="center"/>
            <w:hideMark/>
          </w:tcPr>
          <w:p w14:paraId="36AD182C"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Clinical criteria:</w:t>
            </w:r>
          </w:p>
        </w:tc>
      </w:tr>
      <w:tr w:rsidR="00383EAA" w:rsidRPr="002D486D" w14:paraId="251F2E96" w14:textId="77777777" w:rsidTr="004F678D">
        <w:trPr>
          <w:trHeight w:val="20"/>
        </w:trPr>
        <w:tc>
          <w:tcPr>
            <w:tcW w:w="553" w:type="pct"/>
            <w:vAlign w:val="center"/>
          </w:tcPr>
          <w:p w14:paraId="74493955" w14:textId="3AB707BF" w:rsidR="00383EAA" w:rsidRPr="002D486D" w:rsidRDefault="00383EAA" w:rsidP="00F06281">
            <w:pPr>
              <w:jc w:val="center"/>
              <w:rPr>
                <w:rFonts w:ascii="Arial Narrow" w:hAnsi="Arial Narrow"/>
                <w:color w:val="333333"/>
                <w:sz w:val="20"/>
                <w:szCs w:val="20"/>
              </w:rPr>
            </w:pPr>
          </w:p>
        </w:tc>
        <w:tc>
          <w:tcPr>
            <w:tcW w:w="4447" w:type="pct"/>
            <w:vAlign w:val="center"/>
            <w:hideMark/>
          </w:tcPr>
          <w:p w14:paraId="382957EF" w14:textId="77777777" w:rsidR="00383EAA" w:rsidRPr="002D486D" w:rsidRDefault="00383EAA" w:rsidP="00F06281">
            <w:pPr>
              <w:rPr>
                <w:rFonts w:ascii="Arial Narrow" w:hAnsi="Arial Narrow"/>
                <w:color w:val="333333"/>
                <w:sz w:val="20"/>
                <w:szCs w:val="20"/>
              </w:rPr>
            </w:pPr>
            <w:r w:rsidRPr="002D486D">
              <w:rPr>
                <w:rFonts w:ascii="Arial Narrow" w:hAnsi="Arial Narrow"/>
                <w:color w:val="333333"/>
                <w:sz w:val="20"/>
                <w:szCs w:val="20"/>
              </w:rPr>
              <w:t>Patient must have experienced at least 12 treated acute attacks of hereditary angioedema within the 6 month period prior to commencing treatment with this drug</w:t>
            </w:r>
          </w:p>
        </w:tc>
      </w:tr>
      <w:tr w:rsidR="00383EAA" w:rsidRPr="002D486D" w14:paraId="6983E977" w14:textId="77777777" w:rsidTr="004F678D">
        <w:trPr>
          <w:trHeight w:val="20"/>
        </w:trPr>
        <w:tc>
          <w:tcPr>
            <w:tcW w:w="553" w:type="pct"/>
            <w:vAlign w:val="center"/>
          </w:tcPr>
          <w:p w14:paraId="384B0443" w14:textId="77777777" w:rsidR="00383EAA" w:rsidRPr="002D486D" w:rsidRDefault="00383EAA" w:rsidP="00F06281">
            <w:pPr>
              <w:jc w:val="center"/>
              <w:rPr>
                <w:rFonts w:ascii="Arial Narrow" w:hAnsi="Arial Narrow"/>
                <w:color w:val="333333"/>
                <w:sz w:val="20"/>
                <w:szCs w:val="20"/>
              </w:rPr>
            </w:pPr>
          </w:p>
        </w:tc>
        <w:tc>
          <w:tcPr>
            <w:tcW w:w="4447" w:type="pct"/>
            <w:vAlign w:val="center"/>
            <w:hideMark/>
          </w:tcPr>
          <w:p w14:paraId="30EF5B07"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AND</w:t>
            </w:r>
          </w:p>
        </w:tc>
      </w:tr>
      <w:tr w:rsidR="00383EAA" w:rsidRPr="002D486D" w14:paraId="48D5C646" w14:textId="77777777" w:rsidTr="004F678D">
        <w:trPr>
          <w:trHeight w:val="20"/>
        </w:trPr>
        <w:tc>
          <w:tcPr>
            <w:tcW w:w="553" w:type="pct"/>
            <w:vAlign w:val="center"/>
          </w:tcPr>
          <w:p w14:paraId="04A076D7" w14:textId="1AB0F518" w:rsidR="00383EAA" w:rsidRPr="002D486D" w:rsidRDefault="00383EAA" w:rsidP="00F06281">
            <w:pPr>
              <w:jc w:val="center"/>
              <w:rPr>
                <w:rFonts w:ascii="Arial Narrow" w:hAnsi="Arial Narrow"/>
                <w:color w:val="333333"/>
                <w:sz w:val="20"/>
                <w:szCs w:val="20"/>
              </w:rPr>
            </w:pPr>
          </w:p>
        </w:tc>
        <w:tc>
          <w:tcPr>
            <w:tcW w:w="4447" w:type="pct"/>
            <w:vAlign w:val="center"/>
            <w:hideMark/>
          </w:tcPr>
          <w:p w14:paraId="1AFBCC35"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Clinical criteria:</w:t>
            </w:r>
          </w:p>
        </w:tc>
      </w:tr>
      <w:tr w:rsidR="00383EAA" w:rsidRPr="002D486D" w14:paraId="531C4642" w14:textId="77777777" w:rsidTr="004F678D">
        <w:trPr>
          <w:trHeight w:val="20"/>
        </w:trPr>
        <w:tc>
          <w:tcPr>
            <w:tcW w:w="553" w:type="pct"/>
            <w:vAlign w:val="center"/>
          </w:tcPr>
          <w:p w14:paraId="4C244E09" w14:textId="11B767DF" w:rsidR="00383EAA" w:rsidRPr="002D486D" w:rsidRDefault="00383EAA" w:rsidP="00F06281">
            <w:pPr>
              <w:jc w:val="center"/>
              <w:rPr>
                <w:rFonts w:ascii="Arial Narrow" w:hAnsi="Arial Narrow"/>
                <w:color w:val="333333"/>
                <w:sz w:val="20"/>
                <w:szCs w:val="20"/>
              </w:rPr>
            </w:pPr>
          </w:p>
        </w:tc>
        <w:tc>
          <w:tcPr>
            <w:tcW w:w="4447" w:type="pct"/>
            <w:vAlign w:val="center"/>
            <w:hideMark/>
          </w:tcPr>
          <w:p w14:paraId="27D28A9C" w14:textId="77777777" w:rsidR="00383EAA" w:rsidRPr="002D486D" w:rsidRDefault="00383EAA" w:rsidP="00F06281">
            <w:pPr>
              <w:rPr>
                <w:rFonts w:ascii="Arial Narrow" w:hAnsi="Arial Narrow"/>
                <w:color w:val="333333"/>
                <w:sz w:val="20"/>
                <w:szCs w:val="20"/>
              </w:rPr>
            </w:pPr>
            <w:r w:rsidRPr="002D486D">
              <w:rPr>
                <w:rFonts w:ascii="Arial Narrow" w:hAnsi="Arial Narrow"/>
                <w:color w:val="333333"/>
                <w:sz w:val="20"/>
                <w:szCs w:val="20"/>
              </w:rPr>
              <w:t>Patient must not have been receiving a C1-esterase inhibitor through the National Blood Authority as routine prophylaxis for hereditary angioedema at the time of application</w:t>
            </w:r>
          </w:p>
        </w:tc>
      </w:tr>
      <w:tr w:rsidR="00383EAA" w:rsidRPr="002D486D" w14:paraId="2E7155F0" w14:textId="77777777" w:rsidTr="004F678D">
        <w:trPr>
          <w:trHeight w:val="20"/>
        </w:trPr>
        <w:tc>
          <w:tcPr>
            <w:tcW w:w="553" w:type="pct"/>
            <w:vAlign w:val="center"/>
          </w:tcPr>
          <w:p w14:paraId="7EC025AB" w14:textId="77777777" w:rsidR="00383EAA" w:rsidRPr="002D486D" w:rsidRDefault="00383EAA" w:rsidP="00F06281">
            <w:pPr>
              <w:jc w:val="center"/>
              <w:rPr>
                <w:rFonts w:ascii="Arial Narrow" w:hAnsi="Arial Narrow"/>
                <w:color w:val="333333"/>
                <w:sz w:val="20"/>
                <w:szCs w:val="20"/>
              </w:rPr>
            </w:pPr>
          </w:p>
        </w:tc>
        <w:tc>
          <w:tcPr>
            <w:tcW w:w="4447" w:type="pct"/>
            <w:vAlign w:val="center"/>
            <w:hideMark/>
          </w:tcPr>
          <w:p w14:paraId="2C720D34"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AND</w:t>
            </w:r>
          </w:p>
        </w:tc>
      </w:tr>
      <w:tr w:rsidR="00383EAA" w:rsidRPr="002D486D" w14:paraId="7DBE9329" w14:textId="77777777" w:rsidTr="004F678D">
        <w:trPr>
          <w:trHeight w:val="20"/>
        </w:trPr>
        <w:tc>
          <w:tcPr>
            <w:tcW w:w="553" w:type="pct"/>
            <w:vAlign w:val="center"/>
          </w:tcPr>
          <w:p w14:paraId="4CFAAE0E" w14:textId="44189ACC" w:rsidR="00383EAA" w:rsidRPr="002D486D" w:rsidRDefault="00383EAA" w:rsidP="00F06281">
            <w:pPr>
              <w:jc w:val="center"/>
              <w:rPr>
                <w:rFonts w:ascii="Arial Narrow" w:hAnsi="Arial Narrow"/>
                <w:color w:val="333333"/>
                <w:sz w:val="20"/>
                <w:szCs w:val="20"/>
              </w:rPr>
            </w:pPr>
          </w:p>
        </w:tc>
        <w:tc>
          <w:tcPr>
            <w:tcW w:w="4447" w:type="pct"/>
            <w:vAlign w:val="center"/>
            <w:hideMark/>
          </w:tcPr>
          <w:p w14:paraId="47F42F12"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Clinical criteria:</w:t>
            </w:r>
          </w:p>
        </w:tc>
      </w:tr>
      <w:tr w:rsidR="00383EAA" w:rsidRPr="002D486D" w14:paraId="06C8EF51" w14:textId="77777777" w:rsidTr="004F678D">
        <w:trPr>
          <w:trHeight w:val="20"/>
        </w:trPr>
        <w:tc>
          <w:tcPr>
            <w:tcW w:w="553" w:type="pct"/>
            <w:vAlign w:val="center"/>
          </w:tcPr>
          <w:p w14:paraId="132092FE" w14:textId="7EF75434" w:rsidR="00383EAA" w:rsidRPr="002D486D" w:rsidRDefault="00383EAA" w:rsidP="00F06281">
            <w:pPr>
              <w:jc w:val="center"/>
              <w:rPr>
                <w:rFonts w:ascii="Arial Narrow" w:hAnsi="Arial Narrow"/>
                <w:color w:val="333333"/>
                <w:sz w:val="20"/>
                <w:szCs w:val="20"/>
              </w:rPr>
            </w:pPr>
          </w:p>
        </w:tc>
        <w:tc>
          <w:tcPr>
            <w:tcW w:w="4447" w:type="pct"/>
            <w:vAlign w:val="center"/>
            <w:hideMark/>
          </w:tcPr>
          <w:p w14:paraId="63B3E0EE" w14:textId="6A86B289" w:rsidR="00383EAA" w:rsidRPr="002D486D" w:rsidRDefault="00383EAA" w:rsidP="00F06281">
            <w:pPr>
              <w:rPr>
                <w:rFonts w:ascii="Arial Narrow" w:hAnsi="Arial Narrow"/>
                <w:color w:val="333333"/>
                <w:sz w:val="20"/>
                <w:szCs w:val="20"/>
              </w:rPr>
            </w:pPr>
            <w:r w:rsidRPr="002D486D">
              <w:rPr>
                <w:rFonts w:ascii="Arial Narrow" w:hAnsi="Arial Narrow"/>
                <w:color w:val="333333"/>
                <w:sz w:val="20"/>
                <w:szCs w:val="20"/>
              </w:rPr>
              <w:t>The treatment must not be used in combination with either: (i) a C1-esterase inhibitor concentrate (ii) lanadelumab</w:t>
            </w:r>
          </w:p>
        </w:tc>
      </w:tr>
      <w:tr w:rsidR="00383EAA" w:rsidRPr="002D486D" w14:paraId="16BEE6EA" w14:textId="77777777" w:rsidTr="004F678D">
        <w:trPr>
          <w:trHeight w:val="20"/>
        </w:trPr>
        <w:tc>
          <w:tcPr>
            <w:tcW w:w="553" w:type="pct"/>
            <w:vAlign w:val="center"/>
          </w:tcPr>
          <w:p w14:paraId="6591BCA2" w14:textId="77777777" w:rsidR="00383EAA" w:rsidRPr="002D486D" w:rsidRDefault="00383EAA" w:rsidP="00F06281">
            <w:pPr>
              <w:jc w:val="center"/>
              <w:rPr>
                <w:rFonts w:ascii="Arial Narrow" w:hAnsi="Arial Narrow"/>
                <w:color w:val="333333"/>
                <w:sz w:val="20"/>
                <w:szCs w:val="20"/>
              </w:rPr>
            </w:pPr>
          </w:p>
        </w:tc>
        <w:tc>
          <w:tcPr>
            <w:tcW w:w="4447" w:type="pct"/>
            <w:vAlign w:val="center"/>
            <w:hideMark/>
          </w:tcPr>
          <w:p w14:paraId="22FE7443"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AND</w:t>
            </w:r>
          </w:p>
        </w:tc>
      </w:tr>
      <w:tr w:rsidR="00383EAA" w:rsidRPr="002D486D" w14:paraId="33DB3A79" w14:textId="77777777" w:rsidTr="004F678D">
        <w:trPr>
          <w:trHeight w:val="20"/>
        </w:trPr>
        <w:tc>
          <w:tcPr>
            <w:tcW w:w="553" w:type="pct"/>
            <w:vAlign w:val="center"/>
          </w:tcPr>
          <w:p w14:paraId="34AD57CE" w14:textId="716655C2" w:rsidR="00383EAA" w:rsidRPr="002D486D" w:rsidRDefault="00383EAA" w:rsidP="00F06281">
            <w:pPr>
              <w:jc w:val="center"/>
              <w:rPr>
                <w:rFonts w:ascii="Arial Narrow" w:hAnsi="Arial Narrow"/>
                <w:color w:val="333333"/>
                <w:sz w:val="20"/>
                <w:szCs w:val="20"/>
              </w:rPr>
            </w:pPr>
          </w:p>
        </w:tc>
        <w:tc>
          <w:tcPr>
            <w:tcW w:w="4447" w:type="pct"/>
            <w:vAlign w:val="center"/>
            <w:hideMark/>
          </w:tcPr>
          <w:p w14:paraId="790E4789"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Treatment criteria:</w:t>
            </w:r>
          </w:p>
        </w:tc>
      </w:tr>
      <w:tr w:rsidR="00383EAA" w:rsidRPr="002D486D" w14:paraId="0B08F050" w14:textId="77777777" w:rsidTr="004F678D">
        <w:trPr>
          <w:trHeight w:val="20"/>
        </w:trPr>
        <w:tc>
          <w:tcPr>
            <w:tcW w:w="553" w:type="pct"/>
            <w:vAlign w:val="center"/>
          </w:tcPr>
          <w:p w14:paraId="7C5EF66A" w14:textId="7DF4F1E1" w:rsidR="00383EAA" w:rsidRPr="002D486D" w:rsidRDefault="00383EAA" w:rsidP="00F06281">
            <w:pPr>
              <w:jc w:val="center"/>
              <w:rPr>
                <w:rFonts w:ascii="Arial Narrow" w:hAnsi="Arial Narrow"/>
                <w:color w:val="333333"/>
                <w:sz w:val="20"/>
                <w:szCs w:val="20"/>
              </w:rPr>
            </w:pPr>
          </w:p>
        </w:tc>
        <w:tc>
          <w:tcPr>
            <w:tcW w:w="4447" w:type="pct"/>
            <w:vAlign w:val="center"/>
            <w:hideMark/>
          </w:tcPr>
          <w:p w14:paraId="62204521" w14:textId="77777777" w:rsidR="00383EAA" w:rsidRPr="002D486D" w:rsidRDefault="00383EAA" w:rsidP="00F06281">
            <w:pPr>
              <w:autoSpaceDE w:val="0"/>
              <w:autoSpaceDN w:val="0"/>
              <w:adjustRightInd w:val="0"/>
              <w:rPr>
                <w:rFonts w:ascii="Arial Narrow" w:hAnsi="Arial Narrow" w:cs="Arial Narrow"/>
                <w:sz w:val="20"/>
                <w:szCs w:val="20"/>
              </w:rPr>
            </w:pPr>
            <w:r w:rsidRPr="002D486D">
              <w:rPr>
                <w:rFonts w:ascii="Arial Narrow" w:hAnsi="Arial Narrow" w:cs="Arial Narrow"/>
                <w:sz w:val="20"/>
                <w:szCs w:val="20"/>
              </w:rPr>
              <w:t>Must be treated by a clinical immunologist or a specialist allergist</w:t>
            </w:r>
          </w:p>
        </w:tc>
      </w:tr>
      <w:tr w:rsidR="00383EAA" w:rsidRPr="002D486D" w14:paraId="6591D3B2" w14:textId="77777777" w:rsidTr="004F678D">
        <w:trPr>
          <w:trHeight w:val="20"/>
        </w:trPr>
        <w:tc>
          <w:tcPr>
            <w:tcW w:w="553" w:type="pct"/>
            <w:vAlign w:val="center"/>
          </w:tcPr>
          <w:p w14:paraId="105A3CAC" w14:textId="38F02F10" w:rsidR="00383EAA" w:rsidRPr="002D486D" w:rsidRDefault="00383EAA" w:rsidP="00F06281">
            <w:pPr>
              <w:jc w:val="center"/>
              <w:rPr>
                <w:rFonts w:ascii="Arial Narrow" w:hAnsi="Arial Narrow"/>
                <w:color w:val="333333"/>
                <w:sz w:val="20"/>
                <w:szCs w:val="20"/>
              </w:rPr>
            </w:pPr>
          </w:p>
        </w:tc>
        <w:tc>
          <w:tcPr>
            <w:tcW w:w="4447" w:type="pct"/>
            <w:vAlign w:val="center"/>
            <w:hideMark/>
          </w:tcPr>
          <w:p w14:paraId="70D63A92"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 xml:space="preserve">Prescribing Instructions: </w:t>
            </w:r>
            <w:r w:rsidRPr="002D486D">
              <w:rPr>
                <w:rFonts w:ascii="Arial Narrow" w:hAnsi="Arial Narrow"/>
                <w:bCs/>
                <w:color w:val="333333"/>
                <w:sz w:val="20"/>
                <w:szCs w:val="20"/>
              </w:rPr>
              <w:t>For the purposes of administering this restriction, acute attacks of hereditary angioedema are those of a severity necessitating immediate medical intervention with either (i) icatibant, or (ii) C1-esterase inhibitor concentrate</w:t>
            </w:r>
          </w:p>
        </w:tc>
      </w:tr>
      <w:tr w:rsidR="00383EAA" w:rsidRPr="00AD3E88" w14:paraId="2C365A3B" w14:textId="77777777" w:rsidTr="004F678D">
        <w:trPr>
          <w:trHeight w:val="20"/>
        </w:trPr>
        <w:tc>
          <w:tcPr>
            <w:tcW w:w="553" w:type="pct"/>
            <w:vAlign w:val="center"/>
          </w:tcPr>
          <w:p w14:paraId="267339CB" w14:textId="714A490F" w:rsidR="00383EAA" w:rsidRPr="002D486D" w:rsidRDefault="00383EAA" w:rsidP="00F06281">
            <w:pPr>
              <w:jc w:val="center"/>
              <w:rPr>
                <w:rFonts w:ascii="Arial Narrow" w:hAnsi="Arial Narrow"/>
                <w:color w:val="333333"/>
                <w:sz w:val="20"/>
                <w:szCs w:val="20"/>
              </w:rPr>
            </w:pPr>
          </w:p>
        </w:tc>
        <w:tc>
          <w:tcPr>
            <w:tcW w:w="4447" w:type="pct"/>
            <w:vAlign w:val="center"/>
          </w:tcPr>
          <w:p w14:paraId="2D7CEA54" w14:textId="77777777" w:rsidR="00383EAA" w:rsidRPr="00AD3E88" w:rsidRDefault="00383EAA" w:rsidP="00F06281">
            <w:pPr>
              <w:rPr>
                <w:rFonts w:ascii="Arial Narrow" w:hAnsi="Arial Narrow"/>
                <w:color w:val="333333"/>
                <w:sz w:val="20"/>
                <w:szCs w:val="20"/>
              </w:rPr>
            </w:pPr>
            <w:r w:rsidRPr="002D486D">
              <w:rPr>
                <w:rFonts w:ascii="Arial Narrow" w:hAnsi="Arial Narrow"/>
                <w:b/>
                <w:bCs/>
                <w:color w:val="333333"/>
                <w:sz w:val="20"/>
                <w:szCs w:val="20"/>
              </w:rPr>
              <w:t xml:space="preserve">Prescribing Instructions: </w:t>
            </w:r>
            <w:r w:rsidRPr="002D486D">
              <w:rPr>
                <w:rFonts w:ascii="Arial Narrow" w:hAnsi="Arial Narrow"/>
                <w:bCs/>
                <w:color w:val="333333"/>
                <w:sz w:val="20"/>
                <w:szCs w:val="20"/>
              </w:rPr>
              <w:t>The baseline measurement of the number of treated acute attacks of hereditary angioedema within the 6 months prior to initiating treatment must be provided at the time of submitting this application.</w:t>
            </w:r>
          </w:p>
        </w:tc>
      </w:tr>
      <w:tr w:rsidR="0040554C" w:rsidRPr="002D486D" w14:paraId="1B98AE17" w14:textId="77777777" w:rsidTr="004F678D">
        <w:trPr>
          <w:trHeight w:val="20"/>
        </w:trPr>
        <w:tc>
          <w:tcPr>
            <w:tcW w:w="553" w:type="pct"/>
            <w:vAlign w:val="center"/>
            <w:hideMark/>
          </w:tcPr>
          <w:p w14:paraId="3C304860" w14:textId="77DA8543" w:rsidR="0040554C" w:rsidRPr="002D486D" w:rsidRDefault="0040554C" w:rsidP="008E2715">
            <w:pPr>
              <w:jc w:val="center"/>
              <w:rPr>
                <w:rFonts w:ascii="Arial Narrow" w:hAnsi="Arial Narrow"/>
                <w:color w:val="333333"/>
                <w:sz w:val="20"/>
                <w:szCs w:val="20"/>
              </w:rPr>
            </w:pPr>
          </w:p>
        </w:tc>
        <w:tc>
          <w:tcPr>
            <w:tcW w:w="4447" w:type="pct"/>
            <w:vAlign w:val="center"/>
            <w:hideMark/>
          </w:tcPr>
          <w:p w14:paraId="679B286D" w14:textId="77777777" w:rsidR="0040554C" w:rsidRPr="00CA3AFF" w:rsidRDefault="0040554C" w:rsidP="00F06281">
            <w:pPr>
              <w:rPr>
                <w:rFonts w:ascii="Arial Narrow" w:hAnsi="Arial Narrow"/>
                <w:b/>
                <w:bCs/>
                <w:sz w:val="20"/>
                <w:szCs w:val="20"/>
              </w:rPr>
            </w:pPr>
            <w:r w:rsidRPr="00CA3AFF">
              <w:rPr>
                <w:rFonts w:ascii="Arial Narrow" w:hAnsi="Arial Narrow"/>
                <w:b/>
                <w:bCs/>
                <w:sz w:val="20"/>
                <w:szCs w:val="20"/>
              </w:rPr>
              <w:t>Administrative Advice:</w:t>
            </w:r>
          </w:p>
          <w:p w14:paraId="466ABAF5" w14:textId="77777777" w:rsidR="0040554C" w:rsidRPr="00CA3AFF" w:rsidRDefault="0040554C" w:rsidP="00F06281">
            <w:pPr>
              <w:rPr>
                <w:rFonts w:ascii="Arial Narrow" w:hAnsi="Arial Narrow"/>
                <w:bCs/>
                <w:sz w:val="20"/>
                <w:szCs w:val="20"/>
              </w:rPr>
            </w:pPr>
            <w:r w:rsidRPr="00CA3AFF">
              <w:rPr>
                <w:rFonts w:ascii="Arial Narrow" w:hAnsi="Arial Narrow"/>
                <w:bCs/>
                <w:sz w:val="20"/>
                <w:szCs w:val="20"/>
              </w:rPr>
              <w:t>Any queries concerning the arrangements to prescribe may be directed to</w:t>
            </w:r>
            <w:r w:rsidRPr="00CA3AFF">
              <w:rPr>
                <w:rFonts w:ascii="Arial" w:hAnsi="Arial"/>
                <w:bCs/>
                <w:sz w:val="20"/>
                <w:szCs w:val="20"/>
              </w:rPr>
              <w:t> </w:t>
            </w:r>
            <w:r w:rsidRPr="00CA3AFF">
              <w:rPr>
                <w:rFonts w:ascii="Arial Narrow" w:hAnsi="Arial Narrow"/>
                <w:bCs/>
                <w:sz w:val="20"/>
                <w:szCs w:val="20"/>
              </w:rPr>
              <w:t>Services Australia</w:t>
            </w:r>
            <w:r w:rsidRPr="00CA3AFF">
              <w:rPr>
                <w:rFonts w:ascii="Arial" w:hAnsi="Arial"/>
                <w:bCs/>
                <w:sz w:val="20"/>
                <w:szCs w:val="20"/>
              </w:rPr>
              <w:t> </w:t>
            </w:r>
            <w:r w:rsidRPr="00CA3AFF">
              <w:rPr>
                <w:rFonts w:ascii="Arial Narrow" w:hAnsi="Arial Narrow"/>
                <w:bCs/>
                <w:sz w:val="20"/>
                <w:szCs w:val="20"/>
              </w:rPr>
              <w:t>on 1800 700 270 (hours of operation 8 a.m. to 5 p.m. Monday to Friday). </w:t>
            </w:r>
          </w:p>
          <w:p w14:paraId="07932F49" w14:textId="4C21972F" w:rsidR="0040554C" w:rsidRPr="00CA3AFF" w:rsidRDefault="0040554C" w:rsidP="00F06281">
            <w:pPr>
              <w:rPr>
                <w:rFonts w:ascii="Arial Narrow" w:hAnsi="Arial Narrow"/>
                <w:bCs/>
                <w:sz w:val="20"/>
                <w:szCs w:val="20"/>
              </w:rPr>
            </w:pPr>
            <w:r w:rsidRPr="00CA3AFF">
              <w:rPr>
                <w:rFonts w:ascii="Arial Narrow" w:hAnsi="Arial Narrow"/>
                <w:bCs/>
                <w:sz w:val="20"/>
                <w:szCs w:val="20"/>
              </w:rPr>
              <w:t>Prescribing information (including Authority Application forms and other relevant documentation as applicable) is available on the</w:t>
            </w:r>
            <w:r w:rsidRPr="00CA3AFF">
              <w:rPr>
                <w:rFonts w:ascii="Arial" w:hAnsi="Arial"/>
                <w:bCs/>
                <w:sz w:val="20"/>
                <w:szCs w:val="20"/>
              </w:rPr>
              <w:t> </w:t>
            </w:r>
            <w:r w:rsidRPr="00CA3AFF">
              <w:rPr>
                <w:rFonts w:ascii="Arial Narrow" w:hAnsi="Arial Narrow"/>
                <w:bCs/>
                <w:sz w:val="20"/>
                <w:szCs w:val="20"/>
              </w:rPr>
              <w:t>Services Australia</w:t>
            </w:r>
            <w:r w:rsidRPr="00CA3AFF">
              <w:rPr>
                <w:rFonts w:ascii="Arial" w:hAnsi="Arial"/>
                <w:bCs/>
                <w:sz w:val="20"/>
                <w:szCs w:val="20"/>
              </w:rPr>
              <w:t> </w:t>
            </w:r>
            <w:r w:rsidRPr="00CA3AFF">
              <w:rPr>
                <w:rFonts w:ascii="Arial Narrow" w:hAnsi="Arial Narrow"/>
                <w:bCs/>
                <w:sz w:val="20"/>
                <w:szCs w:val="20"/>
              </w:rPr>
              <w:t xml:space="preserve">website at </w:t>
            </w:r>
            <w:hyperlink r:id="rId8" w:history="1">
              <w:r w:rsidRPr="00CA3AFF">
                <w:rPr>
                  <w:rStyle w:val="Hyperlink"/>
                  <w:rFonts w:ascii="Arial Narrow" w:eastAsiaTheme="majorEastAsia" w:hAnsi="Arial Narrow"/>
                  <w:sz w:val="20"/>
                  <w:szCs w:val="20"/>
                </w:rPr>
                <w:t>www.servicesaustralia.gov.au</w:t>
              </w:r>
            </w:hyperlink>
            <w:r w:rsidRPr="00CA3AFF">
              <w:rPr>
                <w:rFonts w:ascii="Arial Narrow" w:hAnsi="Arial Narrow"/>
                <w:bCs/>
                <w:sz w:val="20"/>
                <w:szCs w:val="20"/>
              </w:rPr>
              <w:t> </w:t>
            </w:r>
          </w:p>
          <w:p w14:paraId="3489B4AC" w14:textId="232D2DE3" w:rsidR="0040554C" w:rsidRPr="00CA3AFF" w:rsidRDefault="0040554C" w:rsidP="00F06281">
            <w:pPr>
              <w:rPr>
                <w:rFonts w:ascii="Arial Narrow" w:hAnsi="Arial Narrow"/>
                <w:bCs/>
                <w:sz w:val="20"/>
                <w:szCs w:val="20"/>
              </w:rPr>
            </w:pPr>
            <w:r w:rsidRPr="00CA3AFF">
              <w:rPr>
                <w:rFonts w:ascii="Arial Narrow" w:hAnsi="Arial Narrow"/>
                <w:bCs/>
                <w:sz w:val="20"/>
                <w:szCs w:val="20"/>
              </w:rPr>
              <w:t xml:space="preserve">Applications for authority to prescribe should be submitted online using the form upload facility in Health Professional Online Services (HPOS) at </w:t>
            </w:r>
            <w:hyperlink r:id="rId9" w:history="1">
              <w:r w:rsidRPr="00CA3AFF">
                <w:rPr>
                  <w:rStyle w:val="Hyperlink"/>
                  <w:rFonts w:ascii="Arial Narrow" w:eastAsiaTheme="majorEastAsia" w:hAnsi="Arial Narrow"/>
                  <w:sz w:val="20"/>
                  <w:szCs w:val="20"/>
                </w:rPr>
                <w:t>www.servicesaustralia.gov.au/hpos</w:t>
              </w:r>
            </w:hyperlink>
            <w:r w:rsidRPr="00CA3AFF">
              <w:rPr>
                <w:rFonts w:ascii="Arial Narrow" w:hAnsi="Arial Narrow"/>
                <w:bCs/>
                <w:sz w:val="20"/>
                <w:szCs w:val="20"/>
              </w:rPr>
              <w:t> </w:t>
            </w:r>
          </w:p>
          <w:p w14:paraId="21E50A52" w14:textId="77777777" w:rsidR="0040554C" w:rsidRPr="00CA3AFF" w:rsidRDefault="0040554C" w:rsidP="00F06281">
            <w:pPr>
              <w:rPr>
                <w:rFonts w:ascii="Arial Narrow" w:hAnsi="Arial Narrow"/>
                <w:bCs/>
                <w:sz w:val="20"/>
                <w:szCs w:val="20"/>
              </w:rPr>
            </w:pPr>
            <w:r w:rsidRPr="00CA3AFF">
              <w:rPr>
                <w:rFonts w:ascii="Arial Narrow" w:hAnsi="Arial Narrow"/>
                <w:bCs/>
                <w:sz w:val="20"/>
                <w:szCs w:val="20"/>
              </w:rPr>
              <w:t>Or mailed to: </w:t>
            </w:r>
          </w:p>
          <w:p w14:paraId="6AC9AB7A" w14:textId="77777777" w:rsidR="0040554C" w:rsidRPr="00CA3AFF" w:rsidRDefault="0040554C" w:rsidP="00F06281">
            <w:pPr>
              <w:rPr>
                <w:rFonts w:ascii="Arial Narrow" w:hAnsi="Arial Narrow"/>
                <w:bCs/>
                <w:sz w:val="20"/>
                <w:szCs w:val="20"/>
              </w:rPr>
            </w:pPr>
            <w:r w:rsidRPr="00CA3AFF">
              <w:rPr>
                <w:rFonts w:ascii="Arial Narrow" w:hAnsi="Arial Narrow"/>
                <w:bCs/>
                <w:sz w:val="20"/>
                <w:szCs w:val="20"/>
              </w:rPr>
              <w:t>Services Australia </w:t>
            </w:r>
          </w:p>
          <w:p w14:paraId="55C4504B" w14:textId="77777777" w:rsidR="0040554C" w:rsidRPr="00CA3AFF" w:rsidRDefault="0040554C" w:rsidP="00F06281">
            <w:pPr>
              <w:rPr>
                <w:rFonts w:ascii="Arial Narrow" w:hAnsi="Arial Narrow"/>
                <w:bCs/>
                <w:sz w:val="20"/>
                <w:szCs w:val="20"/>
              </w:rPr>
            </w:pPr>
            <w:r w:rsidRPr="00CA3AFF">
              <w:rPr>
                <w:rFonts w:ascii="Arial Narrow" w:hAnsi="Arial Narrow"/>
                <w:bCs/>
                <w:sz w:val="20"/>
                <w:szCs w:val="20"/>
              </w:rPr>
              <w:t>Complex Drugs </w:t>
            </w:r>
          </w:p>
          <w:p w14:paraId="67493984" w14:textId="77777777" w:rsidR="0040554C" w:rsidRPr="00CA3AFF" w:rsidRDefault="0040554C" w:rsidP="00F06281">
            <w:pPr>
              <w:rPr>
                <w:rFonts w:ascii="Arial Narrow" w:hAnsi="Arial Narrow"/>
                <w:bCs/>
                <w:sz w:val="20"/>
                <w:szCs w:val="20"/>
              </w:rPr>
            </w:pPr>
            <w:r w:rsidRPr="00CA3AFF">
              <w:rPr>
                <w:rFonts w:ascii="Arial Narrow" w:hAnsi="Arial Narrow"/>
                <w:bCs/>
                <w:sz w:val="20"/>
                <w:szCs w:val="20"/>
              </w:rPr>
              <w:t>Reply Paid 9826 </w:t>
            </w:r>
          </w:p>
          <w:p w14:paraId="2D4F6E3C" w14:textId="77777777" w:rsidR="006F2900" w:rsidRDefault="0040554C" w:rsidP="00F06281">
            <w:pPr>
              <w:rPr>
                <w:rFonts w:ascii="Arial Narrow" w:hAnsi="Arial Narrow"/>
                <w:bCs/>
                <w:sz w:val="20"/>
                <w:szCs w:val="20"/>
              </w:rPr>
            </w:pPr>
            <w:r w:rsidRPr="00CA3AFF">
              <w:rPr>
                <w:rFonts w:ascii="Arial Narrow" w:hAnsi="Arial Narrow"/>
                <w:bCs/>
                <w:sz w:val="20"/>
                <w:szCs w:val="20"/>
              </w:rPr>
              <w:t>HOBART TAS 7001 </w:t>
            </w:r>
          </w:p>
          <w:p w14:paraId="23555488" w14:textId="1634CD4D" w:rsidR="0040554C" w:rsidRPr="002D486D" w:rsidRDefault="0040554C" w:rsidP="00F06281">
            <w:pPr>
              <w:rPr>
                <w:rFonts w:ascii="Arial Narrow" w:hAnsi="Arial Narrow"/>
                <w:color w:val="333333"/>
                <w:sz w:val="20"/>
                <w:szCs w:val="20"/>
              </w:rPr>
            </w:pPr>
          </w:p>
        </w:tc>
      </w:tr>
    </w:tbl>
    <w:p w14:paraId="4B5B632C" w14:textId="77777777" w:rsidR="00383EAA" w:rsidRDefault="00383EAA" w:rsidP="00F06281">
      <w:pPr>
        <w:rPr>
          <w:rFonts w:ascii="Arial Narrow" w:hAnsi="Arial Narrow"/>
          <w:b/>
          <w:sz w:val="20"/>
          <w:szCs w:val="20"/>
          <w:lang w:val="en-GB"/>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383EAA" w:rsidRPr="002D486D" w14:paraId="1E7A22A2" w14:textId="77777777" w:rsidTr="00AE3496">
        <w:tc>
          <w:tcPr>
            <w:tcW w:w="553" w:type="pct"/>
            <w:vAlign w:val="center"/>
          </w:tcPr>
          <w:p w14:paraId="0BF87F61" w14:textId="36992E2B" w:rsidR="00383EAA" w:rsidRPr="002D486D" w:rsidRDefault="00383EAA" w:rsidP="00F06281">
            <w:pPr>
              <w:keepLines/>
              <w:jc w:val="center"/>
              <w:rPr>
                <w:rFonts w:ascii="Arial Narrow" w:hAnsi="Arial Narrow"/>
                <w:color w:val="333333"/>
                <w:sz w:val="20"/>
                <w:szCs w:val="20"/>
              </w:rPr>
            </w:pPr>
          </w:p>
        </w:tc>
        <w:tc>
          <w:tcPr>
            <w:tcW w:w="4447" w:type="pct"/>
            <w:vAlign w:val="center"/>
          </w:tcPr>
          <w:p w14:paraId="573B7165" w14:textId="77777777" w:rsidR="00383EAA" w:rsidRPr="002D486D" w:rsidRDefault="00383EAA" w:rsidP="00F06281">
            <w:pPr>
              <w:keepLines/>
              <w:rPr>
                <w:rFonts w:ascii="Arial Narrow" w:hAnsi="Arial Narrow"/>
                <w:b/>
                <w:bCs/>
                <w:color w:val="333333"/>
                <w:sz w:val="20"/>
                <w:szCs w:val="20"/>
              </w:rPr>
            </w:pPr>
            <w:r w:rsidRPr="002D486D">
              <w:rPr>
                <w:rFonts w:ascii="Arial Narrow" w:hAnsi="Arial Narrow"/>
                <w:b/>
                <w:bCs/>
                <w:color w:val="333333"/>
                <w:sz w:val="20"/>
                <w:szCs w:val="20"/>
              </w:rPr>
              <w:t>Indication:</w:t>
            </w:r>
            <w:r w:rsidRPr="002D486D">
              <w:rPr>
                <w:rFonts w:ascii="Arial Narrow" w:hAnsi="Arial Narrow"/>
                <w:color w:val="333333"/>
                <w:sz w:val="20"/>
                <w:szCs w:val="20"/>
              </w:rPr>
              <w:t xml:space="preserve"> Chronic treatment of hereditary angioedema Types 1 or 2</w:t>
            </w:r>
          </w:p>
        </w:tc>
      </w:tr>
      <w:tr w:rsidR="00383EAA" w:rsidRPr="002D486D" w14:paraId="51F69F2F" w14:textId="77777777" w:rsidTr="00AE3496">
        <w:tc>
          <w:tcPr>
            <w:tcW w:w="553" w:type="pct"/>
            <w:vAlign w:val="center"/>
          </w:tcPr>
          <w:p w14:paraId="4E8F6CC1" w14:textId="77777777" w:rsidR="00383EAA" w:rsidRPr="002D486D" w:rsidRDefault="00383EAA" w:rsidP="00F06281">
            <w:pPr>
              <w:keepLines/>
              <w:jc w:val="center"/>
              <w:rPr>
                <w:rFonts w:ascii="Arial Narrow" w:hAnsi="Arial Narrow"/>
                <w:color w:val="333333"/>
                <w:sz w:val="20"/>
                <w:szCs w:val="20"/>
              </w:rPr>
            </w:pPr>
          </w:p>
        </w:tc>
        <w:tc>
          <w:tcPr>
            <w:tcW w:w="4447" w:type="pct"/>
            <w:vAlign w:val="center"/>
          </w:tcPr>
          <w:p w14:paraId="6F4C0206" w14:textId="77777777" w:rsidR="00383EAA" w:rsidRPr="002D486D" w:rsidRDefault="00383EAA" w:rsidP="00F06281">
            <w:pPr>
              <w:keepLines/>
              <w:rPr>
                <w:rFonts w:ascii="Arial Narrow" w:hAnsi="Arial Narrow"/>
                <w:b/>
                <w:bCs/>
                <w:color w:val="333333"/>
                <w:sz w:val="20"/>
                <w:szCs w:val="20"/>
              </w:rPr>
            </w:pPr>
            <w:r w:rsidRPr="002D486D">
              <w:rPr>
                <w:rFonts w:ascii="Arial Narrow" w:hAnsi="Arial Narrow"/>
                <w:b/>
                <w:bCs/>
                <w:color w:val="333333"/>
                <w:sz w:val="20"/>
                <w:szCs w:val="20"/>
              </w:rPr>
              <w:t>Treatment Phase:</w:t>
            </w:r>
            <w:r w:rsidRPr="002D486D">
              <w:rPr>
                <w:rFonts w:ascii="Arial Narrow" w:hAnsi="Arial Narrow"/>
                <w:color w:val="333333"/>
                <w:sz w:val="20"/>
                <w:szCs w:val="20"/>
              </w:rPr>
              <w:t xml:space="preserve"> Initial 2: New patient (commencing from National Blood Authority-funded C1-INH)</w:t>
            </w:r>
          </w:p>
        </w:tc>
      </w:tr>
      <w:tr w:rsidR="00383EAA" w:rsidRPr="002D486D" w14:paraId="1F925450" w14:textId="77777777" w:rsidTr="00AE3496">
        <w:tc>
          <w:tcPr>
            <w:tcW w:w="553" w:type="pct"/>
            <w:vAlign w:val="center"/>
          </w:tcPr>
          <w:p w14:paraId="7D45A36A" w14:textId="2D8CF061" w:rsidR="00383EAA" w:rsidRPr="002D486D" w:rsidRDefault="00383EAA" w:rsidP="00F06281">
            <w:pPr>
              <w:keepLines/>
              <w:jc w:val="center"/>
              <w:rPr>
                <w:rFonts w:ascii="Arial Narrow" w:hAnsi="Arial Narrow"/>
                <w:color w:val="333333"/>
                <w:sz w:val="20"/>
                <w:szCs w:val="20"/>
              </w:rPr>
            </w:pPr>
          </w:p>
        </w:tc>
        <w:tc>
          <w:tcPr>
            <w:tcW w:w="4447" w:type="pct"/>
            <w:vAlign w:val="center"/>
          </w:tcPr>
          <w:p w14:paraId="739B1570" w14:textId="77777777" w:rsidR="00383EAA" w:rsidRPr="002D486D" w:rsidRDefault="00383EAA" w:rsidP="00F06281">
            <w:pPr>
              <w:keepLines/>
              <w:rPr>
                <w:rFonts w:ascii="Arial Narrow" w:hAnsi="Arial Narrow"/>
                <w:b/>
                <w:bCs/>
                <w:color w:val="333333"/>
                <w:sz w:val="20"/>
                <w:szCs w:val="20"/>
              </w:rPr>
            </w:pPr>
            <w:r w:rsidRPr="002D486D">
              <w:rPr>
                <w:rFonts w:ascii="Arial Narrow" w:hAnsi="Arial Narrow"/>
                <w:b/>
                <w:bCs/>
                <w:color w:val="333333"/>
                <w:sz w:val="20"/>
                <w:szCs w:val="20"/>
              </w:rPr>
              <w:t>Clinical criteria:</w:t>
            </w:r>
          </w:p>
        </w:tc>
      </w:tr>
      <w:tr w:rsidR="00383EAA" w:rsidRPr="002D486D" w14:paraId="061B9C8D" w14:textId="77777777" w:rsidTr="00AE3496">
        <w:tc>
          <w:tcPr>
            <w:tcW w:w="553" w:type="pct"/>
            <w:vAlign w:val="center"/>
          </w:tcPr>
          <w:p w14:paraId="4BB946D2" w14:textId="12EE7B07" w:rsidR="00383EAA" w:rsidRPr="002D486D" w:rsidRDefault="00383EAA" w:rsidP="00F06281">
            <w:pPr>
              <w:keepLines/>
              <w:jc w:val="center"/>
              <w:rPr>
                <w:rFonts w:ascii="Arial Narrow" w:hAnsi="Arial Narrow"/>
                <w:color w:val="333333"/>
                <w:sz w:val="20"/>
                <w:szCs w:val="20"/>
              </w:rPr>
            </w:pPr>
          </w:p>
        </w:tc>
        <w:tc>
          <w:tcPr>
            <w:tcW w:w="4447" w:type="pct"/>
            <w:vAlign w:val="center"/>
          </w:tcPr>
          <w:p w14:paraId="1DDEC440" w14:textId="23CEA80E" w:rsidR="00383EAA" w:rsidRPr="002D486D" w:rsidRDefault="00383EAA" w:rsidP="00F06281">
            <w:pPr>
              <w:keepLines/>
              <w:rPr>
                <w:rFonts w:ascii="Arial Narrow" w:hAnsi="Arial Narrow"/>
                <w:b/>
                <w:bCs/>
                <w:color w:val="333333"/>
                <w:sz w:val="20"/>
                <w:szCs w:val="20"/>
              </w:rPr>
            </w:pPr>
            <w:r w:rsidRPr="002D486D">
              <w:rPr>
                <w:rFonts w:ascii="Arial Narrow" w:hAnsi="Arial Narrow"/>
                <w:color w:val="333333"/>
                <w:sz w:val="20"/>
                <w:szCs w:val="20"/>
              </w:rPr>
              <w:t>Patient must have been receiving a C1-esterase inhibitor through the National Blood Authority as routine prophylaxis for hereditary angioedema immediately prior to receiving this drug</w:t>
            </w:r>
          </w:p>
        </w:tc>
      </w:tr>
      <w:tr w:rsidR="00383EAA" w:rsidRPr="002D486D" w14:paraId="3BAAB602" w14:textId="77777777" w:rsidTr="00AE3496">
        <w:tc>
          <w:tcPr>
            <w:tcW w:w="553" w:type="pct"/>
            <w:vAlign w:val="center"/>
          </w:tcPr>
          <w:p w14:paraId="6C5183C5" w14:textId="77777777" w:rsidR="00383EAA" w:rsidRPr="002D486D" w:rsidRDefault="00383EAA" w:rsidP="00F06281">
            <w:pPr>
              <w:keepLines/>
              <w:jc w:val="center"/>
              <w:rPr>
                <w:rFonts w:ascii="Arial Narrow" w:hAnsi="Arial Narrow"/>
                <w:color w:val="333333"/>
                <w:sz w:val="20"/>
                <w:szCs w:val="20"/>
              </w:rPr>
            </w:pPr>
          </w:p>
        </w:tc>
        <w:tc>
          <w:tcPr>
            <w:tcW w:w="4447" w:type="pct"/>
            <w:vAlign w:val="center"/>
          </w:tcPr>
          <w:p w14:paraId="0E38FF66" w14:textId="77777777" w:rsidR="00383EAA" w:rsidRPr="002D486D" w:rsidRDefault="00383EAA" w:rsidP="00F06281">
            <w:pPr>
              <w:keepLines/>
              <w:rPr>
                <w:rFonts w:ascii="Arial Narrow" w:hAnsi="Arial Narrow"/>
                <w:b/>
                <w:bCs/>
                <w:color w:val="333333"/>
                <w:sz w:val="20"/>
                <w:szCs w:val="20"/>
              </w:rPr>
            </w:pPr>
            <w:r w:rsidRPr="002D486D">
              <w:rPr>
                <w:rFonts w:ascii="Arial Narrow" w:hAnsi="Arial Narrow"/>
                <w:b/>
                <w:bCs/>
                <w:color w:val="333333"/>
                <w:sz w:val="20"/>
                <w:szCs w:val="20"/>
              </w:rPr>
              <w:t>AND</w:t>
            </w:r>
          </w:p>
        </w:tc>
      </w:tr>
      <w:tr w:rsidR="00383EAA" w:rsidRPr="002D486D" w14:paraId="07AA9617" w14:textId="77777777" w:rsidTr="00AE3496">
        <w:tc>
          <w:tcPr>
            <w:tcW w:w="553" w:type="pct"/>
            <w:vAlign w:val="center"/>
          </w:tcPr>
          <w:p w14:paraId="1F154F48" w14:textId="61F28173" w:rsidR="00383EAA" w:rsidRPr="002D486D" w:rsidRDefault="00383EAA" w:rsidP="00F06281">
            <w:pPr>
              <w:keepLines/>
              <w:jc w:val="center"/>
              <w:rPr>
                <w:rFonts w:ascii="Arial Narrow" w:hAnsi="Arial Narrow"/>
                <w:color w:val="333333"/>
                <w:sz w:val="20"/>
                <w:szCs w:val="20"/>
              </w:rPr>
            </w:pPr>
          </w:p>
        </w:tc>
        <w:tc>
          <w:tcPr>
            <w:tcW w:w="4447" w:type="pct"/>
            <w:vAlign w:val="center"/>
          </w:tcPr>
          <w:p w14:paraId="0F8F4DDB" w14:textId="77777777" w:rsidR="00383EAA" w:rsidRPr="002D486D" w:rsidRDefault="00383EAA" w:rsidP="00F06281">
            <w:pPr>
              <w:keepLines/>
              <w:rPr>
                <w:rFonts w:ascii="Arial Narrow" w:hAnsi="Arial Narrow"/>
                <w:b/>
                <w:bCs/>
                <w:color w:val="333333"/>
                <w:sz w:val="20"/>
                <w:szCs w:val="20"/>
              </w:rPr>
            </w:pPr>
            <w:r w:rsidRPr="002D486D">
              <w:rPr>
                <w:rFonts w:ascii="Arial Narrow" w:hAnsi="Arial Narrow"/>
                <w:b/>
                <w:bCs/>
                <w:color w:val="333333"/>
                <w:sz w:val="20"/>
                <w:szCs w:val="20"/>
              </w:rPr>
              <w:t>Clinical criteria:</w:t>
            </w:r>
          </w:p>
        </w:tc>
      </w:tr>
      <w:tr w:rsidR="00383EAA" w:rsidRPr="002D486D" w14:paraId="1F144ADE" w14:textId="77777777" w:rsidTr="00AE3496">
        <w:tc>
          <w:tcPr>
            <w:tcW w:w="553" w:type="pct"/>
            <w:vAlign w:val="center"/>
          </w:tcPr>
          <w:p w14:paraId="364CA76E" w14:textId="2F5D04AD" w:rsidR="00383EAA" w:rsidRPr="002D486D" w:rsidRDefault="00383EAA" w:rsidP="00F06281">
            <w:pPr>
              <w:keepLines/>
              <w:jc w:val="center"/>
              <w:rPr>
                <w:rFonts w:ascii="Arial Narrow" w:hAnsi="Arial Narrow"/>
                <w:color w:val="333333"/>
                <w:sz w:val="20"/>
                <w:szCs w:val="20"/>
              </w:rPr>
            </w:pPr>
          </w:p>
        </w:tc>
        <w:tc>
          <w:tcPr>
            <w:tcW w:w="4447" w:type="pct"/>
            <w:vAlign w:val="center"/>
          </w:tcPr>
          <w:p w14:paraId="35BFEDD8" w14:textId="77777777" w:rsidR="00383EAA" w:rsidRPr="002D486D" w:rsidRDefault="00383EAA" w:rsidP="00F06281">
            <w:pPr>
              <w:keepLines/>
              <w:rPr>
                <w:rFonts w:ascii="Arial Narrow" w:hAnsi="Arial Narrow"/>
                <w:b/>
                <w:bCs/>
                <w:color w:val="333333"/>
                <w:sz w:val="20"/>
                <w:szCs w:val="20"/>
              </w:rPr>
            </w:pPr>
            <w:r w:rsidRPr="002D486D">
              <w:rPr>
                <w:rFonts w:ascii="Arial Narrow" w:hAnsi="Arial Narrow"/>
                <w:color w:val="333333"/>
                <w:sz w:val="20"/>
                <w:szCs w:val="20"/>
              </w:rPr>
              <w:t xml:space="preserve">The treatment must not be used in combination with either: (i) a C1-esterase inhibitor concentrate </w:t>
            </w:r>
            <w:r w:rsidRPr="002D486D">
              <w:rPr>
                <w:rFonts w:ascii="Arial Narrow" w:hAnsi="Arial Narrow"/>
                <w:strike/>
                <w:color w:val="333333"/>
                <w:sz w:val="20"/>
                <w:szCs w:val="20"/>
              </w:rPr>
              <w:t>or</w:t>
            </w:r>
            <w:r w:rsidRPr="002D486D">
              <w:rPr>
                <w:rFonts w:ascii="Arial Narrow" w:hAnsi="Arial Narrow"/>
                <w:color w:val="333333"/>
                <w:sz w:val="20"/>
                <w:szCs w:val="20"/>
              </w:rPr>
              <w:t xml:space="preserve"> (ii) lanadelumab</w:t>
            </w:r>
          </w:p>
        </w:tc>
      </w:tr>
      <w:tr w:rsidR="00383EAA" w:rsidRPr="002D486D" w14:paraId="6D9298B4" w14:textId="77777777" w:rsidTr="00AE3496">
        <w:tc>
          <w:tcPr>
            <w:tcW w:w="553" w:type="pct"/>
            <w:vAlign w:val="center"/>
          </w:tcPr>
          <w:p w14:paraId="6888E07E" w14:textId="77777777" w:rsidR="00383EAA" w:rsidRPr="002D486D" w:rsidRDefault="00383EAA" w:rsidP="00F06281">
            <w:pPr>
              <w:keepLines/>
              <w:jc w:val="center"/>
              <w:rPr>
                <w:rFonts w:ascii="Arial Narrow" w:hAnsi="Arial Narrow"/>
                <w:color w:val="333333"/>
                <w:sz w:val="20"/>
                <w:szCs w:val="20"/>
              </w:rPr>
            </w:pPr>
          </w:p>
        </w:tc>
        <w:tc>
          <w:tcPr>
            <w:tcW w:w="4447" w:type="pct"/>
            <w:vAlign w:val="center"/>
          </w:tcPr>
          <w:p w14:paraId="6619244D" w14:textId="77777777" w:rsidR="00383EAA" w:rsidRPr="002D486D" w:rsidRDefault="00383EAA" w:rsidP="00F06281">
            <w:pPr>
              <w:keepLines/>
              <w:rPr>
                <w:rFonts w:ascii="Arial Narrow" w:hAnsi="Arial Narrow"/>
                <w:b/>
                <w:bCs/>
                <w:color w:val="333333"/>
                <w:sz w:val="20"/>
                <w:szCs w:val="20"/>
              </w:rPr>
            </w:pPr>
            <w:r w:rsidRPr="002D486D">
              <w:rPr>
                <w:rFonts w:ascii="Arial Narrow" w:hAnsi="Arial Narrow"/>
                <w:b/>
                <w:bCs/>
                <w:color w:val="333333"/>
                <w:sz w:val="20"/>
                <w:szCs w:val="20"/>
              </w:rPr>
              <w:t>AND</w:t>
            </w:r>
          </w:p>
        </w:tc>
      </w:tr>
      <w:tr w:rsidR="00383EAA" w:rsidRPr="002D486D" w14:paraId="0FF47B8D" w14:textId="77777777" w:rsidTr="00AE3496">
        <w:tc>
          <w:tcPr>
            <w:tcW w:w="553" w:type="pct"/>
            <w:vAlign w:val="center"/>
          </w:tcPr>
          <w:p w14:paraId="2BF91F76" w14:textId="1E8929E8" w:rsidR="00383EAA" w:rsidRPr="002D486D" w:rsidRDefault="00383EAA" w:rsidP="00F06281">
            <w:pPr>
              <w:keepLines/>
              <w:jc w:val="center"/>
              <w:rPr>
                <w:rFonts w:ascii="Arial Narrow" w:hAnsi="Arial Narrow"/>
                <w:color w:val="333333"/>
                <w:sz w:val="20"/>
                <w:szCs w:val="20"/>
              </w:rPr>
            </w:pPr>
          </w:p>
        </w:tc>
        <w:tc>
          <w:tcPr>
            <w:tcW w:w="4447" w:type="pct"/>
            <w:vAlign w:val="center"/>
          </w:tcPr>
          <w:p w14:paraId="0F38C544" w14:textId="77777777" w:rsidR="00383EAA" w:rsidRPr="002D486D" w:rsidRDefault="00383EAA" w:rsidP="00F06281">
            <w:pPr>
              <w:keepLines/>
              <w:rPr>
                <w:rFonts w:ascii="Arial Narrow" w:hAnsi="Arial Narrow"/>
                <w:b/>
                <w:bCs/>
                <w:color w:val="333333"/>
                <w:sz w:val="20"/>
                <w:szCs w:val="20"/>
              </w:rPr>
            </w:pPr>
            <w:r w:rsidRPr="002D486D">
              <w:rPr>
                <w:rFonts w:ascii="Arial Narrow" w:hAnsi="Arial Narrow"/>
                <w:b/>
                <w:bCs/>
                <w:color w:val="333333"/>
                <w:sz w:val="20"/>
                <w:szCs w:val="20"/>
              </w:rPr>
              <w:t>Treatment criteria:</w:t>
            </w:r>
          </w:p>
        </w:tc>
      </w:tr>
      <w:tr w:rsidR="00383EAA" w:rsidRPr="002D486D" w14:paraId="76C016BB" w14:textId="77777777" w:rsidTr="00AE3496">
        <w:tc>
          <w:tcPr>
            <w:tcW w:w="553" w:type="pct"/>
            <w:vAlign w:val="center"/>
          </w:tcPr>
          <w:p w14:paraId="31348C64" w14:textId="0F196095" w:rsidR="00383EAA" w:rsidRPr="002D486D" w:rsidRDefault="00383EAA" w:rsidP="00F06281">
            <w:pPr>
              <w:keepLines/>
              <w:jc w:val="center"/>
              <w:rPr>
                <w:rFonts w:ascii="Arial Narrow" w:hAnsi="Arial Narrow"/>
                <w:color w:val="333333"/>
                <w:sz w:val="20"/>
                <w:szCs w:val="20"/>
              </w:rPr>
            </w:pPr>
          </w:p>
        </w:tc>
        <w:tc>
          <w:tcPr>
            <w:tcW w:w="4447" w:type="pct"/>
            <w:vAlign w:val="center"/>
          </w:tcPr>
          <w:p w14:paraId="47FAACB2" w14:textId="77777777" w:rsidR="00383EAA" w:rsidRPr="002D486D" w:rsidRDefault="00383EAA" w:rsidP="00F06281">
            <w:pPr>
              <w:keepLines/>
              <w:rPr>
                <w:rFonts w:ascii="Arial Narrow" w:hAnsi="Arial Narrow"/>
                <w:b/>
                <w:bCs/>
                <w:color w:val="333333"/>
                <w:sz w:val="20"/>
                <w:szCs w:val="20"/>
              </w:rPr>
            </w:pPr>
            <w:r w:rsidRPr="002D486D">
              <w:rPr>
                <w:rFonts w:ascii="Arial Narrow" w:hAnsi="Arial Narrow" w:cs="Arial Narrow"/>
                <w:sz w:val="20"/>
                <w:szCs w:val="20"/>
              </w:rPr>
              <w:t>Must be treated by a clinical immunologist or a specialist allergist</w:t>
            </w:r>
          </w:p>
        </w:tc>
      </w:tr>
      <w:tr w:rsidR="006F2900" w:rsidRPr="002D486D" w14:paraId="7686C302" w14:textId="77777777" w:rsidTr="00AE3496">
        <w:tc>
          <w:tcPr>
            <w:tcW w:w="553" w:type="pct"/>
            <w:vAlign w:val="center"/>
          </w:tcPr>
          <w:p w14:paraId="5F878446" w14:textId="3727E310" w:rsidR="006F2900" w:rsidRPr="002D486D" w:rsidRDefault="006F2900" w:rsidP="00F06281">
            <w:pPr>
              <w:keepLines/>
              <w:jc w:val="center"/>
              <w:rPr>
                <w:rFonts w:ascii="Arial Narrow" w:hAnsi="Arial Narrow"/>
                <w:color w:val="333333"/>
                <w:sz w:val="20"/>
                <w:szCs w:val="20"/>
              </w:rPr>
            </w:pPr>
          </w:p>
        </w:tc>
        <w:tc>
          <w:tcPr>
            <w:tcW w:w="4447" w:type="pct"/>
            <w:vAlign w:val="center"/>
          </w:tcPr>
          <w:p w14:paraId="46E2A081" w14:textId="77777777" w:rsidR="006F2900" w:rsidRPr="00CA3AFF" w:rsidRDefault="006F2900" w:rsidP="00F06281">
            <w:pPr>
              <w:rPr>
                <w:rFonts w:ascii="Arial Narrow" w:hAnsi="Arial Narrow"/>
                <w:b/>
                <w:bCs/>
                <w:sz w:val="20"/>
                <w:szCs w:val="20"/>
              </w:rPr>
            </w:pPr>
            <w:r w:rsidRPr="00CA3AFF">
              <w:rPr>
                <w:rFonts w:ascii="Arial Narrow" w:hAnsi="Arial Narrow"/>
                <w:b/>
                <w:bCs/>
                <w:sz w:val="20"/>
                <w:szCs w:val="20"/>
              </w:rPr>
              <w:t>Administrative Advice:</w:t>
            </w:r>
          </w:p>
          <w:p w14:paraId="7F344C87" w14:textId="77777777" w:rsidR="006F2900" w:rsidRPr="00CA3AFF" w:rsidRDefault="006F2900" w:rsidP="00F06281">
            <w:pPr>
              <w:rPr>
                <w:rFonts w:ascii="Arial Narrow" w:hAnsi="Arial Narrow"/>
                <w:bCs/>
                <w:sz w:val="20"/>
                <w:szCs w:val="20"/>
              </w:rPr>
            </w:pPr>
            <w:r w:rsidRPr="00CA3AFF">
              <w:rPr>
                <w:rFonts w:ascii="Arial Narrow" w:hAnsi="Arial Narrow"/>
                <w:bCs/>
                <w:sz w:val="20"/>
                <w:szCs w:val="20"/>
              </w:rPr>
              <w:t>Any queries concerning the arrangements to prescribe may be directed to</w:t>
            </w:r>
            <w:r w:rsidRPr="00CA3AFF">
              <w:rPr>
                <w:rFonts w:ascii="Arial" w:hAnsi="Arial"/>
                <w:bCs/>
                <w:sz w:val="20"/>
                <w:szCs w:val="20"/>
              </w:rPr>
              <w:t> </w:t>
            </w:r>
            <w:r w:rsidRPr="00CA3AFF">
              <w:rPr>
                <w:rFonts w:ascii="Arial Narrow" w:hAnsi="Arial Narrow"/>
                <w:bCs/>
                <w:sz w:val="20"/>
                <w:szCs w:val="20"/>
              </w:rPr>
              <w:t>Services Australia</w:t>
            </w:r>
            <w:r w:rsidRPr="00CA3AFF">
              <w:rPr>
                <w:rFonts w:ascii="Arial" w:hAnsi="Arial"/>
                <w:bCs/>
                <w:sz w:val="20"/>
                <w:szCs w:val="20"/>
              </w:rPr>
              <w:t> </w:t>
            </w:r>
            <w:r w:rsidRPr="00CA3AFF">
              <w:rPr>
                <w:rFonts w:ascii="Arial Narrow" w:hAnsi="Arial Narrow"/>
                <w:bCs/>
                <w:sz w:val="20"/>
                <w:szCs w:val="20"/>
              </w:rPr>
              <w:t>on 1800 700 270 (hours of operation 8 a.m. to 5 p.m. Monday to Friday). </w:t>
            </w:r>
          </w:p>
          <w:p w14:paraId="1468C4D1" w14:textId="774C707A" w:rsidR="006F2900" w:rsidRPr="00CA3AFF" w:rsidRDefault="006F2900" w:rsidP="00F06281">
            <w:pPr>
              <w:rPr>
                <w:rFonts w:ascii="Arial Narrow" w:hAnsi="Arial Narrow"/>
                <w:bCs/>
                <w:sz w:val="20"/>
                <w:szCs w:val="20"/>
              </w:rPr>
            </w:pPr>
            <w:r w:rsidRPr="00CA3AFF">
              <w:rPr>
                <w:rFonts w:ascii="Arial Narrow" w:hAnsi="Arial Narrow"/>
                <w:bCs/>
                <w:sz w:val="20"/>
                <w:szCs w:val="20"/>
              </w:rPr>
              <w:t>Prescribing information (including Authority Application forms and other relevant documentation as applicable) is available on the</w:t>
            </w:r>
            <w:r w:rsidRPr="00CA3AFF">
              <w:rPr>
                <w:rFonts w:ascii="Arial" w:hAnsi="Arial"/>
                <w:bCs/>
                <w:sz w:val="20"/>
                <w:szCs w:val="20"/>
              </w:rPr>
              <w:t> </w:t>
            </w:r>
            <w:r w:rsidRPr="00CA3AFF">
              <w:rPr>
                <w:rFonts w:ascii="Arial Narrow" w:hAnsi="Arial Narrow"/>
                <w:bCs/>
                <w:sz w:val="20"/>
                <w:szCs w:val="20"/>
              </w:rPr>
              <w:t>Services Australia</w:t>
            </w:r>
            <w:r w:rsidRPr="00CA3AFF">
              <w:rPr>
                <w:rFonts w:ascii="Arial" w:hAnsi="Arial"/>
                <w:bCs/>
                <w:sz w:val="20"/>
                <w:szCs w:val="20"/>
              </w:rPr>
              <w:t> </w:t>
            </w:r>
            <w:r w:rsidRPr="00CA3AFF">
              <w:rPr>
                <w:rFonts w:ascii="Arial Narrow" w:hAnsi="Arial Narrow"/>
                <w:bCs/>
                <w:sz w:val="20"/>
                <w:szCs w:val="20"/>
              </w:rPr>
              <w:t xml:space="preserve">website at </w:t>
            </w:r>
            <w:hyperlink r:id="rId10" w:history="1">
              <w:r w:rsidRPr="00CA3AFF">
                <w:rPr>
                  <w:rStyle w:val="Hyperlink"/>
                  <w:rFonts w:ascii="Arial Narrow" w:eastAsiaTheme="majorEastAsia" w:hAnsi="Arial Narrow"/>
                  <w:sz w:val="20"/>
                  <w:szCs w:val="20"/>
                </w:rPr>
                <w:t>www.servicesaustralia.gov.au</w:t>
              </w:r>
            </w:hyperlink>
            <w:r w:rsidRPr="00CA3AFF">
              <w:rPr>
                <w:rFonts w:ascii="Arial Narrow" w:hAnsi="Arial Narrow"/>
                <w:bCs/>
                <w:sz w:val="20"/>
                <w:szCs w:val="20"/>
              </w:rPr>
              <w:t> </w:t>
            </w:r>
          </w:p>
          <w:p w14:paraId="12533D73" w14:textId="42668F7F" w:rsidR="006F2900" w:rsidRPr="00CA3AFF" w:rsidRDefault="006F2900" w:rsidP="00F06281">
            <w:pPr>
              <w:rPr>
                <w:rFonts w:ascii="Arial Narrow" w:hAnsi="Arial Narrow"/>
                <w:bCs/>
                <w:sz w:val="20"/>
                <w:szCs w:val="20"/>
              </w:rPr>
            </w:pPr>
            <w:r w:rsidRPr="00CA3AFF">
              <w:rPr>
                <w:rFonts w:ascii="Arial Narrow" w:hAnsi="Arial Narrow"/>
                <w:bCs/>
                <w:sz w:val="20"/>
                <w:szCs w:val="20"/>
              </w:rPr>
              <w:t xml:space="preserve">Applications for authority to prescribe should be submitted online using the form upload facility in Health Professional Online Services (HPOS) at </w:t>
            </w:r>
            <w:hyperlink r:id="rId11" w:history="1">
              <w:r w:rsidRPr="00CA3AFF">
                <w:rPr>
                  <w:rStyle w:val="Hyperlink"/>
                  <w:rFonts w:ascii="Arial Narrow" w:eastAsiaTheme="majorEastAsia" w:hAnsi="Arial Narrow"/>
                  <w:sz w:val="20"/>
                  <w:szCs w:val="20"/>
                </w:rPr>
                <w:t>www.servicesaustralia.gov.au/hpos</w:t>
              </w:r>
            </w:hyperlink>
            <w:r w:rsidRPr="00CA3AFF">
              <w:rPr>
                <w:rFonts w:ascii="Arial Narrow" w:hAnsi="Arial Narrow"/>
                <w:bCs/>
                <w:sz w:val="20"/>
                <w:szCs w:val="20"/>
              </w:rPr>
              <w:t> </w:t>
            </w:r>
          </w:p>
          <w:p w14:paraId="1E692F1C" w14:textId="77777777" w:rsidR="006F2900" w:rsidRPr="00CA3AFF" w:rsidRDefault="006F2900" w:rsidP="00F06281">
            <w:pPr>
              <w:rPr>
                <w:rFonts w:ascii="Arial Narrow" w:hAnsi="Arial Narrow"/>
                <w:bCs/>
                <w:sz w:val="20"/>
                <w:szCs w:val="20"/>
              </w:rPr>
            </w:pPr>
            <w:r w:rsidRPr="00CA3AFF">
              <w:rPr>
                <w:rFonts w:ascii="Arial Narrow" w:hAnsi="Arial Narrow"/>
                <w:bCs/>
                <w:sz w:val="20"/>
                <w:szCs w:val="20"/>
              </w:rPr>
              <w:t>Or mailed to: </w:t>
            </w:r>
          </w:p>
          <w:p w14:paraId="4440FFD7" w14:textId="77777777" w:rsidR="006F2900" w:rsidRPr="00CA3AFF" w:rsidRDefault="006F2900" w:rsidP="00F06281">
            <w:pPr>
              <w:rPr>
                <w:rFonts w:ascii="Arial Narrow" w:hAnsi="Arial Narrow"/>
                <w:bCs/>
                <w:sz w:val="20"/>
                <w:szCs w:val="20"/>
              </w:rPr>
            </w:pPr>
            <w:r w:rsidRPr="00CA3AFF">
              <w:rPr>
                <w:rFonts w:ascii="Arial Narrow" w:hAnsi="Arial Narrow"/>
                <w:bCs/>
                <w:sz w:val="20"/>
                <w:szCs w:val="20"/>
              </w:rPr>
              <w:t>Services Australia </w:t>
            </w:r>
          </w:p>
          <w:p w14:paraId="0CA3BD91" w14:textId="77777777" w:rsidR="006F2900" w:rsidRPr="00CA3AFF" w:rsidRDefault="006F2900" w:rsidP="00F06281">
            <w:pPr>
              <w:rPr>
                <w:rFonts w:ascii="Arial Narrow" w:hAnsi="Arial Narrow"/>
                <w:bCs/>
                <w:sz w:val="20"/>
                <w:szCs w:val="20"/>
              </w:rPr>
            </w:pPr>
            <w:r w:rsidRPr="00CA3AFF">
              <w:rPr>
                <w:rFonts w:ascii="Arial Narrow" w:hAnsi="Arial Narrow"/>
                <w:bCs/>
                <w:sz w:val="20"/>
                <w:szCs w:val="20"/>
              </w:rPr>
              <w:t>Complex Drugs </w:t>
            </w:r>
          </w:p>
          <w:p w14:paraId="00AC0AB8" w14:textId="77777777" w:rsidR="006F2900" w:rsidRPr="00CA3AFF" w:rsidRDefault="006F2900" w:rsidP="00F06281">
            <w:pPr>
              <w:rPr>
                <w:rFonts w:ascii="Arial Narrow" w:hAnsi="Arial Narrow"/>
                <w:bCs/>
                <w:sz w:val="20"/>
                <w:szCs w:val="20"/>
              </w:rPr>
            </w:pPr>
            <w:r w:rsidRPr="00CA3AFF">
              <w:rPr>
                <w:rFonts w:ascii="Arial Narrow" w:hAnsi="Arial Narrow"/>
                <w:bCs/>
                <w:sz w:val="20"/>
                <w:szCs w:val="20"/>
              </w:rPr>
              <w:t>Reply Paid 9826 </w:t>
            </w:r>
          </w:p>
          <w:p w14:paraId="6CEA608C" w14:textId="6A702EC9" w:rsidR="006F2900" w:rsidRPr="004F678D" w:rsidRDefault="006F2900" w:rsidP="00F06281">
            <w:pPr>
              <w:keepLines/>
              <w:rPr>
                <w:rFonts w:ascii="Arial Narrow" w:hAnsi="Arial Narrow"/>
                <w:bCs/>
                <w:sz w:val="20"/>
                <w:szCs w:val="20"/>
              </w:rPr>
            </w:pPr>
            <w:r w:rsidRPr="00CA3AFF">
              <w:rPr>
                <w:rFonts w:ascii="Arial Narrow" w:hAnsi="Arial Narrow"/>
                <w:bCs/>
                <w:sz w:val="20"/>
                <w:szCs w:val="20"/>
              </w:rPr>
              <w:t>HOBART TAS 7001 </w:t>
            </w:r>
          </w:p>
        </w:tc>
      </w:tr>
    </w:tbl>
    <w:p w14:paraId="2AF41026" w14:textId="77777777" w:rsidR="00383EAA" w:rsidRDefault="00383EAA" w:rsidP="00F06281">
      <w:pPr>
        <w:rPr>
          <w:rFonts w:ascii="Arial Narrow" w:hAnsi="Arial Narrow"/>
          <w:b/>
          <w:sz w:val="20"/>
          <w:szCs w:val="20"/>
          <w:lang w:val="en-GB"/>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6"/>
        <w:gridCol w:w="7941"/>
      </w:tblGrid>
      <w:tr w:rsidR="00383EAA" w:rsidRPr="002D486D" w14:paraId="35C193C2" w14:textId="77777777" w:rsidTr="00F61314">
        <w:tc>
          <w:tcPr>
            <w:tcW w:w="552" w:type="pct"/>
            <w:vAlign w:val="center"/>
          </w:tcPr>
          <w:p w14:paraId="701C5559" w14:textId="51C41A66" w:rsidR="00383EAA" w:rsidRPr="002D486D" w:rsidRDefault="00383EAA" w:rsidP="00F06281">
            <w:pPr>
              <w:jc w:val="center"/>
              <w:rPr>
                <w:rFonts w:ascii="Arial Narrow" w:hAnsi="Arial Narrow"/>
                <w:color w:val="333333"/>
                <w:sz w:val="20"/>
                <w:szCs w:val="20"/>
              </w:rPr>
            </w:pPr>
          </w:p>
        </w:tc>
        <w:tc>
          <w:tcPr>
            <w:tcW w:w="4448" w:type="pct"/>
            <w:vAlign w:val="center"/>
          </w:tcPr>
          <w:p w14:paraId="0A03257B" w14:textId="77777777" w:rsidR="00383EAA" w:rsidRPr="002D486D" w:rsidRDefault="00383EAA" w:rsidP="00F06281">
            <w:pPr>
              <w:rPr>
                <w:rFonts w:ascii="Arial Narrow" w:hAnsi="Arial Narrow"/>
                <w:b/>
                <w:bCs/>
                <w:color w:val="333333"/>
                <w:sz w:val="20"/>
                <w:szCs w:val="20"/>
              </w:rPr>
            </w:pPr>
            <w:r w:rsidRPr="002D486D">
              <w:rPr>
                <w:rFonts w:ascii="Arial Narrow" w:hAnsi="Arial Narrow"/>
                <w:b/>
                <w:bCs/>
                <w:color w:val="333333"/>
                <w:sz w:val="20"/>
                <w:szCs w:val="20"/>
              </w:rPr>
              <w:t>Indication:</w:t>
            </w:r>
            <w:r w:rsidRPr="002D486D">
              <w:rPr>
                <w:rFonts w:ascii="Arial Narrow" w:hAnsi="Arial Narrow"/>
                <w:color w:val="333333"/>
                <w:sz w:val="20"/>
                <w:szCs w:val="20"/>
              </w:rPr>
              <w:t xml:space="preserve"> Chronic treatment of hereditary angioedema Types 1 or 2</w:t>
            </w:r>
          </w:p>
        </w:tc>
      </w:tr>
      <w:tr w:rsidR="00383EAA" w:rsidRPr="002D486D" w14:paraId="6F1AA505" w14:textId="77777777" w:rsidTr="00F61314">
        <w:tc>
          <w:tcPr>
            <w:tcW w:w="552" w:type="pct"/>
            <w:vAlign w:val="center"/>
          </w:tcPr>
          <w:p w14:paraId="5E4E5C88" w14:textId="77777777" w:rsidR="00383EAA" w:rsidRPr="002D486D" w:rsidRDefault="00383EAA" w:rsidP="00F06281">
            <w:pPr>
              <w:jc w:val="center"/>
              <w:rPr>
                <w:rFonts w:ascii="Arial Narrow" w:hAnsi="Arial Narrow"/>
                <w:color w:val="333333"/>
                <w:sz w:val="20"/>
                <w:szCs w:val="20"/>
              </w:rPr>
            </w:pPr>
          </w:p>
        </w:tc>
        <w:tc>
          <w:tcPr>
            <w:tcW w:w="4448" w:type="pct"/>
            <w:vAlign w:val="center"/>
          </w:tcPr>
          <w:p w14:paraId="7F40AC30" w14:textId="44EAF004" w:rsidR="00383EAA" w:rsidRPr="002D486D" w:rsidRDefault="00383EAA" w:rsidP="00F06281">
            <w:pPr>
              <w:rPr>
                <w:rFonts w:ascii="Arial Narrow" w:hAnsi="Arial Narrow"/>
                <w:b/>
                <w:bCs/>
                <w:color w:val="333333"/>
                <w:sz w:val="20"/>
                <w:szCs w:val="20"/>
              </w:rPr>
            </w:pPr>
            <w:r w:rsidRPr="002D486D">
              <w:rPr>
                <w:rFonts w:ascii="Arial Narrow" w:hAnsi="Arial Narrow"/>
                <w:b/>
                <w:bCs/>
                <w:color w:val="333333"/>
                <w:sz w:val="20"/>
                <w:szCs w:val="20"/>
              </w:rPr>
              <w:t>Treatment Phase:</w:t>
            </w:r>
            <w:r w:rsidRPr="002D486D">
              <w:rPr>
                <w:rFonts w:ascii="Arial Narrow" w:hAnsi="Arial Narrow"/>
                <w:color w:val="333333"/>
                <w:sz w:val="20"/>
                <w:szCs w:val="20"/>
              </w:rPr>
              <w:t xml:space="preserve"> Initial 3: New patient (transitioning from PBS-subsidised lanadelumab)</w:t>
            </w:r>
          </w:p>
        </w:tc>
      </w:tr>
      <w:tr w:rsidR="00383EAA" w:rsidRPr="002D486D" w14:paraId="2C41986F" w14:textId="77777777" w:rsidTr="00F61314">
        <w:tc>
          <w:tcPr>
            <w:tcW w:w="552" w:type="pct"/>
            <w:vAlign w:val="center"/>
          </w:tcPr>
          <w:p w14:paraId="6C39AD1F" w14:textId="6B35921E" w:rsidR="00383EAA" w:rsidRPr="002D486D" w:rsidRDefault="00383EAA" w:rsidP="00F06281">
            <w:pPr>
              <w:jc w:val="center"/>
              <w:rPr>
                <w:rFonts w:ascii="Arial Narrow" w:hAnsi="Arial Narrow"/>
                <w:color w:val="333333"/>
                <w:sz w:val="20"/>
                <w:szCs w:val="20"/>
              </w:rPr>
            </w:pPr>
          </w:p>
        </w:tc>
        <w:tc>
          <w:tcPr>
            <w:tcW w:w="4448" w:type="pct"/>
            <w:vAlign w:val="center"/>
          </w:tcPr>
          <w:p w14:paraId="7BB36549" w14:textId="77777777" w:rsidR="00383EAA" w:rsidRPr="002D486D" w:rsidRDefault="00383EAA" w:rsidP="00F06281">
            <w:pPr>
              <w:rPr>
                <w:rFonts w:ascii="Arial Narrow" w:hAnsi="Arial Narrow"/>
                <w:b/>
                <w:bCs/>
                <w:color w:val="333333"/>
                <w:sz w:val="20"/>
                <w:szCs w:val="20"/>
              </w:rPr>
            </w:pPr>
            <w:r w:rsidRPr="002D486D">
              <w:rPr>
                <w:rFonts w:ascii="Arial Narrow" w:hAnsi="Arial Narrow"/>
                <w:b/>
                <w:bCs/>
                <w:color w:val="333333"/>
                <w:sz w:val="20"/>
                <w:szCs w:val="20"/>
              </w:rPr>
              <w:t>Clinical criteria:</w:t>
            </w:r>
          </w:p>
        </w:tc>
      </w:tr>
      <w:tr w:rsidR="00383EAA" w:rsidRPr="002D486D" w14:paraId="46987D1C" w14:textId="77777777" w:rsidTr="00F61314">
        <w:tc>
          <w:tcPr>
            <w:tcW w:w="552" w:type="pct"/>
            <w:vAlign w:val="center"/>
          </w:tcPr>
          <w:p w14:paraId="6B8197FD" w14:textId="01338BA7" w:rsidR="00383EAA" w:rsidRPr="002D486D" w:rsidRDefault="00383EAA" w:rsidP="00F06281">
            <w:pPr>
              <w:jc w:val="center"/>
              <w:rPr>
                <w:rFonts w:ascii="Arial Narrow" w:hAnsi="Arial Narrow"/>
                <w:color w:val="333333"/>
                <w:sz w:val="20"/>
                <w:szCs w:val="20"/>
              </w:rPr>
            </w:pPr>
          </w:p>
        </w:tc>
        <w:tc>
          <w:tcPr>
            <w:tcW w:w="4448" w:type="pct"/>
            <w:vAlign w:val="center"/>
          </w:tcPr>
          <w:p w14:paraId="65B0B18E" w14:textId="4C513EC5" w:rsidR="00383EAA" w:rsidRPr="002D486D" w:rsidRDefault="00383EAA" w:rsidP="00F06281">
            <w:pPr>
              <w:rPr>
                <w:rFonts w:ascii="Arial Narrow" w:hAnsi="Arial Narrow"/>
                <w:b/>
                <w:bCs/>
                <w:strike/>
                <w:color w:val="333333"/>
                <w:sz w:val="20"/>
                <w:szCs w:val="20"/>
              </w:rPr>
            </w:pPr>
            <w:r w:rsidRPr="002D486D">
              <w:rPr>
                <w:rFonts w:ascii="Arial Narrow" w:hAnsi="Arial Narrow"/>
                <w:color w:val="333333"/>
                <w:sz w:val="20"/>
                <w:szCs w:val="20"/>
              </w:rPr>
              <w:t>Patient must have been receiving lanadelumab through the PBS as routine prophylaxis for hereditary angioedema immediately prior to receiving this drug</w:t>
            </w:r>
            <w:r>
              <w:rPr>
                <w:rFonts w:ascii="Arial Narrow" w:hAnsi="Arial Narrow"/>
                <w:color w:val="333333"/>
                <w:sz w:val="20"/>
                <w:szCs w:val="20"/>
              </w:rPr>
              <w:t>.</w:t>
            </w:r>
          </w:p>
        </w:tc>
      </w:tr>
      <w:tr w:rsidR="00383EAA" w:rsidRPr="002D486D" w14:paraId="73B0F378" w14:textId="77777777" w:rsidTr="00F61314">
        <w:tc>
          <w:tcPr>
            <w:tcW w:w="552" w:type="pct"/>
            <w:vAlign w:val="center"/>
          </w:tcPr>
          <w:p w14:paraId="630483EB" w14:textId="77777777" w:rsidR="00383EAA" w:rsidRPr="002D486D" w:rsidRDefault="00383EAA" w:rsidP="00F06281">
            <w:pPr>
              <w:jc w:val="center"/>
              <w:rPr>
                <w:rFonts w:ascii="Arial Narrow" w:hAnsi="Arial Narrow"/>
                <w:color w:val="333333"/>
                <w:sz w:val="20"/>
                <w:szCs w:val="20"/>
              </w:rPr>
            </w:pPr>
          </w:p>
        </w:tc>
        <w:tc>
          <w:tcPr>
            <w:tcW w:w="4448" w:type="pct"/>
            <w:vAlign w:val="center"/>
          </w:tcPr>
          <w:p w14:paraId="3F45CC07" w14:textId="77777777" w:rsidR="00383EAA" w:rsidRPr="002D486D" w:rsidRDefault="00383EAA" w:rsidP="00F06281">
            <w:pPr>
              <w:rPr>
                <w:rFonts w:ascii="Arial Narrow" w:hAnsi="Arial Narrow"/>
                <w:b/>
                <w:bCs/>
                <w:color w:val="333333"/>
                <w:sz w:val="20"/>
                <w:szCs w:val="20"/>
              </w:rPr>
            </w:pPr>
            <w:r w:rsidRPr="002D486D">
              <w:rPr>
                <w:rFonts w:ascii="Arial Narrow" w:hAnsi="Arial Narrow"/>
                <w:b/>
                <w:bCs/>
                <w:color w:val="333333"/>
                <w:sz w:val="20"/>
                <w:szCs w:val="20"/>
              </w:rPr>
              <w:t>AND</w:t>
            </w:r>
          </w:p>
        </w:tc>
      </w:tr>
      <w:tr w:rsidR="00383EAA" w:rsidRPr="002D486D" w14:paraId="60F55F08" w14:textId="77777777" w:rsidTr="00F61314">
        <w:tc>
          <w:tcPr>
            <w:tcW w:w="552" w:type="pct"/>
            <w:vAlign w:val="center"/>
          </w:tcPr>
          <w:p w14:paraId="66793502" w14:textId="77777777" w:rsidR="00383EAA" w:rsidRPr="002D486D" w:rsidRDefault="00383EAA" w:rsidP="00F06281">
            <w:pPr>
              <w:jc w:val="center"/>
              <w:rPr>
                <w:rFonts w:ascii="Arial Narrow" w:hAnsi="Arial Narrow"/>
                <w:color w:val="333333"/>
                <w:sz w:val="20"/>
                <w:szCs w:val="20"/>
              </w:rPr>
            </w:pPr>
          </w:p>
        </w:tc>
        <w:tc>
          <w:tcPr>
            <w:tcW w:w="4448" w:type="pct"/>
            <w:vAlign w:val="center"/>
          </w:tcPr>
          <w:p w14:paraId="52F375A7" w14:textId="77777777" w:rsidR="00383EAA" w:rsidRPr="002D486D" w:rsidRDefault="00383EAA" w:rsidP="00F06281">
            <w:pPr>
              <w:rPr>
                <w:rFonts w:ascii="Arial Narrow" w:hAnsi="Arial Narrow"/>
                <w:b/>
                <w:bCs/>
                <w:color w:val="333333"/>
                <w:sz w:val="20"/>
                <w:szCs w:val="20"/>
              </w:rPr>
            </w:pPr>
            <w:r w:rsidRPr="002D486D">
              <w:rPr>
                <w:rFonts w:ascii="Arial Narrow" w:hAnsi="Arial Narrow"/>
                <w:b/>
                <w:bCs/>
                <w:color w:val="333333"/>
                <w:sz w:val="20"/>
                <w:szCs w:val="20"/>
              </w:rPr>
              <w:t>Clinical criteria:</w:t>
            </w:r>
          </w:p>
        </w:tc>
      </w:tr>
      <w:tr w:rsidR="00383EAA" w:rsidRPr="002D486D" w14:paraId="496874A7" w14:textId="77777777" w:rsidTr="00F61314">
        <w:tc>
          <w:tcPr>
            <w:tcW w:w="552" w:type="pct"/>
            <w:vAlign w:val="center"/>
          </w:tcPr>
          <w:p w14:paraId="32656F8E" w14:textId="36225565" w:rsidR="00383EAA" w:rsidRPr="002D486D" w:rsidRDefault="00383EAA" w:rsidP="00F06281">
            <w:pPr>
              <w:jc w:val="center"/>
              <w:rPr>
                <w:rFonts w:ascii="Arial Narrow" w:hAnsi="Arial Narrow"/>
                <w:color w:val="333333"/>
                <w:sz w:val="20"/>
                <w:szCs w:val="20"/>
              </w:rPr>
            </w:pPr>
          </w:p>
        </w:tc>
        <w:tc>
          <w:tcPr>
            <w:tcW w:w="4448" w:type="pct"/>
            <w:vAlign w:val="center"/>
          </w:tcPr>
          <w:p w14:paraId="78755C72" w14:textId="408B71AA" w:rsidR="00383EAA" w:rsidRPr="002D486D" w:rsidRDefault="00383EAA" w:rsidP="00F06281">
            <w:pPr>
              <w:rPr>
                <w:rFonts w:ascii="Arial Narrow" w:hAnsi="Arial Narrow"/>
                <w:b/>
                <w:bCs/>
                <w:color w:val="333333"/>
                <w:sz w:val="20"/>
                <w:szCs w:val="20"/>
              </w:rPr>
            </w:pPr>
            <w:r w:rsidRPr="002D486D">
              <w:rPr>
                <w:rFonts w:ascii="Arial Narrow" w:hAnsi="Arial Narrow"/>
                <w:color w:val="333333"/>
                <w:sz w:val="20"/>
                <w:szCs w:val="20"/>
              </w:rPr>
              <w:t>The treatment must not be used in combination with either: (i) a C1-esterase inhibitor concentrate (ii) lanadelumab</w:t>
            </w:r>
          </w:p>
        </w:tc>
      </w:tr>
      <w:tr w:rsidR="00383EAA" w:rsidRPr="002D486D" w14:paraId="49AFD463" w14:textId="77777777" w:rsidTr="00F61314">
        <w:tc>
          <w:tcPr>
            <w:tcW w:w="552" w:type="pct"/>
            <w:vAlign w:val="center"/>
          </w:tcPr>
          <w:p w14:paraId="47501298" w14:textId="77777777" w:rsidR="00383EAA" w:rsidRPr="002D486D" w:rsidRDefault="00383EAA" w:rsidP="00F06281">
            <w:pPr>
              <w:jc w:val="center"/>
              <w:rPr>
                <w:rFonts w:ascii="Arial Narrow" w:hAnsi="Arial Narrow"/>
                <w:color w:val="333333"/>
                <w:sz w:val="20"/>
                <w:szCs w:val="20"/>
              </w:rPr>
            </w:pPr>
          </w:p>
        </w:tc>
        <w:tc>
          <w:tcPr>
            <w:tcW w:w="4448" w:type="pct"/>
            <w:vAlign w:val="center"/>
          </w:tcPr>
          <w:p w14:paraId="65E62895" w14:textId="77777777" w:rsidR="00383EAA" w:rsidRPr="002D486D" w:rsidRDefault="00383EAA" w:rsidP="00F06281">
            <w:pPr>
              <w:rPr>
                <w:rFonts w:ascii="Arial Narrow" w:hAnsi="Arial Narrow"/>
                <w:b/>
                <w:bCs/>
                <w:color w:val="333333"/>
                <w:sz w:val="20"/>
                <w:szCs w:val="20"/>
              </w:rPr>
            </w:pPr>
            <w:r w:rsidRPr="002D486D">
              <w:rPr>
                <w:rFonts w:ascii="Arial Narrow" w:hAnsi="Arial Narrow"/>
                <w:b/>
                <w:bCs/>
                <w:color w:val="333333"/>
                <w:sz w:val="20"/>
                <w:szCs w:val="20"/>
              </w:rPr>
              <w:t>AND</w:t>
            </w:r>
          </w:p>
        </w:tc>
      </w:tr>
      <w:tr w:rsidR="00383EAA" w:rsidRPr="002D486D" w14:paraId="6334BBD7" w14:textId="77777777" w:rsidTr="00F61314">
        <w:tc>
          <w:tcPr>
            <w:tcW w:w="552" w:type="pct"/>
            <w:vAlign w:val="center"/>
          </w:tcPr>
          <w:p w14:paraId="7973C842" w14:textId="5E32D9DC" w:rsidR="00383EAA" w:rsidRPr="002D486D" w:rsidRDefault="00383EAA" w:rsidP="00F06281">
            <w:pPr>
              <w:jc w:val="center"/>
              <w:rPr>
                <w:rFonts w:ascii="Arial Narrow" w:hAnsi="Arial Narrow"/>
                <w:color w:val="333333"/>
                <w:sz w:val="20"/>
                <w:szCs w:val="20"/>
              </w:rPr>
            </w:pPr>
          </w:p>
        </w:tc>
        <w:tc>
          <w:tcPr>
            <w:tcW w:w="4448" w:type="pct"/>
            <w:vAlign w:val="center"/>
          </w:tcPr>
          <w:p w14:paraId="69D67433" w14:textId="77777777" w:rsidR="00383EAA" w:rsidRPr="002D486D" w:rsidRDefault="00383EAA" w:rsidP="00F06281">
            <w:pPr>
              <w:rPr>
                <w:rFonts w:ascii="Arial Narrow" w:hAnsi="Arial Narrow"/>
                <w:b/>
                <w:bCs/>
                <w:color w:val="333333"/>
                <w:sz w:val="20"/>
                <w:szCs w:val="20"/>
              </w:rPr>
            </w:pPr>
            <w:r w:rsidRPr="002D486D">
              <w:rPr>
                <w:rFonts w:ascii="Arial Narrow" w:hAnsi="Arial Narrow"/>
                <w:b/>
                <w:bCs/>
                <w:color w:val="333333"/>
                <w:sz w:val="20"/>
                <w:szCs w:val="20"/>
              </w:rPr>
              <w:t>Treatment criteria:</w:t>
            </w:r>
          </w:p>
        </w:tc>
      </w:tr>
      <w:tr w:rsidR="00383EAA" w:rsidRPr="002D486D" w14:paraId="01E25C75" w14:textId="77777777" w:rsidTr="00F61314">
        <w:tc>
          <w:tcPr>
            <w:tcW w:w="552" w:type="pct"/>
            <w:vAlign w:val="center"/>
          </w:tcPr>
          <w:p w14:paraId="791715D9" w14:textId="5FDCA26A" w:rsidR="00383EAA" w:rsidRPr="002D486D" w:rsidRDefault="00383EAA" w:rsidP="00F06281">
            <w:pPr>
              <w:jc w:val="center"/>
              <w:rPr>
                <w:rFonts w:ascii="Arial Narrow" w:hAnsi="Arial Narrow"/>
                <w:color w:val="333333"/>
                <w:sz w:val="20"/>
                <w:szCs w:val="20"/>
              </w:rPr>
            </w:pPr>
          </w:p>
        </w:tc>
        <w:tc>
          <w:tcPr>
            <w:tcW w:w="4448" w:type="pct"/>
            <w:vAlign w:val="center"/>
          </w:tcPr>
          <w:p w14:paraId="05AE1182" w14:textId="77777777" w:rsidR="00383EAA" w:rsidRPr="002D486D" w:rsidRDefault="00383EAA" w:rsidP="00F06281">
            <w:pPr>
              <w:rPr>
                <w:rFonts w:ascii="Arial Narrow" w:hAnsi="Arial Narrow"/>
                <w:b/>
                <w:bCs/>
                <w:color w:val="333333"/>
                <w:sz w:val="20"/>
                <w:szCs w:val="20"/>
              </w:rPr>
            </w:pPr>
            <w:r w:rsidRPr="002D486D">
              <w:rPr>
                <w:rFonts w:ascii="Arial Narrow" w:hAnsi="Arial Narrow" w:cs="Arial Narrow"/>
                <w:sz w:val="20"/>
                <w:szCs w:val="20"/>
              </w:rPr>
              <w:t>Must be treated by a clinical immunologist or a specialist allergist</w:t>
            </w:r>
          </w:p>
        </w:tc>
      </w:tr>
      <w:tr w:rsidR="00383EAA" w:rsidRPr="00282C49" w14:paraId="18D6DF5B" w14:textId="77777777" w:rsidTr="00F61314">
        <w:tc>
          <w:tcPr>
            <w:tcW w:w="552" w:type="pct"/>
            <w:vAlign w:val="center"/>
          </w:tcPr>
          <w:p w14:paraId="30D2FD44" w14:textId="07CEE69B" w:rsidR="00383EAA" w:rsidRPr="002D486D" w:rsidRDefault="00383EAA" w:rsidP="00F06281">
            <w:pPr>
              <w:jc w:val="center"/>
              <w:rPr>
                <w:rFonts w:ascii="Arial Narrow" w:hAnsi="Arial Narrow"/>
                <w:color w:val="333333"/>
                <w:sz w:val="20"/>
                <w:szCs w:val="20"/>
              </w:rPr>
            </w:pPr>
          </w:p>
        </w:tc>
        <w:tc>
          <w:tcPr>
            <w:tcW w:w="4448" w:type="pct"/>
            <w:vAlign w:val="center"/>
          </w:tcPr>
          <w:p w14:paraId="3E1E3A65" w14:textId="77777777" w:rsidR="006F2900" w:rsidRPr="00CA3AFF" w:rsidRDefault="006F2900" w:rsidP="00F06281">
            <w:pPr>
              <w:rPr>
                <w:rFonts w:ascii="Arial Narrow" w:hAnsi="Arial Narrow"/>
                <w:b/>
                <w:bCs/>
                <w:sz w:val="20"/>
                <w:szCs w:val="20"/>
              </w:rPr>
            </w:pPr>
            <w:r w:rsidRPr="00CA3AFF">
              <w:rPr>
                <w:rFonts w:ascii="Arial Narrow" w:hAnsi="Arial Narrow"/>
                <w:b/>
                <w:bCs/>
                <w:sz w:val="20"/>
                <w:szCs w:val="20"/>
              </w:rPr>
              <w:t>Administrative Advice:</w:t>
            </w:r>
          </w:p>
          <w:p w14:paraId="28B2FE0C" w14:textId="77777777" w:rsidR="006F2900" w:rsidRPr="00CA3AFF" w:rsidRDefault="006F2900" w:rsidP="00F06281">
            <w:pPr>
              <w:rPr>
                <w:rFonts w:ascii="Arial Narrow" w:hAnsi="Arial Narrow"/>
                <w:bCs/>
                <w:sz w:val="20"/>
                <w:szCs w:val="20"/>
              </w:rPr>
            </w:pPr>
            <w:r w:rsidRPr="00CA3AFF">
              <w:rPr>
                <w:rFonts w:ascii="Arial Narrow" w:hAnsi="Arial Narrow"/>
                <w:bCs/>
                <w:sz w:val="20"/>
                <w:szCs w:val="20"/>
              </w:rPr>
              <w:t>Any queries concerning the arrangements to prescribe may be directed to</w:t>
            </w:r>
            <w:r w:rsidRPr="00CA3AFF">
              <w:rPr>
                <w:rFonts w:ascii="Arial" w:hAnsi="Arial"/>
                <w:bCs/>
                <w:sz w:val="20"/>
                <w:szCs w:val="20"/>
              </w:rPr>
              <w:t> </w:t>
            </w:r>
            <w:r w:rsidRPr="00CA3AFF">
              <w:rPr>
                <w:rFonts w:ascii="Arial Narrow" w:hAnsi="Arial Narrow"/>
                <w:bCs/>
                <w:sz w:val="20"/>
                <w:szCs w:val="20"/>
              </w:rPr>
              <w:t>Services Australia</w:t>
            </w:r>
            <w:r w:rsidRPr="00CA3AFF">
              <w:rPr>
                <w:rFonts w:ascii="Arial" w:hAnsi="Arial"/>
                <w:bCs/>
                <w:sz w:val="20"/>
                <w:szCs w:val="20"/>
              </w:rPr>
              <w:t> </w:t>
            </w:r>
            <w:r w:rsidRPr="00CA3AFF">
              <w:rPr>
                <w:rFonts w:ascii="Arial Narrow" w:hAnsi="Arial Narrow"/>
                <w:bCs/>
                <w:sz w:val="20"/>
                <w:szCs w:val="20"/>
              </w:rPr>
              <w:t>on 1800 700 270 (hours of operation 8 a.m. to 5 p.m. Monday to Friday). </w:t>
            </w:r>
          </w:p>
          <w:p w14:paraId="75C8E587" w14:textId="3E48D558" w:rsidR="006F2900" w:rsidRPr="00CA3AFF" w:rsidRDefault="006F2900" w:rsidP="00F06281">
            <w:pPr>
              <w:rPr>
                <w:rFonts w:ascii="Arial Narrow" w:hAnsi="Arial Narrow"/>
                <w:bCs/>
                <w:sz w:val="20"/>
                <w:szCs w:val="20"/>
              </w:rPr>
            </w:pPr>
            <w:r w:rsidRPr="00CA3AFF">
              <w:rPr>
                <w:rFonts w:ascii="Arial Narrow" w:hAnsi="Arial Narrow"/>
                <w:bCs/>
                <w:sz w:val="20"/>
                <w:szCs w:val="20"/>
              </w:rPr>
              <w:t>Prescribing information (including Authority Application forms and other relevant documentation as applicable) is available on the</w:t>
            </w:r>
            <w:r w:rsidRPr="00CA3AFF">
              <w:rPr>
                <w:rFonts w:ascii="Arial" w:hAnsi="Arial"/>
                <w:bCs/>
                <w:sz w:val="20"/>
                <w:szCs w:val="20"/>
              </w:rPr>
              <w:t> </w:t>
            </w:r>
            <w:r w:rsidRPr="00CA3AFF">
              <w:rPr>
                <w:rFonts w:ascii="Arial Narrow" w:hAnsi="Arial Narrow"/>
                <w:bCs/>
                <w:sz w:val="20"/>
                <w:szCs w:val="20"/>
              </w:rPr>
              <w:t>Services Australia</w:t>
            </w:r>
            <w:r w:rsidRPr="00CA3AFF">
              <w:rPr>
                <w:rFonts w:ascii="Arial" w:hAnsi="Arial"/>
                <w:bCs/>
                <w:sz w:val="20"/>
                <w:szCs w:val="20"/>
              </w:rPr>
              <w:t> </w:t>
            </w:r>
            <w:r w:rsidRPr="00CA3AFF">
              <w:rPr>
                <w:rFonts w:ascii="Arial Narrow" w:hAnsi="Arial Narrow"/>
                <w:bCs/>
                <w:sz w:val="20"/>
                <w:szCs w:val="20"/>
              </w:rPr>
              <w:t xml:space="preserve">website at </w:t>
            </w:r>
            <w:hyperlink r:id="rId12" w:history="1">
              <w:r w:rsidRPr="00CA3AFF">
                <w:rPr>
                  <w:rStyle w:val="Hyperlink"/>
                  <w:rFonts w:ascii="Arial Narrow" w:eastAsiaTheme="majorEastAsia" w:hAnsi="Arial Narrow"/>
                  <w:sz w:val="20"/>
                  <w:szCs w:val="20"/>
                </w:rPr>
                <w:t>www.servicesaustralia.gov.au</w:t>
              </w:r>
            </w:hyperlink>
            <w:r w:rsidRPr="00CA3AFF">
              <w:rPr>
                <w:rFonts w:ascii="Arial Narrow" w:hAnsi="Arial Narrow"/>
                <w:bCs/>
                <w:sz w:val="20"/>
                <w:szCs w:val="20"/>
              </w:rPr>
              <w:t> </w:t>
            </w:r>
          </w:p>
          <w:p w14:paraId="371A5DB6" w14:textId="6708A8A6" w:rsidR="006F2900" w:rsidRPr="00CA3AFF" w:rsidRDefault="006F2900" w:rsidP="00F06281">
            <w:pPr>
              <w:rPr>
                <w:rFonts w:ascii="Arial Narrow" w:hAnsi="Arial Narrow"/>
                <w:bCs/>
                <w:sz w:val="20"/>
                <w:szCs w:val="20"/>
              </w:rPr>
            </w:pPr>
            <w:r w:rsidRPr="00CA3AFF">
              <w:rPr>
                <w:rFonts w:ascii="Arial Narrow" w:hAnsi="Arial Narrow"/>
                <w:bCs/>
                <w:sz w:val="20"/>
                <w:szCs w:val="20"/>
              </w:rPr>
              <w:t xml:space="preserve">Applications for authority to prescribe should be submitted online using the form upload facility in Health Professional Online Services (HPOS) at </w:t>
            </w:r>
            <w:hyperlink r:id="rId13" w:history="1">
              <w:r w:rsidRPr="00CA3AFF">
                <w:rPr>
                  <w:rStyle w:val="Hyperlink"/>
                  <w:rFonts w:ascii="Arial Narrow" w:eastAsiaTheme="majorEastAsia" w:hAnsi="Arial Narrow"/>
                  <w:sz w:val="20"/>
                  <w:szCs w:val="20"/>
                </w:rPr>
                <w:t>www.servicesaustralia.gov.au/hpos</w:t>
              </w:r>
            </w:hyperlink>
            <w:r w:rsidRPr="00CA3AFF">
              <w:rPr>
                <w:rFonts w:ascii="Arial Narrow" w:hAnsi="Arial Narrow"/>
                <w:bCs/>
                <w:sz w:val="20"/>
                <w:szCs w:val="20"/>
              </w:rPr>
              <w:t> </w:t>
            </w:r>
          </w:p>
          <w:p w14:paraId="0989D7BA" w14:textId="77777777" w:rsidR="006F2900" w:rsidRPr="00CA3AFF" w:rsidRDefault="006F2900" w:rsidP="00F06281">
            <w:pPr>
              <w:rPr>
                <w:rFonts w:ascii="Arial Narrow" w:hAnsi="Arial Narrow"/>
                <w:bCs/>
                <w:sz w:val="20"/>
                <w:szCs w:val="20"/>
              </w:rPr>
            </w:pPr>
            <w:r w:rsidRPr="00CA3AFF">
              <w:rPr>
                <w:rFonts w:ascii="Arial Narrow" w:hAnsi="Arial Narrow"/>
                <w:bCs/>
                <w:sz w:val="20"/>
                <w:szCs w:val="20"/>
              </w:rPr>
              <w:t>Or mailed to: </w:t>
            </w:r>
          </w:p>
          <w:p w14:paraId="0825AE6D" w14:textId="77777777" w:rsidR="006F2900" w:rsidRPr="00CA3AFF" w:rsidRDefault="006F2900" w:rsidP="00F06281">
            <w:pPr>
              <w:rPr>
                <w:rFonts w:ascii="Arial Narrow" w:hAnsi="Arial Narrow"/>
                <w:bCs/>
                <w:sz w:val="20"/>
                <w:szCs w:val="20"/>
              </w:rPr>
            </w:pPr>
            <w:r w:rsidRPr="00CA3AFF">
              <w:rPr>
                <w:rFonts w:ascii="Arial Narrow" w:hAnsi="Arial Narrow"/>
                <w:bCs/>
                <w:sz w:val="20"/>
                <w:szCs w:val="20"/>
              </w:rPr>
              <w:t>Services Australia </w:t>
            </w:r>
          </w:p>
          <w:p w14:paraId="28A13363" w14:textId="77777777" w:rsidR="006F2900" w:rsidRPr="00CA3AFF" w:rsidRDefault="006F2900" w:rsidP="00F06281">
            <w:pPr>
              <w:rPr>
                <w:rFonts w:ascii="Arial Narrow" w:hAnsi="Arial Narrow"/>
                <w:bCs/>
                <w:sz w:val="20"/>
                <w:szCs w:val="20"/>
              </w:rPr>
            </w:pPr>
            <w:r w:rsidRPr="00CA3AFF">
              <w:rPr>
                <w:rFonts w:ascii="Arial Narrow" w:hAnsi="Arial Narrow"/>
                <w:bCs/>
                <w:sz w:val="20"/>
                <w:szCs w:val="20"/>
              </w:rPr>
              <w:t>Complex Drugs </w:t>
            </w:r>
          </w:p>
          <w:p w14:paraId="4B3D21C0" w14:textId="77777777" w:rsidR="006F2900" w:rsidRPr="00CA3AFF" w:rsidRDefault="006F2900" w:rsidP="00F06281">
            <w:pPr>
              <w:rPr>
                <w:rFonts w:ascii="Arial Narrow" w:hAnsi="Arial Narrow"/>
                <w:bCs/>
                <w:sz w:val="20"/>
                <w:szCs w:val="20"/>
              </w:rPr>
            </w:pPr>
            <w:r w:rsidRPr="00CA3AFF">
              <w:rPr>
                <w:rFonts w:ascii="Arial Narrow" w:hAnsi="Arial Narrow"/>
                <w:bCs/>
                <w:sz w:val="20"/>
                <w:szCs w:val="20"/>
              </w:rPr>
              <w:t>Reply Paid 9826 </w:t>
            </w:r>
          </w:p>
          <w:p w14:paraId="3B7F2C65" w14:textId="624E31DB" w:rsidR="00F61314" w:rsidRPr="004F678D" w:rsidRDefault="006F2900" w:rsidP="004F678D">
            <w:pPr>
              <w:keepLines/>
              <w:rPr>
                <w:rFonts w:ascii="Arial Narrow" w:hAnsi="Arial Narrow"/>
                <w:bCs/>
                <w:sz w:val="20"/>
                <w:szCs w:val="20"/>
              </w:rPr>
            </w:pPr>
            <w:r w:rsidRPr="00CA3AFF">
              <w:rPr>
                <w:rFonts w:ascii="Arial Narrow" w:hAnsi="Arial Narrow"/>
                <w:bCs/>
                <w:sz w:val="20"/>
                <w:szCs w:val="20"/>
              </w:rPr>
              <w:t>HOBART TAS 7001 </w:t>
            </w:r>
          </w:p>
        </w:tc>
      </w:tr>
    </w:tbl>
    <w:p w14:paraId="6E3E7457" w14:textId="77777777" w:rsidR="00F06281" w:rsidRDefault="00F06281"/>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3"/>
        <w:gridCol w:w="1273"/>
        <w:gridCol w:w="850"/>
        <w:gridCol w:w="848"/>
        <w:gridCol w:w="709"/>
        <w:gridCol w:w="1146"/>
        <w:gridCol w:w="1418"/>
      </w:tblGrid>
      <w:tr w:rsidR="00383EAA" w:rsidRPr="002D486D" w14:paraId="3E020F58" w14:textId="77777777" w:rsidTr="00F61314">
        <w:trPr>
          <w:cantSplit/>
          <w:trHeight w:val="471"/>
        </w:trPr>
        <w:tc>
          <w:tcPr>
            <w:tcW w:w="1503" w:type="pct"/>
          </w:tcPr>
          <w:p w14:paraId="06437689" w14:textId="7653C7EB" w:rsidR="00383EAA" w:rsidRPr="002D486D" w:rsidRDefault="00383EAA" w:rsidP="00F06281">
            <w:pPr>
              <w:ind w:left="-108"/>
              <w:rPr>
                <w:rFonts w:ascii="Arial Narrow" w:hAnsi="Arial Narrow"/>
                <w:b/>
                <w:sz w:val="20"/>
                <w:szCs w:val="20"/>
              </w:rPr>
            </w:pPr>
            <w:bookmarkStart w:id="83" w:name="_Hlk183589387"/>
            <w:r w:rsidRPr="002D486D">
              <w:rPr>
                <w:rFonts w:ascii="Arial Narrow" w:hAnsi="Arial Narrow"/>
                <w:b/>
                <w:sz w:val="20"/>
                <w:szCs w:val="20"/>
              </w:rPr>
              <w:t>Name, Restriction,</w:t>
            </w:r>
          </w:p>
          <w:p w14:paraId="65271C64" w14:textId="77777777" w:rsidR="00383EAA" w:rsidRPr="002D486D" w:rsidRDefault="00383EAA" w:rsidP="00F06281">
            <w:pPr>
              <w:ind w:left="-108"/>
              <w:rPr>
                <w:rFonts w:ascii="Arial Narrow" w:hAnsi="Arial Narrow"/>
                <w:b/>
                <w:sz w:val="20"/>
                <w:szCs w:val="20"/>
              </w:rPr>
            </w:pPr>
            <w:r w:rsidRPr="002D486D">
              <w:rPr>
                <w:rFonts w:ascii="Arial Narrow" w:hAnsi="Arial Narrow"/>
                <w:b/>
                <w:sz w:val="20"/>
                <w:szCs w:val="20"/>
              </w:rPr>
              <w:t>Manner of administration and form</w:t>
            </w:r>
          </w:p>
        </w:tc>
        <w:tc>
          <w:tcPr>
            <w:tcW w:w="713" w:type="pct"/>
          </w:tcPr>
          <w:p w14:paraId="28791221" w14:textId="77777777" w:rsidR="00383EAA" w:rsidRPr="002D486D" w:rsidRDefault="00383EAA" w:rsidP="00F06281">
            <w:pPr>
              <w:ind w:left="-108"/>
              <w:jc w:val="center"/>
              <w:rPr>
                <w:rFonts w:ascii="Arial Narrow" w:hAnsi="Arial Narrow"/>
                <w:b/>
                <w:sz w:val="20"/>
                <w:szCs w:val="20"/>
              </w:rPr>
            </w:pPr>
            <w:r w:rsidRPr="002D486D">
              <w:rPr>
                <w:rFonts w:ascii="Arial Narrow" w:hAnsi="Arial Narrow"/>
                <w:b/>
                <w:sz w:val="20"/>
                <w:szCs w:val="20"/>
              </w:rPr>
              <w:t>PBS item code</w:t>
            </w:r>
          </w:p>
        </w:tc>
        <w:tc>
          <w:tcPr>
            <w:tcW w:w="476" w:type="pct"/>
          </w:tcPr>
          <w:p w14:paraId="47B941BF" w14:textId="77777777" w:rsidR="00383EAA" w:rsidRPr="002D486D" w:rsidRDefault="00383EAA" w:rsidP="00F06281">
            <w:pPr>
              <w:ind w:left="-108"/>
              <w:jc w:val="center"/>
              <w:rPr>
                <w:rFonts w:ascii="Arial Narrow" w:hAnsi="Arial Narrow"/>
                <w:b/>
                <w:sz w:val="20"/>
                <w:szCs w:val="20"/>
              </w:rPr>
            </w:pPr>
            <w:r w:rsidRPr="002D486D">
              <w:rPr>
                <w:rFonts w:ascii="Arial Narrow" w:hAnsi="Arial Narrow"/>
                <w:b/>
                <w:sz w:val="20"/>
                <w:szCs w:val="20"/>
              </w:rPr>
              <w:t>Max. qty packs</w:t>
            </w:r>
          </w:p>
        </w:tc>
        <w:tc>
          <w:tcPr>
            <w:tcW w:w="475" w:type="pct"/>
          </w:tcPr>
          <w:p w14:paraId="291C1A59" w14:textId="77777777" w:rsidR="00383EAA" w:rsidRPr="002D486D" w:rsidRDefault="00383EAA" w:rsidP="00F06281">
            <w:pPr>
              <w:ind w:left="-108"/>
              <w:jc w:val="center"/>
              <w:rPr>
                <w:rFonts w:ascii="Arial Narrow" w:hAnsi="Arial Narrow"/>
                <w:b/>
                <w:sz w:val="20"/>
                <w:szCs w:val="20"/>
              </w:rPr>
            </w:pPr>
            <w:r w:rsidRPr="002D486D">
              <w:rPr>
                <w:rFonts w:ascii="Arial Narrow" w:hAnsi="Arial Narrow"/>
                <w:b/>
                <w:sz w:val="20"/>
                <w:szCs w:val="20"/>
              </w:rPr>
              <w:t>Max. qty units</w:t>
            </w:r>
          </w:p>
        </w:tc>
        <w:tc>
          <w:tcPr>
            <w:tcW w:w="397" w:type="pct"/>
          </w:tcPr>
          <w:p w14:paraId="362B99A1" w14:textId="77777777" w:rsidR="00383EAA" w:rsidRPr="002D486D" w:rsidRDefault="00383EAA" w:rsidP="00F06281">
            <w:pPr>
              <w:ind w:left="-108"/>
              <w:jc w:val="center"/>
              <w:rPr>
                <w:rFonts w:ascii="Arial Narrow" w:hAnsi="Arial Narrow"/>
                <w:b/>
                <w:sz w:val="20"/>
                <w:szCs w:val="20"/>
              </w:rPr>
            </w:pPr>
            <w:r w:rsidRPr="002D486D">
              <w:rPr>
                <w:rFonts w:ascii="Arial Narrow" w:hAnsi="Arial Narrow"/>
                <w:b/>
                <w:sz w:val="20"/>
                <w:szCs w:val="20"/>
              </w:rPr>
              <w:t>№.of</w:t>
            </w:r>
          </w:p>
          <w:p w14:paraId="41B19266" w14:textId="77777777" w:rsidR="00383EAA" w:rsidRPr="002D486D" w:rsidRDefault="00383EAA" w:rsidP="00F06281">
            <w:pPr>
              <w:ind w:left="-108"/>
              <w:jc w:val="center"/>
              <w:rPr>
                <w:rFonts w:ascii="Arial Narrow" w:hAnsi="Arial Narrow"/>
                <w:b/>
                <w:sz w:val="20"/>
                <w:szCs w:val="20"/>
              </w:rPr>
            </w:pPr>
            <w:r w:rsidRPr="002D486D">
              <w:rPr>
                <w:rFonts w:ascii="Arial Narrow" w:hAnsi="Arial Narrow"/>
                <w:b/>
                <w:sz w:val="20"/>
                <w:szCs w:val="20"/>
              </w:rPr>
              <w:t>Rpts</w:t>
            </w:r>
          </w:p>
        </w:tc>
        <w:tc>
          <w:tcPr>
            <w:tcW w:w="1436" w:type="pct"/>
            <w:gridSpan w:val="2"/>
          </w:tcPr>
          <w:p w14:paraId="544A35E2" w14:textId="77777777" w:rsidR="00383EAA" w:rsidRPr="002D486D" w:rsidRDefault="00383EAA" w:rsidP="00F06281">
            <w:pPr>
              <w:rPr>
                <w:rFonts w:ascii="Arial Narrow" w:hAnsi="Arial Narrow"/>
                <w:b/>
                <w:sz w:val="20"/>
                <w:szCs w:val="20"/>
                <w:lang w:val="fr-FR"/>
              </w:rPr>
            </w:pPr>
            <w:r w:rsidRPr="002D486D">
              <w:rPr>
                <w:rFonts w:ascii="Arial Narrow" w:hAnsi="Arial Narrow"/>
                <w:b/>
                <w:sz w:val="20"/>
                <w:szCs w:val="20"/>
              </w:rPr>
              <w:t>Proprietary Name and Manufacturer</w:t>
            </w:r>
          </w:p>
        </w:tc>
      </w:tr>
      <w:tr w:rsidR="00383EAA" w:rsidRPr="002D486D" w14:paraId="51B49F6C" w14:textId="77777777" w:rsidTr="00F61314">
        <w:trPr>
          <w:cantSplit/>
          <w:trHeight w:val="761"/>
        </w:trPr>
        <w:tc>
          <w:tcPr>
            <w:tcW w:w="1503" w:type="pct"/>
          </w:tcPr>
          <w:p w14:paraId="7013808D" w14:textId="77777777" w:rsidR="00383EAA" w:rsidRPr="002D486D" w:rsidRDefault="00383EAA" w:rsidP="00F06281">
            <w:pPr>
              <w:ind w:left="-108"/>
              <w:rPr>
                <w:rFonts w:ascii="Arial Narrow" w:hAnsi="Arial Narrow"/>
                <w:sz w:val="20"/>
                <w:szCs w:val="20"/>
              </w:rPr>
            </w:pPr>
            <w:r w:rsidRPr="002D486D">
              <w:rPr>
                <w:rFonts w:ascii="Arial Narrow" w:hAnsi="Arial Narrow"/>
                <w:sz w:val="20"/>
                <w:szCs w:val="20"/>
              </w:rPr>
              <w:t>GARADACIMAB</w:t>
            </w:r>
          </w:p>
          <w:p w14:paraId="37379C68" w14:textId="77777777" w:rsidR="00383EAA" w:rsidRPr="002D486D" w:rsidRDefault="00383EAA" w:rsidP="00F06281">
            <w:pPr>
              <w:ind w:left="-108"/>
              <w:rPr>
                <w:rFonts w:ascii="Arial Narrow" w:hAnsi="Arial Narrow"/>
                <w:sz w:val="20"/>
                <w:szCs w:val="20"/>
              </w:rPr>
            </w:pPr>
          </w:p>
          <w:p w14:paraId="6B780CEF" w14:textId="77777777" w:rsidR="00383EAA" w:rsidRPr="002D486D" w:rsidRDefault="00383EAA" w:rsidP="00F06281">
            <w:pPr>
              <w:ind w:left="-108"/>
              <w:rPr>
                <w:rFonts w:ascii="Arial Narrow" w:hAnsi="Arial Narrow"/>
                <w:sz w:val="20"/>
                <w:szCs w:val="20"/>
              </w:rPr>
            </w:pPr>
            <w:r w:rsidRPr="002D486D">
              <w:rPr>
                <w:rFonts w:ascii="Arial Narrow" w:hAnsi="Arial Narrow"/>
                <w:sz w:val="20"/>
                <w:szCs w:val="20"/>
              </w:rPr>
              <w:t xml:space="preserve">garadacimab 200 mg/1.2 mL injection, 1.2 mL pen device </w:t>
            </w:r>
          </w:p>
        </w:tc>
        <w:tc>
          <w:tcPr>
            <w:tcW w:w="713" w:type="pct"/>
          </w:tcPr>
          <w:p w14:paraId="77950DC7" w14:textId="77777777" w:rsidR="00383EAA" w:rsidRPr="002D486D" w:rsidRDefault="00383EAA" w:rsidP="00F06281">
            <w:pPr>
              <w:ind w:left="-108"/>
              <w:jc w:val="center"/>
              <w:rPr>
                <w:rFonts w:ascii="Arial Narrow" w:hAnsi="Arial Narrow"/>
                <w:sz w:val="20"/>
                <w:szCs w:val="20"/>
              </w:rPr>
            </w:pPr>
          </w:p>
          <w:p w14:paraId="2C3E8D4C" w14:textId="77777777" w:rsidR="00383EAA" w:rsidRPr="002D486D" w:rsidRDefault="00383EAA" w:rsidP="00F06281">
            <w:pPr>
              <w:ind w:left="-108"/>
              <w:jc w:val="center"/>
              <w:rPr>
                <w:rFonts w:ascii="Arial Narrow" w:hAnsi="Arial Narrow"/>
                <w:sz w:val="20"/>
                <w:szCs w:val="20"/>
              </w:rPr>
            </w:pPr>
          </w:p>
          <w:p w14:paraId="76BF55C7" w14:textId="77777777" w:rsidR="00383EAA" w:rsidRPr="002D486D" w:rsidRDefault="00383EAA" w:rsidP="00F06281">
            <w:pPr>
              <w:ind w:left="-108"/>
              <w:jc w:val="center"/>
              <w:rPr>
                <w:rFonts w:ascii="Arial Narrow" w:hAnsi="Arial Narrow"/>
                <w:sz w:val="20"/>
                <w:szCs w:val="20"/>
              </w:rPr>
            </w:pPr>
            <w:r w:rsidRPr="002D486D">
              <w:rPr>
                <w:rFonts w:ascii="Arial Narrow" w:hAnsi="Arial Narrow"/>
                <w:sz w:val="20"/>
                <w:szCs w:val="20"/>
              </w:rPr>
              <w:t>NEW</w:t>
            </w:r>
          </w:p>
        </w:tc>
        <w:tc>
          <w:tcPr>
            <w:tcW w:w="476" w:type="pct"/>
          </w:tcPr>
          <w:p w14:paraId="254AA3D6" w14:textId="77777777" w:rsidR="00383EAA" w:rsidRPr="002D486D" w:rsidRDefault="00383EAA" w:rsidP="00F06281">
            <w:pPr>
              <w:jc w:val="center"/>
              <w:rPr>
                <w:rFonts w:ascii="Arial Narrow" w:hAnsi="Arial Narrow"/>
                <w:sz w:val="20"/>
                <w:szCs w:val="20"/>
              </w:rPr>
            </w:pPr>
          </w:p>
          <w:p w14:paraId="3B7C1BFD" w14:textId="77777777" w:rsidR="00383EAA" w:rsidRPr="002D486D" w:rsidRDefault="00383EAA" w:rsidP="00F06281">
            <w:pPr>
              <w:ind w:left="-108"/>
              <w:jc w:val="center"/>
              <w:rPr>
                <w:rFonts w:ascii="Arial Narrow" w:hAnsi="Arial Narrow"/>
                <w:sz w:val="20"/>
                <w:szCs w:val="20"/>
              </w:rPr>
            </w:pPr>
          </w:p>
          <w:p w14:paraId="234A8B2F" w14:textId="77777777" w:rsidR="00383EAA" w:rsidRPr="002D486D" w:rsidRDefault="00383EAA" w:rsidP="00F06281">
            <w:pPr>
              <w:jc w:val="center"/>
              <w:rPr>
                <w:rFonts w:ascii="Arial Narrow" w:hAnsi="Arial Narrow"/>
                <w:sz w:val="20"/>
                <w:szCs w:val="20"/>
              </w:rPr>
            </w:pPr>
            <w:r w:rsidRPr="002D486D">
              <w:rPr>
                <w:rFonts w:ascii="Arial Narrow" w:hAnsi="Arial Narrow"/>
                <w:sz w:val="20"/>
                <w:szCs w:val="20"/>
              </w:rPr>
              <w:t>1</w:t>
            </w:r>
          </w:p>
        </w:tc>
        <w:tc>
          <w:tcPr>
            <w:tcW w:w="475" w:type="pct"/>
          </w:tcPr>
          <w:p w14:paraId="7DCA4E7B" w14:textId="77777777" w:rsidR="00383EAA" w:rsidRPr="002D486D" w:rsidRDefault="00383EAA" w:rsidP="00F06281">
            <w:pPr>
              <w:ind w:left="-108"/>
              <w:jc w:val="center"/>
              <w:rPr>
                <w:rFonts w:ascii="Arial Narrow" w:hAnsi="Arial Narrow"/>
                <w:sz w:val="20"/>
                <w:szCs w:val="20"/>
              </w:rPr>
            </w:pPr>
          </w:p>
          <w:p w14:paraId="5531BEAA" w14:textId="77777777" w:rsidR="00383EAA" w:rsidRPr="002D486D" w:rsidRDefault="00383EAA" w:rsidP="00F06281">
            <w:pPr>
              <w:rPr>
                <w:rFonts w:ascii="Arial Narrow" w:hAnsi="Arial Narrow"/>
                <w:sz w:val="20"/>
                <w:szCs w:val="20"/>
              </w:rPr>
            </w:pPr>
          </w:p>
          <w:p w14:paraId="706C74DE" w14:textId="77777777" w:rsidR="00383EAA" w:rsidRPr="002D486D" w:rsidRDefault="00383EAA" w:rsidP="00F06281">
            <w:pPr>
              <w:ind w:left="-108"/>
              <w:jc w:val="center"/>
              <w:rPr>
                <w:rFonts w:ascii="Arial Narrow" w:hAnsi="Arial Narrow"/>
                <w:sz w:val="20"/>
                <w:szCs w:val="20"/>
              </w:rPr>
            </w:pPr>
            <w:r w:rsidRPr="002D486D">
              <w:rPr>
                <w:rFonts w:ascii="Arial Narrow" w:hAnsi="Arial Narrow"/>
                <w:sz w:val="20"/>
                <w:szCs w:val="20"/>
              </w:rPr>
              <w:t>1</w:t>
            </w:r>
          </w:p>
        </w:tc>
        <w:tc>
          <w:tcPr>
            <w:tcW w:w="397" w:type="pct"/>
          </w:tcPr>
          <w:p w14:paraId="0BCC652F" w14:textId="77777777" w:rsidR="00383EAA" w:rsidRPr="002D486D" w:rsidRDefault="00383EAA" w:rsidP="00F06281">
            <w:pPr>
              <w:ind w:left="-108"/>
              <w:jc w:val="center"/>
              <w:rPr>
                <w:rFonts w:ascii="Arial Narrow" w:hAnsi="Arial Narrow"/>
                <w:sz w:val="20"/>
                <w:szCs w:val="20"/>
              </w:rPr>
            </w:pPr>
          </w:p>
          <w:p w14:paraId="3B526B5B" w14:textId="77777777" w:rsidR="00383EAA" w:rsidRPr="002D486D" w:rsidRDefault="00383EAA" w:rsidP="00F06281">
            <w:pPr>
              <w:ind w:left="-108"/>
              <w:jc w:val="center"/>
              <w:rPr>
                <w:rFonts w:ascii="Arial Narrow" w:hAnsi="Arial Narrow"/>
                <w:sz w:val="20"/>
                <w:szCs w:val="20"/>
              </w:rPr>
            </w:pPr>
          </w:p>
          <w:p w14:paraId="63ED4D23" w14:textId="37C327E5" w:rsidR="00383EAA" w:rsidRPr="002D486D" w:rsidRDefault="0070707B" w:rsidP="00F06281">
            <w:pPr>
              <w:ind w:left="-108"/>
              <w:jc w:val="center"/>
              <w:rPr>
                <w:rFonts w:ascii="Arial Narrow" w:hAnsi="Arial Narrow"/>
                <w:sz w:val="20"/>
                <w:szCs w:val="20"/>
              </w:rPr>
            </w:pPr>
            <w:r>
              <w:rPr>
                <w:rFonts w:ascii="Arial Narrow" w:hAnsi="Arial Narrow"/>
                <w:sz w:val="20"/>
                <w:szCs w:val="20"/>
              </w:rPr>
              <w:t>4</w:t>
            </w:r>
          </w:p>
          <w:p w14:paraId="21B511B5" w14:textId="77777777" w:rsidR="00383EAA" w:rsidRPr="002D486D" w:rsidRDefault="00383EAA" w:rsidP="00F06281">
            <w:pPr>
              <w:rPr>
                <w:rFonts w:ascii="Arial Narrow" w:hAnsi="Arial Narrow"/>
                <w:sz w:val="20"/>
                <w:szCs w:val="20"/>
              </w:rPr>
            </w:pPr>
          </w:p>
        </w:tc>
        <w:tc>
          <w:tcPr>
            <w:tcW w:w="642" w:type="pct"/>
          </w:tcPr>
          <w:p w14:paraId="3A750600" w14:textId="77777777" w:rsidR="00383EAA" w:rsidRPr="002D486D" w:rsidRDefault="00383EAA" w:rsidP="00F06281">
            <w:pPr>
              <w:jc w:val="center"/>
              <w:rPr>
                <w:rFonts w:ascii="Arial Narrow" w:hAnsi="Arial Narrow"/>
                <w:sz w:val="20"/>
                <w:szCs w:val="20"/>
              </w:rPr>
            </w:pPr>
          </w:p>
          <w:p w14:paraId="3673FF26" w14:textId="77777777" w:rsidR="00383EAA" w:rsidRPr="002D486D" w:rsidRDefault="00383EAA" w:rsidP="00F06281">
            <w:pPr>
              <w:jc w:val="center"/>
              <w:rPr>
                <w:rFonts w:ascii="Arial Narrow" w:hAnsi="Arial Narrow"/>
                <w:sz w:val="20"/>
                <w:szCs w:val="20"/>
              </w:rPr>
            </w:pPr>
          </w:p>
          <w:p w14:paraId="1B1023C8" w14:textId="77777777" w:rsidR="00383EAA" w:rsidRPr="002D486D" w:rsidRDefault="00383EAA" w:rsidP="00F06281">
            <w:pPr>
              <w:rPr>
                <w:rFonts w:ascii="Arial Narrow" w:hAnsi="Arial Narrow"/>
                <w:sz w:val="20"/>
                <w:szCs w:val="20"/>
              </w:rPr>
            </w:pPr>
            <w:r w:rsidRPr="002D486D">
              <w:rPr>
                <w:rFonts w:ascii="Arial Narrow" w:hAnsi="Arial Narrow"/>
                <w:sz w:val="20"/>
                <w:szCs w:val="20"/>
              </w:rPr>
              <w:t>ANDEMBRY</w:t>
            </w:r>
          </w:p>
        </w:tc>
        <w:tc>
          <w:tcPr>
            <w:tcW w:w="794" w:type="pct"/>
          </w:tcPr>
          <w:p w14:paraId="5539745D" w14:textId="77777777" w:rsidR="00383EAA" w:rsidRPr="002D486D" w:rsidRDefault="00383EAA" w:rsidP="00F06281">
            <w:pPr>
              <w:jc w:val="center"/>
              <w:rPr>
                <w:rFonts w:ascii="Arial Narrow" w:hAnsi="Arial Narrow"/>
                <w:sz w:val="20"/>
                <w:szCs w:val="20"/>
              </w:rPr>
            </w:pPr>
          </w:p>
          <w:p w14:paraId="18320348" w14:textId="77777777" w:rsidR="00383EAA" w:rsidRPr="002D486D" w:rsidRDefault="00383EAA" w:rsidP="00F06281">
            <w:pPr>
              <w:rPr>
                <w:rFonts w:ascii="Arial Narrow" w:hAnsi="Arial Narrow"/>
                <w:sz w:val="20"/>
                <w:szCs w:val="20"/>
              </w:rPr>
            </w:pPr>
            <w:r w:rsidRPr="002D486D">
              <w:rPr>
                <w:rFonts w:ascii="Arial Narrow" w:hAnsi="Arial Narrow"/>
                <w:sz w:val="20"/>
                <w:szCs w:val="20"/>
              </w:rPr>
              <w:t>CSL Behring (Australia) Pty Ltd</w:t>
            </w:r>
          </w:p>
        </w:tc>
      </w:tr>
      <w:bookmarkEnd w:id="83"/>
    </w:tbl>
    <w:p w14:paraId="1954C9E7" w14:textId="77777777" w:rsidR="00383EAA" w:rsidRDefault="00383EAA" w:rsidP="00F06281">
      <w:pPr>
        <w:rPr>
          <w:sz w:val="20"/>
          <w:szCs w:val="20"/>
        </w:rPr>
      </w:pPr>
    </w:p>
    <w:p w14:paraId="32C607FF" w14:textId="0C44B520" w:rsidR="00F61314" w:rsidRPr="002D486D" w:rsidRDefault="00F61314" w:rsidP="00F06281">
      <w:pPr>
        <w:rPr>
          <w:rFonts w:ascii="Arial Narrow" w:hAnsi="Arial Narrow"/>
          <w:b/>
          <w:sz w:val="20"/>
          <w:szCs w:val="20"/>
          <w:lang w:val="en-GB"/>
        </w:rPr>
      </w:pPr>
      <w:r w:rsidRPr="002D486D">
        <w:rPr>
          <w:rFonts w:ascii="Arial Narrow" w:hAnsi="Arial Narrow"/>
          <w:b/>
          <w:sz w:val="20"/>
          <w:szCs w:val="20"/>
          <w:lang w:val="en-GB"/>
        </w:rPr>
        <w:t xml:space="preserve">Restriction Summary: Based on </w:t>
      </w:r>
      <w:r w:rsidR="0070707B">
        <w:rPr>
          <w:rFonts w:ascii="Arial Narrow" w:hAnsi="Arial Narrow"/>
          <w:b/>
          <w:sz w:val="20"/>
          <w:szCs w:val="20"/>
          <w:lang w:val="en-GB"/>
        </w:rPr>
        <w:t>(new</w:t>
      </w:r>
      <w:r w:rsidR="006F2900">
        <w:rPr>
          <w:rFonts w:ascii="Arial Narrow" w:hAnsi="Arial Narrow"/>
          <w:b/>
          <w:sz w:val="20"/>
          <w:szCs w:val="20"/>
          <w:lang w:val="en-GB"/>
        </w:rPr>
        <w:t>1</w:t>
      </w:r>
      <w:r w:rsidR="0070707B">
        <w:rPr>
          <w:rFonts w:ascii="Arial Narrow" w:hAnsi="Arial Narrow"/>
          <w:b/>
          <w:sz w:val="20"/>
          <w:szCs w:val="20"/>
          <w:lang w:val="en-GB"/>
        </w:rPr>
        <w:t>)</w:t>
      </w:r>
      <w:r w:rsidRPr="002D486D">
        <w:rPr>
          <w:rFonts w:ascii="Arial Narrow" w:hAnsi="Arial Narrow"/>
          <w:b/>
          <w:sz w:val="20"/>
          <w:szCs w:val="20"/>
          <w:lang w:val="en-GB"/>
        </w:rPr>
        <w:t xml:space="preserve"> / Treatment of Concept: </w:t>
      </w:r>
      <w:r w:rsidR="0070707B">
        <w:rPr>
          <w:rFonts w:ascii="Arial Narrow" w:hAnsi="Arial Narrow"/>
          <w:b/>
          <w:sz w:val="20"/>
          <w:szCs w:val="20"/>
          <w:lang w:val="en-GB"/>
        </w:rPr>
        <w:t>(new</w:t>
      </w:r>
      <w:r w:rsidR="006F2900">
        <w:rPr>
          <w:rFonts w:ascii="Arial Narrow" w:hAnsi="Arial Narrow"/>
          <w:b/>
          <w:sz w:val="20"/>
          <w:szCs w:val="20"/>
          <w:lang w:val="en-GB"/>
        </w:rPr>
        <w:t>1A</w:t>
      </w:r>
      <w:r w:rsidR="0070707B">
        <w:rPr>
          <w:rFonts w:ascii="Arial Narrow" w:hAnsi="Arial Narrow"/>
          <w:b/>
          <w:sz w:val="20"/>
          <w:szCs w:val="20"/>
          <w:lang w:val="en-GB"/>
        </w:rPr>
        <w:t>)</w:t>
      </w:r>
      <w:r w:rsidRPr="002D486D">
        <w:rPr>
          <w:rFonts w:ascii="Arial Narrow" w:hAnsi="Arial Narrow"/>
          <w:b/>
          <w:sz w:val="20"/>
          <w:szCs w:val="20"/>
          <w:lang w:val="en-GB"/>
        </w:rPr>
        <w:t xml:space="preserve"> </w:t>
      </w:r>
    </w:p>
    <w:p w14:paraId="682C852D" w14:textId="77777777" w:rsidR="00F61314" w:rsidRDefault="00F61314" w:rsidP="00F06281">
      <w:pPr>
        <w:rPr>
          <w:sz w:val="20"/>
          <w:szCs w:val="20"/>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BC085B" w:rsidRPr="002D486D" w14:paraId="7C62BBC6" w14:textId="77777777" w:rsidTr="00EA4C87">
        <w:tc>
          <w:tcPr>
            <w:tcW w:w="553" w:type="pct"/>
            <w:tcBorders>
              <w:top w:val="single" w:sz="4" w:space="0" w:color="auto"/>
              <w:left w:val="single" w:sz="4" w:space="0" w:color="auto"/>
              <w:bottom w:val="single" w:sz="4" w:space="0" w:color="auto"/>
              <w:right w:val="single" w:sz="4" w:space="0" w:color="auto"/>
            </w:tcBorders>
          </w:tcPr>
          <w:p w14:paraId="6E819853" w14:textId="77777777" w:rsidR="00BC085B" w:rsidRPr="002D486D" w:rsidRDefault="00BC085B" w:rsidP="00F06281">
            <w:pPr>
              <w:jc w:val="center"/>
              <w:rPr>
                <w:rFonts w:ascii="Arial Narrow" w:hAnsi="Arial Narrow"/>
                <w:b/>
                <w:sz w:val="20"/>
                <w:szCs w:val="20"/>
              </w:rPr>
            </w:pPr>
            <w:r w:rsidRPr="002D486D">
              <w:rPr>
                <w:rFonts w:ascii="Arial Narrow" w:hAnsi="Arial Narrow"/>
                <w:b/>
                <w:sz w:val="20"/>
                <w:szCs w:val="20"/>
              </w:rPr>
              <w:t>Concept ID</w:t>
            </w:r>
          </w:p>
        </w:tc>
        <w:tc>
          <w:tcPr>
            <w:tcW w:w="4447" w:type="pct"/>
            <w:tcBorders>
              <w:top w:val="single" w:sz="4" w:space="0" w:color="auto"/>
              <w:left w:val="single" w:sz="4" w:space="0" w:color="auto"/>
              <w:bottom w:val="single" w:sz="4" w:space="0" w:color="auto"/>
              <w:right w:val="single" w:sz="4" w:space="0" w:color="auto"/>
            </w:tcBorders>
          </w:tcPr>
          <w:p w14:paraId="7CBD8E0D" w14:textId="77777777" w:rsidR="00BC085B" w:rsidRPr="002D486D" w:rsidRDefault="00BC085B" w:rsidP="00F06281">
            <w:pPr>
              <w:rPr>
                <w:rFonts w:ascii="Arial Narrow" w:hAnsi="Arial Narrow"/>
                <w:sz w:val="20"/>
                <w:szCs w:val="20"/>
              </w:rPr>
            </w:pPr>
            <w:r w:rsidRPr="002D486D">
              <w:rPr>
                <w:rFonts w:ascii="Arial Narrow" w:hAnsi="Arial Narrow"/>
                <w:b/>
                <w:sz w:val="20"/>
                <w:szCs w:val="20"/>
              </w:rPr>
              <w:t xml:space="preserve">Category / Program:   </w:t>
            </w:r>
          </w:p>
          <w:p w14:paraId="0EFF8A21" w14:textId="77777777" w:rsidR="00BC085B" w:rsidRPr="002D486D" w:rsidRDefault="00BC085B" w:rsidP="00F06281">
            <w:pPr>
              <w:rPr>
                <w:rFonts w:ascii="Arial Narrow" w:hAnsi="Arial Narrow"/>
                <w:sz w:val="20"/>
                <w:szCs w:val="20"/>
              </w:rPr>
            </w:pPr>
            <w:r w:rsidRPr="002D486D">
              <w:rPr>
                <w:rFonts w:ascii="Arial Narrow" w:hAnsi="Arial Narrow"/>
                <w:sz w:val="20"/>
                <w:szCs w:val="20"/>
              </w:rPr>
              <w:t xml:space="preserve">GENERAL – General Schedule (Code GE) </w:t>
            </w:r>
          </w:p>
        </w:tc>
      </w:tr>
      <w:tr w:rsidR="00BC085B" w:rsidRPr="002D486D" w14:paraId="6889F91B" w14:textId="77777777" w:rsidTr="00EA4C87">
        <w:trPr>
          <w:trHeight w:val="258"/>
        </w:trPr>
        <w:tc>
          <w:tcPr>
            <w:tcW w:w="553" w:type="pct"/>
            <w:tcBorders>
              <w:top w:val="single" w:sz="4" w:space="0" w:color="auto"/>
              <w:left w:val="single" w:sz="4" w:space="0" w:color="auto"/>
              <w:bottom w:val="single" w:sz="4" w:space="0" w:color="auto"/>
              <w:right w:val="single" w:sz="4" w:space="0" w:color="auto"/>
            </w:tcBorders>
          </w:tcPr>
          <w:p w14:paraId="72CA8613" w14:textId="77777777" w:rsidR="00BC085B" w:rsidRPr="002D486D" w:rsidRDefault="00BC085B" w:rsidP="00F06281">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5E867D83" w14:textId="77777777" w:rsidR="00BC085B" w:rsidRPr="002D486D" w:rsidRDefault="00BC085B" w:rsidP="00F06281">
            <w:pPr>
              <w:rPr>
                <w:rFonts w:ascii="Arial Narrow" w:hAnsi="Arial Narrow"/>
                <w:sz w:val="20"/>
                <w:szCs w:val="20"/>
              </w:rPr>
            </w:pPr>
            <w:r w:rsidRPr="002D486D">
              <w:rPr>
                <w:rFonts w:ascii="Arial Narrow" w:hAnsi="Arial Narrow"/>
                <w:b/>
                <w:sz w:val="20"/>
                <w:szCs w:val="20"/>
              </w:rPr>
              <w:t xml:space="preserve">Prescriber type:  </w:t>
            </w:r>
            <w:r w:rsidRPr="002D486D">
              <w:rPr>
                <w:rFonts w:ascii="Arial Narrow" w:hAnsi="Arial Narrow"/>
                <w:sz w:val="20"/>
                <w:szCs w:val="20"/>
              </w:rPr>
              <w:fldChar w:fldCharType="begin" w:fldLock="1">
                <w:ffData>
                  <w:name w:val=""/>
                  <w:enabled/>
                  <w:calcOnExit w:val="0"/>
                  <w:checkBox>
                    <w:sizeAuto/>
                    <w:default w:val="1"/>
                  </w:checkBox>
                </w:ffData>
              </w:fldChar>
            </w:r>
            <w:r w:rsidRPr="002D486D">
              <w:rPr>
                <w:rFonts w:ascii="Arial Narrow" w:hAnsi="Arial Narrow"/>
                <w:sz w:val="20"/>
                <w:szCs w:val="20"/>
              </w:rPr>
              <w:instrText xml:space="preserve"> FORMCHECKBOX </w:instrText>
            </w:r>
            <w:r w:rsidRPr="002D486D">
              <w:rPr>
                <w:rFonts w:ascii="Arial Narrow" w:hAnsi="Arial Narrow"/>
                <w:sz w:val="20"/>
                <w:szCs w:val="20"/>
              </w:rPr>
            </w:r>
            <w:r w:rsidRPr="002D486D">
              <w:rPr>
                <w:rFonts w:ascii="Arial Narrow" w:hAnsi="Arial Narrow"/>
                <w:sz w:val="20"/>
                <w:szCs w:val="20"/>
              </w:rPr>
              <w:fldChar w:fldCharType="separate"/>
            </w:r>
            <w:r w:rsidRPr="002D486D">
              <w:rPr>
                <w:rFonts w:ascii="Arial Narrow" w:hAnsi="Arial Narrow"/>
                <w:sz w:val="20"/>
                <w:szCs w:val="20"/>
              </w:rPr>
              <w:fldChar w:fldCharType="end"/>
            </w:r>
            <w:r w:rsidRPr="002D486D">
              <w:rPr>
                <w:rFonts w:ascii="Arial Narrow" w:hAnsi="Arial Narrow"/>
                <w:sz w:val="20"/>
                <w:szCs w:val="20"/>
              </w:rPr>
              <w:t xml:space="preserve">Medical Practitioners  </w:t>
            </w:r>
          </w:p>
        </w:tc>
      </w:tr>
      <w:tr w:rsidR="00BC085B" w:rsidRPr="002D486D" w14:paraId="184519B7" w14:textId="77777777" w:rsidTr="00EA4C87">
        <w:tc>
          <w:tcPr>
            <w:tcW w:w="553" w:type="pct"/>
            <w:tcBorders>
              <w:top w:val="single" w:sz="4" w:space="0" w:color="auto"/>
              <w:left w:val="single" w:sz="4" w:space="0" w:color="auto"/>
              <w:bottom w:val="single" w:sz="4" w:space="0" w:color="auto"/>
              <w:right w:val="single" w:sz="4" w:space="0" w:color="auto"/>
            </w:tcBorders>
          </w:tcPr>
          <w:p w14:paraId="10267DF1" w14:textId="77777777" w:rsidR="00BC085B" w:rsidRPr="002D486D" w:rsidRDefault="00BC085B" w:rsidP="00F06281">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2FBA4711" w14:textId="6ACB6B34" w:rsidR="00BC085B" w:rsidRPr="002D486D" w:rsidRDefault="00BC085B" w:rsidP="00F06281">
            <w:pPr>
              <w:rPr>
                <w:rFonts w:ascii="Arial Narrow" w:hAnsi="Arial Narrow"/>
                <w:b/>
                <w:sz w:val="20"/>
                <w:szCs w:val="20"/>
              </w:rPr>
            </w:pPr>
            <w:r w:rsidRPr="002D486D">
              <w:rPr>
                <w:rFonts w:ascii="Arial Narrow" w:hAnsi="Arial Narrow"/>
                <w:b/>
                <w:sz w:val="20"/>
                <w:szCs w:val="20"/>
              </w:rPr>
              <w:t xml:space="preserve">Restriction Level / Method: </w:t>
            </w:r>
            <w:r w:rsidRPr="002D486D">
              <w:rPr>
                <w:rFonts w:ascii="Arial Narrow" w:hAnsi="Arial Narrow"/>
                <w:sz w:val="20"/>
                <w:szCs w:val="20"/>
              </w:rPr>
              <w:fldChar w:fldCharType="begin" w:fldLock="1">
                <w:ffData>
                  <w:name w:val="Check3"/>
                  <w:enabled/>
                  <w:calcOnExit w:val="0"/>
                  <w:checkBox>
                    <w:sizeAuto/>
                    <w:default w:val="1"/>
                  </w:checkBox>
                </w:ffData>
              </w:fldChar>
            </w:r>
            <w:r w:rsidRPr="002D486D">
              <w:rPr>
                <w:rFonts w:ascii="Arial Narrow" w:hAnsi="Arial Narrow"/>
                <w:sz w:val="20"/>
                <w:szCs w:val="20"/>
              </w:rPr>
              <w:instrText xml:space="preserve"> FORMCHECKBOX </w:instrText>
            </w:r>
            <w:r w:rsidRPr="002D486D">
              <w:rPr>
                <w:rFonts w:ascii="Arial Narrow" w:hAnsi="Arial Narrow"/>
                <w:sz w:val="20"/>
                <w:szCs w:val="20"/>
              </w:rPr>
            </w:r>
            <w:r w:rsidRPr="002D486D">
              <w:rPr>
                <w:rFonts w:ascii="Arial Narrow" w:hAnsi="Arial Narrow"/>
                <w:sz w:val="20"/>
                <w:szCs w:val="20"/>
              </w:rPr>
              <w:fldChar w:fldCharType="separate"/>
            </w:r>
            <w:r w:rsidRPr="002D486D">
              <w:rPr>
                <w:rFonts w:ascii="Arial Narrow" w:hAnsi="Arial Narrow"/>
                <w:sz w:val="20"/>
                <w:szCs w:val="20"/>
              </w:rPr>
              <w:fldChar w:fldCharType="end"/>
            </w:r>
            <w:r w:rsidRPr="002D486D">
              <w:rPr>
                <w:rFonts w:ascii="Arial Narrow" w:hAnsi="Arial Narrow"/>
                <w:sz w:val="20"/>
                <w:szCs w:val="20"/>
              </w:rPr>
              <w:t xml:space="preserve">Authority Required – </w:t>
            </w:r>
            <w:r w:rsidR="006F2900" w:rsidRPr="00CA3AFF">
              <w:rPr>
                <w:rFonts w:ascii="Arial Narrow" w:eastAsia="Calibri" w:hAnsi="Arial Narrow"/>
                <w:sz w:val="20"/>
                <w:szCs w:val="20"/>
              </w:rPr>
              <w:t>(immediate assessment) telephone/online</w:t>
            </w:r>
          </w:p>
        </w:tc>
      </w:tr>
      <w:tr w:rsidR="00BC085B" w:rsidRPr="002D486D" w14:paraId="3CA44B35" w14:textId="77777777" w:rsidTr="00EA4C87">
        <w:tc>
          <w:tcPr>
            <w:tcW w:w="553" w:type="pct"/>
            <w:vAlign w:val="center"/>
          </w:tcPr>
          <w:p w14:paraId="2DF84059" w14:textId="57B944C0" w:rsidR="00BC085B" w:rsidRPr="002D486D" w:rsidRDefault="00BC085B" w:rsidP="00F06281">
            <w:pPr>
              <w:jc w:val="center"/>
              <w:rPr>
                <w:rFonts w:ascii="Arial Narrow" w:hAnsi="Arial Narrow"/>
                <w:color w:val="333333"/>
                <w:sz w:val="20"/>
                <w:szCs w:val="20"/>
              </w:rPr>
            </w:pPr>
          </w:p>
        </w:tc>
        <w:tc>
          <w:tcPr>
            <w:tcW w:w="4447" w:type="pct"/>
            <w:vAlign w:val="center"/>
          </w:tcPr>
          <w:p w14:paraId="27C95905" w14:textId="77777777" w:rsidR="00BC085B" w:rsidRPr="002D486D" w:rsidRDefault="00BC085B" w:rsidP="00F06281">
            <w:pPr>
              <w:rPr>
                <w:rFonts w:ascii="Arial Narrow" w:hAnsi="Arial Narrow"/>
                <w:color w:val="333333"/>
                <w:sz w:val="20"/>
                <w:szCs w:val="20"/>
              </w:rPr>
            </w:pPr>
            <w:r w:rsidRPr="002D486D">
              <w:rPr>
                <w:rFonts w:ascii="Arial Narrow" w:hAnsi="Arial Narrow"/>
                <w:b/>
                <w:bCs/>
                <w:color w:val="333333"/>
                <w:sz w:val="20"/>
                <w:szCs w:val="20"/>
              </w:rPr>
              <w:t>Administrative Advice:</w:t>
            </w:r>
          </w:p>
          <w:p w14:paraId="7268E19D" w14:textId="77777777" w:rsidR="00BC085B" w:rsidRPr="002D486D" w:rsidRDefault="00BC085B" w:rsidP="00F06281">
            <w:pPr>
              <w:rPr>
                <w:rFonts w:ascii="Arial Narrow" w:hAnsi="Arial Narrow"/>
                <w:b/>
                <w:bCs/>
                <w:color w:val="333333"/>
                <w:sz w:val="20"/>
                <w:szCs w:val="20"/>
              </w:rPr>
            </w:pPr>
            <w:r w:rsidRPr="002D486D">
              <w:rPr>
                <w:rFonts w:ascii="Arial Narrow" w:hAnsi="Arial Narrow"/>
                <w:color w:val="333333"/>
                <w:sz w:val="20"/>
                <w:szCs w:val="20"/>
              </w:rPr>
              <w:t>No increase in the maximum quantity or number of units may be authorised.</w:t>
            </w:r>
          </w:p>
        </w:tc>
      </w:tr>
      <w:tr w:rsidR="00BC085B" w:rsidRPr="002D486D" w14:paraId="0072CCD2" w14:textId="77777777" w:rsidTr="00EA4C87">
        <w:tc>
          <w:tcPr>
            <w:tcW w:w="553" w:type="pct"/>
            <w:vAlign w:val="center"/>
          </w:tcPr>
          <w:p w14:paraId="05E5FDCF" w14:textId="798F6D10" w:rsidR="00BC085B" w:rsidRPr="002D486D" w:rsidRDefault="00BC085B" w:rsidP="00F06281">
            <w:pPr>
              <w:jc w:val="center"/>
              <w:rPr>
                <w:rFonts w:ascii="Arial Narrow" w:hAnsi="Arial Narrow"/>
                <w:color w:val="333333"/>
                <w:sz w:val="20"/>
                <w:szCs w:val="20"/>
              </w:rPr>
            </w:pPr>
          </w:p>
        </w:tc>
        <w:tc>
          <w:tcPr>
            <w:tcW w:w="4447" w:type="pct"/>
            <w:vAlign w:val="center"/>
          </w:tcPr>
          <w:p w14:paraId="6346A199" w14:textId="77777777" w:rsidR="00BC085B" w:rsidRPr="002D486D" w:rsidRDefault="00BC085B" w:rsidP="00F06281">
            <w:pPr>
              <w:rPr>
                <w:rFonts w:ascii="Arial Narrow" w:hAnsi="Arial Narrow"/>
                <w:color w:val="333333"/>
                <w:sz w:val="20"/>
                <w:szCs w:val="20"/>
              </w:rPr>
            </w:pPr>
            <w:r w:rsidRPr="002D486D">
              <w:rPr>
                <w:rFonts w:ascii="Arial Narrow" w:hAnsi="Arial Narrow"/>
                <w:b/>
                <w:bCs/>
                <w:color w:val="333333"/>
                <w:sz w:val="20"/>
                <w:szCs w:val="20"/>
              </w:rPr>
              <w:t>Administrative Advice:</w:t>
            </w:r>
          </w:p>
          <w:p w14:paraId="27B25BA7" w14:textId="77777777" w:rsidR="00BC085B" w:rsidRPr="002D486D" w:rsidRDefault="00BC085B" w:rsidP="00F06281">
            <w:pPr>
              <w:rPr>
                <w:rFonts w:ascii="Arial Narrow" w:hAnsi="Arial Narrow"/>
                <w:color w:val="333333"/>
                <w:sz w:val="20"/>
                <w:szCs w:val="20"/>
              </w:rPr>
            </w:pPr>
            <w:r w:rsidRPr="002D486D">
              <w:rPr>
                <w:rFonts w:ascii="Arial Narrow" w:hAnsi="Arial Narrow"/>
                <w:color w:val="333333"/>
                <w:sz w:val="20"/>
                <w:szCs w:val="20"/>
              </w:rPr>
              <w:t>No increase in the maximum number of repeats may be authorised.</w:t>
            </w:r>
          </w:p>
        </w:tc>
      </w:tr>
      <w:tr w:rsidR="00BC085B" w:rsidRPr="002D486D" w14:paraId="22996E33" w14:textId="77777777" w:rsidTr="00EA4C87">
        <w:tc>
          <w:tcPr>
            <w:tcW w:w="553" w:type="pct"/>
            <w:vAlign w:val="center"/>
          </w:tcPr>
          <w:p w14:paraId="4F283BC7" w14:textId="0E57ED8F" w:rsidR="00BC085B" w:rsidRPr="002D486D" w:rsidRDefault="00BC085B" w:rsidP="00F06281">
            <w:pPr>
              <w:jc w:val="center"/>
              <w:rPr>
                <w:rFonts w:ascii="Arial Narrow" w:hAnsi="Arial Narrow"/>
                <w:color w:val="333333"/>
                <w:sz w:val="20"/>
                <w:szCs w:val="20"/>
              </w:rPr>
            </w:pPr>
          </w:p>
        </w:tc>
        <w:tc>
          <w:tcPr>
            <w:tcW w:w="4447" w:type="pct"/>
            <w:vAlign w:val="center"/>
          </w:tcPr>
          <w:p w14:paraId="558A1091" w14:textId="77777777" w:rsidR="00BC085B" w:rsidRPr="002D486D" w:rsidRDefault="00BC085B" w:rsidP="00F06281">
            <w:pPr>
              <w:rPr>
                <w:rFonts w:ascii="Arial Narrow" w:hAnsi="Arial Narrow"/>
                <w:color w:val="333333"/>
                <w:sz w:val="20"/>
                <w:szCs w:val="20"/>
              </w:rPr>
            </w:pPr>
            <w:r w:rsidRPr="002D486D">
              <w:rPr>
                <w:rFonts w:ascii="Arial Narrow" w:hAnsi="Arial Narrow"/>
                <w:b/>
                <w:bCs/>
                <w:color w:val="333333"/>
                <w:sz w:val="20"/>
                <w:szCs w:val="20"/>
              </w:rPr>
              <w:t>Administrative Advice:</w:t>
            </w:r>
          </w:p>
          <w:p w14:paraId="2CAA76B9" w14:textId="77777777" w:rsidR="00BC085B" w:rsidRPr="002D486D" w:rsidRDefault="00BC085B" w:rsidP="00F06281">
            <w:pPr>
              <w:rPr>
                <w:rFonts w:ascii="Arial Narrow" w:hAnsi="Arial Narrow"/>
                <w:b/>
                <w:bCs/>
                <w:color w:val="333333"/>
                <w:sz w:val="20"/>
                <w:szCs w:val="20"/>
              </w:rPr>
            </w:pPr>
            <w:r w:rsidRPr="002D486D">
              <w:rPr>
                <w:rFonts w:ascii="Arial Narrow" w:hAnsi="Arial Narrow"/>
                <w:color w:val="333333"/>
                <w:sz w:val="20"/>
                <w:szCs w:val="20"/>
              </w:rPr>
              <w:t>Special Pricing Arrangements Apply</w:t>
            </w:r>
          </w:p>
        </w:tc>
      </w:tr>
      <w:tr w:rsidR="00BC085B" w:rsidRPr="002D486D" w14:paraId="230DE935" w14:textId="77777777" w:rsidTr="008E2715">
        <w:tc>
          <w:tcPr>
            <w:tcW w:w="553" w:type="pct"/>
            <w:vAlign w:val="center"/>
          </w:tcPr>
          <w:p w14:paraId="73256FF1" w14:textId="5E414C68" w:rsidR="00BC085B" w:rsidRPr="002D486D" w:rsidRDefault="00BC085B" w:rsidP="00F06281">
            <w:pPr>
              <w:jc w:val="center"/>
              <w:rPr>
                <w:rFonts w:ascii="Arial Narrow" w:hAnsi="Arial Narrow"/>
                <w:color w:val="333333"/>
                <w:sz w:val="20"/>
                <w:szCs w:val="20"/>
              </w:rPr>
            </w:pPr>
          </w:p>
        </w:tc>
        <w:tc>
          <w:tcPr>
            <w:tcW w:w="4447" w:type="pct"/>
            <w:vAlign w:val="center"/>
            <w:hideMark/>
          </w:tcPr>
          <w:p w14:paraId="7E447372" w14:textId="77777777" w:rsidR="00BC085B" w:rsidRPr="002D486D" w:rsidRDefault="00BC085B" w:rsidP="00F06281">
            <w:pPr>
              <w:rPr>
                <w:rFonts w:ascii="Arial Narrow" w:hAnsi="Arial Narrow"/>
                <w:color w:val="333333"/>
                <w:sz w:val="20"/>
                <w:szCs w:val="20"/>
              </w:rPr>
            </w:pPr>
            <w:r w:rsidRPr="002D486D">
              <w:rPr>
                <w:rFonts w:ascii="Arial Narrow" w:hAnsi="Arial Narrow"/>
                <w:b/>
                <w:bCs/>
                <w:color w:val="333333"/>
                <w:sz w:val="20"/>
                <w:szCs w:val="20"/>
              </w:rPr>
              <w:t>Indication:</w:t>
            </w:r>
            <w:r w:rsidRPr="002D486D">
              <w:rPr>
                <w:rFonts w:ascii="Arial Narrow" w:hAnsi="Arial Narrow"/>
                <w:color w:val="333333"/>
                <w:sz w:val="20"/>
                <w:szCs w:val="20"/>
              </w:rPr>
              <w:t xml:space="preserve"> Chronic treatment of hereditary angioedema Types 1 or 2</w:t>
            </w:r>
          </w:p>
        </w:tc>
      </w:tr>
      <w:tr w:rsidR="00BC085B" w:rsidRPr="002D486D" w14:paraId="306306A5" w14:textId="77777777" w:rsidTr="008E2715">
        <w:tc>
          <w:tcPr>
            <w:tcW w:w="553" w:type="pct"/>
            <w:vAlign w:val="center"/>
          </w:tcPr>
          <w:p w14:paraId="67B8556B" w14:textId="77777777" w:rsidR="00BC085B" w:rsidRPr="002D486D" w:rsidRDefault="00BC085B" w:rsidP="00F06281">
            <w:pPr>
              <w:jc w:val="center"/>
              <w:rPr>
                <w:rFonts w:ascii="Arial Narrow" w:hAnsi="Arial Narrow"/>
                <w:color w:val="333333"/>
                <w:sz w:val="20"/>
                <w:szCs w:val="20"/>
              </w:rPr>
            </w:pPr>
          </w:p>
        </w:tc>
        <w:tc>
          <w:tcPr>
            <w:tcW w:w="4447" w:type="pct"/>
            <w:vAlign w:val="center"/>
            <w:hideMark/>
          </w:tcPr>
          <w:p w14:paraId="25B1C86F" w14:textId="55644882" w:rsidR="00BC085B" w:rsidRPr="002D486D" w:rsidRDefault="00BC085B" w:rsidP="00F06281">
            <w:pPr>
              <w:rPr>
                <w:rFonts w:ascii="Arial Narrow" w:hAnsi="Arial Narrow"/>
                <w:color w:val="333333"/>
                <w:sz w:val="20"/>
                <w:szCs w:val="20"/>
              </w:rPr>
            </w:pPr>
            <w:r w:rsidRPr="002D486D">
              <w:rPr>
                <w:rFonts w:ascii="Arial Narrow" w:hAnsi="Arial Narrow"/>
                <w:b/>
                <w:bCs/>
                <w:color w:val="333333"/>
                <w:sz w:val="20"/>
                <w:szCs w:val="20"/>
              </w:rPr>
              <w:t>Treatment Phase:</w:t>
            </w:r>
            <w:r w:rsidRPr="002D486D">
              <w:rPr>
                <w:rFonts w:ascii="Arial Narrow" w:hAnsi="Arial Narrow"/>
                <w:color w:val="333333"/>
                <w:sz w:val="20"/>
                <w:szCs w:val="20"/>
              </w:rPr>
              <w:t xml:space="preserve"> </w:t>
            </w:r>
            <w:r w:rsidRPr="00BC085B">
              <w:rPr>
                <w:rFonts w:ascii="Arial Narrow" w:hAnsi="Arial Narrow"/>
                <w:color w:val="333333"/>
                <w:sz w:val="20"/>
                <w:szCs w:val="20"/>
              </w:rPr>
              <w:t>Initial 1: New patient (commencing with no previous treatment with C1-INH for routine prophylaxis)</w:t>
            </w:r>
            <w:r>
              <w:rPr>
                <w:rFonts w:ascii="Arial Narrow" w:hAnsi="Arial Narrow"/>
                <w:color w:val="333333"/>
                <w:sz w:val="20"/>
                <w:szCs w:val="20"/>
              </w:rPr>
              <w:t xml:space="preserve">, </w:t>
            </w:r>
            <w:r w:rsidRPr="00BC085B">
              <w:rPr>
                <w:rFonts w:ascii="Arial Narrow" w:hAnsi="Arial Narrow"/>
                <w:color w:val="333333"/>
                <w:sz w:val="20"/>
                <w:szCs w:val="20"/>
              </w:rPr>
              <w:t>Initial 2: New patient (commencing from National Blood Authority-funded C1-INH)</w:t>
            </w:r>
            <w:r>
              <w:rPr>
                <w:rFonts w:ascii="Arial Narrow" w:hAnsi="Arial Narrow"/>
                <w:color w:val="333333"/>
                <w:sz w:val="20"/>
                <w:szCs w:val="20"/>
              </w:rPr>
              <w:t xml:space="preserve"> or </w:t>
            </w:r>
            <w:r w:rsidRPr="00BC085B">
              <w:rPr>
                <w:rFonts w:ascii="Arial Narrow" w:hAnsi="Arial Narrow"/>
                <w:color w:val="333333"/>
                <w:sz w:val="20"/>
                <w:szCs w:val="20"/>
              </w:rPr>
              <w:t>Initial 3: New patient (transitioning from PBS-subsidised lanadelumab)</w:t>
            </w:r>
            <w:r>
              <w:rPr>
                <w:rFonts w:ascii="Arial Narrow" w:hAnsi="Arial Narrow"/>
                <w:color w:val="333333"/>
                <w:sz w:val="20"/>
                <w:szCs w:val="20"/>
              </w:rPr>
              <w:t xml:space="preserve"> – balance of supply</w:t>
            </w:r>
          </w:p>
        </w:tc>
      </w:tr>
      <w:tr w:rsidR="00BC085B" w:rsidRPr="002D486D" w14:paraId="6F885087" w14:textId="77777777" w:rsidTr="00EA4C87">
        <w:tc>
          <w:tcPr>
            <w:tcW w:w="553" w:type="pct"/>
            <w:vAlign w:val="center"/>
          </w:tcPr>
          <w:p w14:paraId="6202A3E2" w14:textId="13E4ED14" w:rsidR="00BC085B" w:rsidRPr="002D486D" w:rsidRDefault="00BC085B" w:rsidP="00F06281">
            <w:pPr>
              <w:jc w:val="center"/>
              <w:rPr>
                <w:rFonts w:ascii="Arial Narrow" w:hAnsi="Arial Narrow"/>
                <w:color w:val="333333"/>
                <w:sz w:val="20"/>
                <w:szCs w:val="20"/>
              </w:rPr>
            </w:pPr>
          </w:p>
        </w:tc>
        <w:tc>
          <w:tcPr>
            <w:tcW w:w="4447" w:type="pct"/>
            <w:vAlign w:val="center"/>
            <w:hideMark/>
          </w:tcPr>
          <w:p w14:paraId="1A55FAEF" w14:textId="77777777" w:rsidR="00BC085B" w:rsidRPr="002D486D" w:rsidRDefault="00BC085B" w:rsidP="00F06281">
            <w:pPr>
              <w:rPr>
                <w:rFonts w:ascii="Arial Narrow" w:hAnsi="Arial Narrow"/>
                <w:color w:val="333333"/>
                <w:sz w:val="20"/>
                <w:szCs w:val="20"/>
              </w:rPr>
            </w:pPr>
            <w:r w:rsidRPr="002D486D">
              <w:rPr>
                <w:rFonts w:ascii="Arial Narrow" w:hAnsi="Arial Narrow"/>
                <w:b/>
                <w:bCs/>
                <w:color w:val="333333"/>
                <w:sz w:val="20"/>
                <w:szCs w:val="20"/>
              </w:rPr>
              <w:t>Clinical criteria:</w:t>
            </w:r>
          </w:p>
        </w:tc>
      </w:tr>
      <w:tr w:rsidR="00BC085B" w:rsidRPr="002D486D" w14:paraId="46C8D35D" w14:textId="77777777" w:rsidTr="00EA4C87">
        <w:tc>
          <w:tcPr>
            <w:tcW w:w="553" w:type="pct"/>
            <w:vAlign w:val="center"/>
          </w:tcPr>
          <w:p w14:paraId="5B86439A" w14:textId="0A1D1A3C" w:rsidR="00BC085B" w:rsidRPr="002D486D" w:rsidRDefault="00BC085B" w:rsidP="00F06281">
            <w:pPr>
              <w:jc w:val="center"/>
              <w:rPr>
                <w:rFonts w:ascii="Arial Narrow" w:hAnsi="Arial Narrow"/>
                <w:color w:val="333333"/>
                <w:sz w:val="20"/>
                <w:szCs w:val="20"/>
              </w:rPr>
            </w:pPr>
          </w:p>
        </w:tc>
        <w:tc>
          <w:tcPr>
            <w:tcW w:w="4447" w:type="pct"/>
            <w:vAlign w:val="center"/>
            <w:hideMark/>
          </w:tcPr>
          <w:p w14:paraId="48DC4ED3" w14:textId="5D6A542B" w:rsidR="00BC085B" w:rsidRPr="002D486D" w:rsidRDefault="00BC085B" w:rsidP="00F06281">
            <w:pPr>
              <w:rPr>
                <w:rFonts w:ascii="Arial Narrow" w:hAnsi="Arial Narrow"/>
                <w:color w:val="333333"/>
                <w:sz w:val="20"/>
                <w:szCs w:val="20"/>
              </w:rPr>
            </w:pPr>
            <w:r w:rsidRPr="00BC085B">
              <w:rPr>
                <w:rFonts w:ascii="Arial Narrow" w:hAnsi="Arial Narrow"/>
                <w:color w:val="333333"/>
                <w:sz w:val="20"/>
                <w:szCs w:val="20"/>
              </w:rPr>
              <w:t>Patient must have received insufficient therapy with this drug for this condition under the Initial 1: New patient (commencing with no previous treatment with C1-INH for routine prophylaxis)</w:t>
            </w:r>
            <w:r>
              <w:rPr>
                <w:rFonts w:ascii="Arial Narrow" w:hAnsi="Arial Narrow"/>
                <w:color w:val="333333"/>
                <w:sz w:val="20"/>
                <w:szCs w:val="20"/>
              </w:rPr>
              <w:t xml:space="preserve"> restriction</w:t>
            </w:r>
            <w:r w:rsidRPr="00BC085B">
              <w:rPr>
                <w:rFonts w:ascii="Arial Narrow" w:hAnsi="Arial Narrow"/>
                <w:color w:val="333333"/>
                <w:sz w:val="20"/>
                <w:szCs w:val="20"/>
              </w:rPr>
              <w:t xml:space="preserve"> to complete </w:t>
            </w:r>
            <w:r w:rsidR="009D47F0">
              <w:rPr>
                <w:rFonts w:ascii="Arial Narrow" w:hAnsi="Arial Narrow"/>
                <w:color w:val="333333"/>
                <w:sz w:val="20"/>
                <w:szCs w:val="20"/>
              </w:rPr>
              <w:t>24</w:t>
            </w:r>
            <w:r w:rsidRPr="00BC085B">
              <w:rPr>
                <w:rFonts w:ascii="Arial Narrow" w:hAnsi="Arial Narrow"/>
                <w:color w:val="333333"/>
                <w:sz w:val="20"/>
                <w:szCs w:val="20"/>
              </w:rPr>
              <w:t xml:space="preserve"> weeks treatment; </w:t>
            </w:r>
            <w:r w:rsidR="0040554C">
              <w:rPr>
                <w:rFonts w:ascii="Arial Narrow" w:hAnsi="Arial Narrow"/>
                <w:color w:val="333333"/>
                <w:sz w:val="20"/>
                <w:szCs w:val="20"/>
              </w:rPr>
              <w:t>OR</w:t>
            </w:r>
          </w:p>
        </w:tc>
      </w:tr>
      <w:tr w:rsidR="00BC085B" w:rsidRPr="002D486D" w14:paraId="09A6113F" w14:textId="77777777" w:rsidTr="009D47F0">
        <w:tc>
          <w:tcPr>
            <w:tcW w:w="553" w:type="pct"/>
            <w:vAlign w:val="center"/>
          </w:tcPr>
          <w:p w14:paraId="2161610B" w14:textId="19842B38" w:rsidR="00BC085B" w:rsidRPr="002D486D" w:rsidRDefault="00BC085B" w:rsidP="00F06281">
            <w:pPr>
              <w:jc w:val="center"/>
              <w:rPr>
                <w:rFonts w:ascii="Arial Narrow" w:hAnsi="Arial Narrow"/>
                <w:color w:val="333333"/>
                <w:sz w:val="20"/>
                <w:szCs w:val="20"/>
              </w:rPr>
            </w:pPr>
          </w:p>
        </w:tc>
        <w:tc>
          <w:tcPr>
            <w:tcW w:w="4447" w:type="pct"/>
            <w:vAlign w:val="center"/>
          </w:tcPr>
          <w:p w14:paraId="2FD496B3" w14:textId="6EBB975F" w:rsidR="00BC085B" w:rsidRPr="002D486D" w:rsidRDefault="009D47F0" w:rsidP="00F06281">
            <w:pPr>
              <w:rPr>
                <w:rFonts w:ascii="Arial Narrow" w:hAnsi="Arial Narrow"/>
                <w:color w:val="333333"/>
                <w:sz w:val="20"/>
                <w:szCs w:val="20"/>
              </w:rPr>
            </w:pPr>
            <w:r w:rsidRPr="00BC085B">
              <w:rPr>
                <w:rFonts w:ascii="Arial Narrow" w:hAnsi="Arial Narrow"/>
                <w:color w:val="333333"/>
                <w:sz w:val="20"/>
                <w:szCs w:val="20"/>
              </w:rPr>
              <w:t>Patient must have received insufficient therapy with this drug for this condition under the Initial 2: New patient (commencing from National Blood Authority-funded C1-INH)</w:t>
            </w:r>
            <w:r>
              <w:rPr>
                <w:rFonts w:ascii="Arial Narrow" w:hAnsi="Arial Narrow"/>
                <w:color w:val="333333"/>
                <w:sz w:val="20"/>
                <w:szCs w:val="20"/>
              </w:rPr>
              <w:t xml:space="preserve"> restriction</w:t>
            </w:r>
            <w:r w:rsidRPr="00BC085B">
              <w:rPr>
                <w:rFonts w:ascii="Arial Narrow" w:hAnsi="Arial Narrow"/>
                <w:color w:val="333333"/>
                <w:sz w:val="20"/>
                <w:szCs w:val="20"/>
              </w:rPr>
              <w:t xml:space="preserve"> to complete </w:t>
            </w:r>
            <w:r>
              <w:rPr>
                <w:rFonts w:ascii="Arial Narrow" w:hAnsi="Arial Narrow"/>
                <w:color w:val="333333"/>
                <w:sz w:val="20"/>
                <w:szCs w:val="20"/>
              </w:rPr>
              <w:t>24</w:t>
            </w:r>
            <w:r w:rsidRPr="00BC085B">
              <w:rPr>
                <w:rFonts w:ascii="Arial Narrow" w:hAnsi="Arial Narrow"/>
                <w:color w:val="333333"/>
                <w:sz w:val="20"/>
                <w:szCs w:val="20"/>
              </w:rPr>
              <w:t xml:space="preserve"> weeks treatment; </w:t>
            </w:r>
            <w:r w:rsidR="0040554C">
              <w:rPr>
                <w:rFonts w:ascii="Arial Narrow" w:hAnsi="Arial Narrow"/>
                <w:color w:val="333333"/>
                <w:sz w:val="20"/>
                <w:szCs w:val="20"/>
              </w:rPr>
              <w:t>OR</w:t>
            </w:r>
          </w:p>
        </w:tc>
      </w:tr>
      <w:tr w:rsidR="00BC085B" w:rsidRPr="002D486D" w14:paraId="2CF05C97" w14:textId="77777777" w:rsidTr="009D47F0">
        <w:tc>
          <w:tcPr>
            <w:tcW w:w="553" w:type="pct"/>
            <w:vAlign w:val="center"/>
          </w:tcPr>
          <w:p w14:paraId="42F0448D" w14:textId="7E7AB864" w:rsidR="00BC085B" w:rsidRPr="002D486D" w:rsidRDefault="00BC085B" w:rsidP="00F06281">
            <w:pPr>
              <w:jc w:val="center"/>
              <w:rPr>
                <w:rFonts w:ascii="Arial Narrow" w:hAnsi="Arial Narrow"/>
                <w:color w:val="333333"/>
                <w:sz w:val="20"/>
                <w:szCs w:val="20"/>
              </w:rPr>
            </w:pPr>
          </w:p>
        </w:tc>
        <w:tc>
          <w:tcPr>
            <w:tcW w:w="4447" w:type="pct"/>
            <w:vAlign w:val="center"/>
          </w:tcPr>
          <w:p w14:paraId="1682A493" w14:textId="55313041" w:rsidR="00BC085B" w:rsidRPr="002D486D" w:rsidRDefault="009D47F0" w:rsidP="00F06281">
            <w:pPr>
              <w:rPr>
                <w:rFonts w:ascii="Arial Narrow" w:hAnsi="Arial Narrow"/>
                <w:color w:val="333333"/>
                <w:sz w:val="20"/>
                <w:szCs w:val="20"/>
              </w:rPr>
            </w:pPr>
            <w:r w:rsidRPr="00BC085B">
              <w:rPr>
                <w:rFonts w:ascii="Arial Narrow" w:hAnsi="Arial Narrow"/>
                <w:color w:val="333333"/>
                <w:sz w:val="20"/>
                <w:szCs w:val="20"/>
              </w:rPr>
              <w:t>Patient must have received insufficient therapy with this drug for this condition under the</w:t>
            </w:r>
            <w:r>
              <w:rPr>
                <w:rFonts w:ascii="Arial Narrow" w:hAnsi="Arial Narrow"/>
                <w:color w:val="333333"/>
                <w:sz w:val="20"/>
                <w:szCs w:val="20"/>
              </w:rPr>
              <w:t xml:space="preserve"> </w:t>
            </w:r>
            <w:r w:rsidRPr="00BC085B">
              <w:rPr>
                <w:rFonts w:ascii="Arial Narrow" w:hAnsi="Arial Narrow"/>
                <w:color w:val="333333"/>
                <w:sz w:val="20"/>
                <w:szCs w:val="20"/>
              </w:rPr>
              <w:t>Initial 3: New patient (transitioning from PBS-subsidised lanadelumab)</w:t>
            </w:r>
            <w:r>
              <w:rPr>
                <w:rFonts w:ascii="Arial Narrow" w:hAnsi="Arial Narrow"/>
                <w:color w:val="333333"/>
                <w:sz w:val="20"/>
                <w:szCs w:val="20"/>
              </w:rPr>
              <w:t xml:space="preserve"> restriction to complete 24 weeks treatment</w:t>
            </w:r>
          </w:p>
        </w:tc>
      </w:tr>
      <w:tr w:rsidR="009D47F0" w:rsidRPr="002D486D" w14:paraId="5F7EE319" w14:textId="77777777" w:rsidTr="009D47F0">
        <w:tc>
          <w:tcPr>
            <w:tcW w:w="553" w:type="pct"/>
            <w:vAlign w:val="center"/>
          </w:tcPr>
          <w:p w14:paraId="1C1CE7BF" w14:textId="6EFC10D8" w:rsidR="009D47F0" w:rsidRPr="002D486D" w:rsidRDefault="009D47F0" w:rsidP="00F06281">
            <w:pPr>
              <w:jc w:val="center"/>
              <w:rPr>
                <w:rFonts w:ascii="Arial Narrow" w:hAnsi="Arial Narrow"/>
                <w:color w:val="333333"/>
                <w:sz w:val="20"/>
                <w:szCs w:val="20"/>
              </w:rPr>
            </w:pPr>
          </w:p>
        </w:tc>
        <w:tc>
          <w:tcPr>
            <w:tcW w:w="4447" w:type="pct"/>
            <w:vAlign w:val="center"/>
          </w:tcPr>
          <w:p w14:paraId="1BF34A87" w14:textId="61E414D3" w:rsidR="009D47F0" w:rsidRPr="002D486D" w:rsidRDefault="009D47F0" w:rsidP="00F06281">
            <w:pPr>
              <w:rPr>
                <w:rFonts w:ascii="Arial Narrow" w:hAnsi="Arial Narrow"/>
                <w:color w:val="333333"/>
                <w:sz w:val="20"/>
                <w:szCs w:val="20"/>
              </w:rPr>
            </w:pPr>
            <w:r w:rsidRPr="002D486D">
              <w:rPr>
                <w:rFonts w:ascii="Arial Narrow" w:hAnsi="Arial Narrow"/>
                <w:b/>
                <w:bCs/>
                <w:color w:val="333333"/>
                <w:sz w:val="20"/>
                <w:szCs w:val="20"/>
              </w:rPr>
              <w:t>AND</w:t>
            </w:r>
          </w:p>
        </w:tc>
      </w:tr>
      <w:tr w:rsidR="009D47F0" w:rsidRPr="002D486D" w14:paraId="121BE87D" w14:textId="77777777" w:rsidTr="009D47F0">
        <w:tc>
          <w:tcPr>
            <w:tcW w:w="553" w:type="pct"/>
            <w:vAlign w:val="center"/>
          </w:tcPr>
          <w:p w14:paraId="21DB2FEB" w14:textId="4500C53F" w:rsidR="009D47F0" w:rsidRPr="002D486D" w:rsidRDefault="009D47F0" w:rsidP="00F06281">
            <w:pPr>
              <w:jc w:val="center"/>
              <w:rPr>
                <w:rFonts w:ascii="Arial Narrow" w:hAnsi="Arial Narrow"/>
                <w:color w:val="333333"/>
                <w:sz w:val="20"/>
                <w:szCs w:val="20"/>
              </w:rPr>
            </w:pPr>
          </w:p>
        </w:tc>
        <w:tc>
          <w:tcPr>
            <w:tcW w:w="4447" w:type="pct"/>
            <w:vAlign w:val="center"/>
          </w:tcPr>
          <w:p w14:paraId="70CA0B2E" w14:textId="05FFDBAA" w:rsidR="009D47F0" w:rsidRPr="002D486D" w:rsidRDefault="009D47F0" w:rsidP="00F06281">
            <w:pPr>
              <w:rPr>
                <w:rFonts w:ascii="Arial Narrow" w:hAnsi="Arial Narrow"/>
                <w:color w:val="333333"/>
                <w:sz w:val="20"/>
                <w:szCs w:val="20"/>
              </w:rPr>
            </w:pPr>
            <w:r w:rsidRPr="002D486D">
              <w:rPr>
                <w:rFonts w:ascii="Arial Narrow" w:hAnsi="Arial Narrow"/>
                <w:b/>
                <w:bCs/>
                <w:color w:val="333333"/>
                <w:sz w:val="20"/>
                <w:szCs w:val="20"/>
              </w:rPr>
              <w:t>Clinical criteria:</w:t>
            </w:r>
          </w:p>
        </w:tc>
      </w:tr>
      <w:tr w:rsidR="00BC085B" w:rsidRPr="002D486D" w14:paraId="15D49B8B" w14:textId="77777777" w:rsidTr="009D47F0">
        <w:tc>
          <w:tcPr>
            <w:tcW w:w="553" w:type="pct"/>
            <w:vAlign w:val="center"/>
          </w:tcPr>
          <w:p w14:paraId="53B2B1CA" w14:textId="499BD189" w:rsidR="00BC085B" w:rsidRPr="002D486D" w:rsidRDefault="00BC085B" w:rsidP="00F06281">
            <w:pPr>
              <w:jc w:val="center"/>
              <w:rPr>
                <w:rFonts w:ascii="Arial Narrow" w:hAnsi="Arial Narrow"/>
                <w:color w:val="333333"/>
                <w:sz w:val="20"/>
                <w:szCs w:val="20"/>
              </w:rPr>
            </w:pPr>
          </w:p>
        </w:tc>
        <w:tc>
          <w:tcPr>
            <w:tcW w:w="4447" w:type="pct"/>
            <w:vAlign w:val="center"/>
          </w:tcPr>
          <w:p w14:paraId="095B7CEF" w14:textId="301ABE78" w:rsidR="00BC085B" w:rsidRPr="002D486D" w:rsidRDefault="009D47F0" w:rsidP="00F06281">
            <w:pPr>
              <w:rPr>
                <w:rFonts w:ascii="Arial Narrow" w:hAnsi="Arial Narrow"/>
                <w:color w:val="333333"/>
                <w:sz w:val="20"/>
                <w:szCs w:val="20"/>
              </w:rPr>
            </w:pPr>
            <w:r w:rsidRPr="009D47F0">
              <w:rPr>
                <w:rFonts w:ascii="Arial Narrow" w:hAnsi="Arial Narrow"/>
                <w:color w:val="333333"/>
                <w:sz w:val="20"/>
                <w:szCs w:val="20"/>
              </w:rPr>
              <w:t>The treatment must provide no more than the balance of up to 24 weeks treatment available under the above restriction.</w:t>
            </w:r>
          </w:p>
        </w:tc>
      </w:tr>
      <w:tr w:rsidR="009D47F0" w:rsidRPr="002D486D" w14:paraId="434B49E9" w14:textId="77777777" w:rsidTr="009D47F0">
        <w:tc>
          <w:tcPr>
            <w:tcW w:w="553" w:type="pct"/>
            <w:vAlign w:val="center"/>
          </w:tcPr>
          <w:p w14:paraId="2FF7BDEE" w14:textId="5F473EFA" w:rsidR="009D47F0" w:rsidRPr="002D486D" w:rsidRDefault="009D47F0" w:rsidP="00F06281">
            <w:pPr>
              <w:jc w:val="center"/>
              <w:rPr>
                <w:rFonts w:ascii="Arial Narrow" w:hAnsi="Arial Narrow"/>
                <w:color w:val="333333"/>
                <w:sz w:val="20"/>
                <w:szCs w:val="20"/>
              </w:rPr>
            </w:pPr>
          </w:p>
        </w:tc>
        <w:tc>
          <w:tcPr>
            <w:tcW w:w="4447" w:type="pct"/>
            <w:vAlign w:val="center"/>
          </w:tcPr>
          <w:p w14:paraId="4E3E3385" w14:textId="7D1AB39B" w:rsidR="009D47F0" w:rsidRPr="002D486D" w:rsidRDefault="009D47F0" w:rsidP="00F06281">
            <w:pPr>
              <w:rPr>
                <w:rFonts w:ascii="Arial Narrow" w:hAnsi="Arial Narrow"/>
                <w:color w:val="333333"/>
                <w:sz w:val="20"/>
                <w:szCs w:val="20"/>
              </w:rPr>
            </w:pPr>
            <w:r w:rsidRPr="002D486D">
              <w:rPr>
                <w:rFonts w:ascii="Arial Narrow" w:hAnsi="Arial Narrow"/>
                <w:b/>
                <w:bCs/>
                <w:color w:val="333333"/>
                <w:sz w:val="20"/>
                <w:szCs w:val="20"/>
              </w:rPr>
              <w:t>Clinical criteria:</w:t>
            </w:r>
          </w:p>
        </w:tc>
      </w:tr>
      <w:tr w:rsidR="009D47F0" w:rsidRPr="002D486D" w14:paraId="33971930" w14:textId="77777777" w:rsidTr="009D47F0">
        <w:tc>
          <w:tcPr>
            <w:tcW w:w="553" w:type="pct"/>
            <w:vAlign w:val="center"/>
          </w:tcPr>
          <w:p w14:paraId="3A5F4C42" w14:textId="1BA53ABC" w:rsidR="009D47F0" w:rsidRPr="002D486D" w:rsidRDefault="009D47F0" w:rsidP="00F06281">
            <w:pPr>
              <w:jc w:val="center"/>
              <w:rPr>
                <w:rFonts w:ascii="Arial Narrow" w:hAnsi="Arial Narrow"/>
                <w:color w:val="333333"/>
                <w:sz w:val="20"/>
                <w:szCs w:val="20"/>
              </w:rPr>
            </w:pPr>
          </w:p>
        </w:tc>
        <w:tc>
          <w:tcPr>
            <w:tcW w:w="4447" w:type="pct"/>
            <w:vAlign w:val="center"/>
          </w:tcPr>
          <w:p w14:paraId="74FD46EE" w14:textId="401ACEBB" w:rsidR="009D47F0" w:rsidRPr="002D486D" w:rsidRDefault="009D47F0" w:rsidP="00F06281">
            <w:pPr>
              <w:rPr>
                <w:rFonts w:ascii="Arial Narrow" w:hAnsi="Arial Narrow"/>
                <w:color w:val="333333"/>
                <w:sz w:val="20"/>
                <w:szCs w:val="20"/>
              </w:rPr>
            </w:pPr>
            <w:r w:rsidRPr="002D486D">
              <w:rPr>
                <w:rFonts w:ascii="Arial Narrow" w:hAnsi="Arial Narrow"/>
                <w:color w:val="333333"/>
                <w:sz w:val="20"/>
                <w:szCs w:val="20"/>
              </w:rPr>
              <w:t>The treatment must not be used in combination with either: (i) a C1-esterase inhibitor concentrate (ii) lanadelumab</w:t>
            </w:r>
          </w:p>
        </w:tc>
      </w:tr>
      <w:tr w:rsidR="009D47F0" w:rsidRPr="002D486D" w14:paraId="23268C20" w14:textId="77777777" w:rsidTr="009D47F0">
        <w:tc>
          <w:tcPr>
            <w:tcW w:w="553" w:type="pct"/>
            <w:vAlign w:val="center"/>
          </w:tcPr>
          <w:p w14:paraId="46AE22AD" w14:textId="00ADA6EE" w:rsidR="009D47F0" w:rsidRPr="002D486D" w:rsidRDefault="009D47F0" w:rsidP="00F06281">
            <w:pPr>
              <w:jc w:val="center"/>
              <w:rPr>
                <w:rFonts w:ascii="Arial Narrow" w:hAnsi="Arial Narrow"/>
                <w:color w:val="333333"/>
                <w:sz w:val="20"/>
                <w:szCs w:val="20"/>
              </w:rPr>
            </w:pPr>
          </w:p>
        </w:tc>
        <w:tc>
          <w:tcPr>
            <w:tcW w:w="4447" w:type="pct"/>
            <w:vAlign w:val="center"/>
          </w:tcPr>
          <w:p w14:paraId="21751154" w14:textId="17D95BB0" w:rsidR="009D47F0" w:rsidRPr="002D486D" w:rsidRDefault="009D47F0" w:rsidP="00F06281">
            <w:pPr>
              <w:rPr>
                <w:rFonts w:ascii="Arial Narrow" w:hAnsi="Arial Narrow"/>
                <w:color w:val="333333"/>
                <w:sz w:val="20"/>
                <w:szCs w:val="20"/>
              </w:rPr>
            </w:pPr>
            <w:r w:rsidRPr="002D486D">
              <w:rPr>
                <w:rFonts w:ascii="Arial Narrow" w:hAnsi="Arial Narrow"/>
                <w:b/>
                <w:bCs/>
                <w:color w:val="333333"/>
                <w:sz w:val="20"/>
                <w:szCs w:val="20"/>
              </w:rPr>
              <w:t>AND</w:t>
            </w:r>
          </w:p>
        </w:tc>
      </w:tr>
      <w:tr w:rsidR="009D47F0" w:rsidRPr="002D486D" w14:paraId="304E57BE" w14:textId="77777777" w:rsidTr="009D47F0">
        <w:tc>
          <w:tcPr>
            <w:tcW w:w="553" w:type="pct"/>
            <w:vAlign w:val="center"/>
          </w:tcPr>
          <w:p w14:paraId="18DA5B7A" w14:textId="2CCAFD3D" w:rsidR="009D47F0" w:rsidRPr="002D486D" w:rsidRDefault="009D47F0" w:rsidP="00F06281">
            <w:pPr>
              <w:jc w:val="center"/>
              <w:rPr>
                <w:rFonts w:ascii="Arial Narrow" w:hAnsi="Arial Narrow"/>
                <w:color w:val="333333"/>
                <w:sz w:val="20"/>
                <w:szCs w:val="20"/>
              </w:rPr>
            </w:pPr>
          </w:p>
        </w:tc>
        <w:tc>
          <w:tcPr>
            <w:tcW w:w="4447" w:type="pct"/>
            <w:vAlign w:val="center"/>
          </w:tcPr>
          <w:p w14:paraId="0BF42579" w14:textId="5E1755BC" w:rsidR="009D47F0" w:rsidRPr="002D486D" w:rsidRDefault="009D47F0" w:rsidP="00F06281">
            <w:pPr>
              <w:autoSpaceDE w:val="0"/>
              <w:autoSpaceDN w:val="0"/>
              <w:adjustRightInd w:val="0"/>
              <w:rPr>
                <w:rFonts w:ascii="Arial Narrow" w:hAnsi="Arial Narrow" w:cs="Arial Narrow"/>
                <w:sz w:val="20"/>
                <w:szCs w:val="20"/>
              </w:rPr>
            </w:pPr>
            <w:r w:rsidRPr="002D486D">
              <w:rPr>
                <w:rFonts w:ascii="Arial Narrow" w:hAnsi="Arial Narrow"/>
                <w:b/>
                <w:bCs/>
                <w:color w:val="333333"/>
                <w:sz w:val="20"/>
                <w:szCs w:val="20"/>
              </w:rPr>
              <w:t>Treatment criteria:</w:t>
            </w:r>
          </w:p>
        </w:tc>
      </w:tr>
      <w:tr w:rsidR="009D47F0" w:rsidRPr="002D486D" w14:paraId="2A14B29C" w14:textId="77777777" w:rsidTr="009D47F0">
        <w:tc>
          <w:tcPr>
            <w:tcW w:w="553" w:type="pct"/>
            <w:vAlign w:val="center"/>
          </w:tcPr>
          <w:p w14:paraId="4888E41F" w14:textId="0261D6D2" w:rsidR="009D47F0" w:rsidRPr="002D486D" w:rsidRDefault="009D47F0" w:rsidP="00F06281">
            <w:pPr>
              <w:jc w:val="center"/>
              <w:rPr>
                <w:rFonts w:ascii="Arial Narrow" w:hAnsi="Arial Narrow"/>
                <w:color w:val="333333"/>
                <w:sz w:val="20"/>
                <w:szCs w:val="20"/>
              </w:rPr>
            </w:pPr>
          </w:p>
        </w:tc>
        <w:tc>
          <w:tcPr>
            <w:tcW w:w="4447" w:type="pct"/>
            <w:vAlign w:val="center"/>
          </w:tcPr>
          <w:p w14:paraId="46A459C5" w14:textId="18E0EDFF" w:rsidR="009D47F0" w:rsidRPr="002D486D" w:rsidRDefault="009D47F0" w:rsidP="00F06281">
            <w:pPr>
              <w:rPr>
                <w:rFonts w:ascii="Arial Narrow" w:hAnsi="Arial Narrow"/>
                <w:color w:val="333333"/>
                <w:sz w:val="20"/>
                <w:szCs w:val="20"/>
              </w:rPr>
            </w:pPr>
            <w:r w:rsidRPr="002D486D">
              <w:rPr>
                <w:rFonts w:ascii="Arial Narrow" w:hAnsi="Arial Narrow" w:cs="Arial Narrow"/>
                <w:sz w:val="20"/>
                <w:szCs w:val="20"/>
              </w:rPr>
              <w:t>Must be treated by a specialist allergist or clinical immunologist, or in consultation with a specialist allergist or clinical immunologist</w:t>
            </w:r>
          </w:p>
        </w:tc>
      </w:tr>
      <w:tr w:rsidR="009D47F0" w:rsidRPr="002D486D" w14:paraId="7BE4C398" w14:textId="77777777" w:rsidTr="009D47F0">
        <w:tc>
          <w:tcPr>
            <w:tcW w:w="553" w:type="pct"/>
            <w:vAlign w:val="center"/>
          </w:tcPr>
          <w:p w14:paraId="5574166C" w14:textId="7E7AD89A" w:rsidR="009D47F0" w:rsidRPr="002D486D" w:rsidRDefault="009D47F0" w:rsidP="00F06281">
            <w:pPr>
              <w:jc w:val="center"/>
              <w:rPr>
                <w:rFonts w:ascii="Arial Narrow" w:hAnsi="Arial Narrow"/>
                <w:color w:val="333333"/>
                <w:sz w:val="20"/>
                <w:szCs w:val="20"/>
              </w:rPr>
            </w:pPr>
          </w:p>
        </w:tc>
        <w:tc>
          <w:tcPr>
            <w:tcW w:w="4447" w:type="pct"/>
            <w:vAlign w:val="center"/>
          </w:tcPr>
          <w:p w14:paraId="618D117D" w14:textId="20045CE2" w:rsidR="009D47F0" w:rsidRPr="002D486D" w:rsidRDefault="009D47F0" w:rsidP="00F06281">
            <w:pPr>
              <w:rPr>
                <w:rFonts w:ascii="Arial Narrow" w:hAnsi="Arial Narrow"/>
                <w:color w:val="333333"/>
                <w:sz w:val="20"/>
                <w:szCs w:val="20"/>
              </w:rPr>
            </w:pPr>
            <w:r w:rsidRPr="002D486D">
              <w:rPr>
                <w:rFonts w:ascii="Arial Narrow" w:hAnsi="Arial Narrow"/>
                <w:b/>
                <w:bCs/>
                <w:color w:val="333333"/>
                <w:sz w:val="20"/>
                <w:szCs w:val="20"/>
              </w:rPr>
              <w:t xml:space="preserve">Prescribing Instructions: </w:t>
            </w:r>
            <w:r w:rsidRPr="002D486D">
              <w:rPr>
                <w:rFonts w:ascii="Arial Narrow" w:hAnsi="Arial Narrow"/>
                <w:bCs/>
                <w:color w:val="333333"/>
                <w:sz w:val="20"/>
                <w:szCs w:val="20"/>
              </w:rPr>
              <w:t>For the purposes of administering this restriction, an adequate response is a reduction of the baseline number of acute attacks of hereditary angioedema of a severity necessitating immediate medical intervention with either (i) icatibant, or (ii) C1-esterase inhibitor concentrate. The details of the reduction must be documented in the patient's medical records for auditing purposes.</w:t>
            </w:r>
          </w:p>
        </w:tc>
      </w:tr>
      <w:tr w:rsidR="009D47F0" w:rsidRPr="002D486D" w14:paraId="06DDC8D0" w14:textId="77777777" w:rsidTr="00EA4C87">
        <w:tc>
          <w:tcPr>
            <w:tcW w:w="553" w:type="pct"/>
            <w:vAlign w:val="center"/>
          </w:tcPr>
          <w:p w14:paraId="0BAA10F7" w14:textId="21CB58CD" w:rsidR="00C251BE" w:rsidRPr="002D486D" w:rsidRDefault="00C251BE" w:rsidP="00F06281">
            <w:pPr>
              <w:jc w:val="center"/>
              <w:rPr>
                <w:rFonts w:ascii="Arial Narrow" w:hAnsi="Arial Narrow"/>
                <w:color w:val="333333"/>
                <w:sz w:val="20"/>
                <w:szCs w:val="20"/>
              </w:rPr>
            </w:pPr>
          </w:p>
        </w:tc>
        <w:tc>
          <w:tcPr>
            <w:tcW w:w="4447" w:type="pct"/>
            <w:vAlign w:val="center"/>
          </w:tcPr>
          <w:p w14:paraId="16599CB7" w14:textId="64A3E029" w:rsidR="009D47F0" w:rsidRPr="002D486D" w:rsidRDefault="009D47F0" w:rsidP="00F06281">
            <w:pPr>
              <w:rPr>
                <w:rFonts w:ascii="Arial Narrow" w:hAnsi="Arial Narrow"/>
                <w:b/>
                <w:bCs/>
                <w:color w:val="333333"/>
                <w:sz w:val="20"/>
                <w:szCs w:val="20"/>
              </w:rPr>
            </w:pPr>
            <w:r w:rsidRPr="002D486D">
              <w:rPr>
                <w:rFonts w:ascii="Arial Narrow" w:hAnsi="Arial Narrow"/>
                <w:b/>
                <w:bCs/>
                <w:color w:val="333333"/>
                <w:sz w:val="20"/>
                <w:szCs w:val="20"/>
              </w:rPr>
              <w:t>Administrative Advice:</w:t>
            </w:r>
            <w:r w:rsidRPr="002D486D">
              <w:rPr>
                <w:rFonts w:ascii="Arial Narrow" w:hAnsi="Arial Narrow"/>
                <w:bCs/>
                <w:color w:val="333333"/>
                <w:sz w:val="20"/>
                <w:szCs w:val="20"/>
              </w:rPr>
              <w:t xml:space="preserve"> 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6FB722F7" w14:textId="77777777" w:rsidR="00BC085B" w:rsidRPr="002D486D" w:rsidRDefault="00BC085B" w:rsidP="00F06281">
      <w:pPr>
        <w:rPr>
          <w:sz w:val="20"/>
          <w:szCs w:val="20"/>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3"/>
        <w:gridCol w:w="1273"/>
        <w:gridCol w:w="850"/>
        <w:gridCol w:w="848"/>
        <w:gridCol w:w="709"/>
        <w:gridCol w:w="1146"/>
        <w:gridCol w:w="1418"/>
      </w:tblGrid>
      <w:tr w:rsidR="00F61314" w:rsidRPr="002D486D" w14:paraId="4FD7C8CC" w14:textId="77777777" w:rsidTr="00EA4C87">
        <w:trPr>
          <w:cantSplit/>
          <w:trHeight w:val="471"/>
        </w:trPr>
        <w:tc>
          <w:tcPr>
            <w:tcW w:w="1503" w:type="pct"/>
          </w:tcPr>
          <w:p w14:paraId="09AC4447" w14:textId="77777777" w:rsidR="00F61314" w:rsidRPr="002D486D" w:rsidRDefault="00F61314" w:rsidP="00F06281">
            <w:pPr>
              <w:ind w:left="-108"/>
              <w:rPr>
                <w:rFonts w:ascii="Arial Narrow" w:hAnsi="Arial Narrow"/>
                <w:b/>
                <w:sz w:val="20"/>
                <w:szCs w:val="20"/>
              </w:rPr>
            </w:pPr>
            <w:r w:rsidRPr="002D486D">
              <w:rPr>
                <w:rFonts w:ascii="Arial Narrow" w:hAnsi="Arial Narrow"/>
                <w:b/>
                <w:sz w:val="20"/>
                <w:szCs w:val="20"/>
              </w:rPr>
              <w:t>Name, Restriction,</w:t>
            </w:r>
          </w:p>
          <w:p w14:paraId="30C3FFBB" w14:textId="77777777" w:rsidR="00F61314" w:rsidRPr="002D486D" w:rsidRDefault="00F61314" w:rsidP="00F06281">
            <w:pPr>
              <w:ind w:left="-108"/>
              <w:rPr>
                <w:rFonts w:ascii="Arial Narrow" w:hAnsi="Arial Narrow"/>
                <w:b/>
                <w:sz w:val="20"/>
                <w:szCs w:val="20"/>
              </w:rPr>
            </w:pPr>
            <w:r w:rsidRPr="002D486D">
              <w:rPr>
                <w:rFonts w:ascii="Arial Narrow" w:hAnsi="Arial Narrow"/>
                <w:b/>
                <w:sz w:val="20"/>
                <w:szCs w:val="20"/>
              </w:rPr>
              <w:t>Manner of administration and form</w:t>
            </w:r>
          </w:p>
        </w:tc>
        <w:tc>
          <w:tcPr>
            <w:tcW w:w="713" w:type="pct"/>
          </w:tcPr>
          <w:p w14:paraId="6A367BA7" w14:textId="77777777" w:rsidR="00F61314" w:rsidRPr="002D486D" w:rsidRDefault="00F61314" w:rsidP="00F06281">
            <w:pPr>
              <w:ind w:left="-108"/>
              <w:jc w:val="center"/>
              <w:rPr>
                <w:rFonts w:ascii="Arial Narrow" w:hAnsi="Arial Narrow"/>
                <w:b/>
                <w:sz w:val="20"/>
                <w:szCs w:val="20"/>
              </w:rPr>
            </w:pPr>
            <w:r w:rsidRPr="002D486D">
              <w:rPr>
                <w:rFonts w:ascii="Arial Narrow" w:hAnsi="Arial Narrow"/>
                <w:b/>
                <w:sz w:val="20"/>
                <w:szCs w:val="20"/>
              </w:rPr>
              <w:t>PBS item code</w:t>
            </w:r>
          </w:p>
        </w:tc>
        <w:tc>
          <w:tcPr>
            <w:tcW w:w="476" w:type="pct"/>
          </w:tcPr>
          <w:p w14:paraId="4732A3E3" w14:textId="77777777" w:rsidR="00F61314" w:rsidRPr="002D486D" w:rsidRDefault="00F61314" w:rsidP="00F06281">
            <w:pPr>
              <w:ind w:left="-108"/>
              <w:jc w:val="center"/>
              <w:rPr>
                <w:rFonts w:ascii="Arial Narrow" w:hAnsi="Arial Narrow"/>
                <w:b/>
                <w:sz w:val="20"/>
                <w:szCs w:val="20"/>
              </w:rPr>
            </w:pPr>
            <w:r w:rsidRPr="002D486D">
              <w:rPr>
                <w:rFonts w:ascii="Arial Narrow" w:hAnsi="Arial Narrow"/>
                <w:b/>
                <w:sz w:val="20"/>
                <w:szCs w:val="20"/>
              </w:rPr>
              <w:t>Max. qty packs</w:t>
            </w:r>
          </w:p>
        </w:tc>
        <w:tc>
          <w:tcPr>
            <w:tcW w:w="475" w:type="pct"/>
          </w:tcPr>
          <w:p w14:paraId="7CC61CB8" w14:textId="77777777" w:rsidR="00F61314" w:rsidRPr="002D486D" w:rsidRDefault="00F61314" w:rsidP="00F06281">
            <w:pPr>
              <w:ind w:left="-108"/>
              <w:jc w:val="center"/>
              <w:rPr>
                <w:rFonts w:ascii="Arial Narrow" w:hAnsi="Arial Narrow"/>
                <w:b/>
                <w:sz w:val="20"/>
                <w:szCs w:val="20"/>
              </w:rPr>
            </w:pPr>
            <w:r w:rsidRPr="002D486D">
              <w:rPr>
                <w:rFonts w:ascii="Arial Narrow" w:hAnsi="Arial Narrow"/>
                <w:b/>
                <w:sz w:val="20"/>
                <w:szCs w:val="20"/>
              </w:rPr>
              <w:t>Max. qty units</w:t>
            </w:r>
          </w:p>
        </w:tc>
        <w:tc>
          <w:tcPr>
            <w:tcW w:w="397" w:type="pct"/>
          </w:tcPr>
          <w:p w14:paraId="5748B634" w14:textId="77777777" w:rsidR="00F61314" w:rsidRPr="002D486D" w:rsidRDefault="00F61314" w:rsidP="00F06281">
            <w:pPr>
              <w:ind w:left="-108"/>
              <w:jc w:val="center"/>
              <w:rPr>
                <w:rFonts w:ascii="Arial Narrow" w:hAnsi="Arial Narrow"/>
                <w:b/>
                <w:sz w:val="20"/>
                <w:szCs w:val="20"/>
              </w:rPr>
            </w:pPr>
            <w:r w:rsidRPr="002D486D">
              <w:rPr>
                <w:rFonts w:ascii="Arial Narrow" w:hAnsi="Arial Narrow"/>
                <w:b/>
                <w:sz w:val="20"/>
                <w:szCs w:val="20"/>
              </w:rPr>
              <w:t>№.of</w:t>
            </w:r>
          </w:p>
          <w:p w14:paraId="1B82D05F" w14:textId="77777777" w:rsidR="00F61314" w:rsidRPr="002D486D" w:rsidRDefault="00F61314" w:rsidP="00F06281">
            <w:pPr>
              <w:ind w:left="-108"/>
              <w:jc w:val="center"/>
              <w:rPr>
                <w:rFonts w:ascii="Arial Narrow" w:hAnsi="Arial Narrow"/>
                <w:b/>
                <w:sz w:val="20"/>
                <w:szCs w:val="20"/>
              </w:rPr>
            </w:pPr>
            <w:r w:rsidRPr="002D486D">
              <w:rPr>
                <w:rFonts w:ascii="Arial Narrow" w:hAnsi="Arial Narrow"/>
                <w:b/>
                <w:sz w:val="20"/>
                <w:szCs w:val="20"/>
              </w:rPr>
              <w:t>Rpts</w:t>
            </w:r>
          </w:p>
        </w:tc>
        <w:tc>
          <w:tcPr>
            <w:tcW w:w="1436" w:type="pct"/>
            <w:gridSpan w:val="2"/>
          </w:tcPr>
          <w:p w14:paraId="04807A12" w14:textId="77777777" w:rsidR="00F61314" w:rsidRPr="002D486D" w:rsidRDefault="00F61314" w:rsidP="00F06281">
            <w:pPr>
              <w:rPr>
                <w:rFonts w:ascii="Arial Narrow" w:hAnsi="Arial Narrow"/>
                <w:b/>
                <w:sz w:val="20"/>
                <w:szCs w:val="20"/>
                <w:lang w:val="fr-FR"/>
              </w:rPr>
            </w:pPr>
            <w:r w:rsidRPr="002D486D">
              <w:rPr>
                <w:rFonts w:ascii="Arial Narrow" w:hAnsi="Arial Narrow"/>
                <w:b/>
                <w:sz w:val="20"/>
                <w:szCs w:val="20"/>
              </w:rPr>
              <w:t>Proprietary Name and Manufacturer</w:t>
            </w:r>
          </w:p>
        </w:tc>
      </w:tr>
      <w:tr w:rsidR="00F61314" w:rsidRPr="002D486D" w14:paraId="6E145802" w14:textId="77777777" w:rsidTr="00EA4C87">
        <w:trPr>
          <w:cantSplit/>
          <w:trHeight w:val="761"/>
        </w:trPr>
        <w:tc>
          <w:tcPr>
            <w:tcW w:w="1503" w:type="pct"/>
          </w:tcPr>
          <w:p w14:paraId="243F2628" w14:textId="77777777" w:rsidR="00F61314" w:rsidRPr="002D486D" w:rsidRDefault="00F61314" w:rsidP="00F06281">
            <w:pPr>
              <w:ind w:left="-108"/>
              <w:rPr>
                <w:rFonts w:ascii="Arial Narrow" w:hAnsi="Arial Narrow"/>
                <w:sz w:val="20"/>
                <w:szCs w:val="20"/>
              </w:rPr>
            </w:pPr>
            <w:r w:rsidRPr="002D486D">
              <w:rPr>
                <w:rFonts w:ascii="Arial Narrow" w:hAnsi="Arial Narrow"/>
                <w:sz w:val="20"/>
                <w:szCs w:val="20"/>
              </w:rPr>
              <w:t>GARADACIMAB</w:t>
            </w:r>
          </w:p>
          <w:p w14:paraId="25A7A386" w14:textId="77777777" w:rsidR="00F61314" w:rsidRPr="002D486D" w:rsidRDefault="00F61314" w:rsidP="00F06281">
            <w:pPr>
              <w:ind w:left="-108"/>
              <w:rPr>
                <w:rFonts w:ascii="Arial Narrow" w:hAnsi="Arial Narrow"/>
                <w:sz w:val="20"/>
                <w:szCs w:val="20"/>
              </w:rPr>
            </w:pPr>
          </w:p>
          <w:p w14:paraId="2B392119" w14:textId="77777777" w:rsidR="00F61314" w:rsidRPr="002D486D" w:rsidRDefault="00F61314" w:rsidP="00F06281">
            <w:pPr>
              <w:ind w:left="-108"/>
              <w:rPr>
                <w:rFonts w:ascii="Arial Narrow" w:hAnsi="Arial Narrow"/>
                <w:sz w:val="20"/>
                <w:szCs w:val="20"/>
              </w:rPr>
            </w:pPr>
            <w:r w:rsidRPr="002D486D">
              <w:rPr>
                <w:rFonts w:ascii="Arial Narrow" w:hAnsi="Arial Narrow"/>
                <w:sz w:val="20"/>
                <w:szCs w:val="20"/>
              </w:rPr>
              <w:t xml:space="preserve">garadacimab 200 mg/1.2 mL injection, 1.2 mL pen device </w:t>
            </w:r>
          </w:p>
        </w:tc>
        <w:tc>
          <w:tcPr>
            <w:tcW w:w="713" w:type="pct"/>
          </w:tcPr>
          <w:p w14:paraId="49B7989E" w14:textId="77777777" w:rsidR="00F61314" w:rsidRPr="002D486D" w:rsidRDefault="00F61314" w:rsidP="00F06281">
            <w:pPr>
              <w:ind w:left="-108"/>
              <w:jc w:val="center"/>
              <w:rPr>
                <w:rFonts w:ascii="Arial Narrow" w:hAnsi="Arial Narrow"/>
                <w:sz w:val="20"/>
                <w:szCs w:val="20"/>
              </w:rPr>
            </w:pPr>
          </w:p>
          <w:p w14:paraId="2366CBC1" w14:textId="77777777" w:rsidR="00F61314" w:rsidRPr="002D486D" w:rsidRDefault="00F61314" w:rsidP="00F06281">
            <w:pPr>
              <w:ind w:left="-108"/>
              <w:jc w:val="center"/>
              <w:rPr>
                <w:rFonts w:ascii="Arial Narrow" w:hAnsi="Arial Narrow"/>
                <w:sz w:val="20"/>
                <w:szCs w:val="20"/>
              </w:rPr>
            </w:pPr>
          </w:p>
          <w:p w14:paraId="39A3633C" w14:textId="77777777" w:rsidR="00F61314" w:rsidRPr="002D486D" w:rsidRDefault="00F61314" w:rsidP="00F06281">
            <w:pPr>
              <w:ind w:left="-108"/>
              <w:jc w:val="center"/>
              <w:rPr>
                <w:rFonts w:ascii="Arial Narrow" w:hAnsi="Arial Narrow"/>
                <w:sz w:val="20"/>
                <w:szCs w:val="20"/>
              </w:rPr>
            </w:pPr>
            <w:r w:rsidRPr="002D486D">
              <w:rPr>
                <w:rFonts w:ascii="Arial Narrow" w:hAnsi="Arial Narrow"/>
                <w:sz w:val="20"/>
                <w:szCs w:val="20"/>
              </w:rPr>
              <w:t>NEW</w:t>
            </w:r>
          </w:p>
        </w:tc>
        <w:tc>
          <w:tcPr>
            <w:tcW w:w="476" w:type="pct"/>
          </w:tcPr>
          <w:p w14:paraId="4C22D082" w14:textId="77777777" w:rsidR="00F61314" w:rsidRPr="002D486D" w:rsidRDefault="00F61314" w:rsidP="00F06281">
            <w:pPr>
              <w:jc w:val="center"/>
              <w:rPr>
                <w:rFonts w:ascii="Arial Narrow" w:hAnsi="Arial Narrow"/>
                <w:sz w:val="20"/>
                <w:szCs w:val="20"/>
              </w:rPr>
            </w:pPr>
          </w:p>
          <w:p w14:paraId="6EA5F1A7" w14:textId="77777777" w:rsidR="00F61314" w:rsidRPr="002D486D" w:rsidRDefault="00F61314" w:rsidP="00F06281">
            <w:pPr>
              <w:ind w:left="-108"/>
              <w:jc w:val="center"/>
              <w:rPr>
                <w:rFonts w:ascii="Arial Narrow" w:hAnsi="Arial Narrow"/>
                <w:sz w:val="20"/>
                <w:szCs w:val="20"/>
              </w:rPr>
            </w:pPr>
          </w:p>
          <w:p w14:paraId="6F34791E" w14:textId="77777777" w:rsidR="00F61314" w:rsidRPr="002D486D" w:rsidRDefault="00F61314" w:rsidP="00F06281">
            <w:pPr>
              <w:jc w:val="center"/>
              <w:rPr>
                <w:rFonts w:ascii="Arial Narrow" w:hAnsi="Arial Narrow"/>
                <w:sz w:val="20"/>
                <w:szCs w:val="20"/>
              </w:rPr>
            </w:pPr>
            <w:r w:rsidRPr="002D486D">
              <w:rPr>
                <w:rFonts w:ascii="Arial Narrow" w:hAnsi="Arial Narrow"/>
                <w:sz w:val="20"/>
                <w:szCs w:val="20"/>
              </w:rPr>
              <w:t>1</w:t>
            </w:r>
          </w:p>
        </w:tc>
        <w:tc>
          <w:tcPr>
            <w:tcW w:w="475" w:type="pct"/>
          </w:tcPr>
          <w:p w14:paraId="4B177201" w14:textId="77777777" w:rsidR="00F61314" w:rsidRPr="002D486D" w:rsidRDefault="00F61314" w:rsidP="00F06281">
            <w:pPr>
              <w:ind w:left="-108"/>
              <w:jc w:val="center"/>
              <w:rPr>
                <w:rFonts w:ascii="Arial Narrow" w:hAnsi="Arial Narrow"/>
                <w:sz w:val="20"/>
                <w:szCs w:val="20"/>
              </w:rPr>
            </w:pPr>
          </w:p>
          <w:p w14:paraId="5D7D5ED0" w14:textId="77777777" w:rsidR="00F61314" w:rsidRPr="002D486D" w:rsidRDefault="00F61314" w:rsidP="00F06281">
            <w:pPr>
              <w:rPr>
                <w:rFonts w:ascii="Arial Narrow" w:hAnsi="Arial Narrow"/>
                <w:sz w:val="20"/>
                <w:szCs w:val="20"/>
              </w:rPr>
            </w:pPr>
          </w:p>
          <w:p w14:paraId="2DAB3239" w14:textId="77777777" w:rsidR="00F61314" w:rsidRPr="002D486D" w:rsidRDefault="00F61314" w:rsidP="00F06281">
            <w:pPr>
              <w:ind w:left="-108"/>
              <w:jc w:val="center"/>
              <w:rPr>
                <w:rFonts w:ascii="Arial Narrow" w:hAnsi="Arial Narrow"/>
                <w:sz w:val="20"/>
                <w:szCs w:val="20"/>
              </w:rPr>
            </w:pPr>
            <w:r w:rsidRPr="002D486D">
              <w:rPr>
                <w:rFonts w:ascii="Arial Narrow" w:hAnsi="Arial Narrow"/>
                <w:sz w:val="20"/>
                <w:szCs w:val="20"/>
              </w:rPr>
              <w:t>1</w:t>
            </w:r>
          </w:p>
        </w:tc>
        <w:tc>
          <w:tcPr>
            <w:tcW w:w="397" w:type="pct"/>
          </w:tcPr>
          <w:p w14:paraId="1BB27453" w14:textId="77777777" w:rsidR="00F61314" w:rsidRPr="002D486D" w:rsidRDefault="00F61314" w:rsidP="00F06281">
            <w:pPr>
              <w:ind w:left="-108"/>
              <w:jc w:val="center"/>
              <w:rPr>
                <w:rFonts w:ascii="Arial Narrow" w:hAnsi="Arial Narrow"/>
                <w:sz w:val="20"/>
                <w:szCs w:val="20"/>
              </w:rPr>
            </w:pPr>
          </w:p>
          <w:p w14:paraId="28254FCC" w14:textId="77777777" w:rsidR="00F61314" w:rsidRPr="002D486D" w:rsidRDefault="00F61314" w:rsidP="00F06281">
            <w:pPr>
              <w:ind w:left="-108"/>
              <w:jc w:val="center"/>
              <w:rPr>
                <w:rFonts w:ascii="Arial Narrow" w:hAnsi="Arial Narrow"/>
                <w:sz w:val="20"/>
                <w:szCs w:val="20"/>
              </w:rPr>
            </w:pPr>
          </w:p>
          <w:p w14:paraId="3A730F10" w14:textId="77777777" w:rsidR="00F61314" w:rsidRPr="002D486D" w:rsidRDefault="00F61314" w:rsidP="00F06281">
            <w:pPr>
              <w:ind w:left="-108"/>
              <w:jc w:val="center"/>
              <w:rPr>
                <w:rFonts w:ascii="Arial Narrow" w:hAnsi="Arial Narrow"/>
                <w:sz w:val="20"/>
                <w:szCs w:val="20"/>
              </w:rPr>
            </w:pPr>
            <w:r w:rsidRPr="002D486D">
              <w:rPr>
                <w:rFonts w:ascii="Arial Narrow" w:hAnsi="Arial Narrow"/>
                <w:sz w:val="20"/>
                <w:szCs w:val="20"/>
              </w:rPr>
              <w:t>5</w:t>
            </w:r>
          </w:p>
          <w:p w14:paraId="6B15BD5D" w14:textId="77777777" w:rsidR="00F61314" w:rsidRPr="002D486D" w:rsidRDefault="00F61314" w:rsidP="00F06281">
            <w:pPr>
              <w:rPr>
                <w:rFonts w:ascii="Arial Narrow" w:hAnsi="Arial Narrow"/>
                <w:sz w:val="20"/>
                <w:szCs w:val="20"/>
              </w:rPr>
            </w:pPr>
          </w:p>
        </w:tc>
        <w:tc>
          <w:tcPr>
            <w:tcW w:w="642" w:type="pct"/>
          </w:tcPr>
          <w:p w14:paraId="3C0E8FD9" w14:textId="77777777" w:rsidR="00F61314" w:rsidRPr="002D486D" w:rsidRDefault="00F61314" w:rsidP="00F06281">
            <w:pPr>
              <w:jc w:val="center"/>
              <w:rPr>
                <w:rFonts w:ascii="Arial Narrow" w:hAnsi="Arial Narrow"/>
                <w:sz w:val="20"/>
                <w:szCs w:val="20"/>
              </w:rPr>
            </w:pPr>
          </w:p>
          <w:p w14:paraId="15B14370" w14:textId="77777777" w:rsidR="00F61314" w:rsidRPr="002D486D" w:rsidRDefault="00F61314" w:rsidP="00F06281">
            <w:pPr>
              <w:jc w:val="center"/>
              <w:rPr>
                <w:rFonts w:ascii="Arial Narrow" w:hAnsi="Arial Narrow"/>
                <w:sz w:val="20"/>
                <w:szCs w:val="20"/>
              </w:rPr>
            </w:pPr>
          </w:p>
          <w:p w14:paraId="4C74DDBA" w14:textId="77777777" w:rsidR="00F61314" w:rsidRPr="002D486D" w:rsidRDefault="00F61314" w:rsidP="00F06281">
            <w:pPr>
              <w:rPr>
                <w:rFonts w:ascii="Arial Narrow" w:hAnsi="Arial Narrow"/>
                <w:sz w:val="20"/>
                <w:szCs w:val="20"/>
              </w:rPr>
            </w:pPr>
            <w:r w:rsidRPr="002D486D">
              <w:rPr>
                <w:rFonts w:ascii="Arial Narrow" w:hAnsi="Arial Narrow"/>
                <w:sz w:val="20"/>
                <w:szCs w:val="20"/>
              </w:rPr>
              <w:t>ANDEMBRY</w:t>
            </w:r>
          </w:p>
        </w:tc>
        <w:tc>
          <w:tcPr>
            <w:tcW w:w="794" w:type="pct"/>
          </w:tcPr>
          <w:p w14:paraId="3A6B11B2" w14:textId="77777777" w:rsidR="00F61314" w:rsidRPr="002D486D" w:rsidRDefault="00F61314" w:rsidP="00F06281">
            <w:pPr>
              <w:jc w:val="center"/>
              <w:rPr>
                <w:rFonts w:ascii="Arial Narrow" w:hAnsi="Arial Narrow"/>
                <w:sz w:val="20"/>
                <w:szCs w:val="20"/>
              </w:rPr>
            </w:pPr>
          </w:p>
          <w:p w14:paraId="3892AD6F" w14:textId="77777777" w:rsidR="00F61314" w:rsidRPr="002D486D" w:rsidRDefault="00F61314" w:rsidP="00F06281">
            <w:pPr>
              <w:rPr>
                <w:rFonts w:ascii="Arial Narrow" w:hAnsi="Arial Narrow"/>
                <w:sz w:val="20"/>
                <w:szCs w:val="20"/>
              </w:rPr>
            </w:pPr>
            <w:r w:rsidRPr="002D486D">
              <w:rPr>
                <w:rFonts w:ascii="Arial Narrow" w:hAnsi="Arial Narrow"/>
                <w:sz w:val="20"/>
                <w:szCs w:val="20"/>
              </w:rPr>
              <w:t>CSL Behring (Australia) Pty Ltd</w:t>
            </w:r>
          </w:p>
        </w:tc>
      </w:tr>
    </w:tbl>
    <w:p w14:paraId="762A798D" w14:textId="77777777" w:rsidR="00F61314" w:rsidRDefault="00F61314" w:rsidP="00F06281">
      <w:pPr>
        <w:rPr>
          <w:rFonts w:ascii="Arial Narrow" w:hAnsi="Arial Narrow"/>
          <w:b/>
          <w:sz w:val="20"/>
          <w:szCs w:val="20"/>
          <w:lang w:val="en-GB"/>
        </w:rPr>
      </w:pPr>
    </w:p>
    <w:p w14:paraId="64D26A53" w14:textId="727B103A" w:rsidR="00383EAA" w:rsidRPr="002D486D" w:rsidRDefault="00383EAA" w:rsidP="00F06281">
      <w:pPr>
        <w:rPr>
          <w:rFonts w:ascii="Arial Narrow" w:hAnsi="Arial Narrow"/>
          <w:b/>
          <w:sz w:val="20"/>
          <w:szCs w:val="20"/>
          <w:lang w:val="en-GB"/>
        </w:rPr>
      </w:pPr>
      <w:r w:rsidRPr="002D486D">
        <w:rPr>
          <w:rFonts w:ascii="Arial Narrow" w:hAnsi="Arial Narrow"/>
          <w:b/>
          <w:sz w:val="20"/>
          <w:szCs w:val="20"/>
          <w:lang w:val="en-GB"/>
        </w:rPr>
        <w:t>Restriction Summary: Based on 12464 / Treatment of Concept: 12464 (additional initial (switch) restriction. Grandfather and continuing restrictions separate due to loading dose for initiation).</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383EAA" w:rsidRPr="002D486D" w14:paraId="6B12222D" w14:textId="77777777" w:rsidTr="00AE3496">
        <w:tc>
          <w:tcPr>
            <w:tcW w:w="553" w:type="pct"/>
            <w:tcBorders>
              <w:top w:val="single" w:sz="4" w:space="0" w:color="auto"/>
              <w:left w:val="single" w:sz="4" w:space="0" w:color="auto"/>
              <w:bottom w:val="single" w:sz="4" w:space="0" w:color="auto"/>
              <w:right w:val="single" w:sz="4" w:space="0" w:color="auto"/>
            </w:tcBorders>
          </w:tcPr>
          <w:p w14:paraId="7745CFF6" w14:textId="77777777" w:rsidR="00383EAA" w:rsidRPr="002D486D" w:rsidRDefault="00383EAA" w:rsidP="00F06281">
            <w:pPr>
              <w:jc w:val="center"/>
              <w:rPr>
                <w:rFonts w:ascii="Arial Narrow" w:hAnsi="Arial Narrow"/>
                <w:b/>
                <w:sz w:val="20"/>
                <w:szCs w:val="20"/>
              </w:rPr>
            </w:pPr>
            <w:bookmarkStart w:id="84" w:name="_Hlk183594778"/>
            <w:r w:rsidRPr="002D486D">
              <w:rPr>
                <w:rFonts w:ascii="Arial Narrow" w:hAnsi="Arial Narrow"/>
                <w:b/>
                <w:sz w:val="20"/>
                <w:szCs w:val="20"/>
              </w:rPr>
              <w:t>Concept ID</w:t>
            </w:r>
          </w:p>
        </w:tc>
        <w:tc>
          <w:tcPr>
            <w:tcW w:w="4447" w:type="pct"/>
            <w:tcBorders>
              <w:top w:val="single" w:sz="4" w:space="0" w:color="auto"/>
              <w:left w:val="single" w:sz="4" w:space="0" w:color="auto"/>
              <w:bottom w:val="single" w:sz="4" w:space="0" w:color="auto"/>
              <w:right w:val="single" w:sz="4" w:space="0" w:color="auto"/>
            </w:tcBorders>
          </w:tcPr>
          <w:p w14:paraId="4C47FA17" w14:textId="77777777" w:rsidR="00383EAA" w:rsidRPr="002D486D" w:rsidRDefault="00383EAA" w:rsidP="00F06281">
            <w:pPr>
              <w:rPr>
                <w:rFonts w:ascii="Arial Narrow" w:hAnsi="Arial Narrow"/>
                <w:sz w:val="20"/>
                <w:szCs w:val="20"/>
              </w:rPr>
            </w:pPr>
            <w:r w:rsidRPr="002D486D">
              <w:rPr>
                <w:rFonts w:ascii="Arial Narrow" w:hAnsi="Arial Narrow"/>
                <w:b/>
                <w:sz w:val="20"/>
                <w:szCs w:val="20"/>
              </w:rPr>
              <w:t xml:space="preserve">Category / Program:   </w:t>
            </w:r>
          </w:p>
          <w:p w14:paraId="00522996" w14:textId="77777777" w:rsidR="00383EAA" w:rsidRPr="002D486D" w:rsidRDefault="00383EAA" w:rsidP="00F06281">
            <w:pPr>
              <w:rPr>
                <w:rFonts w:ascii="Arial Narrow" w:hAnsi="Arial Narrow"/>
                <w:sz w:val="20"/>
                <w:szCs w:val="20"/>
              </w:rPr>
            </w:pPr>
            <w:r w:rsidRPr="002D486D">
              <w:rPr>
                <w:rFonts w:ascii="Arial Narrow" w:hAnsi="Arial Narrow"/>
                <w:sz w:val="20"/>
                <w:szCs w:val="20"/>
              </w:rPr>
              <w:t xml:space="preserve">GENERAL – General Schedule (Code GE) </w:t>
            </w:r>
          </w:p>
        </w:tc>
      </w:tr>
      <w:tr w:rsidR="00383EAA" w:rsidRPr="002D486D" w14:paraId="6E6FBAA5" w14:textId="77777777" w:rsidTr="00AE3496">
        <w:trPr>
          <w:trHeight w:val="258"/>
        </w:trPr>
        <w:tc>
          <w:tcPr>
            <w:tcW w:w="553" w:type="pct"/>
            <w:tcBorders>
              <w:top w:val="single" w:sz="4" w:space="0" w:color="auto"/>
              <w:left w:val="single" w:sz="4" w:space="0" w:color="auto"/>
              <w:bottom w:val="single" w:sz="4" w:space="0" w:color="auto"/>
              <w:right w:val="single" w:sz="4" w:space="0" w:color="auto"/>
            </w:tcBorders>
          </w:tcPr>
          <w:p w14:paraId="31B60B84" w14:textId="77777777" w:rsidR="00383EAA" w:rsidRPr="002D486D" w:rsidRDefault="00383EAA" w:rsidP="00F06281">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2FE48FDC" w14:textId="77777777" w:rsidR="00383EAA" w:rsidRPr="002D486D" w:rsidRDefault="00383EAA" w:rsidP="00F06281">
            <w:pPr>
              <w:rPr>
                <w:rFonts w:ascii="Arial Narrow" w:hAnsi="Arial Narrow"/>
                <w:sz w:val="20"/>
                <w:szCs w:val="20"/>
              </w:rPr>
            </w:pPr>
            <w:r w:rsidRPr="002D486D">
              <w:rPr>
                <w:rFonts w:ascii="Arial Narrow" w:hAnsi="Arial Narrow"/>
                <w:b/>
                <w:sz w:val="20"/>
                <w:szCs w:val="20"/>
              </w:rPr>
              <w:t xml:space="preserve">Prescriber type:  </w:t>
            </w:r>
            <w:r w:rsidRPr="002D486D">
              <w:rPr>
                <w:rFonts w:ascii="Arial Narrow" w:hAnsi="Arial Narrow"/>
                <w:sz w:val="20"/>
                <w:szCs w:val="20"/>
              </w:rPr>
              <w:fldChar w:fldCharType="begin" w:fldLock="1">
                <w:ffData>
                  <w:name w:val=""/>
                  <w:enabled/>
                  <w:calcOnExit w:val="0"/>
                  <w:checkBox>
                    <w:sizeAuto/>
                    <w:default w:val="1"/>
                  </w:checkBox>
                </w:ffData>
              </w:fldChar>
            </w:r>
            <w:r w:rsidRPr="002D486D">
              <w:rPr>
                <w:rFonts w:ascii="Arial Narrow" w:hAnsi="Arial Narrow"/>
                <w:sz w:val="20"/>
                <w:szCs w:val="20"/>
              </w:rPr>
              <w:instrText xml:space="preserve"> FORMCHECKBOX </w:instrText>
            </w:r>
            <w:r w:rsidRPr="002D486D">
              <w:rPr>
                <w:rFonts w:ascii="Arial Narrow" w:hAnsi="Arial Narrow"/>
                <w:sz w:val="20"/>
                <w:szCs w:val="20"/>
              </w:rPr>
            </w:r>
            <w:r w:rsidRPr="002D486D">
              <w:rPr>
                <w:rFonts w:ascii="Arial Narrow" w:hAnsi="Arial Narrow"/>
                <w:sz w:val="20"/>
                <w:szCs w:val="20"/>
              </w:rPr>
              <w:fldChar w:fldCharType="separate"/>
            </w:r>
            <w:r w:rsidRPr="002D486D">
              <w:rPr>
                <w:rFonts w:ascii="Arial Narrow" w:hAnsi="Arial Narrow"/>
                <w:sz w:val="20"/>
                <w:szCs w:val="20"/>
              </w:rPr>
              <w:fldChar w:fldCharType="end"/>
            </w:r>
            <w:r w:rsidRPr="002D486D">
              <w:rPr>
                <w:rFonts w:ascii="Arial Narrow" w:hAnsi="Arial Narrow"/>
                <w:sz w:val="20"/>
                <w:szCs w:val="20"/>
              </w:rPr>
              <w:t xml:space="preserve">Medical Practitioners  </w:t>
            </w:r>
          </w:p>
        </w:tc>
      </w:tr>
      <w:tr w:rsidR="00383EAA" w:rsidRPr="002D486D" w14:paraId="6391FFE7" w14:textId="77777777" w:rsidTr="00AE3496">
        <w:tc>
          <w:tcPr>
            <w:tcW w:w="553" w:type="pct"/>
            <w:tcBorders>
              <w:top w:val="single" w:sz="4" w:space="0" w:color="auto"/>
              <w:left w:val="single" w:sz="4" w:space="0" w:color="auto"/>
              <w:bottom w:val="single" w:sz="4" w:space="0" w:color="auto"/>
              <w:right w:val="single" w:sz="4" w:space="0" w:color="auto"/>
            </w:tcBorders>
          </w:tcPr>
          <w:p w14:paraId="4F582FF8" w14:textId="77777777" w:rsidR="00383EAA" w:rsidRPr="002D486D" w:rsidRDefault="00383EAA" w:rsidP="00F06281">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053529D2" w14:textId="2E84802E" w:rsidR="00383EAA" w:rsidRPr="002D486D" w:rsidRDefault="00383EAA" w:rsidP="00F06281">
            <w:pPr>
              <w:rPr>
                <w:rFonts w:ascii="Arial Narrow" w:hAnsi="Arial Narrow"/>
                <w:b/>
                <w:sz w:val="20"/>
                <w:szCs w:val="20"/>
              </w:rPr>
            </w:pPr>
            <w:r w:rsidRPr="002D486D">
              <w:rPr>
                <w:rFonts w:ascii="Arial Narrow" w:hAnsi="Arial Narrow"/>
                <w:b/>
                <w:sz w:val="20"/>
                <w:szCs w:val="20"/>
              </w:rPr>
              <w:t xml:space="preserve">Restriction Level / Method: </w:t>
            </w:r>
            <w:r w:rsidRPr="002D486D">
              <w:rPr>
                <w:rFonts w:ascii="Arial Narrow" w:hAnsi="Arial Narrow"/>
                <w:sz w:val="20"/>
                <w:szCs w:val="20"/>
              </w:rPr>
              <w:fldChar w:fldCharType="begin" w:fldLock="1">
                <w:ffData>
                  <w:name w:val="Check3"/>
                  <w:enabled/>
                  <w:calcOnExit w:val="0"/>
                  <w:checkBox>
                    <w:sizeAuto/>
                    <w:default w:val="1"/>
                  </w:checkBox>
                </w:ffData>
              </w:fldChar>
            </w:r>
            <w:r w:rsidRPr="002D486D">
              <w:rPr>
                <w:rFonts w:ascii="Arial Narrow" w:hAnsi="Arial Narrow"/>
                <w:sz w:val="20"/>
                <w:szCs w:val="20"/>
              </w:rPr>
              <w:instrText xml:space="preserve"> FORMCHECKBOX </w:instrText>
            </w:r>
            <w:r w:rsidRPr="002D486D">
              <w:rPr>
                <w:rFonts w:ascii="Arial Narrow" w:hAnsi="Arial Narrow"/>
                <w:sz w:val="20"/>
                <w:szCs w:val="20"/>
              </w:rPr>
            </w:r>
            <w:r w:rsidRPr="002D486D">
              <w:rPr>
                <w:rFonts w:ascii="Arial Narrow" w:hAnsi="Arial Narrow"/>
                <w:sz w:val="20"/>
                <w:szCs w:val="20"/>
              </w:rPr>
              <w:fldChar w:fldCharType="separate"/>
            </w:r>
            <w:r w:rsidRPr="002D486D">
              <w:rPr>
                <w:rFonts w:ascii="Arial Narrow" w:hAnsi="Arial Narrow"/>
                <w:sz w:val="20"/>
                <w:szCs w:val="20"/>
              </w:rPr>
              <w:fldChar w:fldCharType="end"/>
            </w:r>
            <w:r w:rsidRPr="002D486D">
              <w:rPr>
                <w:rFonts w:ascii="Arial Narrow" w:hAnsi="Arial Narrow"/>
                <w:sz w:val="20"/>
                <w:szCs w:val="20"/>
              </w:rPr>
              <w:t xml:space="preserve">Authority Required – </w:t>
            </w:r>
            <w:r w:rsidR="00C251BE" w:rsidRPr="00CA3AFF">
              <w:rPr>
                <w:rFonts w:ascii="Arial Narrow" w:eastAsia="Calibri" w:hAnsi="Arial Narrow"/>
                <w:sz w:val="20"/>
                <w:szCs w:val="20"/>
              </w:rPr>
              <w:t>(immediate assessment) telephone/online</w:t>
            </w:r>
            <w:r w:rsidR="00C251BE" w:rsidRPr="002D486D" w:rsidDel="00C251BE">
              <w:rPr>
                <w:rFonts w:ascii="Arial Narrow" w:hAnsi="Arial Narrow"/>
                <w:sz w:val="20"/>
                <w:szCs w:val="20"/>
              </w:rPr>
              <w:t xml:space="preserve"> </w:t>
            </w:r>
          </w:p>
        </w:tc>
      </w:tr>
      <w:tr w:rsidR="00383EAA" w:rsidRPr="002D486D" w14:paraId="367590B1" w14:textId="77777777" w:rsidTr="00AE3496">
        <w:tc>
          <w:tcPr>
            <w:tcW w:w="553" w:type="pct"/>
            <w:vAlign w:val="center"/>
          </w:tcPr>
          <w:p w14:paraId="73133DF8" w14:textId="111A63E0" w:rsidR="00383EAA" w:rsidRPr="002D486D" w:rsidRDefault="00383EAA" w:rsidP="00F06281">
            <w:pPr>
              <w:jc w:val="center"/>
              <w:rPr>
                <w:rFonts w:ascii="Arial Narrow" w:hAnsi="Arial Narrow"/>
                <w:color w:val="333333"/>
                <w:sz w:val="20"/>
                <w:szCs w:val="20"/>
              </w:rPr>
            </w:pPr>
          </w:p>
        </w:tc>
        <w:tc>
          <w:tcPr>
            <w:tcW w:w="4447" w:type="pct"/>
            <w:vAlign w:val="center"/>
          </w:tcPr>
          <w:p w14:paraId="443D595E"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Administrative Advice:</w:t>
            </w:r>
          </w:p>
          <w:p w14:paraId="009A31CF" w14:textId="77777777" w:rsidR="00383EAA" w:rsidRPr="002D486D" w:rsidRDefault="00383EAA" w:rsidP="00F06281">
            <w:pPr>
              <w:rPr>
                <w:rFonts w:ascii="Arial Narrow" w:hAnsi="Arial Narrow"/>
                <w:b/>
                <w:bCs/>
                <w:color w:val="333333"/>
                <w:sz w:val="20"/>
                <w:szCs w:val="20"/>
              </w:rPr>
            </w:pPr>
            <w:r w:rsidRPr="002D486D">
              <w:rPr>
                <w:rFonts w:ascii="Arial Narrow" w:hAnsi="Arial Narrow"/>
                <w:color w:val="333333"/>
                <w:sz w:val="20"/>
                <w:szCs w:val="20"/>
              </w:rPr>
              <w:t>No increase in the maximum quantity or number of units may be authorised.</w:t>
            </w:r>
          </w:p>
        </w:tc>
      </w:tr>
      <w:tr w:rsidR="00383EAA" w:rsidRPr="002D486D" w14:paraId="59A00073" w14:textId="77777777" w:rsidTr="00AE3496">
        <w:tc>
          <w:tcPr>
            <w:tcW w:w="553" w:type="pct"/>
            <w:vAlign w:val="center"/>
          </w:tcPr>
          <w:p w14:paraId="573C9C82" w14:textId="3C765314" w:rsidR="00383EAA" w:rsidRPr="002D486D" w:rsidRDefault="00383EAA" w:rsidP="00F06281">
            <w:pPr>
              <w:jc w:val="center"/>
              <w:rPr>
                <w:rFonts w:ascii="Arial Narrow" w:hAnsi="Arial Narrow"/>
                <w:color w:val="333333"/>
                <w:sz w:val="20"/>
                <w:szCs w:val="20"/>
              </w:rPr>
            </w:pPr>
          </w:p>
        </w:tc>
        <w:tc>
          <w:tcPr>
            <w:tcW w:w="4447" w:type="pct"/>
            <w:vAlign w:val="center"/>
          </w:tcPr>
          <w:p w14:paraId="4B4D1419"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Administrative Advice:</w:t>
            </w:r>
          </w:p>
          <w:p w14:paraId="6708D9FF" w14:textId="77777777" w:rsidR="00383EAA" w:rsidRPr="002D486D" w:rsidRDefault="00383EAA" w:rsidP="00F06281">
            <w:pPr>
              <w:rPr>
                <w:rFonts w:ascii="Arial Narrow" w:hAnsi="Arial Narrow"/>
                <w:color w:val="333333"/>
                <w:sz w:val="20"/>
                <w:szCs w:val="20"/>
              </w:rPr>
            </w:pPr>
            <w:r w:rsidRPr="002D486D">
              <w:rPr>
                <w:rFonts w:ascii="Arial Narrow" w:hAnsi="Arial Narrow"/>
                <w:color w:val="333333"/>
                <w:sz w:val="20"/>
                <w:szCs w:val="20"/>
              </w:rPr>
              <w:t>No increase in the maximum number of repeats may be authorised.</w:t>
            </w:r>
          </w:p>
        </w:tc>
      </w:tr>
      <w:tr w:rsidR="00383EAA" w:rsidRPr="002D486D" w14:paraId="4FA19A23" w14:textId="77777777" w:rsidTr="00AE3496">
        <w:tc>
          <w:tcPr>
            <w:tcW w:w="553" w:type="pct"/>
            <w:vAlign w:val="center"/>
          </w:tcPr>
          <w:p w14:paraId="6A3E1C6F" w14:textId="225E03C7" w:rsidR="00383EAA" w:rsidRPr="002D486D" w:rsidRDefault="00383EAA" w:rsidP="00F06281">
            <w:pPr>
              <w:jc w:val="center"/>
              <w:rPr>
                <w:rFonts w:ascii="Arial Narrow" w:hAnsi="Arial Narrow"/>
                <w:color w:val="333333"/>
                <w:sz w:val="20"/>
                <w:szCs w:val="20"/>
              </w:rPr>
            </w:pPr>
          </w:p>
        </w:tc>
        <w:tc>
          <w:tcPr>
            <w:tcW w:w="4447" w:type="pct"/>
            <w:vAlign w:val="center"/>
          </w:tcPr>
          <w:p w14:paraId="6BD5B44D"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Administrative Advice:</w:t>
            </w:r>
          </w:p>
          <w:p w14:paraId="0072CFFC" w14:textId="77777777" w:rsidR="00383EAA" w:rsidRPr="002D486D" w:rsidRDefault="00383EAA" w:rsidP="00F06281">
            <w:pPr>
              <w:rPr>
                <w:rFonts w:ascii="Arial Narrow" w:hAnsi="Arial Narrow"/>
                <w:b/>
                <w:bCs/>
                <w:color w:val="333333"/>
                <w:sz w:val="20"/>
                <w:szCs w:val="20"/>
              </w:rPr>
            </w:pPr>
            <w:r w:rsidRPr="002D486D">
              <w:rPr>
                <w:rFonts w:ascii="Arial Narrow" w:hAnsi="Arial Narrow"/>
                <w:color w:val="333333"/>
                <w:sz w:val="20"/>
                <w:szCs w:val="20"/>
              </w:rPr>
              <w:t>Special Pricing Arrangements Apply</w:t>
            </w:r>
          </w:p>
        </w:tc>
      </w:tr>
      <w:tr w:rsidR="00383EAA" w:rsidRPr="002D486D" w14:paraId="62A19EF1" w14:textId="77777777" w:rsidTr="008E2715">
        <w:tc>
          <w:tcPr>
            <w:tcW w:w="553" w:type="pct"/>
            <w:vAlign w:val="center"/>
          </w:tcPr>
          <w:p w14:paraId="05A31546" w14:textId="0BC3B726" w:rsidR="00383EAA" w:rsidRPr="002D486D" w:rsidRDefault="00383EAA" w:rsidP="00F06281">
            <w:pPr>
              <w:jc w:val="center"/>
              <w:rPr>
                <w:rFonts w:ascii="Arial Narrow" w:hAnsi="Arial Narrow"/>
                <w:color w:val="333333"/>
                <w:sz w:val="20"/>
                <w:szCs w:val="20"/>
              </w:rPr>
            </w:pPr>
          </w:p>
        </w:tc>
        <w:tc>
          <w:tcPr>
            <w:tcW w:w="4447" w:type="pct"/>
            <w:vAlign w:val="center"/>
            <w:hideMark/>
          </w:tcPr>
          <w:p w14:paraId="5C73D43A"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Indication:</w:t>
            </w:r>
            <w:r w:rsidRPr="002D486D">
              <w:rPr>
                <w:rFonts w:ascii="Arial Narrow" w:hAnsi="Arial Narrow"/>
                <w:color w:val="333333"/>
                <w:sz w:val="20"/>
                <w:szCs w:val="20"/>
              </w:rPr>
              <w:t xml:space="preserve"> Chronic treatment of hereditary angioedema Types 1 or 2</w:t>
            </w:r>
          </w:p>
        </w:tc>
      </w:tr>
      <w:tr w:rsidR="00383EAA" w:rsidRPr="002D486D" w14:paraId="72D1199D" w14:textId="77777777" w:rsidTr="008E2715">
        <w:tc>
          <w:tcPr>
            <w:tcW w:w="553" w:type="pct"/>
            <w:vAlign w:val="center"/>
          </w:tcPr>
          <w:p w14:paraId="6D5B76A3" w14:textId="77777777" w:rsidR="00383EAA" w:rsidRPr="002D486D" w:rsidRDefault="00383EAA" w:rsidP="00F06281">
            <w:pPr>
              <w:jc w:val="center"/>
              <w:rPr>
                <w:rFonts w:ascii="Arial Narrow" w:hAnsi="Arial Narrow"/>
                <w:color w:val="333333"/>
                <w:sz w:val="20"/>
                <w:szCs w:val="20"/>
              </w:rPr>
            </w:pPr>
          </w:p>
        </w:tc>
        <w:tc>
          <w:tcPr>
            <w:tcW w:w="4447" w:type="pct"/>
            <w:vAlign w:val="center"/>
            <w:hideMark/>
          </w:tcPr>
          <w:p w14:paraId="68E34B6A"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Treatment Phase:</w:t>
            </w:r>
            <w:r w:rsidRPr="002D486D">
              <w:rPr>
                <w:rFonts w:ascii="Arial Narrow" w:hAnsi="Arial Narrow"/>
                <w:color w:val="333333"/>
                <w:sz w:val="20"/>
                <w:szCs w:val="20"/>
              </w:rPr>
              <w:t xml:space="preserve"> Continuing preventative treatment</w:t>
            </w:r>
          </w:p>
        </w:tc>
      </w:tr>
      <w:tr w:rsidR="00383EAA" w:rsidRPr="002D486D" w14:paraId="636EFDFF" w14:textId="77777777" w:rsidTr="00AE3496">
        <w:tc>
          <w:tcPr>
            <w:tcW w:w="553" w:type="pct"/>
            <w:vAlign w:val="center"/>
          </w:tcPr>
          <w:p w14:paraId="5AD0A2C1" w14:textId="6E55D5B7" w:rsidR="00383EAA" w:rsidRPr="002D486D" w:rsidRDefault="00383EAA" w:rsidP="00F06281">
            <w:pPr>
              <w:jc w:val="center"/>
              <w:rPr>
                <w:rFonts w:ascii="Arial Narrow" w:hAnsi="Arial Narrow"/>
                <w:color w:val="333333"/>
                <w:sz w:val="20"/>
                <w:szCs w:val="20"/>
              </w:rPr>
            </w:pPr>
          </w:p>
        </w:tc>
        <w:tc>
          <w:tcPr>
            <w:tcW w:w="4447" w:type="pct"/>
            <w:vAlign w:val="center"/>
            <w:hideMark/>
          </w:tcPr>
          <w:p w14:paraId="1100B6BC"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Clinical criteria:</w:t>
            </w:r>
          </w:p>
        </w:tc>
      </w:tr>
      <w:tr w:rsidR="00383EAA" w:rsidRPr="002D486D" w14:paraId="79B1D113" w14:textId="77777777" w:rsidTr="00AE3496">
        <w:tc>
          <w:tcPr>
            <w:tcW w:w="553" w:type="pct"/>
            <w:vAlign w:val="center"/>
          </w:tcPr>
          <w:p w14:paraId="34130637" w14:textId="6DF4AE10" w:rsidR="00383EAA" w:rsidRPr="002D486D" w:rsidRDefault="00383EAA" w:rsidP="00F06281">
            <w:pPr>
              <w:jc w:val="center"/>
              <w:rPr>
                <w:rFonts w:ascii="Arial Narrow" w:hAnsi="Arial Narrow"/>
                <w:color w:val="333333"/>
                <w:sz w:val="20"/>
                <w:szCs w:val="20"/>
              </w:rPr>
            </w:pPr>
          </w:p>
        </w:tc>
        <w:tc>
          <w:tcPr>
            <w:tcW w:w="4447" w:type="pct"/>
            <w:vAlign w:val="center"/>
            <w:hideMark/>
          </w:tcPr>
          <w:p w14:paraId="58E23901" w14:textId="77777777" w:rsidR="00383EAA" w:rsidRPr="002D486D" w:rsidRDefault="00383EAA" w:rsidP="00F06281">
            <w:pPr>
              <w:rPr>
                <w:rFonts w:ascii="Arial Narrow" w:hAnsi="Arial Narrow"/>
                <w:color w:val="333333"/>
                <w:sz w:val="20"/>
                <w:szCs w:val="20"/>
              </w:rPr>
            </w:pPr>
            <w:r w:rsidRPr="002D486D">
              <w:rPr>
                <w:rFonts w:ascii="Arial Narrow" w:hAnsi="Arial Narrow"/>
                <w:color w:val="333333"/>
                <w:sz w:val="20"/>
                <w:szCs w:val="20"/>
              </w:rPr>
              <w:t>Patient must have previously received PBS-subsidised treatment with this drug for this condition</w:t>
            </w:r>
          </w:p>
        </w:tc>
      </w:tr>
      <w:tr w:rsidR="00383EAA" w:rsidRPr="002D486D" w14:paraId="20FCB0CA" w14:textId="77777777" w:rsidTr="00AE3496">
        <w:tc>
          <w:tcPr>
            <w:tcW w:w="553" w:type="pct"/>
            <w:vAlign w:val="center"/>
          </w:tcPr>
          <w:p w14:paraId="35AEAD74" w14:textId="77777777" w:rsidR="00383EAA" w:rsidRPr="002D486D" w:rsidRDefault="00383EAA" w:rsidP="00F06281">
            <w:pPr>
              <w:jc w:val="center"/>
              <w:rPr>
                <w:rFonts w:ascii="Arial Narrow" w:hAnsi="Arial Narrow"/>
                <w:color w:val="333333"/>
                <w:sz w:val="20"/>
                <w:szCs w:val="20"/>
              </w:rPr>
            </w:pPr>
          </w:p>
        </w:tc>
        <w:tc>
          <w:tcPr>
            <w:tcW w:w="4447" w:type="pct"/>
            <w:vAlign w:val="center"/>
            <w:hideMark/>
          </w:tcPr>
          <w:p w14:paraId="0941162F"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AND</w:t>
            </w:r>
          </w:p>
        </w:tc>
      </w:tr>
      <w:tr w:rsidR="00383EAA" w:rsidRPr="002D486D" w14:paraId="6CD4E284" w14:textId="77777777" w:rsidTr="00AE3496">
        <w:tc>
          <w:tcPr>
            <w:tcW w:w="553" w:type="pct"/>
            <w:vAlign w:val="center"/>
          </w:tcPr>
          <w:p w14:paraId="1916F334" w14:textId="5EC67AE5" w:rsidR="00383EAA" w:rsidRPr="002D486D" w:rsidRDefault="00383EAA" w:rsidP="00F06281">
            <w:pPr>
              <w:jc w:val="center"/>
              <w:rPr>
                <w:rFonts w:ascii="Arial Narrow" w:hAnsi="Arial Narrow"/>
                <w:color w:val="333333"/>
                <w:sz w:val="20"/>
                <w:szCs w:val="20"/>
              </w:rPr>
            </w:pPr>
          </w:p>
        </w:tc>
        <w:tc>
          <w:tcPr>
            <w:tcW w:w="4447" w:type="pct"/>
            <w:vAlign w:val="center"/>
            <w:hideMark/>
          </w:tcPr>
          <w:p w14:paraId="207CBFC0"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Clinical criteria:</w:t>
            </w:r>
          </w:p>
        </w:tc>
      </w:tr>
      <w:tr w:rsidR="00383EAA" w:rsidRPr="002D486D" w14:paraId="1340E982" w14:textId="77777777" w:rsidTr="00AE3496">
        <w:tc>
          <w:tcPr>
            <w:tcW w:w="553" w:type="pct"/>
            <w:vAlign w:val="center"/>
          </w:tcPr>
          <w:p w14:paraId="3E02E3E1" w14:textId="7F65905C" w:rsidR="00383EAA" w:rsidRPr="002D486D" w:rsidRDefault="00383EAA" w:rsidP="00F06281">
            <w:pPr>
              <w:jc w:val="center"/>
              <w:rPr>
                <w:rFonts w:ascii="Arial Narrow" w:hAnsi="Arial Narrow"/>
                <w:color w:val="333333"/>
                <w:sz w:val="20"/>
                <w:szCs w:val="20"/>
              </w:rPr>
            </w:pPr>
          </w:p>
        </w:tc>
        <w:tc>
          <w:tcPr>
            <w:tcW w:w="4447" w:type="pct"/>
            <w:vAlign w:val="center"/>
            <w:hideMark/>
          </w:tcPr>
          <w:p w14:paraId="0FED0762" w14:textId="77777777" w:rsidR="00383EAA" w:rsidRPr="002D486D" w:rsidRDefault="00383EAA" w:rsidP="00F06281">
            <w:pPr>
              <w:rPr>
                <w:rFonts w:ascii="Arial Narrow" w:hAnsi="Arial Narrow"/>
                <w:color w:val="333333"/>
                <w:sz w:val="20"/>
                <w:szCs w:val="20"/>
              </w:rPr>
            </w:pPr>
            <w:r w:rsidRPr="002D486D">
              <w:rPr>
                <w:rFonts w:ascii="Arial Narrow" w:hAnsi="Arial Narrow"/>
                <w:color w:val="333333"/>
                <w:sz w:val="20"/>
                <w:szCs w:val="20"/>
              </w:rPr>
              <w:t>Patient must have demonstrated or sustained an adequate response to PBS-subsidised treatment with this drug for this condition</w:t>
            </w:r>
          </w:p>
        </w:tc>
      </w:tr>
      <w:tr w:rsidR="00383EAA" w:rsidRPr="002D486D" w14:paraId="51BE659F" w14:textId="77777777" w:rsidTr="00AE3496">
        <w:tc>
          <w:tcPr>
            <w:tcW w:w="553" w:type="pct"/>
            <w:vAlign w:val="center"/>
          </w:tcPr>
          <w:p w14:paraId="3C4AEED4" w14:textId="77777777" w:rsidR="00383EAA" w:rsidRPr="002D486D" w:rsidRDefault="00383EAA" w:rsidP="00F06281">
            <w:pPr>
              <w:jc w:val="center"/>
              <w:rPr>
                <w:rFonts w:ascii="Arial Narrow" w:hAnsi="Arial Narrow"/>
                <w:color w:val="333333"/>
                <w:sz w:val="20"/>
                <w:szCs w:val="20"/>
              </w:rPr>
            </w:pPr>
          </w:p>
        </w:tc>
        <w:tc>
          <w:tcPr>
            <w:tcW w:w="4447" w:type="pct"/>
            <w:vAlign w:val="center"/>
            <w:hideMark/>
          </w:tcPr>
          <w:p w14:paraId="21B90340"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AND</w:t>
            </w:r>
          </w:p>
        </w:tc>
      </w:tr>
      <w:tr w:rsidR="00383EAA" w:rsidRPr="002D486D" w14:paraId="1B0CBEC8" w14:textId="77777777" w:rsidTr="00AE3496">
        <w:tc>
          <w:tcPr>
            <w:tcW w:w="553" w:type="pct"/>
            <w:vAlign w:val="center"/>
          </w:tcPr>
          <w:p w14:paraId="104D6785" w14:textId="77777777" w:rsidR="00383EAA" w:rsidRPr="002D486D" w:rsidRDefault="00383EAA" w:rsidP="00F06281">
            <w:pPr>
              <w:jc w:val="center"/>
              <w:rPr>
                <w:rFonts w:ascii="Arial Narrow" w:hAnsi="Arial Narrow"/>
                <w:color w:val="333333"/>
                <w:sz w:val="20"/>
                <w:szCs w:val="20"/>
              </w:rPr>
            </w:pPr>
          </w:p>
        </w:tc>
        <w:tc>
          <w:tcPr>
            <w:tcW w:w="4447" w:type="pct"/>
            <w:vAlign w:val="center"/>
            <w:hideMark/>
          </w:tcPr>
          <w:p w14:paraId="04891C3B"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Clinical criteria:</w:t>
            </w:r>
          </w:p>
        </w:tc>
      </w:tr>
      <w:tr w:rsidR="00383EAA" w:rsidRPr="002D486D" w14:paraId="34E5B7AB" w14:textId="77777777" w:rsidTr="00AE3496">
        <w:tc>
          <w:tcPr>
            <w:tcW w:w="553" w:type="pct"/>
            <w:vAlign w:val="center"/>
          </w:tcPr>
          <w:p w14:paraId="35929D56" w14:textId="5D57C125" w:rsidR="00383EAA" w:rsidRPr="002D486D" w:rsidRDefault="00383EAA" w:rsidP="00F06281">
            <w:pPr>
              <w:jc w:val="center"/>
              <w:rPr>
                <w:rFonts w:ascii="Arial Narrow" w:hAnsi="Arial Narrow"/>
                <w:color w:val="333333"/>
                <w:sz w:val="20"/>
                <w:szCs w:val="20"/>
              </w:rPr>
            </w:pPr>
          </w:p>
        </w:tc>
        <w:tc>
          <w:tcPr>
            <w:tcW w:w="4447" w:type="pct"/>
            <w:vAlign w:val="center"/>
            <w:hideMark/>
          </w:tcPr>
          <w:p w14:paraId="54AABB71" w14:textId="2AD265F6" w:rsidR="00383EAA" w:rsidRPr="002D486D" w:rsidRDefault="00383EAA" w:rsidP="00F06281">
            <w:pPr>
              <w:rPr>
                <w:rFonts w:ascii="Arial Narrow" w:hAnsi="Arial Narrow"/>
                <w:color w:val="333333"/>
                <w:sz w:val="20"/>
                <w:szCs w:val="20"/>
              </w:rPr>
            </w:pPr>
            <w:r w:rsidRPr="002D486D">
              <w:rPr>
                <w:rFonts w:ascii="Arial Narrow" w:hAnsi="Arial Narrow"/>
                <w:color w:val="333333"/>
                <w:sz w:val="20"/>
                <w:szCs w:val="20"/>
              </w:rPr>
              <w:t>The treatment must not be used in combination with either: (i) a C1-esterase inhibitor concentrate (ii) lanadelumab</w:t>
            </w:r>
          </w:p>
        </w:tc>
      </w:tr>
      <w:tr w:rsidR="00383EAA" w:rsidRPr="002D486D" w14:paraId="0D5B0299" w14:textId="77777777" w:rsidTr="00AE3496">
        <w:tc>
          <w:tcPr>
            <w:tcW w:w="553" w:type="pct"/>
            <w:vAlign w:val="center"/>
          </w:tcPr>
          <w:p w14:paraId="6BC3D7E3" w14:textId="77777777" w:rsidR="00383EAA" w:rsidRPr="002D486D" w:rsidRDefault="00383EAA" w:rsidP="00F06281">
            <w:pPr>
              <w:jc w:val="center"/>
              <w:rPr>
                <w:rFonts w:ascii="Arial Narrow" w:hAnsi="Arial Narrow"/>
                <w:color w:val="333333"/>
                <w:sz w:val="20"/>
                <w:szCs w:val="20"/>
              </w:rPr>
            </w:pPr>
          </w:p>
        </w:tc>
        <w:tc>
          <w:tcPr>
            <w:tcW w:w="4447" w:type="pct"/>
            <w:vAlign w:val="center"/>
            <w:hideMark/>
          </w:tcPr>
          <w:p w14:paraId="533E0537"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AND</w:t>
            </w:r>
          </w:p>
        </w:tc>
      </w:tr>
      <w:tr w:rsidR="00383EAA" w:rsidRPr="002D486D" w14:paraId="4A799D87" w14:textId="77777777" w:rsidTr="00AE3496">
        <w:tc>
          <w:tcPr>
            <w:tcW w:w="553" w:type="pct"/>
            <w:vAlign w:val="center"/>
          </w:tcPr>
          <w:p w14:paraId="777F6578" w14:textId="0A99874E" w:rsidR="00383EAA" w:rsidRPr="002D486D" w:rsidRDefault="00383EAA" w:rsidP="00F06281">
            <w:pPr>
              <w:jc w:val="center"/>
              <w:rPr>
                <w:rFonts w:ascii="Arial Narrow" w:hAnsi="Arial Narrow"/>
                <w:color w:val="333333"/>
                <w:sz w:val="20"/>
                <w:szCs w:val="20"/>
              </w:rPr>
            </w:pPr>
          </w:p>
        </w:tc>
        <w:tc>
          <w:tcPr>
            <w:tcW w:w="4447" w:type="pct"/>
            <w:vAlign w:val="center"/>
            <w:hideMark/>
          </w:tcPr>
          <w:p w14:paraId="6D64AE24"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Treatment criteria:</w:t>
            </w:r>
          </w:p>
        </w:tc>
      </w:tr>
      <w:tr w:rsidR="00383EAA" w:rsidRPr="002D486D" w14:paraId="796D53FA" w14:textId="77777777" w:rsidTr="00AE3496">
        <w:tc>
          <w:tcPr>
            <w:tcW w:w="553" w:type="pct"/>
            <w:vAlign w:val="center"/>
          </w:tcPr>
          <w:p w14:paraId="369D2706" w14:textId="3EE86D2A" w:rsidR="00383EAA" w:rsidRPr="002D486D" w:rsidRDefault="00383EAA" w:rsidP="00F06281">
            <w:pPr>
              <w:jc w:val="center"/>
              <w:rPr>
                <w:rFonts w:ascii="Arial Narrow" w:hAnsi="Arial Narrow"/>
                <w:color w:val="333333"/>
                <w:sz w:val="20"/>
                <w:szCs w:val="20"/>
              </w:rPr>
            </w:pPr>
          </w:p>
        </w:tc>
        <w:tc>
          <w:tcPr>
            <w:tcW w:w="4447" w:type="pct"/>
            <w:vAlign w:val="center"/>
            <w:hideMark/>
          </w:tcPr>
          <w:p w14:paraId="45EEE8FF" w14:textId="77777777" w:rsidR="00383EAA" w:rsidRPr="002D486D" w:rsidRDefault="00383EAA" w:rsidP="00F06281">
            <w:pPr>
              <w:autoSpaceDE w:val="0"/>
              <w:autoSpaceDN w:val="0"/>
              <w:adjustRightInd w:val="0"/>
              <w:rPr>
                <w:rFonts w:ascii="Arial Narrow" w:hAnsi="Arial Narrow" w:cs="Arial Narrow"/>
                <w:sz w:val="20"/>
                <w:szCs w:val="20"/>
              </w:rPr>
            </w:pPr>
            <w:r w:rsidRPr="002D486D">
              <w:rPr>
                <w:rFonts w:ascii="Arial Narrow" w:hAnsi="Arial Narrow" w:cs="Arial Narrow"/>
                <w:sz w:val="20"/>
                <w:szCs w:val="20"/>
              </w:rPr>
              <w:t>Must be treated by a specialist allergist or clinical immunologist, or in consultation with a specialist allergist or clinical immunologist</w:t>
            </w:r>
          </w:p>
        </w:tc>
      </w:tr>
      <w:tr w:rsidR="00383EAA" w:rsidRPr="002D486D" w14:paraId="65CF9D20" w14:textId="77777777" w:rsidTr="008E2715">
        <w:tc>
          <w:tcPr>
            <w:tcW w:w="553" w:type="pct"/>
            <w:vAlign w:val="center"/>
          </w:tcPr>
          <w:p w14:paraId="70DE76A2" w14:textId="75B0B614" w:rsidR="00383EAA" w:rsidRPr="002D486D" w:rsidRDefault="00383EAA" w:rsidP="00F06281">
            <w:pPr>
              <w:jc w:val="center"/>
              <w:rPr>
                <w:rFonts w:ascii="Arial Narrow" w:hAnsi="Arial Narrow"/>
                <w:color w:val="333333"/>
                <w:sz w:val="20"/>
                <w:szCs w:val="20"/>
              </w:rPr>
            </w:pPr>
          </w:p>
        </w:tc>
        <w:tc>
          <w:tcPr>
            <w:tcW w:w="4447" w:type="pct"/>
            <w:vAlign w:val="center"/>
            <w:hideMark/>
          </w:tcPr>
          <w:p w14:paraId="217A244F"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 xml:space="preserve">Prescribing Instructions: </w:t>
            </w:r>
            <w:r w:rsidRPr="002D486D">
              <w:rPr>
                <w:rFonts w:ascii="Arial Narrow" w:hAnsi="Arial Narrow"/>
                <w:bCs/>
                <w:color w:val="333333"/>
                <w:sz w:val="20"/>
                <w:szCs w:val="20"/>
              </w:rPr>
              <w:t>For the purposes of administering this restriction, an adequate response is a reduction of the baseline number of acute attacks of hereditary angioedema of a severity necessitating immediate medical intervention with either (i) icatibant, or (ii) C1-esterase inhibitor concentrate. The details of the reduction must be documented in the patient's medical records for auditing purposes.</w:t>
            </w:r>
          </w:p>
        </w:tc>
      </w:tr>
      <w:tr w:rsidR="00383EAA" w:rsidRPr="00282C49" w14:paraId="53B917A4" w14:textId="77777777" w:rsidTr="008E2715">
        <w:tc>
          <w:tcPr>
            <w:tcW w:w="553" w:type="pct"/>
            <w:vAlign w:val="center"/>
          </w:tcPr>
          <w:p w14:paraId="68CBB7D4" w14:textId="22C7F5AB" w:rsidR="00C251BE" w:rsidRPr="002D486D" w:rsidRDefault="00C251BE" w:rsidP="00F06281">
            <w:pPr>
              <w:jc w:val="center"/>
              <w:rPr>
                <w:rFonts w:ascii="Arial Narrow" w:hAnsi="Arial Narrow"/>
                <w:color w:val="333333"/>
                <w:sz w:val="20"/>
                <w:szCs w:val="20"/>
              </w:rPr>
            </w:pPr>
          </w:p>
        </w:tc>
        <w:tc>
          <w:tcPr>
            <w:tcW w:w="4447" w:type="pct"/>
            <w:vAlign w:val="center"/>
            <w:hideMark/>
          </w:tcPr>
          <w:p w14:paraId="6A582CBC"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Administrative Advice:</w:t>
            </w:r>
            <w:r w:rsidRPr="002D486D">
              <w:rPr>
                <w:rFonts w:ascii="Arial Narrow" w:hAnsi="Arial Narrow"/>
                <w:bCs/>
                <w:color w:val="333333"/>
                <w:sz w:val="20"/>
                <w:szCs w:val="20"/>
              </w:rPr>
              <w:t xml:space="preserve"> 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bookmarkEnd w:id="84"/>
    </w:tbl>
    <w:p w14:paraId="7ECCC544" w14:textId="77777777" w:rsidR="00383EAA" w:rsidRPr="00282C49" w:rsidRDefault="00383EAA" w:rsidP="00F06281">
      <w:pPr>
        <w:rPr>
          <w:sz w:val="20"/>
          <w:szCs w:val="20"/>
          <w:highlight w:val="yellow"/>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383EAA" w:rsidRPr="002D486D" w14:paraId="13860454" w14:textId="77777777" w:rsidTr="00AE3496">
        <w:trPr>
          <w:cantSplit/>
          <w:trHeight w:val="471"/>
        </w:trPr>
        <w:tc>
          <w:tcPr>
            <w:tcW w:w="2689" w:type="dxa"/>
          </w:tcPr>
          <w:p w14:paraId="10B8C7FA" w14:textId="77777777" w:rsidR="00383EAA" w:rsidRPr="002D486D" w:rsidRDefault="00383EAA" w:rsidP="00F06281">
            <w:pPr>
              <w:ind w:left="-108"/>
              <w:rPr>
                <w:rFonts w:ascii="Arial Narrow" w:hAnsi="Arial Narrow"/>
                <w:b/>
                <w:sz w:val="20"/>
                <w:szCs w:val="20"/>
              </w:rPr>
            </w:pPr>
            <w:r w:rsidRPr="002D486D">
              <w:rPr>
                <w:rFonts w:ascii="Arial Narrow" w:hAnsi="Arial Narrow"/>
                <w:b/>
                <w:sz w:val="20"/>
                <w:szCs w:val="20"/>
              </w:rPr>
              <w:t>Name, Restriction,</w:t>
            </w:r>
          </w:p>
          <w:p w14:paraId="1BDC887B" w14:textId="77777777" w:rsidR="00383EAA" w:rsidRPr="002D486D" w:rsidRDefault="00383EAA" w:rsidP="00F06281">
            <w:pPr>
              <w:ind w:left="-108"/>
              <w:rPr>
                <w:rFonts w:ascii="Arial Narrow" w:hAnsi="Arial Narrow"/>
                <w:b/>
                <w:sz w:val="20"/>
                <w:szCs w:val="20"/>
              </w:rPr>
            </w:pPr>
            <w:r w:rsidRPr="002D486D">
              <w:rPr>
                <w:rFonts w:ascii="Arial Narrow" w:hAnsi="Arial Narrow"/>
                <w:b/>
                <w:sz w:val="20"/>
                <w:szCs w:val="20"/>
              </w:rPr>
              <w:t>Manner of administration and form</w:t>
            </w:r>
          </w:p>
        </w:tc>
        <w:tc>
          <w:tcPr>
            <w:tcW w:w="1275" w:type="dxa"/>
          </w:tcPr>
          <w:p w14:paraId="766C952C" w14:textId="77777777" w:rsidR="00383EAA" w:rsidRPr="002D486D" w:rsidRDefault="00383EAA" w:rsidP="00F06281">
            <w:pPr>
              <w:ind w:left="-108"/>
              <w:jc w:val="center"/>
              <w:rPr>
                <w:rFonts w:ascii="Arial Narrow" w:hAnsi="Arial Narrow"/>
                <w:b/>
                <w:sz w:val="20"/>
                <w:szCs w:val="20"/>
              </w:rPr>
            </w:pPr>
            <w:r w:rsidRPr="002D486D">
              <w:rPr>
                <w:rFonts w:ascii="Arial Narrow" w:hAnsi="Arial Narrow"/>
                <w:b/>
                <w:sz w:val="20"/>
                <w:szCs w:val="20"/>
              </w:rPr>
              <w:t>PBS item code</w:t>
            </w:r>
          </w:p>
        </w:tc>
        <w:tc>
          <w:tcPr>
            <w:tcW w:w="851" w:type="dxa"/>
          </w:tcPr>
          <w:p w14:paraId="3EA3A58E" w14:textId="77777777" w:rsidR="00383EAA" w:rsidRPr="002D486D" w:rsidRDefault="00383EAA" w:rsidP="00F06281">
            <w:pPr>
              <w:ind w:left="-108"/>
              <w:jc w:val="center"/>
              <w:rPr>
                <w:rFonts w:ascii="Arial Narrow" w:hAnsi="Arial Narrow"/>
                <w:b/>
                <w:sz w:val="20"/>
                <w:szCs w:val="20"/>
              </w:rPr>
            </w:pPr>
            <w:r w:rsidRPr="002D486D">
              <w:rPr>
                <w:rFonts w:ascii="Arial Narrow" w:hAnsi="Arial Narrow"/>
                <w:b/>
                <w:sz w:val="20"/>
                <w:szCs w:val="20"/>
              </w:rPr>
              <w:t>Max. qty packs</w:t>
            </w:r>
          </w:p>
        </w:tc>
        <w:tc>
          <w:tcPr>
            <w:tcW w:w="850" w:type="dxa"/>
          </w:tcPr>
          <w:p w14:paraId="27131A12" w14:textId="77777777" w:rsidR="00383EAA" w:rsidRPr="002D486D" w:rsidRDefault="00383EAA" w:rsidP="00F06281">
            <w:pPr>
              <w:ind w:left="-108"/>
              <w:jc w:val="center"/>
              <w:rPr>
                <w:rFonts w:ascii="Arial Narrow" w:hAnsi="Arial Narrow"/>
                <w:b/>
                <w:sz w:val="20"/>
                <w:szCs w:val="20"/>
              </w:rPr>
            </w:pPr>
            <w:r w:rsidRPr="002D486D">
              <w:rPr>
                <w:rFonts w:ascii="Arial Narrow" w:hAnsi="Arial Narrow"/>
                <w:b/>
                <w:sz w:val="20"/>
                <w:szCs w:val="20"/>
              </w:rPr>
              <w:t>Max. qty units</w:t>
            </w:r>
          </w:p>
        </w:tc>
        <w:tc>
          <w:tcPr>
            <w:tcW w:w="709" w:type="dxa"/>
          </w:tcPr>
          <w:p w14:paraId="22DBE415" w14:textId="77777777" w:rsidR="00383EAA" w:rsidRPr="002D486D" w:rsidRDefault="00383EAA" w:rsidP="00F06281">
            <w:pPr>
              <w:ind w:left="-108"/>
              <w:jc w:val="center"/>
              <w:rPr>
                <w:rFonts w:ascii="Arial Narrow" w:hAnsi="Arial Narrow"/>
                <w:b/>
                <w:sz w:val="20"/>
                <w:szCs w:val="20"/>
              </w:rPr>
            </w:pPr>
            <w:r w:rsidRPr="002D486D">
              <w:rPr>
                <w:rFonts w:ascii="Arial Narrow" w:hAnsi="Arial Narrow"/>
                <w:b/>
                <w:sz w:val="20"/>
                <w:szCs w:val="20"/>
              </w:rPr>
              <w:t>№.of</w:t>
            </w:r>
          </w:p>
          <w:p w14:paraId="68C9AE4D" w14:textId="77777777" w:rsidR="00383EAA" w:rsidRPr="002D486D" w:rsidRDefault="00383EAA" w:rsidP="00F06281">
            <w:pPr>
              <w:ind w:left="-108"/>
              <w:jc w:val="center"/>
              <w:rPr>
                <w:rFonts w:ascii="Arial Narrow" w:hAnsi="Arial Narrow"/>
                <w:b/>
                <w:sz w:val="20"/>
                <w:szCs w:val="20"/>
              </w:rPr>
            </w:pPr>
            <w:r w:rsidRPr="002D486D">
              <w:rPr>
                <w:rFonts w:ascii="Arial Narrow" w:hAnsi="Arial Narrow"/>
                <w:b/>
                <w:sz w:val="20"/>
                <w:szCs w:val="20"/>
              </w:rPr>
              <w:t>Rpts</w:t>
            </w:r>
          </w:p>
        </w:tc>
        <w:tc>
          <w:tcPr>
            <w:tcW w:w="2551" w:type="dxa"/>
            <w:gridSpan w:val="2"/>
          </w:tcPr>
          <w:p w14:paraId="1C30B46A" w14:textId="77777777" w:rsidR="00383EAA" w:rsidRPr="002D486D" w:rsidRDefault="00383EAA" w:rsidP="00F06281">
            <w:pPr>
              <w:rPr>
                <w:rFonts w:ascii="Arial Narrow" w:hAnsi="Arial Narrow"/>
                <w:b/>
                <w:sz w:val="20"/>
                <w:szCs w:val="20"/>
                <w:lang w:val="fr-FR"/>
              </w:rPr>
            </w:pPr>
            <w:r w:rsidRPr="002D486D">
              <w:rPr>
                <w:rFonts w:ascii="Arial Narrow" w:hAnsi="Arial Narrow"/>
                <w:b/>
                <w:sz w:val="20"/>
                <w:szCs w:val="20"/>
              </w:rPr>
              <w:t>Proprietary Name and Manufacturer</w:t>
            </w:r>
          </w:p>
        </w:tc>
      </w:tr>
      <w:tr w:rsidR="00383EAA" w:rsidRPr="002D486D" w14:paraId="76C75C36" w14:textId="77777777" w:rsidTr="00AE3496">
        <w:trPr>
          <w:cantSplit/>
          <w:trHeight w:val="761"/>
        </w:trPr>
        <w:tc>
          <w:tcPr>
            <w:tcW w:w="2689" w:type="dxa"/>
          </w:tcPr>
          <w:p w14:paraId="1760B860" w14:textId="77777777" w:rsidR="00383EAA" w:rsidRPr="002D486D" w:rsidRDefault="00383EAA" w:rsidP="00F06281">
            <w:pPr>
              <w:ind w:left="-108"/>
              <w:rPr>
                <w:rFonts w:ascii="Arial Narrow" w:hAnsi="Arial Narrow"/>
                <w:sz w:val="20"/>
                <w:szCs w:val="20"/>
              </w:rPr>
            </w:pPr>
            <w:r w:rsidRPr="002D486D">
              <w:rPr>
                <w:rFonts w:ascii="Arial Narrow" w:hAnsi="Arial Narrow"/>
                <w:sz w:val="20"/>
                <w:szCs w:val="20"/>
              </w:rPr>
              <w:t>GARADACIMAB</w:t>
            </w:r>
          </w:p>
          <w:p w14:paraId="748DF4A4" w14:textId="77777777" w:rsidR="00383EAA" w:rsidRPr="002D486D" w:rsidRDefault="00383EAA" w:rsidP="00F06281">
            <w:pPr>
              <w:ind w:left="-108"/>
              <w:rPr>
                <w:rFonts w:ascii="Arial Narrow" w:hAnsi="Arial Narrow"/>
                <w:sz w:val="20"/>
                <w:szCs w:val="20"/>
              </w:rPr>
            </w:pPr>
          </w:p>
          <w:p w14:paraId="687DE280" w14:textId="77777777" w:rsidR="00383EAA" w:rsidRPr="002D486D" w:rsidRDefault="00383EAA" w:rsidP="00F06281">
            <w:pPr>
              <w:ind w:left="-108"/>
              <w:rPr>
                <w:rFonts w:ascii="Arial Narrow" w:hAnsi="Arial Narrow"/>
                <w:strike/>
                <w:sz w:val="20"/>
                <w:szCs w:val="20"/>
              </w:rPr>
            </w:pPr>
            <w:r w:rsidRPr="002D486D">
              <w:rPr>
                <w:rFonts w:ascii="Arial Narrow" w:hAnsi="Arial Narrow"/>
                <w:sz w:val="20"/>
                <w:szCs w:val="20"/>
              </w:rPr>
              <w:t>garadacimab 200 mg/1.2 mL injection, 1.2 mL pen device</w:t>
            </w:r>
          </w:p>
        </w:tc>
        <w:tc>
          <w:tcPr>
            <w:tcW w:w="1275" w:type="dxa"/>
          </w:tcPr>
          <w:p w14:paraId="40674422" w14:textId="77777777" w:rsidR="00383EAA" w:rsidRPr="002D486D" w:rsidRDefault="00383EAA" w:rsidP="00F06281">
            <w:pPr>
              <w:ind w:left="-108"/>
              <w:jc w:val="center"/>
              <w:rPr>
                <w:rFonts w:ascii="Arial Narrow" w:hAnsi="Arial Narrow"/>
                <w:sz w:val="20"/>
                <w:szCs w:val="20"/>
              </w:rPr>
            </w:pPr>
          </w:p>
          <w:p w14:paraId="54AD9AF3" w14:textId="77777777" w:rsidR="00383EAA" w:rsidRPr="002D486D" w:rsidRDefault="00383EAA" w:rsidP="00F06281">
            <w:pPr>
              <w:ind w:left="-108"/>
              <w:jc w:val="center"/>
              <w:rPr>
                <w:rFonts w:ascii="Arial Narrow" w:hAnsi="Arial Narrow"/>
                <w:sz w:val="20"/>
                <w:szCs w:val="20"/>
              </w:rPr>
            </w:pPr>
          </w:p>
          <w:p w14:paraId="231E4AE0" w14:textId="77777777" w:rsidR="00383EAA" w:rsidRPr="002D486D" w:rsidRDefault="00383EAA" w:rsidP="00F06281">
            <w:pPr>
              <w:ind w:left="-108"/>
              <w:jc w:val="center"/>
              <w:rPr>
                <w:rFonts w:ascii="Arial Narrow" w:hAnsi="Arial Narrow"/>
                <w:sz w:val="20"/>
                <w:szCs w:val="20"/>
              </w:rPr>
            </w:pPr>
            <w:r w:rsidRPr="002D486D">
              <w:rPr>
                <w:rFonts w:ascii="Arial Narrow" w:hAnsi="Arial Narrow"/>
                <w:sz w:val="20"/>
                <w:szCs w:val="20"/>
              </w:rPr>
              <w:t>NEW</w:t>
            </w:r>
          </w:p>
        </w:tc>
        <w:tc>
          <w:tcPr>
            <w:tcW w:w="851" w:type="dxa"/>
          </w:tcPr>
          <w:p w14:paraId="5C2B2ABF" w14:textId="77777777" w:rsidR="00383EAA" w:rsidRPr="002D486D" w:rsidRDefault="00383EAA" w:rsidP="00F06281">
            <w:pPr>
              <w:jc w:val="center"/>
              <w:rPr>
                <w:rFonts w:ascii="Arial Narrow" w:hAnsi="Arial Narrow"/>
                <w:sz w:val="20"/>
                <w:szCs w:val="20"/>
              </w:rPr>
            </w:pPr>
          </w:p>
          <w:p w14:paraId="7F13C424" w14:textId="77777777" w:rsidR="00383EAA" w:rsidRPr="002D486D" w:rsidRDefault="00383EAA" w:rsidP="00F06281">
            <w:pPr>
              <w:ind w:left="-108"/>
              <w:jc w:val="center"/>
              <w:rPr>
                <w:rFonts w:ascii="Arial Narrow" w:hAnsi="Arial Narrow"/>
                <w:sz w:val="20"/>
                <w:szCs w:val="20"/>
              </w:rPr>
            </w:pPr>
          </w:p>
          <w:p w14:paraId="3458825A" w14:textId="77777777" w:rsidR="00383EAA" w:rsidRPr="002D486D" w:rsidRDefault="00383EAA" w:rsidP="00F06281">
            <w:pPr>
              <w:jc w:val="center"/>
              <w:rPr>
                <w:rFonts w:ascii="Arial Narrow" w:hAnsi="Arial Narrow"/>
                <w:sz w:val="20"/>
                <w:szCs w:val="20"/>
              </w:rPr>
            </w:pPr>
            <w:r w:rsidRPr="002D486D">
              <w:rPr>
                <w:rFonts w:ascii="Arial Narrow" w:hAnsi="Arial Narrow"/>
                <w:sz w:val="20"/>
                <w:szCs w:val="20"/>
              </w:rPr>
              <w:t>1</w:t>
            </w:r>
          </w:p>
        </w:tc>
        <w:tc>
          <w:tcPr>
            <w:tcW w:w="850" w:type="dxa"/>
          </w:tcPr>
          <w:p w14:paraId="428D987A" w14:textId="77777777" w:rsidR="00383EAA" w:rsidRPr="002D486D" w:rsidRDefault="00383EAA" w:rsidP="00F06281">
            <w:pPr>
              <w:ind w:left="-108"/>
              <w:jc w:val="center"/>
              <w:rPr>
                <w:rFonts w:ascii="Arial Narrow" w:hAnsi="Arial Narrow"/>
                <w:sz w:val="20"/>
                <w:szCs w:val="20"/>
              </w:rPr>
            </w:pPr>
          </w:p>
          <w:p w14:paraId="4D1F5BBB" w14:textId="77777777" w:rsidR="00383EAA" w:rsidRPr="002D486D" w:rsidRDefault="00383EAA" w:rsidP="00F06281">
            <w:pPr>
              <w:rPr>
                <w:rFonts w:ascii="Arial Narrow" w:hAnsi="Arial Narrow"/>
                <w:sz w:val="20"/>
                <w:szCs w:val="20"/>
              </w:rPr>
            </w:pPr>
          </w:p>
          <w:p w14:paraId="470F05DA" w14:textId="77777777" w:rsidR="00383EAA" w:rsidRPr="002D486D" w:rsidRDefault="00383EAA" w:rsidP="00F06281">
            <w:pPr>
              <w:ind w:left="-108"/>
              <w:jc w:val="center"/>
              <w:rPr>
                <w:rFonts w:ascii="Arial Narrow" w:hAnsi="Arial Narrow"/>
                <w:sz w:val="20"/>
                <w:szCs w:val="20"/>
              </w:rPr>
            </w:pPr>
            <w:r w:rsidRPr="002D486D">
              <w:rPr>
                <w:rFonts w:ascii="Arial Narrow" w:hAnsi="Arial Narrow"/>
                <w:sz w:val="20"/>
                <w:szCs w:val="20"/>
              </w:rPr>
              <w:t>1</w:t>
            </w:r>
          </w:p>
        </w:tc>
        <w:tc>
          <w:tcPr>
            <w:tcW w:w="709" w:type="dxa"/>
          </w:tcPr>
          <w:p w14:paraId="26604BC5" w14:textId="77777777" w:rsidR="00383EAA" w:rsidRPr="002D486D" w:rsidRDefault="00383EAA" w:rsidP="00F06281">
            <w:pPr>
              <w:ind w:left="-108"/>
              <w:jc w:val="center"/>
              <w:rPr>
                <w:rFonts w:ascii="Arial Narrow" w:hAnsi="Arial Narrow"/>
                <w:sz w:val="20"/>
                <w:szCs w:val="20"/>
              </w:rPr>
            </w:pPr>
          </w:p>
          <w:p w14:paraId="57479AA8" w14:textId="77777777" w:rsidR="00383EAA" w:rsidRPr="002D486D" w:rsidRDefault="00383EAA" w:rsidP="00F06281">
            <w:pPr>
              <w:ind w:left="-108"/>
              <w:jc w:val="center"/>
              <w:rPr>
                <w:rFonts w:ascii="Arial Narrow" w:hAnsi="Arial Narrow"/>
                <w:sz w:val="20"/>
                <w:szCs w:val="20"/>
              </w:rPr>
            </w:pPr>
          </w:p>
          <w:p w14:paraId="710513EB" w14:textId="77777777" w:rsidR="00383EAA" w:rsidRPr="002D486D" w:rsidRDefault="00383EAA" w:rsidP="00F06281">
            <w:pPr>
              <w:ind w:left="-108"/>
              <w:jc w:val="center"/>
              <w:rPr>
                <w:rFonts w:ascii="Arial Narrow" w:hAnsi="Arial Narrow"/>
                <w:sz w:val="20"/>
                <w:szCs w:val="20"/>
              </w:rPr>
            </w:pPr>
            <w:r w:rsidRPr="002D486D">
              <w:rPr>
                <w:rFonts w:ascii="Arial Narrow" w:hAnsi="Arial Narrow"/>
                <w:sz w:val="20"/>
                <w:szCs w:val="20"/>
              </w:rPr>
              <w:t>5</w:t>
            </w:r>
          </w:p>
          <w:p w14:paraId="6ADA05FF" w14:textId="77777777" w:rsidR="00383EAA" w:rsidRPr="002D486D" w:rsidRDefault="00383EAA" w:rsidP="00F06281">
            <w:pPr>
              <w:rPr>
                <w:rFonts w:ascii="Arial Narrow" w:hAnsi="Arial Narrow"/>
                <w:sz w:val="20"/>
                <w:szCs w:val="20"/>
              </w:rPr>
            </w:pPr>
          </w:p>
        </w:tc>
        <w:tc>
          <w:tcPr>
            <w:tcW w:w="1134" w:type="dxa"/>
          </w:tcPr>
          <w:p w14:paraId="4924E991" w14:textId="77777777" w:rsidR="00383EAA" w:rsidRPr="002D486D" w:rsidRDefault="00383EAA" w:rsidP="00F06281">
            <w:pPr>
              <w:jc w:val="center"/>
              <w:rPr>
                <w:rFonts w:ascii="Arial Narrow" w:hAnsi="Arial Narrow"/>
                <w:sz w:val="20"/>
                <w:szCs w:val="20"/>
              </w:rPr>
            </w:pPr>
          </w:p>
          <w:p w14:paraId="2821491A" w14:textId="77777777" w:rsidR="00383EAA" w:rsidRPr="002D486D" w:rsidRDefault="00383EAA" w:rsidP="00F06281">
            <w:pPr>
              <w:jc w:val="center"/>
              <w:rPr>
                <w:rFonts w:ascii="Arial Narrow" w:hAnsi="Arial Narrow"/>
                <w:sz w:val="20"/>
                <w:szCs w:val="20"/>
              </w:rPr>
            </w:pPr>
          </w:p>
          <w:p w14:paraId="1FFE33BA" w14:textId="77777777" w:rsidR="00383EAA" w:rsidRPr="002D486D" w:rsidRDefault="00383EAA" w:rsidP="00F06281">
            <w:pPr>
              <w:jc w:val="center"/>
              <w:rPr>
                <w:rFonts w:ascii="Arial Narrow" w:hAnsi="Arial Narrow"/>
                <w:sz w:val="20"/>
                <w:szCs w:val="20"/>
              </w:rPr>
            </w:pPr>
            <w:r w:rsidRPr="002D486D">
              <w:rPr>
                <w:rFonts w:ascii="Arial Narrow" w:hAnsi="Arial Narrow"/>
                <w:sz w:val="20"/>
                <w:szCs w:val="20"/>
              </w:rPr>
              <w:t>ANDEMBRY</w:t>
            </w:r>
          </w:p>
        </w:tc>
        <w:tc>
          <w:tcPr>
            <w:tcW w:w="1417" w:type="dxa"/>
          </w:tcPr>
          <w:p w14:paraId="761332C5" w14:textId="77777777" w:rsidR="00383EAA" w:rsidRPr="002D486D" w:rsidRDefault="00383EAA" w:rsidP="00F06281">
            <w:pPr>
              <w:jc w:val="center"/>
              <w:rPr>
                <w:rFonts w:ascii="Arial Narrow" w:hAnsi="Arial Narrow"/>
                <w:sz w:val="20"/>
                <w:szCs w:val="20"/>
              </w:rPr>
            </w:pPr>
          </w:p>
          <w:p w14:paraId="598FA55A" w14:textId="77777777" w:rsidR="00383EAA" w:rsidRPr="002D486D" w:rsidRDefault="00383EAA" w:rsidP="00F06281">
            <w:pPr>
              <w:jc w:val="center"/>
              <w:rPr>
                <w:rFonts w:ascii="Arial Narrow" w:hAnsi="Arial Narrow"/>
                <w:sz w:val="20"/>
                <w:szCs w:val="20"/>
              </w:rPr>
            </w:pPr>
            <w:r w:rsidRPr="002D486D">
              <w:rPr>
                <w:rFonts w:ascii="Arial Narrow" w:hAnsi="Arial Narrow"/>
                <w:sz w:val="20"/>
                <w:szCs w:val="20"/>
              </w:rPr>
              <w:t>CSL Behring (Australia) Pty Ltd</w:t>
            </w:r>
          </w:p>
        </w:tc>
      </w:tr>
    </w:tbl>
    <w:p w14:paraId="592980BF" w14:textId="77777777" w:rsidR="00383EAA" w:rsidRPr="002D486D" w:rsidRDefault="00383EAA" w:rsidP="00F06281">
      <w:pPr>
        <w:rPr>
          <w:sz w:val="20"/>
          <w:szCs w:val="20"/>
        </w:rPr>
      </w:pPr>
    </w:p>
    <w:p w14:paraId="283D066A" w14:textId="7D1601A8" w:rsidR="00383EAA" w:rsidRPr="002D486D" w:rsidRDefault="00383EAA" w:rsidP="00F06281">
      <w:pPr>
        <w:rPr>
          <w:rFonts w:ascii="Arial Narrow" w:hAnsi="Arial Narrow"/>
          <w:b/>
          <w:sz w:val="20"/>
          <w:szCs w:val="20"/>
          <w:lang w:val="en-GB"/>
        </w:rPr>
      </w:pPr>
      <w:r w:rsidRPr="002D486D">
        <w:rPr>
          <w:rFonts w:ascii="Arial Narrow" w:hAnsi="Arial Narrow"/>
          <w:b/>
          <w:sz w:val="20"/>
          <w:szCs w:val="20"/>
          <w:lang w:val="en-GB"/>
        </w:rPr>
        <w:t xml:space="preserve">Restriction Summary: New – </w:t>
      </w:r>
      <w:r w:rsidR="008B0FA7" w:rsidRPr="008B0FA7">
        <w:rPr>
          <w:rFonts w:ascii="Arial Narrow" w:hAnsi="Arial Narrow"/>
          <w:b/>
          <w:sz w:val="20"/>
          <w:szCs w:val="20"/>
          <w:lang w:val="en-GB"/>
        </w:rPr>
        <w:t xml:space="preserve">Based on </w:t>
      </w:r>
      <w:r w:rsidR="008B0FA7">
        <w:rPr>
          <w:rFonts w:ascii="Arial Narrow" w:hAnsi="Arial Narrow"/>
          <w:b/>
          <w:sz w:val="20"/>
          <w:szCs w:val="20"/>
          <w:lang w:val="en-GB"/>
        </w:rPr>
        <w:t>[new2]</w:t>
      </w:r>
      <w:r w:rsidR="008B0FA7" w:rsidRPr="008B0FA7">
        <w:rPr>
          <w:rFonts w:ascii="Arial Narrow" w:hAnsi="Arial Narrow"/>
          <w:b/>
          <w:sz w:val="20"/>
          <w:szCs w:val="20"/>
          <w:lang w:val="en-GB"/>
        </w:rPr>
        <w:t xml:space="preserve"> / Treatment of Concept: </w:t>
      </w:r>
      <w:r w:rsidR="008B0FA7">
        <w:rPr>
          <w:rFonts w:ascii="Arial Narrow" w:hAnsi="Arial Narrow"/>
          <w:b/>
          <w:sz w:val="20"/>
          <w:szCs w:val="20"/>
          <w:lang w:val="en-GB"/>
        </w:rPr>
        <w:t xml:space="preserve">[new2A] </w:t>
      </w:r>
      <w:r w:rsidRPr="002D486D">
        <w:rPr>
          <w:rFonts w:ascii="Arial Narrow" w:hAnsi="Arial Narrow"/>
          <w:b/>
          <w:sz w:val="20"/>
          <w:szCs w:val="20"/>
          <w:lang w:val="en-GB"/>
        </w:rPr>
        <w:t xml:space="preserve">Grandfather restriction </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383EAA" w:rsidRPr="002D486D" w14:paraId="45362DFE" w14:textId="77777777" w:rsidTr="00AE3496">
        <w:tc>
          <w:tcPr>
            <w:tcW w:w="553" w:type="pct"/>
            <w:tcBorders>
              <w:top w:val="single" w:sz="4" w:space="0" w:color="auto"/>
              <w:left w:val="single" w:sz="4" w:space="0" w:color="auto"/>
              <w:bottom w:val="single" w:sz="4" w:space="0" w:color="auto"/>
              <w:right w:val="single" w:sz="4" w:space="0" w:color="auto"/>
            </w:tcBorders>
          </w:tcPr>
          <w:p w14:paraId="482BE0FB" w14:textId="77777777" w:rsidR="00383EAA" w:rsidRPr="002D486D" w:rsidRDefault="00383EAA" w:rsidP="00F06281">
            <w:pPr>
              <w:jc w:val="center"/>
              <w:rPr>
                <w:rFonts w:ascii="Arial Narrow" w:hAnsi="Arial Narrow"/>
                <w:b/>
                <w:sz w:val="20"/>
                <w:szCs w:val="20"/>
              </w:rPr>
            </w:pPr>
            <w:r w:rsidRPr="002D486D">
              <w:rPr>
                <w:rFonts w:ascii="Arial Narrow" w:hAnsi="Arial Narrow"/>
                <w:b/>
                <w:sz w:val="20"/>
                <w:szCs w:val="20"/>
              </w:rPr>
              <w:t>Concept ID</w:t>
            </w:r>
          </w:p>
        </w:tc>
        <w:tc>
          <w:tcPr>
            <w:tcW w:w="4447" w:type="pct"/>
            <w:tcBorders>
              <w:top w:val="single" w:sz="4" w:space="0" w:color="auto"/>
              <w:left w:val="single" w:sz="4" w:space="0" w:color="auto"/>
              <w:bottom w:val="single" w:sz="4" w:space="0" w:color="auto"/>
              <w:right w:val="single" w:sz="4" w:space="0" w:color="auto"/>
            </w:tcBorders>
          </w:tcPr>
          <w:p w14:paraId="5662DA2B" w14:textId="77777777" w:rsidR="00383EAA" w:rsidRPr="002D486D" w:rsidRDefault="00383EAA" w:rsidP="00F06281">
            <w:pPr>
              <w:rPr>
                <w:rFonts w:ascii="Arial Narrow" w:hAnsi="Arial Narrow"/>
                <w:sz w:val="20"/>
                <w:szCs w:val="20"/>
              </w:rPr>
            </w:pPr>
            <w:r w:rsidRPr="002D486D">
              <w:rPr>
                <w:rFonts w:ascii="Arial Narrow" w:hAnsi="Arial Narrow"/>
                <w:b/>
                <w:sz w:val="20"/>
                <w:szCs w:val="20"/>
              </w:rPr>
              <w:t xml:space="preserve">Category / Program:   </w:t>
            </w:r>
          </w:p>
          <w:p w14:paraId="29588D6C" w14:textId="77777777" w:rsidR="00383EAA" w:rsidRPr="002D486D" w:rsidRDefault="00383EAA" w:rsidP="00F06281">
            <w:pPr>
              <w:rPr>
                <w:rFonts w:ascii="Arial Narrow" w:hAnsi="Arial Narrow"/>
                <w:sz w:val="20"/>
                <w:szCs w:val="20"/>
              </w:rPr>
            </w:pPr>
            <w:r w:rsidRPr="002D486D">
              <w:rPr>
                <w:rFonts w:ascii="Arial Narrow" w:hAnsi="Arial Narrow"/>
                <w:sz w:val="20"/>
                <w:szCs w:val="20"/>
              </w:rPr>
              <w:t xml:space="preserve">GENERAL – General Schedule (Code GE) </w:t>
            </w:r>
          </w:p>
        </w:tc>
      </w:tr>
      <w:tr w:rsidR="00383EAA" w:rsidRPr="002D486D" w14:paraId="79A067A0" w14:textId="77777777" w:rsidTr="004F678D">
        <w:trPr>
          <w:trHeight w:val="170"/>
        </w:trPr>
        <w:tc>
          <w:tcPr>
            <w:tcW w:w="553" w:type="pct"/>
            <w:tcBorders>
              <w:top w:val="single" w:sz="4" w:space="0" w:color="auto"/>
              <w:left w:val="single" w:sz="4" w:space="0" w:color="auto"/>
              <w:bottom w:val="single" w:sz="4" w:space="0" w:color="auto"/>
              <w:right w:val="single" w:sz="4" w:space="0" w:color="auto"/>
            </w:tcBorders>
          </w:tcPr>
          <w:p w14:paraId="4A8F473C" w14:textId="77777777" w:rsidR="00383EAA" w:rsidRPr="002D486D" w:rsidRDefault="00383EAA" w:rsidP="00F06281">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75AC9A17" w14:textId="77777777" w:rsidR="00383EAA" w:rsidRPr="002D486D" w:rsidRDefault="00383EAA" w:rsidP="00F06281">
            <w:pPr>
              <w:rPr>
                <w:rFonts w:ascii="Arial Narrow" w:hAnsi="Arial Narrow"/>
                <w:sz w:val="20"/>
                <w:szCs w:val="20"/>
              </w:rPr>
            </w:pPr>
            <w:r w:rsidRPr="002D486D">
              <w:rPr>
                <w:rFonts w:ascii="Arial Narrow" w:hAnsi="Arial Narrow"/>
                <w:b/>
                <w:sz w:val="20"/>
                <w:szCs w:val="20"/>
              </w:rPr>
              <w:t xml:space="preserve">Prescriber type:  </w:t>
            </w:r>
            <w:r w:rsidRPr="002D486D">
              <w:rPr>
                <w:rFonts w:ascii="Arial Narrow" w:hAnsi="Arial Narrow"/>
                <w:sz w:val="20"/>
                <w:szCs w:val="20"/>
              </w:rPr>
              <w:fldChar w:fldCharType="begin" w:fldLock="1">
                <w:ffData>
                  <w:name w:val=""/>
                  <w:enabled/>
                  <w:calcOnExit w:val="0"/>
                  <w:checkBox>
                    <w:sizeAuto/>
                    <w:default w:val="1"/>
                  </w:checkBox>
                </w:ffData>
              </w:fldChar>
            </w:r>
            <w:r w:rsidRPr="002D486D">
              <w:rPr>
                <w:rFonts w:ascii="Arial Narrow" w:hAnsi="Arial Narrow"/>
                <w:sz w:val="20"/>
                <w:szCs w:val="20"/>
              </w:rPr>
              <w:instrText xml:space="preserve"> FORMCHECKBOX </w:instrText>
            </w:r>
            <w:r w:rsidRPr="002D486D">
              <w:rPr>
                <w:rFonts w:ascii="Arial Narrow" w:hAnsi="Arial Narrow"/>
                <w:sz w:val="20"/>
                <w:szCs w:val="20"/>
              </w:rPr>
            </w:r>
            <w:r w:rsidRPr="002D486D">
              <w:rPr>
                <w:rFonts w:ascii="Arial Narrow" w:hAnsi="Arial Narrow"/>
                <w:sz w:val="20"/>
                <w:szCs w:val="20"/>
              </w:rPr>
              <w:fldChar w:fldCharType="separate"/>
            </w:r>
            <w:r w:rsidRPr="002D486D">
              <w:rPr>
                <w:rFonts w:ascii="Arial Narrow" w:hAnsi="Arial Narrow"/>
                <w:sz w:val="20"/>
                <w:szCs w:val="20"/>
              </w:rPr>
              <w:fldChar w:fldCharType="end"/>
            </w:r>
            <w:r w:rsidRPr="002D486D">
              <w:rPr>
                <w:rFonts w:ascii="Arial Narrow" w:hAnsi="Arial Narrow"/>
                <w:sz w:val="20"/>
                <w:szCs w:val="20"/>
              </w:rPr>
              <w:t xml:space="preserve">Medical Practitioners  </w:t>
            </w:r>
          </w:p>
        </w:tc>
      </w:tr>
      <w:tr w:rsidR="00383EAA" w:rsidRPr="002D486D" w14:paraId="21F7A294" w14:textId="77777777" w:rsidTr="00AE3496">
        <w:tc>
          <w:tcPr>
            <w:tcW w:w="553" w:type="pct"/>
            <w:tcBorders>
              <w:top w:val="single" w:sz="4" w:space="0" w:color="auto"/>
              <w:left w:val="single" w:sz="4" w:space="0" w:color="auto"/>
              <w:bottom w:val="single" w:sz="4" w:space="0" w:color="auto"/>
              <w:right w:val="single" w:sz="4" w:space="0" w:color="auto"/>
            </w:tcBorders>
          </w:tcPr>
          <w:p w14:paraId="19B46E52" w14:textId="77777777" w:rsidR="00383EAA" w:rsidRPr="002D486D" w:rsidRDefault="00383EAA" w:rsidP="00F06281">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39F909BE" w14:textId="773D0F01" w:rsidR="00383EAA" w:rsidRPr="002D486D" w:rsidRDefault="00383EAA" w:rsidP="00F06281">
            <w:pPr>
              <w:rPr>
                <w:rFonts w:ascii="Arial Narrow" w:hAnsi="Arial Narrow"/>
                <w:b/>
                <w:sz w:val="20"/>
                <w:szCs w:val="20"/>
              </w:rPr>
            </w:pPr>
            <w:r w:rsidRPr="002D486D">
              <w:rPr>
                <w:rFonts w:ascii="Arial Narrow" w:hAnsi="Arial Narrow"/>
                <w:b/>
                <w:sz w:val="20"/>
                <w:szCs w:val="20"/>
              </w:rPr>
              <w:t xml:space="preserve">Restriction Level / Method: </w:t>
            </w:r>
            <w:r w:rsidRPr="002D486D">
              <w:rPr>
                <w:rFonts w:ascii="Arial Narrow" w:hAnsi="Arial Narrow"/>
                <w:sz w:val="20"/>
                <w:szCs w:val="20"/>
              </w:rPr>
              <w:fldChar w:fldCharType="begin" w:fldLock="1">
                <w:ffData>
                  <w:name w:val=""/>
                  <w:enabled/>
                  <w:calcOnExit w:val="0"/>
                  <w:checkBox>
                    <w:sizeAuto/>
                    <w:default w:val="1"/>
                  </w:checkBox>
                </w:ffData>
              </w:fldChar>
            </w:r>
            <w:r w:rsidRPr="002D486D">
              <w:rPr>
                <w:rFonts w:ascii="Arial Narrow" w:hAnsi="Arial Narrow"/>
                <w:sz w:val="20"/>
                <w:szCs w:val="20"/>
              </w:rPr>
              <w:instrText xml:space="preserve"> FORMCHECKBOX </w:instrText>
            </w:r>
            <w:r w:rsidRPr="002D486D">
              <w:rPr>
                <w:rFonts w:ascii="Arial Narrow" w:hAnsi="Arial Narrow"/>
                <w:sz w:val="20"/>
                <w:szCs w:val="20"/>
              </w:rPr>
            </w:r>
            <w:r w:rsidRPr="002D486D">
              <w:rPr>
                <w:rFonts w:ascii="Arial Narrow" w:hAnsi="Arial Narrow"/>
                <w:sz w:val="20"/>
                <w:szCs w:val="20"/>
              </w:rPr>
              <w:fldChar w:fldCharType="separate"/>
            </w:r>
            <w:r w:rsidRPr="002D486D">
              <w:rPr>
                <w:rFonts w:ascii="Arial Narrow" w:hAnsi="Arial Narrow"/>
                <w:sz w:val="20"/>
                <w:szCs w:val="20"/>
              </w:rPr>
              <w:fldChar w:fldCharType="end"/>
            </w:r>
            <w:r w:rsidRPr="002D486D">
              <w:rPr>
                <w:rFonts w:ascii="Arial Narrow" w:hAnsi="Arial Narrow"/>
                <w:sz w:val="20"/>
                <w:szCs w:val="20"/>
              </w:rPr>
              <w:t xml:space="preserve">Authority Required – </w:t>
            </w:r>
            <w:r w:rsidR="00FE0DAF">
              <w:rPr>
                <w:rFonts w:ascii="Arial Narrow" w:hAnsi="Arial Narrow"/>
                <w:sz w:val="20"/>
                <w:szCs w:val="20"/>
              </w:rPr>
              <w:t xml:space="preserve">((Full assessment) </w:t>
            </w:r>
            <w:r w:rsidR="00C251BE" w:rsidRPr="00C251BE">
              <w:rPr>
                <w:rFonts w:ascii="Arial Narrow" w:hAnsi="Arial Narrow"/>
                <w:sz w:val="20"/>
                <w:szCs w:val="20"/>
              </w:rPr>
              <w:t>in writing only via post/HPOS upload)</w:t>
            </w:r>
          </w:p>
        </w:tc>
      </w:tr>
      <w:tr w:rsidR="00383EAA" w:rsidRPr="002D486D" w14:paraId="4F8982E4" w14:textId="77777777" w:rsidTr="00AE3496">
        <w:tc>
          <w:tcPr>
            <w:tcW w:w="553" w:type="pct"/>
            <w:vAlign w:val="center"/>
          </w:tcPr>
          <w:p w14:paraId="3424D877" w14:textId="6C28671A" w:rsidR="00383EAA" w:rsidRPr="002D486D" w:rsidRDefault="00383EAA" w:rsidP="00F06281">
            <w:pPr>
              <w:jc w:val="center"/>
              <w:rPr>
                <w:rFonts w:ascii="Arial Narrow" w:hAnsi="Arial Narrow"/>
                <w:color w:val="333333"/>
                <w:sz w:val="20"/>
                <w:szCs w:val="20"/>
              </w:rPr>
            </w:pPr>
          </w:p>
        </w:tc>
        <w:tc>
          <w:tcPr>
            <w:tcW w:w="4447" w:type="pct"/>
            <w:vAlign w:val="center"/>
          </w:tcPr>
          <w:p w14:paraId="049118C3"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Administrative Advice:</w:t>
            </w:r>
          </w:p>
          <w:p w14:paraId="4D6FA7E9" w14:textId="77777777" w:rsidR="00383EAA" w:rsidRPr="002D486D" w:rsidRDefault="00383EAA" w:rsidP="00F06281">
            <w:pPr>
              <w:rPr>
                <w:rFonts w:ascii="Arial Narrow" w:hAnsi="Arial Narrow"/>
                <w:b/>
                <w:bCs/>
                <w:color w:val="333333"/>
                <w:sz w:val="20"/>
                <w:szCs w:val="20"/>
              </w:rPr>
            </w:pPr>
            <w:r w:rsidRPr="002D486D">
              <w:rPr>
                <w:rFonts w:ascii="Arial Narrow" w:hAnsi="Arial Narrow"/>
                <w:color w:val="333333"/>
                <w:sz w:val="20"/>
                <w:szCs w:val="20"/>
              </w:rPr>
              <w:t>No increase in the maximum quantity or number of units may be authorised.</w:t>
            </w:r>
          </w:p>
        </w:tc>
      </w:tr>
      <w:tr w:rsidR="00383EAA" w:rsidRPr="002D486D" w14:paraId="5D9D1B93" w14:textId="77777777" w:rsidTr="00AE3496">
        <w:tc>
          <w:tcPr>
            <w:tcW w:w="553" w:type="pct"/>
            <w:vAlign w:val="center"/>
          </w:tcPr>
          <w:p w14:paraId="696F3839" w14:textId="6508434F" w:rsidR="00383EAA" w:rsidRPr="002D486D" w:rsidRDefault="00383EAA" w:rsidP="00F06281">
            <w:pPr>
              <w:jc w:val="center"/>
              <w:rPr>
                <w:rFonts w:ascii="Arial Narrow" w:hAnsi="Arial Narrow"/>
                <w:color w:val="333333"/>
                <w:sz w:val="20"/>
                <w:szCs w:val="20"/>
              </w:rPr>
            </w:pPr>
          </w:p>
        </w:tc>
        <w:tc>
          <w:tcPr>
            <w:tcW w:w="4447" w:type="pct"/>
            <w:vAlign w:val="center"/>
          </w:tcPr>
          <w:p w14:paraId="6ACCC2EA"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Administrative Advice:</w:t>
            </w:r>
          </w:p>
          <w:p w14:paraId="4C5E6D8A" w14:textId="77777777" w:rsidR="00383EAA" w:rsidRPr="002D486D" w:rsidRDefault="00383EAA" w:rsidP="00F06281">
            <w:pPr>
              <w:rPr>
                <w:rFonts w:ascii="Arial Narrow" w:hAnsi="Arial Narrow"/>
                <w:color w:val="333333"/>
                <w:sz w:val="20"/>
                <w:szCs w:val="20"/>
              </w:rPr>
            </w:pPr>
            <w:r w:rsidRPr="002D486D">
              <w:rPr>
                <w:rFonts w:ascii="Arial Narrow" w:hAnsi="Arial Narrow"/>
                <w:color w:val="333333"/>
                <w:sz w:val="20"/>
                <w:szCs w:val="20"/>
              </w:rPr>
              <w:t>No increase in the maximum number of repeats may be authorised.</w:t>
            </w:r>
          </w:p>
        </w:tc>
      </w:tr>
      <w:tr w:rsidR="00383EAA" w:rsidRPr="002D486D" w14:paraId="5C46B649" w14:textId="77777777" w:rsidTr="00AE3496">
        <w:tc>
          <w:tcPr>
            <w:tcW w:w="553" w:type="pct"/>
            <w:vAlign w:val="center"/>
          </w:tcPr>
          <w:p w14:paraId="6F37CB70" w14:textId="090B1913" w:rsidR="00383EAA" w:rsidRPr="002D486D" w:rsidRDefault="00383EAA" w:rsidP="00F06281">
            <w:pPr>
              <w:jc w:val="center"/>
              <w:rPr>
                <w:rFonts w:ascii="Arial Narrow" w:hAnsi="Arial Narrow"/>
                <w:color w:val="333333"/>
                <w:sz w:val="20"/>
                <w:szCs w:val="20"/>
              </w:rPr>
            </w:pPr>
          </w:p>
        </w:tc>
        <w:tc>
          <w:tcPr>
            <w:tcW w:w="4447" w:type="pct"/>
            <w:vAlign w:val="center"/>
          </w:tcPr>
          <w:p w14:paraId="4A847D40"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Administrative Advice:</w:t>
            </w:r>
          </w:p>
          <w:p w14:paraId="57C5D9F0" w14:textId="77777777" w:rsidR="00383EAA" w:rsidRPr="002D486D" w:rsidRDefault="00383EAA" w:rsidP="00F06281">
            <w:pPr>
              <w:rPr>
                <w:rFonts w:ascii="Arial Narrow" w:hAnsi="Arial Narrow"/>
                <w:b/>
                <w:bCs/>
                <w:color w:val="333333"/>
                <w:sz w:val="20"/>
                <w:szCs w:val="20"/>
              </w:rPr>
            </w:pPr>
            <w:r w:rsidRPr="002D486D">
              <w:rPr>
                <w:rFonts w:ascii="Arial Narrow" w:hAnsi="Arial Narrow"/>
                <w:color w:val="333333"/>
                <w:sz w:val="20"/>
                <w:szCs w:val="20"/>
              </w:rPr>
              <w:t>Special Pricing Arrangements Apply</w:t>
            </w:r>
          </w:p>
        </w:tc>
      </w:tr>
      <w:tr w:rsidR="00383EAA" w:rsidRPr="002D486D" w14:paraId="4CB8EDBD" w14:textId="77777777" w:rsidTr="008E2715">
        <w:tc>
          <w:tcPr>
            <w:tcW w:w="553" w:type="pct"/>
            <w:vAlign w:val="center"/>
          </w:tcPr>
          <w:p w14:paraId="1FCBF027" w14:textId="09CDAC8C" w:rsidR="00383EAA" w:rsidRPr="002D486D" w:rsidRDefault="00383EAA" w:rsidP="00F06281">
            <w:pPr>
              <w:jc w:val="center"/>
              <w:rPr>
                <w:rFonts w:ascii="Arial Narrow" w:hAnsi="Arial Narrow"/>
                <w:color w:val="333333"/>
                <w:sz w:val="20"/>
                <w:szCs w:val="20"/>
              </w:rPr>
            </w:pPr>
          </w:p>
        </w:tc>
        <w:tc>
          <w:tcPr>
            <w:tcW w:w="4447" w:type="pct"/>
            <w:vAlign w:val="center"/>
            <w:hideMark/>
          </w:tcPr>
          <w:p w14:paraId="6DC8D5A4"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Indication:</w:t>
            </w:r>
            <w:r w:rsidRPr="002D486D">
              <w:rPr>
                <w:rFonts w:ascii="Arial Narrow" w:hAnsi="Arial Narrow"/>
                <w:color w:val="333333"/>
                <w:sz w:val="20"/>
                <w:szCs w:val="20"/>
              </w:rPr>
              <w:t xml:space="preserve"> Chronic treatment of hereditary angioedema Types 1 or 2</w:t>
            </w:r>
          </w:p>
        </w:tc>
      </w:tr>
      <w:tr w:rsidR="00383EAA" w:rsidRPr="002D486D" w14:paraId="2E1F3A57" w14:textId="77777777" w:rsidTr="00AE3496">
        <w:tc>
          <w:tcPr>
            <w:tcW w:w="553" w:type="pct"/>
            <w:vAlign w:val="center"/>
            <w:hideMark/>
          </w:tcPr>
          <w:p w14:paraId="6D853A8F" w14:textId="77777777" w:rsidR="00383EAA" w:rsidRPr="002D486D" w:rsidRDefault="00383EAA" w:rsidP="00F06281">
            <w:pPr>
              <w:jc w:val="center"/>
              <w:rPr>
                <w:rFonts w:ascii="Arial Narrow" w:hAnsi="Arial Narrow"/>
                <w:color w:val="333333"/>
                <w:sz w:val="20"/>
                <w:szCs w:val="20"/>
              </w:rPr>
            </w:pPr>
          </w:p>
        </w:tc>
        <w:tc>
          <w:tcPr>
            <w:tcW w:w="4447" w:type="pct"/>
            <w:vAlign w:val="center"/>
            <w:hideMark/>
          </w:tcPr>
          <w:p w14:paraId="2B24640E" w14:textId="7B85A6D3"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 xml:space="preserve">Treatment Phase: </w:t>
            </w:r>
            <w:r w:rsidRPr="002D486D">
              <w:rPr>
                <w:rFonts w:ascii="Arial Narrow" w:hAnsi="Arial Narrow"/>
                <w:color w:val="333333"/>
                <w:sz w:val="20"/>
                <w:szCs w:val="20"/>
              </w:rPr>
              <w:t xml:space="preserve">Transitioning from non-PBS to PBS-subsidised </w:t>
            </w:r>
            <w:r w:rsidR="0040554C">
              <w:rPr>
                <w:rFonts w:ascii="Arial Narrow" w:hAnsi="Arial Narrow"/>
                <w:color w:val="333333"/>
                <w:sz w:val="20"/>
                <w:szCs w:val="20"/>
              </w:rPr>
              <w:t>treatment</w:t>
            </w:r>
            <w:r w:rsidRPr="002D486D">
              <w:rPr>
                <w:rFonts w:ascii="Arial Narrow" w:hAnsi="Arial Narrow"/>
                <w:color w:val="333333"/>
                <w:sz w:val="20"/>
                <w:szCs w:val="20"/>
              </w:rPr>
              <w:t>– Grandfather arrangements</w:t>
            </w:r>
          </w:p>
        </w:tc>
      </w:tr>
      <w:tr w:rsidR="00383EAA" w:rsidRPr="002D486D" w14:paraId="1375243E" w14:textId="77777777" w:rsidTr="00AE3496">
        <w:tc>
          <w:tcPr>
            <w:tcW w:w="553" w:type="pct"/>
            <w:vAlign w:val="center"/>
          </w:tcPr>
          <w:p w14:paraId="7F0DD97E" w14:textId="77777777" w:rsidR="00383EAA" w:rsidRPr="002D486D" w:rsidRDefault="00383EAA" w:rsidP="00F06281">
            <w:pPr>
              <w:jc w:val="center"/>
              <w:rPr>
                <w:rFonts w:ascii="Arial Narrow" w:hAnsi="Arial Narrow"/>
                <w:color w:val="333333"/>
                <w:sz w:val="20"/>
                <w:szCs w:val="20"/>
              </w:rPr>
            </w:pPr>
          </w:p>
        </w:tc>
        <w:tc>
          <w:tcPr>
            <w:tcW w:w="4447" w:type="pct"/>
            <w:vAlign w:val="center"/>
            <w:hideMark/>
          </w:tcPr>
          <w:p w14:paraId="515DB853"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Clinical criteria:</w:t>
            </w:r>
          </w:p>
        </w:tc>
      </w:tr>
      <w:tr w:rsidR="00383EAA" w:rsidRPr="002D486D" w14:paraId="0950BBA6" w14:textId="77777777" w:rsidTr="00AE3496">
        <w:tc>
          <w:tcPr>
            <w:tcW w:w="553" w:type="pct"/>
            <w:vAlign w:val="center"/>
          </w:tcPr>
          <w:p w14:paraId="0FFC1B12" w14:textId="77777777" w:rsidR="00383EAA" w:rsidRPr="002D486D" w:rsidRDefault="00383EAA" w:rsidP="00F06281">
            <w:pPr>
              <w:jc w:val="center"/>
              <w:rPr>
                <w:rFonts w:ascii="Arial Narrow" w:hAnsi="Arial Narrow"/>
                <w:color w:val="333333"/>
                <w:sz w:val="20"/>
                <w:szCs w:val="20"/>
              </w:rPr>
            </w:pPr>
            <w:r w:rsidRPr="002D486D">
              <w:rPr>
                <w:rFonts w:ascii="Arial Narrow" w:hAnsi="Arial Narrow"/>
                <w:color w:val="333333"/>
                <w:sz w:val="20"/>
                <w:szCs w:val="20"/>
              </w:rPr>
              <w:t>Placeholder</w:t>
            </w:r>
          </w:p>
        </w:tc>
        <w:tc>
          <w:tcPr>
            <w:tcW w:w="4447" w:type="pct"/>
            <w:vAlign w:val="center"/>
            <w:hideMark/>
          </w:tcPr>
          <w:p w14:paraId="55A72C06" w14:textId="54D3FC17" w:rsidR="00383EAA" w:rsidRPr="002D486D" w:rsidRDefault="00383EAA" w:rsidP="00F06281">
            <w:pPr>
              <w:rPr>
                <w:rFonts w:ascii="Arial Narrow" w:hAnsi="Arial Narrow"/>
                <w:color w:val="333333"/>
                <w:sz w:val="20"/>
                <w:szCs w:val="20"/>
              </w:rPr>
            </w:pPr>
            <w:r w:rsidRPr="002D486D">
              <w:rPr>
                <w:rFonts w:ascii="Arial Narrow" w:hAnsi="Arial Narrow"/>
                <w:color w:val="333333"/>
                <w:sz w:val="20"/>
                <w:szCs w:val="20"/>
              </w:rPr>
              <w:t xml:space="preserve">Patient must have received non-PBS subsidised treatment with this drug for this condition as routine prophylaxis for hereditary angioedema </w:t>
            </w:r>
            <w:r w:rsidRPr="00A06CBA">
              <w:rPr>
                <w:rFonts w:ascii="Arial Narrow" w:hAnsi="Arial Narrow"/>
                <w:color w:val="333333"/>
                <w:sz w:val="20"/>
                <w:szCs w:val="20"/>
              </w:rPr>
              <w:t>prior to [listing date],</w:t>
            </w:r>
          </w:p>
        </w:tc>
      </w:tr>
      <w:tr w:rsidR="00383EAA" w:rsidRPr="002D486D" w14:paraId="3B463EAF" w14:textId="77777777" w:rsidTr="00AE3496">
        <w:tc>
          <w:tcPr>
            <w:tcW w:w="553" w:type="pct"/>
            <w:vAlign w:val="center"/>
          </w:tcPr>
          <w:p w14:paraId="793B7E22" w14:textId="77777777" w:rsidR="00383EAA" w:rsidRPr="002D486D" w:rsidRDefault="00383EAA" w:rsidP="00F06281">
            <w:pPr>
              <w:jc w:val="center"/>
              <w:rPr>
                <w:rFonts w:ascii="Arial Narrow" w:hAnsi="Arial Narrow"/>
                <w:color w:val="333333"/>
                <w:sz w:val="20"/>
                <w:szCs w:val="20"/>
              </w:rPr>
            </w:pPr>
          </w:p>
        </w:tc>
        <w:tc>
          <w:tcPr>
            <w:tcW w:w="4447" w:type="pct"/>
            <w:vAlign w:val="center"/>
            <w:hideMark/>
          </w:tcPr>
          <w:p w14:paraId="7A62CC58"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AND</w:t>
            </w:r>
          </w:p>
        </w:tc>
      </w:tr>
      <w:tr w:rsidR="00383EAA" w:rsidRPr="002D486D" w14:paraId="5EF11DDA" w14:textId="77777777" w:rsidTr="00AE3496">
        <w:tc>
          <w:tcPr>
            <w:tcW w:w="553" w:type="pct"/>
            <w:vAlign w:val="center"/>
          </w:tcPr>
          <w:p w14:paraId="10DF9D03" w14:textId="326124A4" w:rsidR="00383EAA" w:rsidRPr="002D486D" w:rsidRDefault="00383EAA" w:rsidP="00F06281">
            <w:pPr>
              <w:jc w:val="center"/>
              <w:rPr>
                <w:rFonts w:ascii="Arial Narrow" w:hAnsi="Arial Narrow"/>
                <w:color w:val="333333"/>
                <w:sz w:val="20"/>
                <w:szCs w:val="20"/>
              </w:rPr>
            </w:pPr>
          </w:p>
        </w:tc>
        <w:tc>
          <w:tcPr>
            <w:tcW w:w="4447" w:type="pct"/>
            <w:vAlign w:val="center"/>
            <w:hideMark/>
          </w:tcPr>
          <w:p w14:paraId="6D9742F8"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Clinical criteria:</w:t>
            </w:r>
          </w:p>
        </w:tc>
      </w:tr>
      <w:tr w:rsidR="00383EAA" w:rsidRPr="002D486D" w14:paraId="6285C989" w14:textId="77777777" w:rsidTr="00AE3496">
        <w:tc>
          <w:tcPr>
            <w:tcW w:w="553" w:type="pct"/>
            <w:vAlign w:val="center"/>
          </w:tcPr>
          <w:p w14:paraId="6313147A" w14:textId="53C780BE" w:rsidR="00383EAA" w:rsidRPr="002D486D" w:rsidRDefault="00383EAA" w:rsidP="00F06281">
            <w:pPr>
              <w:jc w:val="center"/>
              <w:rPr>
                <w:rFonts w:ascii="Arial Narrow" w:hAnsi="Arial Narrow"/>
                <w:color w:val="333333"/>
                <w:sz w:val="20"/>
                <w:szCs w:val="20"/>
              </w:rPr>
            </w:pPr>
          </w:p>
        </w:tc>
        <w:tc>
          <w:tcPr>
            <w:tcW w:w="4447" w:type="pct"/>
            <w:vAlign w:val="center"/>
            <w:hideMark/>
          </w:tcPr>
          <w:p w14:paraId="6E0575D1" w14:textId="77777777" w:rsidR="00383EAA" w:rsidRPr="002D486D" w:rsidRDefault="00383EAA" w:rsidP="00F06281">
            <w:pPr>
              <w:rPr>
                <w:rFonts w:ascii="Arial Narrow" w:hAnsi="Arial Narrow"/>
                <w:color w:val="333333"/>
                <w:sz w:val="20"/>
                <w:szCs w:val="20"/>
              </w:rPr>
            </w:pPr>
            <w:r w:rsidRPr="002D486D">
              <w:rPr>
                <w:rFonts w:ascii="Arial Narrow" w:hAnsi="Arial Narrow"/>
                <w:color w:val="333333"/>
                <w:sz w:val="20"/>
                <w:szCs w:val="20"/>
              </w:rPr>
              <w:t xml:space="preserve">Patient must have experienced at least 12 treated acute attacks of hereditary angioedema within the 6 month period prior to commencing non-PBS subsidised treatment with this drug for this condition; OR </w:t>
            </w:r>
          </w:p>
        </w:tc>
      </w:tr>
      <w:tr w:rsidR="00383EAA" w:rsidRPr="002D486D" w14:paraId="280D732F" w14:textId="77777777" w:rsidTr="00AE3496">
        <w:tc>
          <w:tcPr>
            <w:tcW w:w="553" w:type="pct"/>
            <w:vAlign w:val="center"/>
          </w:tcPr>
          <w:p w14:paraId="41917B4A" w14:textId="27A2D8B5" w:rsidR="00383EAA" w:rsidRPr="002D486D" w:rsidRDefault="00383EAA" w:rsidP="00F06281">
            <w:pPr>
              <w:jc w:val="center"/>
              <w:rPr>
                <w:rFonts w:ascii="Arial Narrow" w:hAnsi="Arial Narrow"/>
                <w:color w:val="333333"/>
                <w:sz w:val="20"/>
                <w:szCs w:val="20"/>
              </w:rPr>
            </w:pPr>
          </w:p>
        </w:tc>
        <w:tc>
          <w:tcPr>
            <w:tcW w:w="4447" w:type="pct"/>
            <w:vAlign w:val="center"/>
          </w:tcPr>
          <w:p w14:paraId="05339CA7" w14:textId="77777777" w:rsidR="00383EAA" w:rsidRPr="002D486D" w:rsidRDefault="00383EAA" w:rsidP="00F06281">
            <w:pPr>
              <w:rPr>
                <w:rFonts w:ascii="Arial Narrow" w:hAnsi="Arial Narrow"/>
                <w:color w:val="333333"/>
                <w:sz w:val="20"/>
                <w:szCs w:val="20"/>
              </w:rPr>
            </w:pPr>
            <w:r w:rsidRPr="002D486D">
              <w:rPr>
                <w:rFonts w:ascii="Arial Narrow" w:hAnsi="Arial Narrow"/>
                <w:color w:val="333333"/>
                <w:sz w:val="20"/>
                <w:szCs w:val="20"/>
              </w:rPr>
              <w:t>Patient must have been receiving a C1-esterase inhibitor through the National Blood Authority as routine prophylaxis for hereditary angioedema immediately prior to receiving non-PBS subsidised treatment with this drug for this condition;</w:t>
            </w:r>
          </w:p>
        </w:tc>
      </w:tr>
      <w:tr w:rsidR="00383EAA" w:rsidRPr="002D486D" w14:paraId="409AA59B" w14:textId="77777777" w:rsidTr="00AE3496">
        <w:tc>
          <w:tcPr>
            <w:tcW w:w="553" w:type="pct"/>
            <w:vAlign w:val="center"/>
          </w:tcPr>
          <w:p w14:paraId="2708949D" w14:textId="77777777" w:rsidR="00383EAA" w:rsidRPr="002D486D" w:rsidRDefault="00383EAA" w:rsidP="00F06281">
            <w:pPr>
              <w:jc w:val="center"/>
              <w:rPr>
                <w:rFonts w:ascii="Arial Narrow" w:hAnsi="Arial Narrow"/>
                <w:color w:val="333333"/>
                <w:sz w:val="20"/>
                <w:szCs w:val="20"/>
              </w:rPr>
            </w:pPr>
          </w:p>
        </w:tc>
        <w:tc>
          <w:tcPr>
            <w:tcW w:w="4447" w:type="pct"/>
            <w:vAlign w:val="center"/>
            <w:hideMark/>
          </w:tcPr>
          <w:p w14:paraId="0F3A09E7"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AND</w:t>
            </w:r>
          </w:p>
        </w:tc>
      </w:tr>
      <w:tr w:rsidR="00383EAA" w:rsidRPr="002D486D" w14:paraId="2D73ACBC" w14:textId="77777777" w:rsidTr="00AE3496">
        <w:tc>
          <w:tcPr>
            <w:tcW w:w="553" w:type="pct"/>
            <w:vAlign w:val="center"/>
          </w:tcPr>
          <w:p w14:paraId="07CFF81D" w14:textId="77777777" w:rsidR="00383EAA" w:rsidRPr="002D486D" w:rsidRDefault="00383EAA" w:rsidP="00F06281">
            <w:pPr>
              <w:jc w:val="center"/>
              <w:rPr>
                <w:rFonts w:ascii="Arial Narrow" w:hAnsi="Arial Narrow"/>
                <w:color w:val="333333"/>
                <w:sz w:val="20"/>
                <w:szCs w:val="20"/>
              </w:rPr>
            </w:pPr>
          </w:p>
        </w:tc>
        <w:tc>
          <w:tcPr>
            <w:tcW w:w="4447" w:type="pct"/>
            <w:vAlign w:val="center"/>
            <w:hideMark/>
          </w:tcPr>
          <w:p w14:paraId="506E2AFB"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Clinical criteria:</w:t>
            </w:r>
          </w:p>
        </w:tc>
      </w:tr>
      <w:tr w:rsidR="00383EAA" w:rsidRPr="002D486D" w14:paraId="3FF5CE15" w14:textId="77777777" w:rsidTr="00AE3496">
        <w:tc>
          <w:tcPr>
            <w:tcW w:w="553" w:type="pct"/>
            <w:vAlign w:val="center"/>
          </w:tcPr>
          <w:p w14:paraId="79A86A83" w14:textId="7A7F71BB" w:rsidR="00383EAA" w:rsidRPr="002D486D" w:rsidRDefault="00383EAA" w:rsidP="00F06281">
            <w:pPr>
              <w:jc w:val="center"/>
              <w:rPr>
                <w:rFonts w:ascii="Arial Narrow" w:hAnsi="Arial Narrow"/>
                <w:color w:val="333333"/>
                <w:sz w:val="20"/>
                <w:szCs w:val="20"/>
              </w:rPr>
            </w:pPr>
          </w:p>
        </w:tc>
        <w:tc>
          <w:tcPr>
            <w:tcW w:w="4447" w:type="pct"/>
            <w:vAlign w:val="center"/>
            <w:hideMark/>
          </w:tcPr>
          <w:p w14:paraId="4D0B2777" w14:textId="49EA04DC" w:rsidR="00383EAA" w:rsidRPr="002D486D" w:rsidRDefault="00383EAA" w:rsidP="00F06281">
            <w:pPr>
              <w:rPr>
                <w:rFonts w:ascii="Arial Narrow" w:hAnsi="Arial Narrow"/>
                <w:color w:val="333333"/>
                <w:sz w:val="20"/>
                <w:szCs w:val="20"/>
              </w:rPr>
            </w:pPr>
            <w:r w:rsidRPr="002D486D">
              <w:rPr>
                <w:rFonts w:ascii="Arial Narrow" w:hAnsi="Arial Narrow"/>
                <w:color w:val="333333"/>
                <w:sz w:val="20"/>
                <w:szCs w:val="20"/>
              </w:rPr>
              <w:t xml:space="preserve">The treatment must not be used in combination with either: (i)  a C1-esterase inhibitor concentrate </w:t>
            </w:r>
            <w:r w:rsidRPr="002D486D">
              <w:rPr>
                <w:rFonts w:ascii="Arial Narrow" w:hAnsi="Arial Narrow"/>
                <w:strike/>
                <w:color w:val="333333"/>
                <w:sz w:val="20"/>
                <w:szCs w:val="20"/>
              </w:rPr>
              <w:t xml:space="preserve">or </w:t>
            </w:r>
            <w:r w:rsidRPr="002D486D">
              <w:rPr>
                <w:rFonts w:ascii="Arial Narrow" w:hAnsi="Arial Narrow"/>
                <w:color w:val="333333"/>
                <w:sz w:val="20"/>
                <w:szCs w:val="20"/>
              </w:rPr>
              <w:t>(ii) lanadelumab</w:t>
            </w:r>
          </w:p>
        </w:tc>
      </w:tr>
      <w:tr w:rsidR="00383EAA" w:rsidRPr="002D486D" w14:paraId="2D7C6D83" w14:textId="77777777" w:rsidTr="00AE3496">
        <w:tc>
          <w:tcPr>
            <w:tcW w:w="553" w:type="pct"/>
            <w:vAlign w:val="center"/>
          </w:tcPr>
          <w:p w14:paraId="53EFCAE7" w14:textId="77777777" w:rsidR="00383EAA" w:rsidRPr="002D486D" w:rsidRDefault="00383EAA" w:rsidP="00F06281">
            <w:pPr>
              <w:jc w:val="center"/>
              <w:rPr>
                <w:rFonts w:ascii="Arial Narrow" w:hAnsi="Arial Narrow"/>
                <w:color w:val="333333"/>
                <w:sz w:val="20"/>
                <w:szCs w:val="20"/>
              </w:rPr>
            </w:pPr>
          </w:p>
        </w:tc>
        <w:tc>
          <w:tcPr>
            <w:tcW w:w="4447" w:type="pct"/>
            <w:vAlign w:val="center"/>
            <w:hideMark/>
          </w:tcPr>
          <w:p w14:paraId="3147E080"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AND</w:t>
            </w:r>
          </w:p>
        </w:tc>
      </w:tr>
      <w:tr w:rsidR="00383EAA" w:rsidRPr="002D486D" w14:paraId="6265DB4A" w14:textId="77777777" w:rsidTr="00AE3496">
        <w:tc>
          <w:tcPr>
            <w:tcW w:w="553" w:type="pct"/>
            <w:vAlign w:val="center"/>
          </w:tcPr>
          <w:p w14:paraId="1981FA5B" w14:textId="063AFEE9" w:rsidR="00383EAA" w:rsidRPr="002D486D" w:rsidRDefault="00383EAA" w:rsidP="00F06281">
            <w:pPr>
              <w:jc w:val="center"/>
              <w:rPr>
                <w:rFonts w:ascii="Arial Narrow" w:hAnsi="Arial Narrow"/>
                <w:color w:val="333333"/>
                <w:sz w:val="20"/>
                <w:szCs w:val="20"/>
              </w:rPr>
            </w:pPr>
          </w:p>
        </w:tc>
        <w:tc>
          <w:tcPr>
            <w:tcW w:w="4447" w:type="pct"/>
            <w:vAlign w:val="center"/>
            <w:hideMark/>
          </w:tcPr>
          <w:p w14:paraId="2A6E3EA4"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Treatment criteria:</w:t>
            </w:r>
          </w:p>
        </w:tc>
      </w:tr>
      <w:tr w:rsidR="00383EAA" w:rsidRPr="002D486D" w14:paraId="678AB379" w14:textId="77777777" w:rsidTr="00AE3496">
        <w:tc>
          <w:tcPr>
            <w:tcW w:w="553" w:type="pct"/>
            <w:vAlign w:val="center"/>
          </w:tcPr>
          <w:p w14:paraId="789A8B2F" w14:textId="2051DA62" w:rsidR="00383EAA" w:rsidRPr="002D486D" w:rsidRDefault="00383EAA" w:rsidP="00F06281">
            <w:pPr>
              <w:jc w:val="center"/>
              <w:rPr>
                <w:rFonts w:ascii="Arial Narrow" w:hAnsi="Arial Narrow"/>
                <w:color w:val="333333"/>
                <w:sz w:val="20"/>
                <w:szCs w:val="20"/>
              </w:rPr>
            </w:pPr>
          </w:p>
        </w:tc>
        <w:tc>
          <w:tcPr>
            <w:tcW w:w="4447" w:type="pct"/>
            <w:vAlign w:val="center"/>
            <w:hideMark/>
          </w:tcPr>
          <w:p w14:paraId="5BDA7A17" w14:textId="77777777" w:rsidR="00383EAA" w:rsidRPr="002D486D" w:rsidRDefault="00383EAA" w:rsidP="00F06281">
            <w:pPr>
              <w:autoSpaceDE w:val="0"/>
              <w:autoSpaceDN w:val="0"/>
              <w:adjustRightInd w:val="0"/>
              <w:rPr>
                <w:rFonts w:ascii="Arial Narrow" w:hAnsi="Arial Narrow" w:cs="Arial Narrow"/>
                <w:sz w:val="20"/>
                <w:szCs w:val="20"/>
              </w:rPr>
            </w:pPr>
            <w:r w:rsidRPr="002D486D">
              <w:rPr>
                <w:rFonts w:ascii="Arial Narrow" w:hAnsi="Arial Narrow" w:cs="Arial Narrow"/>
                <w:sz w:val="20"/>
                <w:szCs w:val="20"/>
              </w:rPr>
              <w:t>Must be treated by a specialist allergist or clinical immunologist, or in consultation with a specialist allergist or clinical immunologist</w:t>
            </w:r>
          </w:p>
        </w:tc>
      </w:tr>
      <w:tr w:rsidR="00383EAA" w:rsidRPr="002D486D" w14:paraId="2FDB5AA3" w14:textId="77777777" w:rsidTr="00AE3496">
        <w:tc>
          <w:tcPr>
            <w:tcW w:w="553" w:type="pct"/>
            <w:vAlign w:val="center"/>
          </w:tcPr>
          <w:p w14:paraId="115140F6" w14:textId="7F339BBE" w:rsidR="00383EAA" w:rsidRPr="002D486D" w:rsidRDefault="00383EAA" w:rsidP="00F06281">
            <w:pPr>
              <w:jc w:val="center"/>
              <w:rPr>
                <w:rFonts w:ascii="Arial Narrow" w:hAnsi="Arial Narrow"/>
                <w:color w:val="333333"/>
                <w:sz w:val="20"/>
                <w:szCs w:val="20"/>
              </w:rPr>
            </w:pPr>
          </w:p>
        </w:tc>
        <w:tc>
          <w:tcPr>
            <w:tcW w:w="4447" w:type="pct"/>
            <w:vAlign w:val="center"/>
          </w:tcPr>
          <w:p w14:paraId="7535E692"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 xml:space="preserve">Prescribing Instructions: </w:t>
            </w:r>
            <w:r w:rsidRPr="002D486D">
              <w:rPr>
                <w:rFonts w:ascii="Arial Narrow" w:hAnsi="Arial Narrow"/>
                <w:bCs/>
                <w:color w:val="333333"/>
                <w:sz w:val="20"/>
                <w:szCs w:val="20"/>
              </w:rPr>
              <w:t>For the purposes of administering this restriction, acute attacks of hereditary angioedema are those of a severity necessitating immediate medical intervention with either (i) icatibant, or (ii) C1-esterase inhibitor concentrate</w:t>
            </w:r>
          </w:p>
        </w:tc>
      </w:tr>
      <w:tr w:rsidR="00383EAA" w:rsidRPr="002D486D" w14:paraId="417EB00D" w14:textId="77777777" w:rsidTr="00AE3496">
        <w:tc>
          <w:tcPr>
            <w:tcW w:w="553" w:type="pct"/>
            <w:vAlign w:val="center"/>
          </w:tcPr>
          <w:p w14:paraId="0D30F2C3" w14:textId="79EAC66D" w:rsidR="00383EAA" w:rsidRPr="002D486D" w:rsidRDefault="00383EAA" w:rsidP="00F06281">
            <w:pPr>
              <w:jc w:val="center"/>
              <w:rPr>
                <w:rFonts w:ascii="Arial Narrow" w:hAnsi="Arial Narrow"/>
                <w:color w:val="333333"/>
                <w:sz w:val="20"/>
                <w:szCs w:val="20"/>
              </w:rPr>
            </w:pPr>
          </w:p>
        </w:tc>
        <w:tc>
          <w:tcPr>
            <w:tcW w:w="4447" w:type="pct"/>
            <w:vAlign w:val="center"/>
          </w:tcPr>
          <w:p w14:paraId="29DDEA9F"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 xml:space="preserve">Prescribing Instructions: </w:t>
            </w:r>
            <w:r w:rsidRPr="002D486D">
              <w:rPr>
                <w:rFonts w:ascii="Arial Narrow" w:hAnsi="Arial Narrow"/>
                <w:bCs/>
                <w:color w:val="333333"/>
                <w:sz w:val="20"/>
                <w:szCs w:val="20"/>
              </w:rPr>
              <w:t>The baseline measurement of the number of treated acute attacks of hereditary angioedema within the 6 months prior to initiating non-PBS subsidised treatment must be provided at the time of submitting this application.</w:t>
            </w:r>
          </w:p>
        </w:tc>
      </w:tr>
      <w:tr w:rsidR="00383EAA" w:rsidRPr="002D486D" w14:paraId="1E8EDAD4" w14:textId="77777777" w:rsidTr="008E2715">
        <w:tc>
          <w:tcPr>
            <w:tcW w:w="553" w:type="pct"/>
            <w:vAlign w:val="center"/>
          </w:tcPr>
          <w:p w14:paraId="3434B7D8" w14:textId="3ECB2DEC" w:rsidR="00383EAA" w:rsidRPr="002D486D" w:rsidRDefault="00383EAA" w:rsidP="00F06281">
            <w:pPr>
              <w:jc w:val="center"/>
              <w:rPr>
                <w:rFonts w:ascii="Arial Narrow" w:hAnsi="Arial Narrow"/>
                <w:color w:val="333333"/>
                <w:sz w:val="20"/>
                <w:szCs w:val="20"/>
              </w:rPr>
            </w:pPr>
          </w:p>
        </w:tc>
        <w:tc>
          <w:tcPr>
            <w:tcW w:w="4447" w:type="pct"/>
            <w:vAlign w:val="center"/>
            <w:hideMark/>
          </w:tcPr>
          <w:p w14:paraId="657D9A21" w14:textId="77777777" w:rsidR="00383EAA" w:rsidRPr="002D486D" w:rsidRDefault="00383EAA" w:rsidP="00F06281">
            <w:pPr>
              <w:rPr>
                <w:rFonts w:ascii="Arial Narrow" w:hAnsi="Arial Narrow"/>
                <w:color w:val="333333"/>
                <w:sz w:val="20"/>
                <w:szCs w:val="20"/>
              </w:rPr>
            </w:pPr>
            <w:r w:rsidRPr="002D486D">
              <w:rPr>
                <w:rFonts w:ascii="Arial Narrow" w:hAnsi="Arial Narrow"/>
                <w:b/>
                <w:bCs/>
                <w:color w:val="333333"/>
                <w:sz w:val="20"/>
                <w:szCs w:val="20"/>
              </w:rPr>
              <w:t xml:space="preserve">Prescribing Instructions: </w:t>
            </w:r>
            <w:r w:rsidRPr="002D486D">
              <w:rPr>
                <w:rFonts w:ascii="Arial Narrow" w:hAnsi="Arial Narrow"/>
                <w:bCs/>
                <w:color w:val="333333"/>
                <w:sz w:val="20"/>
                <w:szCs w:val="20"/>
              </w:rPr>
              <w:t>For the purposes of administering this restriction, an adequate response is a reduction of the baseline number of acute attacks of hereditary angioedema of a severity necessitating immediate medical intervention with either (i) icatibant, or (ii) C1-esterase inhibitor concentrate. The details of the reduction must be documented in the patient's medical records for auditing purposes.</w:t>
            </w:r>
          </w:p>
        </w:tc>
      </w:tr>
      <w:tr w:rsidR="00383EAA" w:rsidRPr="002D486D" w14:paraId="0AE32895" w14:textId="77777777" w:rsidTr="00AE3496">
        <w:tc>
          <w:tcPr>
            <w:tcW w:w="553" w:type="pct"/>
            <w:vAlign w:val="center"/>
          </w:tcPr>
          <w:p w14:paraId="696DADA3" w14:textId="13AD86FC" w:rsidR="00383EAA" w:rsidRPr="002D486D" w:rsidRDefault="00383EAA" w:rsidP="00F06281">
            <w:pPr>
              <w:jc w:val="center"/>
              <w:rPr>
                <w:rFonts w:ascii="Arial Narrow" w:hAnsi="Arial Narrow"/>
                <w:color w:val="333333"/>
                <w:sz w:val="20"/>
                <w:szCs w:val="20"/>
              </w:rPr>
            </w:pPr>
          </w:p>
        </w:tc>
        <w:tc>
          <w:tcPr>
            <w:tcW w:w="4447" w:type="pct"/>
            <w:vAlign w:val="center"/>
          </w:tcPr>
          <w:p w14:paraId="2FAB3004" w14:textId="77777777" w:rsidR="00383EAA" w:rsidRPr="002D486D" w:rsidRDefault="00383EAA" w:rsidP="00F06281">
            <w:pPr>
              <w:rPr>
                <w:rFonts w:ascii="Arial Narrow" w:hAnsi="Arial Narrow"/>
                <w:b/>
                <w:bCs/>
                <w:color w:val="333333"/>
                <w:sz w:val="20"/>
                <w:szCs w:val="20"/>
              </w:rPr>
            </w:pPr>
            <w:r w:rsidRPr="002D486D">
              <w:rPr>
                <w:rFonts w:ascii="Arial Narrow" w:hAnsi="Arial Narrow"/>
                <w:b/>
                <w:bCs/>
                <w:color w:val="333333"/>
                <w:sz w:val="20"/>
                <w:szCs w:val="20"/>
              </w:rPr>
              <w:t>Administrative advice:</w:t>
            </w:r>
          </w:p>
          <w:p w14:paraId="555DCF36" w14:textId="77777777" w:rsidR="00383EAA" w:rsidRPr="002D486D" w:rsidRDefault="00383EAA" w:rsidP="00F06281">
            <w:pPr>
              <w:rPr>
                <w:rFonts w:ascii="Arial Narrow" w:hAnsi="Arial Narrow"/>
                <w:b/>
                <w:bCs/>
                <w:color w:val="333333"/>
                <w:sz w:val="20"/>
                <w:szCs w:val="20"/>
              </w:rPr>
            </w:pPr>
            <w:r w:rsidRPr="002D486D">
              <w:rPr>
                <w:rFonts w:ascii="Arial Narrow" w:hAnsi="Arial Narrow"/>
                <w:color w:val="333333"/>
                <w:sz w:val="20"/>
                <w:szCs w:val="20"/>
              </w:rPr>
              <w:t xml:space="preserve">This grandfather restriction will cease to operate from 12 months after the date specified in the clinical criteria. </w:t>
            </w:r>
          </w:p>
        </w:tc>
      </w:tr>
      <w:tr w:rsidR="00383EAA" w:rsidRPr="002D486D" w14:paraId="151E6A84" w14:textId="77777777" w:rsidTr="00AE3496">
        <w:tc>
          <w:tcPr>
            <w:tcW w:w="553" w:type="pct"/>
            <w:vAlign w:val="center"/>
          </w:tcPr>
          <w:p w14:paraId="47988710" w14:textId="0EB2DADB" w:rsidR="00383EAA" w:rsidRPr="002D486D" w:rsidRDefault="00383EAA" w:rsidP="00F06281">
            <w:pPr>
              <w:jc w:val="center"/>
              <w:rPr>
                <w:rFonts w:ascii="Arial Narrow" w:hAnsi="Arial Narrow"/>
                <w:color w:val="333333"/>
                <w:sz w:val="20"/>
                <w:szCs w:val="20"/>
              </w:rPr>
            </w:pPr>
          </w:p>
        </w:tc>
        <w:tc>
          <w:tcPr>
            <w:tcW w:w="4447" w:type="pct"/>
            <w:vAlign w:val="center"/>
          </w:tcPr>
          <w:p w14:paraId="41824DB9" w14:textId="77777777" w:rsidR="00383EAA" w:rsidRPr="002D486D" w:rsidRDefault="00383EAA" w:rsidP="00F06281">
            <w:pPr>
              <w:rPr>
                <w:rFonts w:ascii="Arial Narrow" w:hAnsi="Arial Narrow"/>
                <w:b/>
                <w:bCs/>
                <w:color w:val="333333"/>
                <w:sz w:val="20"/>
                <w:szCs w:val="20"/>
              </w:rPr>
            </w:pPr>
            <w:r w:rsidRPr="002D486D">
              <w:rPr>
                <w:rFonts w:ascii="Arial Narrow" w:hAnsi="Arial Narrow"/>
                <w:b/>
                <w:bCs/>
                <w:color w:val="333333"/>
                <w:sz w:val="20"/>
                <w:szCs w:val="20"/>
              </w:rPr>
              <w:t>Administrative advice:</w:t>
            </w:r>
          </w:p>
          <w:p w14:paraId="3EEC950A" w14:textId="0CFA2826" w:rsidR="00383EAA" w:rsidRPr="002D486D" w:rsidRDefault="00C251BE" w:rsidP="00F06281">
            <w:pPr>
              <w:rPr>
                <w:rFonts w:ascii="Arial Narrow" w:hAnsi="Arial Narrow"/>
                <w:b/>
                <w:bCs/>
                <w:color w:val="333333"/>
                <w:sz w:val="20"/>
                <w:szCs w:val="20"/>
              </w:rPr>
            </w:pPr>
            <w:r w:rsidRPr="00CA3AFF">
              <w:rPr>
                <w:rFonts w:ascii="Arial Narrow" w:hAnsi="Arial Narrow"/>
                <w:bCs/>
                <w:sz w:val="20"/>
                <w:szCs w:val="20"/>
              </w:rPr>
              <w:t>Patients may qualify for PBS-subsidised treatment under this restriction once only. For continuing PBS-subsidised treatment, a 'Grandfathered' patient must qualify under the 'Continuing treatment' criteria.</w:t>
            </w:r>
          </w:p>
        </w:tc>
      </w:tr>
      <w:tr w:rsidR="00C251BE" w:rsidRPr="002D486D" w14:paraId="6EB06CC6" w14:textId="77777777" w:rsidTr="008E2715">
        <w:tc>
          <w:tcPr>
            <w:tcW w:w="553" w:type="pct"/>
            <w:vAlign w:val="center"/>
          </w:tcPr>
          <w:p w14:paraId="4AE9012D" w14:textId="0D304C38" w:rsidR="00C251BE" w:rsidRPr="002D486D" w:rsidRDefault="00C251BE" w:rsidP="00F06281">
            <w:pPr>
              <w:jc w:val="center"/>
              <w:rPr>
                <w:rFonts w:ascii="Arial Narrow" w:hAnsi="Arial Narrow"/>
                <w:color w:val="333333"/>
                <w:sz w:val="20"/>
                <w:szCs w:val="20"/>
              </w:rPr>
            </w:pPr>
          </w:p>
        </w:tc>
        <w:tc>
          <w:tcPr>
            <w:tcW w:w="4447" w:type="pct"/>
            <w:vAlign w:val="center"/>
            <w:hideMark/>
          </w:tcPr>
          <w:p w14:paraId="1AEEFF64" w14:textId="77777777" w:rsidR="00C251BE" w:rsidRPr="00CA3AFF" w:rsidRDefault="00C251BE" w:rsidP="00F06281">
            <w:pPr>
              <w:rPr>
                <w:rFonts w:ascii="Arial Narrow" w:hAnsi="Arial Narrow"/>
                <w:b/>
                <w:bCs/>
                <w:sz w:val="20"/>
                <w:szCs w:val="20"/>
              </w:rPr>
            </w:pPr>
            <w:r w:rsidRPr="00CA3AFF">
              <w:rPr>
                <w:rFonts w:ascii="Arial Narrow" w:hAnsi="Arial Narrow"/>
                <w:b/>
                <w:bCs/>
                <w:sz w:val="20"/>
                <w:szCs w:val="20"/>
              </w:rPr>
              <w:t>Administrative Advice:</w:t>
            </w:r>
          </w:p>
          <w:p w14:paraId="5DC86935" w14:textId="77777777" w:rsidR="00C251BE" w:rsidRPr="00CA3AFF" w:rsidRDefault="00C251BE" w:rsidP="00F06281">
            <w:pPr>
              <w:rPr>
                <w:rFonts w:ascii="Arial Narrow" w:hAnsi="Arial Narrow"/>
                <w:bCs/>
                <w:sz w:val="20"/>
                <w:szCs w:val="20"/>
              </w:rPr>
            </w:pPr>
            <w:r w:rsidRPr="00CA3AFF">
              <w:rPr>
                <w:rFonts w:ascii="Arial Narrow" w:hAnsi="Arial Narrow"/>
                <w:bCs/>
                <w:sz w:val="20"/>
                <w:szCs w:val="20"/>
              </w:rPr>
              <w:t>Any queries concerning the arrangements to prescribe may be directed to</w:t>
            </w:r>
            <w:r w:rsidRPr="00CA3AFF">
              <w:rPr>
                <w:rFonts w:ascii="Arial" w:hAnsi="Arial"/>
                <w:bCs/>
                <w:sz w:val="20"/>
                <w:szCs w:val="20"/>
              </w:rPr>
              <w:t> </w:t>
            </w:r>
            <w:r w:rsidRPr="00CA3AFF">
              <w:rPr>
                <w:rFonts w:ascii="Arial Narrow" w:hAnsi="Arial Narrow"/>
                <w:bCs/>
                <w:sz w:val="20"/>
                <w:szCs w:val="20"/>
              </w:rPr>
              <w:t>Services Australia</w:t>
            </w:r>
            <w:r w:rsidRPr="00CA3AFF">
              <w:rPr>
                <w:rFonts w:ascii="Arial" w:hAnsi="Arial"/>
                <w:bCs/>
                <w:sz w:val="20"/>
                <w:szCs w:val="20"/>
              </w:rPr>
              <w:t> </w:t>
            </w:r>
            <w:r w:rsidRPr="00CA3AFF">
              <w:rPr>
                <w:rFonts w:ascii="Arial Narrow" w:hAnsi="Arial Narrow"/>
                <w:bCs/>
                <w:sz w:val="20"/>
                <w:szCs w:val="20"/>
              </w:rPr>
              <w:t>on 1800 700 270 (hours of operation 8 a.m. to 5 p.m. Monday to Friday). </w:t>
            </w:r>
          </w:p>
          <w:p w14:paraId="6C78F3D6" w14:textId="33C0D0E8" w:rsidR="00C251BE" w:rsidRPr="00CA3AFF" w:rsidRDefault="00C251BE" w:rsidP="00F06281">
            <w:pPr>
              <w:rPr>
                <w:rFonts w:ascii="Arial Narrow" w:hAnsi="Arial Narrow"/>
                <w:bCs/>
                <w:sz w:val="20"/>
                <w:szCs w:val="20"/>
              </w:rPr>
            </w:pPr>
            <w:r w:rsidRPr="00CA3AFF">
              <w:rPr>
                <w:rFonts w:ascii="Arial Narrow" w:hAnsi="Arial Narrow"/>
                <w:bCs/>
                <w:sz w:val="20"/>
                <w:szCs w:val="20"/>
              </w:rPr>
              <w:t>Prescribing information (including Authority Application forms and other relevant documentation as applicable) is available on the</w:t>
            </w:r>
            <w:r w:rsidRPr="00CA3AFF">
              <w:rPr>
                <w:rFonts w:ascii="Arial" w:hAnsi="Arial"/>
                <w:bCs/>
                <w:sz w:val="20"/>
                <w:szCs w:val="20"/>
              </w:rPr>
              <w:t> </w:t>
            </w:r>
            <w:r w:rsidRPr="00CA3AFF">
              <w:rPr>
                <w:rFonts w:ascii="Arial Narrow" w:hAnsi="Arial Narrow"/>
                <w:bCs/>
                <w:sz w:val="20"/>
                <w:szCs w:val="20"/>
              </w:rPr>
              <w:t>Services Australia</w:t>
            </w:r>
            <w:r w:rsidRPr="00CA3AFF">
              <w:rPr>
                <w:rFonts w:ascii="Arial" w:hAnsi="Arial"/>
                <w:bCs/>
                <w:sz w:val="20"/>
                <w:szCs w:val="20"/>
              </w:rPr>
              <w:t> </w:t>
            </w:r>
            <w:r w:rsidRPr="00CA3AFF">
              <w:rPr>
                <w:rFonts w:ascii="Arial Narrow" w:hAnsi="Arial Narrow"/>
                <w:bCs/>
                <w:sz w:val="20"/>
                <w:szCs w:val="20"/>
              </w:rPr>
              <w:t xml:space="preserve">website at </w:t>
            </w:r>
            <w:hyperlink r:id="rId14" w:history="1">
              <w:r w:rsidRPr="00CA3AFF">
                <w:rPr>
                  <w:rStyle w:val="Hyperlink"/>
                  <w:rFonts w:ascii="Arial Narrow" w:eastAsiaTheme="majorEastAsia" w:hAnsi="Arial Narrow"/>
                  <w:sz w:val="20"/>
                  <w:szCs w:val="20"/>
                </w:rPr>
                <w:t>www.servicesaustralia.gov.au</w:t>
              </w:r>
            </w:hyperlink>
            <w:r w:rsidRPr="00CA3AFF">
              <w:rPr>
                <w:rFonts w:ascii="Arial Narrow" w:hAnsi="Arial Narrow"/>
                <w:bCs/>
                <w:sz w:val="20"/>
                <w:szCs w:val="20"/>
              </w:rPr>
              <w:t> </w:t>
            </w:r>
          </w:p>
          <w:p w14:paraId="772F53EC" w14:textId="37CDF80E" w:rsidR="00C251BE" w:rsidRPr="00CA3AFF" w:rsidRDefault="00C251BE" w:rsidP="00F06281">
            <w:pPr>
              <w:rPr>
                <w:rFonts w:ascii="Arial Narrow" w:hAnsi="Arial Narrow"/>
                <w:bCs/>
                <w:sz w:val="20"/>
                <w:szCs w:val="20"/>
              </w:rPr>
            </w:pPr>
            <w:r w:rsidRPr="00CA3AFF">
              <w:rPr>
                <w:rFonts w:ascii="Arial Narrow" w:hAnsi="Arial Narrow"/>
                <w:bCs/>
                <w:sz w:val="20"/>
                <w:szCs w:val="20"/>
              </w:rPr>
              <w:t xml:space="preserve">Applications for authority to prescribe should be submitted online using the form upload facility in Health Professional Online Services (HPOS) at </w:t>
            </w:r>
            <w:hyperlink r:id="rId15" w:history="1">
              <w:r w:rsidRPr="00CA3AFF">
                <w:rPr>
                  <w:rStyle w:val="Hyperlink"/>
                  <w:rFonts w:ascii="Arial Narrow" w:eastAsiaTheme="majorEastAsia" w:hAnsi="Arial Narrow"/>
                  <w:sz w:val="20"/>
                  <w:szCs w:val="20"/>
                </w:rPr>
                <w:t>www.servicesaustralia.gov.au/hpos</w:t>
              </w:r>
            </w:hyperlink>
            <w:r w:rsidRPr="00CA3AFF">
              <w:rPr>
                <w:rFonts w:ascii="Arial Narrow" w:hAnsi="Arial Narrow"/>
                <w:bCs/>
                <w:sz w:val="20"/>
                <w:szCs w:val="20"/>
              </w:rPr>
              <w:t> </w:t>
            </w:r>
          </w:p>
          <w:p w14:paraId="6DB37640" w14:textId="77777777" w:rsidR="00C251BE" w:rsidRPr="00CA3AFF" w:rsidRDefault="00C251BE" w:rsidP="00F06281">
            <w:pPr>
              <w:rPr>
                <w:rFonts w:ascii="Arial Narrow" w:hAnsi="Arial Narrow"/>
                <w:bCs/>
                <w:sz w:val="20"/>
                <w:szCs w:val="20"/>
              </w:rPr>
            </w:pPr>
            <w:r w:rsidRPr="00CA3AFF">
              <w:rPr>
                <w:rFonts w:ascii="Arial Narrow" w:hAnsi="Arial Narrow"/>
                <w:bCs/>
                <w:sz w:val="20"/>
                <w:szCs w:val="20"/>
              </w:rPr>
              <w:t>Or mailed to: </w:t>
            </w:r>
          </w:p>
          <w:p w14:paraId="18CC5649" w14:textId="77777777" w:rsidR="00C251BE" w:rsidRPr="00CA3AFF" w:rsidRDefault="00C251BE" w:rsidP="00F06281">
            <w:pPr>
              <w:rPr>
                <w:rFonts w:ascii="Arial Narrow" w:hAnsi="Arial Narrow"/>
                <w:bCs/>
                <w:sz w:val="20"/>
                <w:szCs w:val="20"/>
              </w:rPr>
            </w:pPr>
            <w:r w:rsidRPr="00CA3AFF">
              <w:rPr>
                <w:rFonts w:ascii="Arial Narrow" w:hAnsi="Arial Narrow"/>
                <w:bCs/>
                <w:sz w:val="20"/>
                <w:szCs w:val="20"/>
              </w:rPr>
              <w:t>Services Australia </w:t>
            </w:r>
          </w:p>
          <w:p w14:paraId="7216EAAF" w14:textId="77777777" w:rsidR="00C251BE" w:rsidRPr="00CA3AFF" w:rsidRDefault="00C251BE" w:rsidP="00F06281">
            <w:pPr>
              <w:rPr>
                <w:rFonts w:ascii="Arial Narrow" w:hAnsi="Arial Narrow"/>
                <w:bCs/>
                <w:sz w:val="20"/>
                <w:szCs w:val="20"/>
              </w:rPr>
            </w:pPr>
            <w:r w:rsidRPr="00CA3AFF">
              <w:rPr>
                <w:rFonts w:ascii="Arial Narrow" w:hAnsi="Arial Narrow"/>
                <w:bCs/>
                <w:sz w:val="20"/>
                <w:szCs w:val="20"/>
              </w:rPr>
              <w:t>Complex Drugs </w:t>
            </w:r>
          </w:p>
          <w:p w14:paraId="7436364E" w14:textId="77777777" w:rsidR="00C251BE" w:rsidRPr="00CA3AFF" w:rsidRDefault="00C251BE" w:rsidP="00F06281">
            <w:pPr>
              <w:rPr>
                <w:rFonts w:ascii="Arial Narrow" w:hAnsi="Arial Narrow"/>
                <w:bCs/>
                <w:sz w:val="20"/>
                <w:szCs w:val="20"/>
              </w:rPr>
            </w:pPr>
            <w:r w:rsidRPr="00CA3AFF">
              <w:rPr>
                <w:rFonts w:ascii="Arial Narrow" w:hAnsi="Arial Narrow"/>
                <w:bCs/>
                <w:sz w:val="20"/>
                <w:szCs w:val="20"/>
              </w:rPr>
              <w:t>Reply Paid 9826 </w:t>
            </w:r>
          </w:p>
          <w:p w14:paraId="67DEF02A" w14:textId="67244952" w:rsidR="00C251BE" w:rsidRPr="004F678D" w:rsidRDefault="00C251BE" w:rsidP="00F06281">
            <w:pPr>
              <w:rPr>
                <w:rFonts w:ascii="Arial Narrow" w:hAnsi="Arial Narrow"/>
                <w:bCs/>
                <w:sz w:val="20"/>
                <w:szCs w:val="20"/>
              </w:rPr>
            </w:pPr>
            <w:r w:rsidRPr="00CA3AFF">
              <w:rPr>
                <w:rFonts w:ascii="Arial Narrow" w:hAnsi="Arial Narrow"/>
                <w:bCs/>
                <w:sz w:val="20"/>
                <w:szCs w:val="20"/>
              </w:rPr>
              <w:t>HOBART TAS 7001 </w:t>
            </w:r>
          </w:p>
        </w:tc>
      </w:tr>
    </w:tbl>
    <w:p w14:paraId="46025C16" w14:textId="3FF031CE" w:rsidR="00383EAA" w:rsidRPr="00383EAA" w:rsidRDefault="00383EAA" w:rsidP="00F06281">
      <w:pPr>
        <w:pStyle w:val="TableFigureFooter"/>
      </w:pPr>
      <w:r w:rsidRPr="002D486D">
        <w:t>HPOS = Health Professional Online Services;</w:t>
      </w:r>
      <w:r w:rsidRPr="002D486D" w:rsidDel="00A6465E">
        <w:t xml:space="preserve"> </w:t>
      </w:r>
      <w:r w:rsidRPr="002D486D">
        <w:t>PBS = Pharmaceutical</w:t>
      </w:r>
      <w:r w:rsidRPr="0015004F">
        <w:t xml:space="preserve"> Benefits Scheme</w:t>
      </w:r>
    </w:p>
    <w:p w14:paraId="58283920" w14:textId="3A56902E" w:rsidR="00397B48" w:rsidRPr="00397B48" w:rsidRDefault="00397B48" w:rsidP="00F06281">
      <w:pPr>
        <w:pStyle w:val="3-SubsectionHeading"/>
        <w:rPr>
          <w:snapToGrid w:val="0"/>
          <w:lang w:val="en-GB"/>
        </w:rPr>
      </w:pPr>
      <w:r w:rsidRPr="00397B48">
        <w:rPr>
          <w:snapToGrid w:val="0"/>
          <w:lang w:val="en-GB"/>
        </w:rPr>
        <w:t>Flow on changes</w:t>
      </w:r>
    </w:p>
    <w:p w14:paraId="180C2D08" w14:textId="24DE7AE5" w:rsidR="001C4256" w:rsidRPr="00F06281" w:rsidRDefault="00397B48" w:rsidP="00F06281">
      <w:pPr>
        <w:pStyle w:val="3-BodyText"/>
        <w:rPr>
          <w:snapToGrid w:val="0"/>
          <w:lang w:val="en-GB"/>
        </w:rPr>
      </w:pPr>
      <w:r>
        <w:rPr>
          <w:snapToGrid w:val="0"/>
          <w:lang w:val="en-GB"/>
        </w:rPr>
        <w:t xml:space="preserve">Amend </w:t>
      </w:r>
      <w:r w:rsidR="001C4256">
        <w:rPr>
          <w:snapToGrid w:val="0"/>
          <w:lang w:val="en-GB"/>
        </w:rPr>
        <w:t xml:space="preserve">initial 1: </w:t>
      </w:r>
      <w:r w:rsidR="001C4256" w:rsidRPr="001C4256">
        <w:rPr>
          <w:snapToGrid w:val="0"/>
        </w:rPr>
        <w:t>New patient (commencing with no previous treatment with C1-INH for routine prophylaxis)</w:t>
      </w:r>
      <w:r w:rsidR="001C4256">
        <w:rPr>
          <w:snapToGrid w:val="0"/>
        </w:rPr>
        <w:t xml:space="preserve">, Initial 2: </w:t>
      </w:r>
      <w:r w:rsidR="001C4256" w:rsidRPr="001C4256">
        <w:rPr>
          <w:snapToGrid w:val="0"/>
        </w:rPr>
        <w:t xml:space="preserve">New patient (commencing from National Blood Authority-funded C1-INH) </w:t>
      </w:r>
      <w:r w:rsidR="001C4256">
        <w:rPr>
          <w:snapToGrid w:val="0"/>
        </w:rPr>
        <w:t>and continuing treatment phase for Lanadelumab (</w:t>
      </w:r>
      <w:hyperlink r:id="rId16" w:tooltip="12790e" w:history="1">
        <w:r w:rsidRPr="00397B48">
          <w:rPr>
            <w:rStyle w:val="Hyperlink"/>
            <w:bCs/>
            <w:snapToGrid w:val="0"/>
          </w:rPr>
          <w:t>12790E</w:t>
        </w:r>
      </w:hyperlink>
      <w:r w:rsidR="001C4256">
        <w:rPr>
          <w:snapToGrid w:val="0"/>
          <w:lang w:val="en-GB"/>
        </w:rPr>
        <w:t xml:space="preserve">) as follows: </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1C4256" w:rsidRPr="002D486D" w14:paraId="2B5FF378" w14:textId="77777777" w:rsidTr="00EA4C87">
        <w:tc>
          <w:tcPr>
            <w:tcW w:w="553" w:type="pct"/>
            <w:vAlign w:val="center"/>
          </w:tcPr>
          <w:p w14:paraId="018318B0" w14:textId="77777777" w:rsidR="001C4256" w:rsidRPr="002D486D" w:rsidRDefault="001C4256" w:rsidP="00F06281">
            <w:pPr>
              <w:jc w:val="center"/>
              <w:rPr>
                <w:rFonts w:ascii="Arial Narrow" w:hAnsi="Arial Narrow"/>
                <w:color w:val="333333"/>
                <w:sz w:val="20"/>
                <w:szCs w:val="20"/>
              </w:rPr>
            </w:pPr>
          </w:p>
          <w:p w14:paraId="1D56D887" w14:textId="3F72FC32" w:rsidR="001C4256" w:rsidRPr="001C4256" w:rsidRDefault="001C4256" w:rsidP="00F06281">
            <w:pPr>
              <w:jc w:val="center"/>
              <w:rPr>
                <w:rFonts w:ascii="Arial Narrow" w:hAnsi="Arial Narrow"/>
                <w:strike/>
                <w:color w:val="333333"/>
                <w:sz w:val="20"/>
                <w:szCs w:val="20"/>
              </w:rPr>
            </w:pPr>
          </w:p>
        </w:tc>
        <w:tc>
          <w:tcPr>
            <w:tcW w:w="4447" w:type="pct"/>
            <w:vAlign w:val="center"/>
            <w:hideMark/>
          </w:tcPr>
          <w:p w14:paraId="27BD7C8D" w14:textId="7AE99E30" w:rsidR="001C4256" w:rsidRPr="002D486D" w:rsidRDefault="001C4256" w:rsidP="00F06281">
            <w:pPr>
              <w:rPr>
                <w:rFonts w:ascii="Arial Narrow" w:hAnsi="Arial Narrow"/>
                <w:color w:val="333333"/>
                <w:sz w:val="20"/>
                <w:szCs w:val="20"/>
              </w:rPr>
            </w:pPr>
            <w:r w:rsidRPr="002D486D">
              <w:rPr>
                <w:rFonts w:ascii="Arial Narrow" w:hAnsi="Arial Narrow"/>
                <w:color w:val="333333"/>
                <w:sz w:val="20"/>
                <w:szCs w:val="20"/>
              </w:rPr>
              <w:t xml:space="preserve">The treatment must not be </w:t>
            </w:r>
            <w:r w:rsidRPr="001C4256">
              <w:rPr>
                <w:rFonts w:ascii="Arial Narrow" w:hAnsi="Arial Narrow"/>
                <w:strike/>
                <w:color w:val="333333"/>
                <w:sz w:val="20"/>
                <w:szCs w:val="20"/>
              </w:rPr>
              <w:t>PBS-subsidised in combination with a C1-esterase inhibitor concentrate</w:t>
            </w:r>
            <w:r>
              <w:rPr>
                <w:rFonts w:ascii="Arial Narrow" w:hAnsi="Arial Narrow"/>
                <w:strike/>
                <w:color w:val="333333"/>
                <w:sz w:val="20"/>
                <w:szCs w:val="20"/>
              </w:rPr>
              <w:t xml:space="preserve"> </w:t>
            </w:r>
            <w:r w:rsidRPr="002D486D">
              <w:rPr>
                <w:rFonts w:ascii="Arial Narrow" w:hAnsi="Arial Narrow"/>
                <w:color w:val="333333"/>
                <w:sz w:val="20"/>
                <w:szCs w:val="20"/>
              </w:rPr>
              <w:t>used in combination with either: (i) a C1-esterase inhibitor concentrate (ii) lanadelumab</w:t>
            </w:r>
          </w:p>
        </w:tc>
      </w:tr>
    </w:tbl>
    <w:p w14:paraId="3368E250" w14:textId="77777777" w:rsidR="0049602E" w:rsidRDefault="0049602E" w:rsidP="00F06281">
      <w:pPr>
        <w:widowControl w:val="0"/>
        <w:rPr>
          <w:rFonts w:ascii="Arial Narrow" w:hAnsi="Arial Narrow"/>
          <w:b/>
          <w:bCs/>
          <w:sz w:val="20"/>
          <w:szCs w:val="18"/>
        </w:rPr>
      </w:pPr>
    </w:p>
    <w:p w14:paraId="58F869C4" w14:textId="6E5D0D46" w:rsidR="0049602E" w:rsidRPr="0049602E" w:rsidRDefault="0049602E" w:rsidP="00F06281">
      <w:pPr>
        <w:pStyle w:val="3-BodyText"/>
        <w:rPr>
          <w:snapToGrid w:val="0"/>
          <w:lang w:val="en-GB"/>
        </w:rPr>
      </w:pPr>
      <w:r w:rsidRPr="0049602E">
        <w:rPr>
          <w:snapToGrid w:val="0"/>
          <w:lang w:val="en-GB"/>
        </w:rPr>
        <w:t xml:space="preserve">New </w:t>
      </w:r>
      <w:r>
        <w:rPr>
          <w:snapToGrid w:val="0"/>
          <w:lang w:val="en-GB"/>
        </w:rPr>
        <w:t xml:space="preserve">listing to </w:t>
      </w:r>
      <w:r w:rsidRPr="0049602E">
        <w:rPr>
          <w:snapToGrid w:val="0"/>
          <w:lang w:val="en-GB"/>
        </w:rPr>
        <w:t xml:space="preserve">allow switching from </w:t>
      </w:r>
      <w:r w:rsidR="008B0FA7">
        <w:rPr>
          <w:snapToGrid w:val="0"/>
          <w:lang w:val="en-GB"/>
        </w:rPr>
        <w:t xml:space="preserve">PBS-subsidised </w:t>
      </w:r>
      <w:r w:rsidRPr="0049602E">
        <w:rPr>
          <w:snapToGrid w:val="0"/>
          <w:lang w:val="en-GB"/>
        </w:rPr>
        <w:t>garadacimab to lanadelumab</w:t>
      </w:r>
    </w:p>
    <w:p w14:paraId="197FEDA3" w14:textId="2178A3F5" w:rsidR="0049602E" w:rsidRDefault="0049602E" w:rsidP="00F06281">
      <w:pPr>
        <w:widowControl w:val="0"/>
        <w:rPr>
          <w:rFonts w:ascii="Arial Narrow" w:hAnsi="Arial Narrow"/>
          <w:b/>
          <w:bCs/>
          <w:sz w:val="20"/>
          <w:szCs w:val="18"/>
        </w:rPr>
      </w:pPr>
      <w:r>
        <w:rPr>
          <w:rFonts w:ascii="Arial Narrow" w:hAnsi="Arial Narrow"/>
          <w:b/>
          <w:bCs/>
          <w:sz w:val="20"/>
          <w:szCs w:val="18"/>
        </w:rPr>
        <w:t>Initial treatment – New patient transitioning from PBS-subsidised Garadacimab</w:t>
      </w:r>
      <w:r w:rsidR="008B0FA7">
        <w:rPr>
          <w:rFonts w:ascii="Arial Narrow" w:hAnsi="Arial Narrow"/>
          <w:b/>
          <w:bCs/>
          <w:sz w:val="20"/>
          <w:szCs w:val="18"/>
        </w:rPr>
        <w:t xml:space="preserve"> to lanadelumab</w:t>
      </w:r>
      <w:r>
        <w:rPr>
          <w:rFonts w:ascii="Arial Narrow" w:hAnsi="Arial Narrow"/>
          <w:b/>
          <w:bCs/>
          <w:sz w:val="20"/>
          <w:szCs w:val="18"/>
        </w:rPr>
        <w:t xml:space="preserve"> </w:t>
      </w:r>
    </w:p>
    <w:p w14:paraId="5BCC539D" w14:textId="76B4AB76" w:rsidR="0049602E" w:rsidRPr="008019F9" w:rsidRDefault="0049602E" w:rsidP="00F06281">
      <w:pPr>
        <w:rPr>
          <w:rFonts w:ascii="Arial Narrow" w:eastAsia="Calibri" w:hAnsi="Arial Narrow"/>
          <w:b/>
          <w:bCs/>
          <w:sz w:val="20"/>
          <w:szCs w:val="20"/>
          <w:lang w:eastAsia="en-GB"/>
        </w:rPr>
      </w:pPr>
      <w:r w:rsidRPr="008019F9">
        <w:rPr>
          <w:rFonts w:ascii="Arial Narrow" w:eastAsia="Calibri" w:hAnsi="Arial Narrow"/>
          <w:b/>
          <w:bCs/>
          <w:sz w:val="20"/>
          <w:szCs w:val="20"/>
          <w:lang w:eastAsia="en-GB"/>
        </w:rPr>
        <w:t>Restriction Summary New</w:t>
      </w:r>
      <w:r w:rsidR="008B0FA7">
        <w:rPr>
          <w:rFonts w:ascii="Arial Narrow" w:eastAsia="Calibri" w:hAnsi="Arial Narrow"/>
          <w:b/>
          <w:bCs/>
          <w:sz w:val="20"/>
          <w:szCs w:val="20"/>
          <w:lang w:eastAsia="en-GB"/>
        </w:rPr>
        <w:t>[3]</w:t>
      </w:r>
      <w:r w:rsidRPr="008019F9">
        <w:rPr>
          <w:rFonts w:ascii="Arial Narrow" w:eastAsia="Calibri" w:hAnsi="Arial Narrow"/>
          <w:b/>
          <w:bCs/>
          <w:sz w:val="20"/>
          <w:szCs w:val="20"/>
          <w:lang w:eastAsia="en-GB"/>
        </w:rPr>
        <w:t>/ ToC: New</w:t>
      </w:r>
      <w:r w:rsidR="008B0FA7">
        <w:rPr>
          <w:rFonts w:ascii="Arial Narrow" w:eastAsia="Calibri" w:hAnsi="Arial Narrow"/>
          <w:b/>
          <w:bCs/>
          <w:sz w:val="20"/>
          <w:szCs w:val="20"/>
          <w:lang w:eastAsia="en-GB"/>
        </w:rPr>
        <w:t xml:space="preserve"> [3A]</w:t>
      </w:r>
    </w:p>
    <w:tbl>
      <w:tblPr>
        <w:tblStyle w:val="TableGridnm1"/>
        <w:tblW w:w="5000" w:type="pct"/>
        <w:tblLook w:val="04A0" w:firstRow="1" w:lastRow="0" w:firstColumn="1" w:lastColumn="0" w:noHBand="0" w:noVBand="1"/>
      </w:tblPr>
      <w:tblGrid>
        <w:gridCol w:w="1129"/>
        <w:gridCol w:w="7888"/>
      </w:tblGrid>
      <w:tr w:rsidR="0049602E" w:rsidRPr="00E120D6" w14:paraId="7C440A36" w14:textId="77777777" w:rsidTr="00EC513E">
        <w:tc>
          <w:tcPr>
            <w:tcW w:w="626" w:type="pct"/>
            <w:vMerge w:val="restart"/>
            <w:vAlign w:val="center"/>
          </w:tcPr>
          <w:p w14:paraId="48B0A03A" w14:textId="761DADA5" w:rsidR="0049602E" w:rsidRPr="00E120D6" w:rsidRDefault="0049602E" w:rsidP="00F06281">
            <w:pPr>
              <w:widowControl w:val="0"/>
              <w:jc w:val="center"/>
              <w:rPr>
                <w:rFonts w:ascii="Arial Narrow" w:hAnsi="Arial Narrow"/>
                <w:b/>
                <w:snapToGrid w:val="0"/>
                <w:sz w:val="20"/>
                <w:szCs w:val="20"/>
              </w:rPr>
            </w:pPr>
          </w:p>
        </w:tc>
        <w:tc>
          <w:tcPr>
            <w:tcW w:w="4374" w:type="pct"/>
          </w:tcPr>
          <w:p w14:paraId="3AFFA404" w14:textId="77777777" w:rsidR="0049602E" w:rsidRPr="00E120D6" w:rsidRDefault="0049602E" w:rsidP="00F06281">
            <w:pPr>
              <w:widowControl w:val="0"/>
              <w:rPr>
                <w:rFonts w:ascii="Arial Narrow" w:hAnsi="Arial Narrow"/>
                <w:b/>
                <w:bCs/>
                <w:snapToGrid w:val="0"/>
                <w:sz w:val="20"/>
                <w:szCs w:val="20"/>
              </w:rPr>
            </w:pPr>
            <w:r w:rsidRPr="00E120D6">
              <w:rPr>
                <w:rFonts w:ascii="Arial Narrow" w:hAnsi="Arial Narrow"/>
                <w:b/>
                <w:snapToGrid w:val="0"/>
                <w:sz w:val="20"/>
                <w:szCs w:val="20"/>
              </w:rPr>
              <w:t xml:space="preserve">Category / Program: </w:t>
            </w:r>
            <w:r w:rsidRPr="00E120D6">
              <w:rPr>
                <w:rFonts w:ascii="Arial Narrow" w:hAnsi="Arial Narrow"/>
                <w:snapToGrid w:val="0"/>
                <w:sz w:val="20"/>
                <w:szCs w:val="20"/>
              </w:rPr>
              <w:t xml:space="preserve">GENERAL – General Schedule (Code GE) </w:t>
            </w:r>
          </w:p>
        </w:tc>
      </w:tr>
      <w:tr w:rsidR="0049602E" w:rsidRPr="00E120D6" w14:paraId="70A80FD7" w14:textId="77777777" w:rsidTr="00EC513E">
        <w:tc>
          <w:tcPr>
            <w:tcW w:w="626" w:type="pct"/>
            <w:vMerge/>
            <w:vAlign w:val="center"/>
          </w:tcPr>
          <w:p w14:paraId="5948B4DF" w14:textId="77777777" w:rsidR="0049602E" w:rsidRPr="00E120D6" w:rsidRDefault="0049602E" w:rsidP="00F06281">
            <w:pPr>
              <w:widowControl w:val="0"/>
              <w:jc w:val="center"/>
              <w:rPr>
                <w:rFonts w:ascii="Arial Narrow" w:hAnsi="Arial Narrow"/>
                <w:b/>
                <w:snapToGrid w:val="0"/>
                <w:sz w:val="20"/>
                <w:szCs w:val="20"/>
              </w:rPr>
            </w:pPr>
          </w:p>
        </w:tc>
        <w:tc>
          <w:tcPr>
            <w:tcW w:w="4374" w:type="pct"/>
          </w:tcPr>
          <w:p w14:paraId="554FC792" w14:textId="77777777" w:rsidR="0049602E" w:rsidRPr="00E120D6" w:rsidRDefault="0049602E" w:rsidP="00F06281">
            <w:pPr>
              <w:widowControl w:val="0"/>
              <w:rPr>
                <w:rFonts w:ascii="Arial Narrow" w:hAnsi="Arial Narrow"/>
                <w:b/>
                <w:bCs/>
                <w:snapToGrid w:val="0"/>
                <w:sz w:val="20"/>
                <w:szCs w:val="20"/>
              </w:rPr>
            </w:pPr>
            <w:r w:rsidRPr="00E120D6">
              <w:rPr>
                <w:rFonts w:ascii="Arial Narrow" w:hAnsi="Arial Narrow"/>
                <w:b/>
                <w:snapToGrid w:val="0"/>
                <w:sz w:val="20"/>
                <w:szCs w:val="20"/>
              </w:rPr>
              <w:t xml:space="preserve">Prescriber type: </w:t>
            </w:r>
            <w:r w:rsidRPr="00E120D6">
              <w:rPr>
                <w:rFonts w:ascii="Arial Narrow" w:hAnsi="Arial Narrow"/>
                <w:snapToGrid w:val="0"/>
                <w:sz w:val="20"/>
                <w:szCs w:val="20"/>
              </w:rPr>
              <w:fldChar w:fldCharType="begin" w:fldLock="1">
                <w:ffData>
                  <w:name w:val=""/>
                  <w:enabled/>
                  <w:calcOnExit w:val="0"/>
                  <w:checkBox>
                    <w:sizeAuto/>
                    <w:default w:val="1"/>
                  </w:checkBox>
                </w:ffData>
              </w:fldChar>
            </w:r>
            <w:r w:rsidRPr="00E120D6">
              <w:rPr>
                <w:rFonts w:ascii="Arial Narrow" w:hAnsi="Arial Narrow"/>
                <w:snapToGrid w:val="0"/>
                <w:sz w:val="20"/>
                <w:szCs w:val="20"/>
              </w:rPr>
              <w:instrText xml:space="preserve"> FORMCHECKBOX </w:instrText>
            </w:r>
            <w:r w:rsidRPr="00E120D6">
              <w:rPr>
                <w:rFonts w:ascii="Arial Narrow" w:hAnsi="Arial Narrow"/>
                <w:snapToGrid w:val="0"/>
                <w:sz w:val="20"/>
                <w:szCs w:val="20"/>
              </w:rPr>
            </w:r>
            <w:r w:rsidRPr="00E120D6">
              <w:rPr>
                <w:rFonts w:ascii="Arial Narrow" w:hAnsi="Arial Narrow"/>
                <w:snapToGrid w:val="0"/>
                <w:sz w:val="20"/>
                <w:szCs w:val="20"/>
              </w:rPr>
              <w:fldChar w:fldCharType="separate"/>
            </w:r>
            <w:r w:rsidRPr="00E120D6">
              <w:rPr>
                <w:rFonts w:ascii="Arial Narrow" w:hAnsi="Arial Narrow"/>
                <w:snapToGrid w:val="0"/>
                <w:sz w:val="20"/>
                <w:szCs w:val="20"/>
              </w:rPr>
              <w:fldChar w:fldCharType="end"/>
            </w:r>
            <w:r w:rsidRPr="00E120D6">
              <w:rPr>
                <w:rFonts w:ascii="Arial Narrow" w:hAnsi="Arial Narrow"/>
                <w:snapToGrid w:val="0"/>
                <w:sz w:val="20"/>
                <w:szCs w:val="20"/>
              </w:rPr>
              <w:t xml:space="preserve"> Medical Practitioners </w:t>
            </w:r>
          </w:p>
        </w:tc>
      </w:tr>
      <w:tr w:rsidR="0049602E" w:rsidRPr="00E120D6" w14:paraId="6928ABE8" w14:textId="77777777" w:rsidTr="00EC513E">
        <w:tc>
          <w:tcPr>
            <w:tcW w:w="626" w:type="pct"/>
            <w:vMerge/>
            <w:vAlign w:val="center"/>
          </w:tcPr>
          <w:p w14:paraId="7A74A935" w14:textId="77777777" w:rsidR="0049602E" w:rsidRPr="00E120D6" w:rsidRDefault="0049602E" w:rsidP="00F06281">
            <w:pPr>
              <w:widowControl w:val="0"/>
              <w:jc w:val="center"/>
              <w:rPr>
                <w:rFonts w:ascii="Arial Narrow" w:hAnsi="Arial Narrow"/>
                <w:b/>
                <w:snapToGrid w:val="0"/>
                <w:sz w:val="20"/>
                <w:szCs w:val="20"/>
              </w:rPr>
            </w:pPr>
          </w:p>
        </w:tc>
        <w:tc>
          <w:tcPr>
            <w:tcW w:w="4374" w:type="pct"/>
          </w:tcPr>
          <w:p w14:paraId="688C4B11" w14:textId="77777777" w:rsidR="0049602E" w:rsidRPr="00E120D6" w:rsidRDefault="0049602E" w:rsidP="00F06281">
            <w:pPr>
              <w:widowControl w:val="0"/>
              <w:rPr>
                <w:rFonts w:ascii="Arial Narrow" w:hAnsi="Arial Narrow"/>
                <w:b/>
                <w:bCs/>
                <w:snapToGrid w:val="0"/>
                <w:sz w:val="20"/>
                <w:szCs w:val="20"/>
              </w:rPr>
            </w:pPr>
            <w:r w:rsidRPr="00E120D6">
              <w:rPr>
                <w:rFonts w:ascii="Arial Narrow" w:hAnsi="Arial Narrow"/>
                <w:b/>
                <w:snapToGrid w:val="0"/>
                <w:sz w:val="20"/>
                <w:szCs w:val="20"/>
              </w:rPr>
              <w:t xml:space="preserve">Restriction type: </w:t>
            </w:r>
            <w:r w:rsidRPr="00E120D6">
              <w:rPr>
                <w:rFonts w:ascii="Arial Narrow" w:eastAsia="Calibri" w:hAnsi="Arial Narrow"/>
                <w:snapToGrid w:val="0"/>
                <w:sz w:val="20"/>
                <w:szCs w:val="20"/>
              </w:rPr>
              <w:fldChar w:fldCharType="begin" w:fldLock="1">
                <w:ffData>
                  <w:name w:val=""/>
                  <w:enabled/>
                  <w:calcOnExit w:val="0"/>
                  <w:checkBox>
                    <w:sizeAuto/>
                    <w:default w:val="1"/>
                  </w:checkBox>
                </w:ffData>
              </w:fldChar>
            </w:r>
            <w:r w:rsidRPr="00E120D6">
              <w:rPr>
                <w:rFonts w:ascii="Arial Narrow" w:eastAsia="Calibri" w:hAnsi="Arial Narrow"/>
                <w:snapToGrid w:val="0"/>
                <w:sz w:val="20"/>
                <w:szCs w:val="20"/>
              </w:rPr>
              <w:instrText xml:space="preserve"> FORMCHECKBOX </w:instrText>
            </w:r>
            <w:r w:rsidRPr="00E120D6">
              <w:rPr>
                <w:rFonts w:ascii="Arial Narrow" w:eastAsia="Calibri" w:hAnsi="Arial Narrow"/>
                <w:snapToGrid w:val="0"/>
                <w:sz w:val="20"/>
                <w:szCs w:val="20"/>
              </w:rPr>
            </w:r>
            <w:r w:rsidRPr="00E120D6">
              <w:rPr>
                <w:rFonts w:ascii="Arial Narrow" w:eastAsia="Calibri" w:hAnsi="Arial Narrow"/>
                <w:snapToGrid w:val="0"/>
                <w:sz w:val="20"/>
                <w:szCs w:val="20"/>
              </w:rPr>
              <w:fldChar w:fldCharType="separate"/>
            </w:r>
            <w:r w:rsidRPr="00E120D6">
              <w:rPr>
                <w:rFonts w:ascii="Arial Narrow" w:eastAsia="Calibri" w:hAnsi="Arial Narrow"/>
                <w:snapToGrid w:val="0"/>
                <w:sz w:val="20"/>
                <w:szCs w:val="20"/>
              </w:rPr>
              <w:fldChar w:fldCharType="end"/>
            </w:r>
            <w:r w:rsidRPr="00E120D6">
              <w:rPr>
                <w:rFonts w:ascii="Arial Narrow" w:eastAsia="Calibri" w:hAnsi="Arial Narrow"/>
                <w:snapToGrid w:val="0"/>
                <w:sz w:val="20"/>
                <w:szCs w:val="20"/>
              </w:rPr>
              <w:t xml:space="preserve"> </w:t>
            </w:r>
            <w:r w:rsidRPr="0051511F">
              <w:rPr>
                <w:rFonts w:ascii="Arial Narrow" w:eastAsia="Calibri" w:hAnsi="Arial Narrow"/>
                <w:snapToGrid w:val="0"/>
                <w:sz w:val="20"/>
                <w:szCs w:val="20"/>
              </w:rPr>
              <w:t xml:space="preserve">Authority Required (FULL assessment) in writing only via post/HPOS upload  </w:t>
            </w:r>
            <w:r w:rsidRPr="0051511F">
              <w:rPr>
                <w:rFonts w:ascii="Arial Narrow" w:eastAsia="Calibri" w:hAnsi="Arial Narrow"/>
                <w:strike/>
                <w:snapToGrid w:val="0"/>
                <w:sz w:val="20"/>
                <w:szCs w:val="20"/>
              </w:rPr>
              <w:t>Authority Required (in writing only via post/HPOS upload)</w:t>
            </w:r>
          </w:p>
        </w:tc>
      </w:tr>
      <w:tr w:rsidR="0049602E" w:rsidRPr="00E120D6" w14:paraId="069C6756" w14:textId="77777777" w:rsidTr="00EC513E">
        <w:tc>
          <w:tcPr>
            <w:tcW w:w="626" w:type="pct"/>
            <w:vAlign w:val="center"/>
          </w:tcPr>
          <w:p w14:paraId="5857D03A" w14:textId="77777777" w:rsidR="0049602E" w:rsidRPr="00E120D6" w:rsidRDefault="0049602E" w:rsidP="00F06281">
            <w:pPr>
              <w:widowControl w:val="0"/>
              <w:jc w:val="center"/>
              <w:rPr>
                <w:rFonts w:ascii="Arial Narrow" w:hAnsi="Arial Narrow"/>
                <w:b/>
                <w:bCs/>
                <w:snapToGrid w:val="0"/>
                <w:sz w:val="20"/>
                <w:szCs w:val="20"/>
              </w:rPr>
            </w:pPr>
          </w:p>
        </w:tc>
        <w:tc>
          <w:tcPr>
            <w:tcW w:w="4374" w:type="pct"/>
          </w:tcPr>
          <w:p w14:paraId="3BDC1EF5" w14:textId="77777777" w:rsidR="0049602E" w:rsidRPr="00E120D6" w:rsidRDefault="0049602E" w:rsidP="00F06281">
            <w:pPr>
              <w:widowControl w:val="0"/>
              <w:rPr>
                <w:rFonts w:ascii="Arial Narrow" w:hAnsi="Arial Narrow"/>
                <w:b/>
                <w:bCs/>
                <w:snapToGrid w:val="0"/>
                <w:sz w:val="20"/>
                <w:szCs w:val="20"/>
              </w:rPr>
            </w:pPr>
          </w:p>
        </w:tc>
      </w:tr>
      <w:tr w:rsidR="0049602E" w:rsidRPr="00E120D6" w14:paraId="1D6773D9" w14:textId="77777777" w:rsidTr="00EC513E">
        <w:tc>
          <w:tcPr>
            <w:tcW w:w="626" w:type="pct"/>
            <w:vAlign w:val="center"/>
          </w:tcPr>
          <w:p w14:paraId="393508E9" w14:textId="3941DE62" w:rsidR="0049602E" w:rsidRPr="00E120D6" w:rsidRDefault="0049602E" w:rsidP="00F06281">
            <w:pPr>
              <w:widowControl w:val="0"/>
              <w:jc w:val="center"/>
              <w:rPr>
                <w:rFonts w:ascii="Arial Narrow" w:hAnsi="Arial Narrow"/>
                <w:b/>
                <w:bCs/>
                <w:snapToGrid w:val="0"/>
                <w:sz w:val="20"/>
                <w:szCs w:val="20"/>
              </w:rPr>
            </w:pPr>
          </w:p>
        </w:tc>
        <w:tc>
          <w:tcPr>
            <w:tcW w:w="4374" w:type="pct"/>
          </w:tcPr>
          <w:p w14:paraId="42A3B51A" w14:textId="77777777" w:rsidR="0049602E" w:rsidRPr="00E120D6" w:rsidRDefault="0049602E" w:rsidP="00F06281">
            <w:pPr>
              <w:widowControl w:val="0"/>
              <w:rPr>
                <w:rFonts w:ascii="Arial Narrow" w:hAnsi="Arial Narrow"/>
                <w:b/>
                <w:bCs/>
                <w:snapToGrid w:val="0"/>
                <w:sz w:val="20"/>
                <w:szCs w:val="20"/>
              </w:rPr>
            </w:pPr>
            <w:r w:rsidRPr="00E120D6">
              <w:rPr>
                <w:rFonts w:ascii="Arial Narrow" w:hAnsi="Arial Narrow"/>
                <w:b/>
                <w:bCs/>
                <w:snapToGrid w:val="0"/>
                <w:sz w:val="20"/>
                <w:szCs w:val="20"/>
              </w:rPr>
              <w:t xml:space="preserve">Administrative advice: </w:t>
            </w:r>
            <w:r w:rsidRPr="00E120D6">
              <w:rPr>
                <w:rFonts w:ascii="Arial Narrow" w:hAnsi="Arial Narrow"/>
                <w:snapToGrid w:val="0"/>
                <w:sz w:val="20"/>
                <w:szCs w:val="20"/>
              </w:rPr>
              <w:t>No increase in the maximum number of repeats may be authorised.</w:t>
            </w:r>
          </w:p>
        </w:tc>
      </w:tr>
      <w:tr w:rsidR="0049602E" w:rsidRPr="00E120D6" w14:paraId="4A1AC35E" w14:textId="77777777" w:rsidTr="00EC513E">
        <w:tc>
          <w:tcPr>
            <w:tcW w:w="626" w:type="pct"/>
            <w:vAlign w:val="center"/>
          </w:tcPr>
          <w:p w14:paraId="24D417A9" w14:textId="2EFD35BC" w:rsidR="0049602E" w:rsidRPr="00E120D6" w:rsidRDefault="0049602E" w:rsidP="00F06281">
            <w:pPr>
              <w:widowControl w:val="0"/>
              <w:jc w:val="center"/>
              <w:rPr>
                <w:rFonts w:ascii="Arial Narrow" w:hAnsi="Arial Narrow"/>
                <w:b/>
                <w:bCs/>
                <w:snapToGrid w:val="0"/>
                <w:sz w:val="20"/>
                <w:szCs w:val="20"/>
              </w:rPr>
            </w:pPr>
          </w:p>
        </w:tc>
        <w:tc>
          <w:tcPr>
            <w:tcW w:w="4374" w:type="pct"/>
          </w:tcPr>
          <w:p w14:paraId="779C8156" w14:textId="77777777" w:rsidR="0049602E" w:rsidRPr="00E120D6" w:rsidRDefault="0049602E" w:rsidP="00F06281">
            <w:pPr>
              <w:widowControl w:val="0"/>
              <w:rPr>
                <w:rFonts w:ascii="Arial Narrow" w:hAnsi="Arial Narrow"/>
                <w:b/>
                <w:bCs/>
                <w:snapToGrid w:val="0"/>
                <w:sz w:val="20"/>
                <w:szCs w:val="20"/>
              </w:rPr>
            </w:pPr>
            <w:r w:rsidRPr="00E120D6">
              <w:rPr>
                <w:rFonts w:ascii="Arial Narrow" w:hAnsi="Arial Narrow"/>
                <w:b/>
                <w:bCs/>
                <w:snapToGrid w:val="0"/>
                <w:sz w:val="20"/>
                <w:szCs w:val="20"/>
              </w:rPr>
              <w:t xml:space="preserve">Administrative advice: </w:t>
            </w:r>
            <w:r w:rsidRPr="00E120D6">
              <w:rPr>
                <w:rFonts w:ascii="Arial Narrow" w:hAnsi="Arial Narrow"/>
                <w:snapToGrid w:val="0"/>
                <w:sz w:val="20"/>
                <w:szCs w:val="20"/>
              </w:rPr>
              <w:t>Special Pricing Arrangements apply.</w:t>
            </w:r>
          </w:p>
        </w:tc>
      </w:tr>
      <w:tr w:rsidR="0049602E" w:rsidRPr="00E120D6" w14:paraId="022F19AB" w14:textId="77777777" w:rsidTr="00EC513E">
        <w:tc>
          <w:tcPr>
            <w:tcW w:w="626" w:type="pct"/>
            <w:vAlign w:val="center"/>
          </w:tcPr>
          <w:p w14:paraId="7FC5C230" w14:textId="77777777" w:rsidR="0049602E" w:rsidRPr="00E120D6" w:rsidRDefault="0049602E" w:rsidP="00F06281">
            <w:pPr>
              <w:widowControl w:val="0"/>
              <w:jc w:val="center"/>
              <w:rPr>
                <w:rFonts w:ascii="Arial Narrow" w:hAnsi="Arial Narrow"/>
                <w:b/>
                <w:bCs/>
                <w:snapToGrid w:val="0"/>
                <w:sz w:val="20"/>
                <w:szCs w:val="20"/>
              </w:rPr>
            </w:pPr>
          </w:p>
        </w:tc>
        <w:tc>
          <w:tcPr>
            <w:tcW w:w="4374" w:type="pct"/>
          </w:tcPr>
          <w:p w14:paraId="60B7B1DB" w14:textId="77777777" w:rsidR="0049602E" w:rsidRPr="00E120D6" w:rsidRDefault="0049602E" w:rsidP="00F06281">
            <w:pPr>
              <w:widowControl w:val="0"/>
              <w:rPr>
                <w:rFonts w:ascii="Arial Narrow" w:hAnsi="Arial Narrow"/>
                <w:b/>
                <w:bCs/>
                <w:snapToGrid w:val="0"/>
                <w:sz w:val="20"/>
                <w:szCs w:val="20"/>
              </w:rPr>
            </w:pPr>
          </w:p>
        </w:tc>
      </w:tr>
      <w:tr w:rsidR="0049602E" w:rsidRPr="00E120D6" w14:paraId="4F94F69F" w14:textId="77777777" w:rsidTr="00EC513E">
        <w:tc>
          <w:tcPr>
            <w:tcW w:w="626" w:type="pct"/>
            <w:vAlign w:val="center"/>
          </w:tcPr>
          <w:p w14:paraId="63F8794E" w14:textId="430348DC" w:rsidR="0049602E" w:rsidRPr="00E120D6" w:rsidRDefault="0049602E" w:rsidP="00F06281">
            <w:pPr>
              <w:widowControl w:val="0"/>
              <w:jc w:val="center"/>
              <w:rPr>
                <w:rFonts w:ascii="Arial Narrow" w:hAnsi="Arial Narrow"/>
                <w:b/>
                <w:bCs/>
                <w:snapToGrid w:val="0"/>
                <w:sz w:val="20"/>
                <w:szCs w:val="20"/>
              </w:rPr>
            </w:pPr>
          </w:p>
        </w:tc>
        <w:tc>
          <w:tcPr>
            <w:tcW w:w="4374" w:type="pct"/>
          </w:tcPr>
          <w:p w14:paraId="4E528A6A" w14:textId="77777777" w:rsidR="0049602E" w:rsidRPr="00E120D6" w:rsidRDefault="0049602E" w:rsidP="00F06281">
            <w:pPr>
              <w:widowControl w:val="0"/>
              <w:rPr>
                <w:rFonts w:ascii="Arial Narrow" w:hAnsi="Arial Narrow"/>
                <w:snapToGrid w:val="0"/>
                <w:sz w:val="20"/>
                <w:szCs w:val="20"/>
                <w:highlight w:val="lightGray"/>
              </w:rPr>
            </w:pPr>
            <w:r w:rsidRPr="00E120D6">
              <w:rPr>
                <w:rFonts w:ascii="Arial Narrow" w:hAnsi="Arial Narrow"/>
                <w:b/>
                <w:bCs/>
                <w:snapToGrid w:val="0"/>
                <w:sz w:val="20"/>
                <w:szCs w:val="20"/>
              </w:rPr>
              <w:t>Indication:</w:t>
            </w:r>
            <w:r w:rsidRPr="00E120D6">
              <w:rPr>
                <w:rFonts w:ascii="Arial Narrow" w:hAnsi="Arial Narrow"/>
                <w:snapToGrid w:val="0"/>
                <w:sz w:val="20"/>
                <w:szCs w:val="20"/>
              </w:rPr>
              <w:t xml:space="preserve"> Chronic treatment of hereditary angioedema Types 1 or 2</w:t>
            </w:r>
          </w:p>
        </w:tc>
      </w:tr>
      <w:tr w:rsidR="0049602E" w:rsidRPr="00E120D6" w14:paraId="4DBB9D09" w14:textId="77777777" w:rsidTr="00EC513E">
        <w:tc>
          <w:tcPr>
            <w:tcW w:w="626" w:type="pct"/>
            <w:vAlign w:val="center"/>
          </w:tcPr>
          <w:p w14:paraId="20C6241B" w14:textId="77777777" w:rsidR="0049602E" w:rsidRPr="00E120D6" w:rsidRDefault="0049602E" w:rsidP="00F06281">
            <w:pPr>
              <w:widowControl w:val="0"/>
              <w:jc w:val="center"/>
              <w:rPr>
                <w:rFonts w:ascii="Arial Narrow" w:hAnsi="Arial Narrow"/>
                <w:b/>
                <w:bCs/>
                <w:snapToGrid w:val="0"/>
                <w:sz w:val="20"/>
                <w:szCs w:val="20"/>
              </w:rPr>
            </w:pPr>
          </w:p>
        </w:tc>
        <w:tc>
          <w:tcPr>
            <w:tcW w:w="4374" w:type="pct"/>
          </w:tcPr>
          <w:p w14:paraId="6C63DA53" w14:textId="77777777" w:rsidR="0049602E" w:rsidRPr="00E120D6" w:rsidRDefault="0049602E" w:rsidP="00F06281">
            <w:pPr>
              <w:widowControl w:val="0"/>
              <w:rPr>
                <w:rFonts w:ascii="Arial Narrow" w:hAnsi="Arial Narrow"/>
                <w:b/>
                <w:bCs/>
                <w:snapToGrid w:val="0"/>
                <w:sz w:val="20"/>
                <w:szCs w:val="20"/>
              </w:rPr>
            </w:pPr>
            <w:r w:rsidRPr="00E120D6">
              <w:rPr>
                <w:rFonts w:ascii="Arial Narrow" w:hAnsi="Arial Narrow"/>
                <w:b/>
                <w:bCs/>
                <w:snapToGrid w:val="0"/>
                <w:sz w:val="20"/>
                <w:szCs w:val="20"/>
              </w:rPr>
              <w:t xml:space="preserve">Treatment Phase: </w:t>
            </w:r>
            <w:r w:rsidRPr="00E120D6">
              <w:rPr>
                <w:rFonts w:ascii="Arial Narrow" w:hAnsi="Arial Narrow"/>
                <w:snapToGrid w:val="0"/>
                <w:sz w:val="20"/>
                <w:szCs w:val="20"/>
              </w:rPr>
              <w:t xml:space="preserve">Initial </w:t>
            </w:r>
            <w:r>
              <w:rPr>
                <w:rFonts w:ascii="Arial Narrow" w:hAnsi="Arial Narrow"/>
                <w:snapToGrid w:val="0"/>
                <w:sz w:val="20"/>
                <w:szCs w:val="20"/>
              </w:rPr>
              <w:t>3</w:t>
            </w:r>
            <w:r w:rsidRPr="00E120D6">
              <w:rPr>
                <w:rFonts w:ascii="Arial Narrow" w:hAnsi="Arial Narrow"/>
                <w:snapToGrid w:val="0"/>
                <w:sz w:val="20"/>
                <w:szCs w:val="20"/>
              </w:rPr>
              <w:t>: New patient (</w:t>
            </w:r>
            <w:r>
              <w:rPr>
                <w:rFonts w:ascii="Arial Narrow" w:hAnsi="Arial Narrow"/>
                <w:snapToGrid w:val="0"/>
                <w:sz w:val="20"/>
                <w:szCs w:val="20"/>
              </w:rPr>
              <w:t>transitioning from PBS-subsidised garadacimab</w:t>
            </w:r>
            <w:r w:rsidRPr="00E120D6">
              <w:rPr>
                <w:rFonts w:ascii="Arial Narrow" w:hAnsi="Arial Narrow"/>
                <w:snapToGrid w:val="0"/>
                <w:sz w:val="20"/>
                <w:szCs w:val="20"/>
              </w:rPr>
              <w:t>)</w:t>
            </w:r>
            <w:r w:rsidRPr="00E120D6">
              <w:rPr>
                <w:rFonts w:ascii="Arial Narrow" w:hAnsi="Arial Narrow"/>
                <w:b/>
                <w:bCs/>
                <w:snapToGrid w:val="0"/>
                <w:sz w:val="20"/>
                <w:szCs w:val="20"/>
              </w:rPr>
              <w:t xml:space="preserve"> </w:t>
            </w:r>
          </w:p>
        </w:tc>
      </w:tr>
      <w:tr w:rsidR="0049602E" w:rsidRPr="00E120D6" w14:paraId="1C8540FC" w14:textId="77777777" w:rsidTr="00EC513E">
        <w:tc>
          <w:tcPr>
            <w:tcW w:w="626" w:type="pct"/>
            <w:vAlign w:val="center"/>
          </w:tcPr>
          <w:p w14:paraId="318437EA" w14:textId="77777777" w:rsidR="0049602E" w:rsidRPr="00E120D6" w:rsidRDefault="0049602E" w:rsidP="00F06281">
            <w:pPr>
              <w:widowControl w:val="0"/>
              <w:jc w:val="center"/>
              <w:rPr>
                <w:rFonts w:ascii="Arial Narrow" w:hAnsi="Arial Narrow"/>
                <w:snapToGrid w:val="0"/>
                <w:sz w:val="20"/>
                <w:szCs w:val="20"/>
              </w:rPr>
            </w:pPr>
          </w:p>
        </w:tc>
        <w:tc>
          <w:tcPr>
            <w:tcW w:w="4374" w:type="pct"/>
          </w:tcPr>
          <w:p w14:paraId="3861D716" w14:textId="77777777" w:rsidR="0049602E" w:rsidRPr="00E120D6" w:rsidRDefault="0049602E" w:rsidP="00F06281">
            <w:pPr>
              <w:widowControl w:val="0"/>
              <w:rPr>
                <w:rFonts w:ascii="Arial Narrow" w:hAnsi="Arial Narrow"/>
                <w:b/>
                <w:bCs/>
                <w:snapToGrid w:val="0"/>
                <w:sz w:val="20"/>
                <w:szCs w:val="20"/>
              </w:rPr>
            </w:pPr>
            <w:r w:rsidRPr="00E120D6">
              <w:rPr>
                <w:rFonts w:ascii="Arial Narrow" w:hAnsi="Arial Narrow"/>
                <w:b/>
                <w:bCs/>
                <w:snapToGrid w:val="0"/>
                <w:sz w:val="20"/>
                <w:szCs w:val="20"/>
              </w:rPr>
              <w:t xml:space="preserve">Clinical criteria: </w:t>
            </w:r>
          </w:p>
        </w:tc>
      </w:tr>
      <w:tr w:rsidR="0049602E" w:rsidRPr="00E120D6" w14:paraId="7195882A" w14:textId="77777777" w:rsidTr="00EC513E">
        <w:tc>
          <w:tcPr>
            <w:tcW w:w="626" w:type="pct"/>
            <w:vAlign w:val="center"/>
          </w:tcPr>
          <w:p w14:paraId="3F1ABCCB" w14:textId="700EF869" w:rsidR="0049602E" w:rsidRPr="00E120D6" w:rsidRDefault="0049602E" w:rsidP="00F06281">
            <w:pPr>
              <w:widowControl w:val="0"/>
              <w:jc w:val="center"/>
              <w:rPr>
                <w:rFonts w:ascii="Arial Narrow" w:hAnsi="Arial Narrow"/>
                <w:snapToGrid w:val="0"/>
                <w:sz w:val="20"/>
                <w:szCs w:val="20"/>
              </w:rPr>
            </w:pPr>
          </w:p>
        </w:tc>
        <w:tc>
          <w:tcPr>
            <w:tcW w:w="4374" w:type="pct"/>
          </w:tcPr>
          <w:p w14:paraId="7FC988E4" w14:textId="77777777" w:rsidR="0049602E" w:rsidRPr="00E120D6" w:rsidRDefault="0049602E" w:rsidP="00F06281">
            <w:pPr>
              <w:widowControl w:val="0"/>
              <w:rPr>
                <w:rFonts w:ascii="Arial Narrow" w:hAnsi="Arial Narrow"/>
                <w:snapToGrid w:val="0"/>
                <w:sz w:val="20"/>
                <w:szCs w:val="20"/>
                <w:highlight w:val="lightGray"/>
              </w:rPr>
            </w:pPr>
            <w:r w:rsidRPr="002D486D">
              <w:rPr>
                <w:rFonts w:ascii="Arial Narrow" w:hAnsi="Arial Narrow"/>
                <w:color w:val="333333"/>
                <w:sz w:val="20"/>
                <w:szCs w:val="20"/>
              </w:rPr>
              <w:t xml:space="preserve">Patient must have been receiving </w:t>
            </w:r>
            <w:r>
              <w:rPr>
                <w:rFonts w:ascii="Arial Narrow" w:hAnsi="Arial Narrow"/>
                <w:color w:val="333333"/>
                <w:sz w:val="20"/>
                <w:szCs w:val="20"/>
              </w:rPr>
              <w:t>garadacimab</w:t>
            </w:r>
            <w:r w:rsidRPr="002D486D">
              <w:rPr>
                <w:rFonts w:ascii="Arial Narrow" w:hAnsi="Arial Narrow"/>
                <w:color w:val="333333"/>
                <w:sz w:val="20"/>
                <w:szCs w:val="20"/>
              </w:rPr>
              <w:t xml:space="preserve"> through the PBS as routine prophylaxis for hereditary angioedema immediately prior to receiving this drug</w:t>
            </w:r>
            <w:r>
              <w:rPr>
                <w:rFonts w:ascii="Arial Narrow" w:hAnsi="Arial Narrow"/>
                <w:color w:val="333333"/>
                <w:sz w:val="20"/>
                <w:szCs w:val="20"/>
              </w:rPr>
              <w:t>.</w:t>
            </w:r>
          </w:p>
        </w:tc>
      </w:tr>
      <w:tr w:rsidR="0049602E" w:rsidRPr="00E120D6" w14:paraId="76E5A101" w14:textId="77777777" w:rsidTr="00EC513E">
        <w:tc>
          <w:tcPr>
            <w:tcW w:w="626" w:type="pct"/>
            <w:vAlign w:val="center"/>
          </w:tcPr>
          <w:p w14:paraId="10959E7C" w14:textId="77777777" w:rsidR="0049602E" w:rsidRPr="00E120D6" w:rsidRDefault="0049602E" w:rsidP="00F06281">
            <w:pPr>
              <w:widowControl w:val="0"/>
              <w:jc w:val="center"/>
              <w:rPr>
                <w:rFonts w:ascii="Arial Narrow" w:hAnsi="Arial Narrow"/>
                <w:snapToGrid w:val="0"/>
                <w:sz w:val="20"/>
                <w:szCs w:val="20"/>
              </w:rPr>
            </w:pPr>
          </w:p>
        </w:tc>
        <w:tc>
          <w:tcPr>
            <w:tcW w:w="4374" w:type="pct"/>
          </w:tcPr>
          <w:p w14:paraId="56EDABD3" w14:textId="77777777" w:rsidR="0049602E" w:rsidRPr="00E120D6" w:rsidRDefault="0049602E" w:rsidP="00F06281">
            <w:pPr>
              <w:widowControl w:val="0"/>
              <w:rPr>
                <w:rFonts w:ascii="Arial Narrow" w:hAnsi="Arial Narrow"/>
                <w:snapToGrid w:val="0"/>
                <w:sz w:val="20"/>
                <w:szCs w:val="20"/>
              </w:rPr>
            </w:pPr>
            <w:r w:rsidRPr="00E120D6">
              <w:rPr>
                <w:rFonts w:ascii="Arial Narrow" w:hAnsi="Arial Narrow"/>
                <w:snapToGrid w:val="0"/>
                <w:sz w:val="20"/>
                <w:szCs w:val="20"/>
              </w:rPr>
              <w:t>AND</w:t>
            </w:r>
          </w:p>
        </w:tc>
      </w:tr>
      <w:tr w:rsidR="0049602E" w:rsidRPr="00E120D6" w14:paraId="6EBC4AAE" w14:textId="77777777" w:rsidTr="00EC513E">
        <w:tc>
          <w:tcPr>
            <w:tcW w:w="626" w:type="pct"/>
            <w:vAlign w:val="center"/>
          </w:tcPr>
          <w:p w14:paraId="625E9E05" w14:textId="095CC1D8" w:rsidR="0049602E" w:rsidRPr="00E120D6" w:rsidRDefault="0049602E" w:rsidP="00F06281">
            <w:pPr>
              <w:widowControl w:val="0"/>
              <w:jc w:val="center"/>
              <w:rPr>
                <w:rFonts w:ascii="Arial Narrow" w:hAnsi="Arial Narrow"/>
                <w:snapToGrid w:val="0"/>
                <w:sz w:val="20"/>
                <w:szCs w:val="20"/>
              </w:rPr>
            </w:pPr>
          </w:p>
        </w:tc>
        <w:tc>
          <w:tcPr>
            <w:tcW w:w="4374" w:type="pct"/>
          </w:tcPr>
          <w:p w14:paraId="62E10CFE" w14:textId="77777777" w:rsidR="0049602E" w:rsidRPr="00E120D6" w:rsidRDefault="0049602E" w:rsidP="00F06281">
            <w:pPr>
              <w:widowControl w:val="0"/>
              <w:rPr>
                <w:rFonts w:ascii="Arial Narrow" w:hAnsi="Arial Narrow"/>
                <w:snapToGrid w:val="0"/>
                <w:sz w:val="20"/>
                <w:szCs w:val="20"/>
              </w:rPr>
            </w:pPr>
            <w:r w:rsidRPr="00E120D6">
              <w:rPr>
                <w:rFonts w:ascii="Arial Narrow" w:hAnsi="Arial Narrow"/>
                <w:b/>
                <w:bCs/>
                <w:snapToGrid w:val="0"/>
                <w:sz w:val="20"/>
                <w:szCs w:val="20"/>
              </w:rPr>
              <w:t>Clinical criteria:</w:t>
            </w:r>
          </w:p>
        </w:tc>
      </w:tr>
      <w:tr w:rsidR="0049602E" w:rsidRPr="00E120D6" w14:paraId="05BA3E69" w14:textId="77777777" w:rsidTr="00EC513E">
        <w:tc>
          <w:tcPr>
            <w:tcW w:w="626" w:type="pct"/>
            <w:vAlign w:val="center"/>
          </w:tcPr>
          <w:p w14:paraId="4889F051" w14:textId="46852BF3" w:rsidR="0049602E" w:rsidRPr="00E120D6" w:rsidRDefault="0049602E" w:rsidP="00F06281">
            <w:pPr>
              <w:widowControl w:val="0"/>
              <w:jc w:val="center"/>
              <w:rPr>
                <w:rFonts w:ascii="Arial Narrow" w:hAnsi="Arial Narrow"/>
                <w:snapToGrid w:val="0"/>
                <w:sz w:val="20"/>
                <w:szCs w:val="20"/>
              </w:rPr>
            </w:pPr>
          </w:p>
        </w:tc>
        <w:tc>
          <w:tcPr>
            <w:tcW w:w="4374" w:type="pct"/>
          </w:tcPr>
          <w:p w14:paraId="6ED53E0C" w14:textId="77777777" w:rsidR="0049602E" w:rsidRPr="00E120D6" w:rsidRDefault="0049602E" w:rsidP="00F06281">
            <w:pPr>
              <w:widowControl w:val="0"/>
              <w:rPr>
                <w:rFonts w:ascii="Arial Narrow" w:hAnsi="Arial Narrow"/>
                <w:snapToGrid w:val="0"/>
                <w:sz w:val="20"/>
                <w:szCs w:val="20"/>
              </w:rPr>
            </w:pPr>
            <w:r w:rsidRPr="00E120D6">
              <w:rPr>
                <w:rFonts w:ascii="Arial Narrow" w:hAnsi="Arial Narrow"/>
                <w:snapToGrid w:val="0"/>
                <w:sz w:val="20"/>
                <w:szCs w:val="20"/>
              </w:rPr>
              <w:t>The treatment must not be used in combination with a C1-esterase inhibitor concentrate</w:t>
            </w:r>
          </w:p>
        </w:tc>
      </w:tr>
      <w:tr w:rsidR="0049602E" w:rsidRPr="00E120D6" w14:paraId="355DE5A7" w14:textId="77777777" w:rsidTr="00EC513E">
        <w:tc>
          <w:tcPr>
            <w:tcW w:w="626" w:type="pct"/>
            <w:vAlign w:val="center"/>
          </w:tcPr>
          <w:p w14:paraId="54F8F2EC" w14:textId="77777777" w:rsidR="0049602E" w:rsidRPr="00E120D6" w:rsidRDefault="0049602E" w:rsidP="00F06281">
            <w:pPr>
              <w:widowControl w:val="0"/>
              <w:jc w:val="center"/>
              <w:rPr>
                <w:rFonts w:ascii="Arial Narrow" w:hAnsi="Arial Narrow"/>
                <w:snapToGrid w:val="0"/>
                <w:sz w:val="20"/>
                <w:szCs w:val="20"/>
              </w:rPr>
            </w:pPr>
          </w:p>
        </w:tc>
        <w:tc>
          <w:tcPr>
            <w:tcW w:w="4374" w:type="pct"/>
          </w:tcPr>
          <w:p w14:paraId="6D8C2B16" w14:textId="77777777" w:rsidR="0049602E" w:rsidRPr="00E120D6" w:rsidRDefault="0049602E" w:rsidP="00F06281">
            <w:pPr>
              <w:widowControl w:val="0"/>
              <w:rPr>
                <w:rFonts w:ascii="Arial Narrow" w:hAnsi="Arial Narrow"/>
                <w:snapToGrid w:val="0"/>
                <w:sz w:val="20"/>
                <w:szCs w:val="20"/>
              </w:rPr>
            </w:pPr>
            <w:r w:rsidRPr="00E120D6">
              <w:rPr>
                <w:rFonts w:ascii="Arial Narrow" w:hAnsi="Arial Narrow"/>
                <w:snapToGrid w:val="0"/>
                <w:sz w:val="20"/>
                <w:szCs w:val="20"/>
              </w:rPr>
              <w:t>AND</w:t>
            </w:r>
          </w:p>
        </w:tc>
      </w:tr>
      <w:tr w:rsidR="0049602E" w:rsidRPr="00E120D6" w14:paraId="6D2F1E76" w14:textId="77777777" w:rsidTr="00EC513E">
        <w:tc>
          <w:tcPr>
            <w:tcW w:w="626" w:type="pct"/>
            <w:vAlign w:val="center"/>
          </w:tcPr>
          <w:p w14:paraId="6E3FF87A" w14:textId="7DF3D0C1" w:rsidR="0049602E" w:rsidRPr="00E120D6" w:rsidRDefault="0049602E" w:rsidP="00F06281">
            <w:pPr>
              <w:widowControl w:val="0"/>
              <w:jc w:val="center"/>
              <w:rPr>
                <w:rFonts w:ascii="Arial Narrow" w:hAnsi="Arial Narrow"/>
                <w:snapToGrid w:val="0"/>
                <w:sz w:val="20"/>
                <w:szCs w:val="20"/>
              </w:rPr>
            </w:pPr>
          </w:p>
        </w:tc>
        <w:tc>
          <w:tcPr>
            <w:tcW w:w="4374" w:type="pct"/>
          </w:tcPr>
          <w:p w14:paraId="272C6518" w14:textId="77777777" w:rsidR="0049602E" w:rsidRPr="00E120D6" w:rsidRDefault="0049602E" w:rsidP="00F06281">
            <w:pPr>
              <w:widowControl w:val="0"/>
              <w:rPr>
                <w:rFonts w:ascii="Arial Narrow" w:hAnsi="Arial Narrow"/>
                <w:b/>
                <w:bCs/>
                <w:snapToGrid w:val="0"/>
                <w:sz w:val="20"/>
                <w:szCs w:val="20"/>
              </w:rPr>
            </w:pPr>
            <w:r w:rsidRPr="00E120D6">
              <w:rPr>
                <w:rFonts w:ascii="Arial Narrow" w:hAnsi="Arial Narrow"/>
                <w:b/>
                <w:bCs/>
                <w:snapToGrid w:val="0"/>
                <w:sz w:val="20"/>
                <w:szCs w:val="20"/>
              </w:rPr>
              <w:t>Treatment criteria:</w:t>
            </w:r>
          </w:p>
        </w:tc>
      </w:tr>
      <w:tr w:rsidR="0049602E" w:rsidRPr="00E120D6" w14:paraId="6E7E1758" w14:textId="77777777" w:rsidTr="00EC513E">
        <w:tc>
          <w:tcPr>
            <w:tcW w:w="626" w:type="pct"/>
            <w:vAlign w:val="center"/>
          </w:tcPr>
          <w:p w14:paraId="43B07F6A" w14:textId="0D9C8742" w:rsidR="0049602E" w:rsidRPr="00E120D6" w:rsidRDefault="0049602E" w:rsidP="00F06281">
            <w:pPr>
              <w:widowControl w:val="0"/>
              <w:jc w:val="center"/>
              <w:rPr>
                <w:rFonts w:ascii="Arial Narrow" w:hAnsi="Arial Narrow"/>
                <w:snapToGrid w:val="0"/>
                <w:sz w:val="20"/>
                <w:szCs w:val="20"/>
              </w:rPr>
            </w:pPr>
          </w:p>
        </w:tc>
        <w:tc>
          <w:tcPr>
            <w:tcW w:w="4374" w:type="pct"/>
          </w:tcPr>
          <w:p w14:paraId="6514EABC" w14:textId="77777777" w:rsidR="0049602E" w:rsidRPr="00E120D6" w:rsidRDefault="0049602E" w:rsidP="00F06281">
            <w:pPr>
              <w:widowControl w:val="0"/>
              <w:rPr>
                <w:rFonts w:ascii="Arial Narrow" w:hAnsi="Arial Narrow"/>
                <w:snapToGrid w:val="0"/>
                <w:sz w:val="20"/>
                <w:szCs w:val="20"/>
              </w:rPr>
            </w:pPr>
            <w:r w:rsidRPr="00E120D6">
              <w:rPr>
                <w:rFonts w:ascii="Arial Narrow" w:hAnsi="Arial Narrow"/>
                <w:snapToGrid w:val="0"/>
                <w:sz w:val="20"/>
                <w:szCs w:val="20"/>
              </w:rPr>
              <w:t>Must be treated by a clinical immunologist or a specialist allergist</w:t>
            </w:r>
          </w:p>
        </w:tc>
      </w:tr>
      <w:tr w:rsidR="0049602E" w:rsidRPr="00E120D6" w14:paraId="1AE55ACD" w14:textId="77777777" w:rsidTr="00EC513E">
        <w:tc>
          <w:tcPr>
            <w:tcW w:w="626" w:type="pct"/>
            <w:vAlign w:val="center"/>
          </w:tcPr>
          <w:p w14:paraId="55BDBF3C" w14:textId="48C187E7" w:rsidR="0049602E" w:rsidRPr="00E120D6" w:rsidRDefault="0049602E" w:rsidP="00F06281">
            <w:pPr>
              <w:widowControl w:val="0"/>
              <w:jc w:val="center"/>
              <w:rPr>
                <w:rFonts w:ascii="Arial Narrow" w:hAnsi="Arial Narrow"/>
                <w:snapToGrid w:val="0"/>
                <w:sz w:val="20"/>
                <w:szCs w:val="20"/>
              </w:rPr>
            </w:pPr>
          </w:p>
        </w:tc>
        <w:tc>
          <w:tcPr>
            <w:tcW w:w="4374" w:type="pct"/>
          </w:tcPr>
          <w:p w14:paraId="6B5E3563" w14:textId="77777777" w:rsidR="0049602E" w:rsidRPr="00E120D6" w:rsidRDefault="0049602E" w:rsidP="00F06281">
            <w:pPr>
              <w:widowControl w:val="0"/>
              <w:rPr>
                <w:rFonts w:ascii="Arial Narrow" w:hAnsi="Arial Narrow"/>
                <w:snapToGrid w:val="0"/>
                <w:sz w:val="20"/>
                <w:szCs w:val="20"/>
              </w:rPr>
            </w:pPr>
            <w:r w:rsidRPr="00E120D6">
              <w:rPr>
                <w:rFonts w:ascii="Arial Narrow" w:hAnsi="Arial Narrow"/>
                <w:b/>
                <w:bCs/>
                <w:snapToGrid w:val="0"/>
                <w:sz w:val="20"/>
                <w:szCs w:val="20"/>
              </w:rPr>
              <w:t>Administrative advice:</w:t>
            </w:r>
          </w:p>
          <w:p w14:paraId="183319F1" w14:textId="77777777" w:rsidR="0049602E" w:rsidRPr="00E120D6" w:rsidRDefault="0049602E" w:rsidP="00F06281">
            <w:pPr>
              <w:widowControl w:val="0"/>
              <w:rPr>
                <w:rFonts w:ascii="Arial Narrow" w:hAnsi="Arial Narrow"/>
                <w:i/>
                <w:iCs/>
                <w:snapToGrid w:val="0"/>
                <w:sz w:val="20"/>
                <w:szCs w:val="20"/>
              </w:rPr>
            </w:pPr>
            <w:r w:rsidRPr="00E120D6">
              <w:rPr>
                <w:rFonts w:ascii="Arial Narrow" w:hAnsi="Arial Narrow"/>
                <w:i/>
                <w:iCs/>
                <w:snapToGrid w:val="0"/>
                <w:sz w:val="20"/>
                <w:szCs w:val="20"/>
              </w:rPr>
              <w:t>Any queries concerning the arrangements to prescribe may be directed to Services Australia on 1800 700 270 (hours of operation 8 a.m. to 5 p.m. Monday to Friday).</w:t>
            </w:r>
          </w:p>
          <w:p w14:paraId="7B76F981" w14:textId="77777777" w:rsidR="0049602E" w:rsidRPr="00E120D6" w:rsidRDefault="0049602E" w:rsidP="00F06281">
            <w:pPr>
              <w:widowControl w:val="0"/>
              <w:rPr>
                <w:rFonts w:ascii="Arial Narrow" w:hAnsi="Arial Narrow"/>
                <w:i/>
                <w:iCs/>
                <w:snapToGrid w:val="0"/>
                <w:sz w:val="20"/>
                <w:szCs w:val="20"/>
              </w:rPr>
            </w:pPr>
            <w:r w:rsidRPr="00E120D6">
              <w:rPr>
                <w:rFonts w:ascii="Arial Narrow" w:hAnsi="Arial Narrow"/>
                <w:i/>
                <w:iCs/>
                <w:snapToGrid w:val="0"/>
                <w:sz w:val="20"/>
                <w:szCs w:val="20"/>
              </w:rPr>
              <w:t>Prescribing information (including Authority Application forms and other relevant documentation as applicable) is available on the Services Australia website at www.servicesaustralia.gov.au</w:t>
            </w:r>
          </w:p>
          <w:p w14:paraId="1E4ECA98" w14:textId="77777777" w:rsidR="0049602E" w:rsidRPr="00E120D6" w:rsidRDefault="0049602E" w:rsidP="00F06281">
            <w:pPr>
              <w:widowControl w:val="0"/>
              <w:rPr>
                <w:rFonts w:ascii="Arial Narrow" w:hAnsi="Arial Narrow"/>
                <w:i/>
                <w:iCs/>
                <w:snapToGrid w:val="0"/>
                <w:sz w:val="20"/>
                <w:szCs w:val="20"/>
              </w:rPr>
            </w:pPr>
            <w:r w:rsidRPr="00E120D6">
              <w:rPr>
                <w:rFonts w:ascii="Arial Narrow" w:hAnsi="Arial Narrow"/>
                <w:i/>
                <w:iCs/>
                <w:snapToGrid w:val="0"/>
                <w:sz w:val="20"/>
                <w:szCs w:val="20"/>
              </w:rPr>
              <w:t>Applications for authority to prescribe should be submitted online using the form upload facility in Health Professional Online Services (HPOS) at www.servicesaustralia.gov.au/hpos</w:t>
            </w:r>
          </w:p>
          <w:p w14:paraId="4FBEDF17" w14:textId="77777777" w:rsidR="0049602E" w:rsidRPr="00E120D6" w:rsidRDefault="0049602E" w:rsidP="00F06281">
            <w:pPr>
              <w:widowControl w:val="0"/>
              <w:rPr>
                <w:rFonts w:ascii="Arial Narrow" w:hAnsi="Arial Narrow"/>
                <w:i/>
                <w:iCs/>
                <w:snapToGrid w:val="0"/>
                <w:sz w:val="20"/>
                <w:szCs w:val="20"/>
              </w:rPr>
            </w:pPr>
            <w:r w:rsidRPr="00E120D6">
              <w:rPr>
                <w:rFonts w:ascii="Arial Narrow" w:hAnsi="Arial Narrow"/>
                <w:i/>
                <w:iCs/>
                <w:snapToGrid w:val="0"/>
                <w:sz w:val="20"/>
                <w:szCs w:val="20"/>
              </w:rPr>
              <w:t>Or mailed to:</w:t>
            </w:r>
          </w:p>
          <w:p w14:paraId="68816632" w14:textId="77777777" w:rsidR="0049602E" w:rsidRPr="00E120D6" w:rsidRDefault="0049602E" w:rsidP="00F06281">
            <w:pPr>
              <w:widowControl w:val="0"/>
              <w:rPr>
                <w:rFonts w:ascii="Arial Narrow" w:hAnsi="Arial Narrow"/>
                <w:i/>
                <w:iCs/>
                <w:snapToGrid w:val="0"/>
                <w:sz w:val="20"/>
                <w:szCs w:val="20"/>
              </w:rPr>
            </w:pPr>
            <w:r w:rsidRPr="00E120D6">
              <w:rPr>
                <w:rFonts w:ascii="Arial Narrow" w:hAnsi="Arial Narrow"/>
                <w:i/>
                <w:iCs/>
                <w:snapToGrid w:val="0"/>
                <w:sz w:val="20"/>
                <w:szCs w:val="20"/>
              </w:rPr>
              <w:t>Services Australia</w:t>
            </w:r>
          </w:p>
          <w:p w14:paraId="473A7B22" w14:textId="77777777" w:rsidR="0049602E" w:rsidRPr="00E120D6" w:rsidRDefault="0049602E" w:rsidP="00F06281">
            <w:pPr>
              <w:widowControl w:val="0"/>
              <w:rPr>
                <w:rFonts w:ascii="Arial Narrow" w:hAnsi="Arial Narrow"/>
                <w:i/>
                <w:iCs/>
                <w:snapToGrid w:val="0"/>
                <w:sz w:val="20"/>
                <w:szCs w:val="20"/>
              </w:rPr>
            </w:pPr>
            <w:r w:rsidRPr="00E120D6">
              <w:rPr>
                <w:rFonts w:ascii="Arial Narrow" w:hAnsi="Arial Narrow"/>
                <w:i/>
                <w:iCs/>
                <w:snapToGrid w:val="0"/>
                <w:sz w:val="20"/>
                <w:szCs w:val="20"/>
              </w:rPr>
              <w:t>Complex Drugs</w:t>
            </w:r>
          </w:p>
          <w:p w14:paraId="2992A191" w14:textId="77777777" w:rsidR="0049602E" w:rsidRPr="00E120D6" w:rsidRDefault="0049602E" w:rsidP="00F06281">
            <w:pPr>
              <w:widowControl w:val="0"/>
              <w:rPr>
                <w:rFonts w:ascii="Arial Narrow" w:hAnsi="Arial Narrow"/>
                <w:i/>
                <w:iCs/>
                <w:snapToGrid w:val="0"/>
                <w:sz w:val="20"/>
                <w:szCs w:val="20"/>
              </w:rPr>
            </w:pPr>
            <w:r w:rsidRPr="00E120D6">
              <w:rPr>
                <w:rFonts w:ascii="Arial Narrow" w:hAnsi="Arial Narrow"/>
                <w:i/>
                <w:iCs/>
                <w:snapToGrid w:val="0"/>
                <w:sz w:val="20"/>
                <w:szCs w:val="20"/>
              </w:rPr>
              <w:t>Reply Paid 9826</w:t>
            </w:r>
          </w:p>
          <w:p w14:paraId="794D05D3" w14:textId="77777777" w:rsidR="0049602E" w:rsidRPr="00E120D6" w:rsidRDefault="0049602E" w:rsidP="00F06281">
            <w:pPr>
              <w:widowControl w:val="0"/>
              <w:rPr>
                <w:rFonts w:ascii="Arial Narrow" w:hAnsi="Arial Narrow"/>
                <w:snapToGrid w:val="0"/>
                <w:sz w:val="20"/>
                <w:szCs w:val="20"/>
              </w:rPr>
            </w:pPr>
            <w:r w:rsidRPr="00E120D6">
              <w:rPr>
                <w:rFonts w:ascii="Arial Narrow" w:hAnsi="Arial Narrow"/>
                <w:i/>
                <w:iCs/>
                <w:snapToGrid w:val="0"/>
                <w:sz w:val="20"/>
                <w:szCs w:val="20"/>
              </w:rPr>
              <w:t>HOBART TAS 7001</w:t>
            </w:r>
          </w:p>
        </w:tc>
      </w:tr>
    </w:tbl>
    <w:p w14:paraId="07613E54" w14:textId="441441AC" w:rsidR="004F0CC7" w:rsidRPr="004F0CC7" w:rsidRDefault="004F0CC7" w:rsidP="00F06281">
      <w:pPr>
        <w:spacing w:before="240"/>
        <w:rPr>
          <w:rFonts w:asciiTheme="minorHAnsi" w:hAnsiTheme="minorHAnsi"/>
          <w:b/>
          <w:i/>
          <w:iCs/>
          <w:snapToGrid w:val="0"/>
          <w:lang w:val="en-GB"/>
        </w:rPr>
      </w:pPr>
      <w:r w:rsidRPr="00383EAA">
        <w:rPr>
          <w:rFonts w:asciiTheme="minorHAnsi" w:hAnsiTheme="minorHAnsi"/>
          <w:b/>
          <w:i/>
          <w:iCs/>
          <w:snapToGrid w:val="0"/>
          <w:lang w:val="en-GB"/>
        </w:rPr>
        <w:t>These restrictions may be subject to further review. Should there be any changes made to the restriction the sponsor will be informed.</w:t>
      </w:r>
    </w:p>
    <w:p w14:paraId="5E686508" w14:textId="77777777" w:rsidR="006F16E3" w:rsidRPr="006F16E3" w:rsidRDefault="006F16E3" w:rsidP="006F16E3">
      <w:pPr>
        <w:keepNext/>
        <w:numPr>
          <w:ilvl w:val="0"/>
          <w:numId w:val="1"/>
        </w:numPr>
        <w:spacing w:before="240" w:after="120"/>
        <w:jc w:val="left"/>
        <w:outlineLvl w:val="0"/>
        <w:rPr>
          <w:rFonts w:asciiTheme="minorHAnsi" w:hAnsiTheme="minorHAnsi" w:cs="Times New Roman"/>
          <w:b/>
          <w:bCs/>
          <w:snapToGrid w:val="0"/>
          <w:sz w:val="32"/>
          <w:szCs w:val="32"/>
          <w:lang w:val="en-GB"/>
        </w:rPr>
      </w:pPr>
      <w:bookmarkStart w:id="85" w:name="_Hlk175730821"/>
      <w:bookmarkEnd w:id="79"/>
      <w:r w:rsidRPr="006F16E3">
        <w:rPr>
          <w:rFonts w:asciiTheme="minorHAnsi" w:hAnsiTheme="minorHAnsi" w:cs="Times New Roman"/>
          <w:b/>
          <w:bCs/>
          <w:snapToGrid w:val="0"/>
          <w:sz w:val="32"/>
          <w:szCs w:val="32"/>
        </w:rPr>
        <w:t>Context for Decision</w:t>
      </w:r>
    </w:p>
    <w:p w14:paraId="65F8D113" w14:textId="77777777" w:rsidR="006F16E3" w:rsidRPr="006F16E3" w:rsidRDefault="006F16E3" w:rsidP="004F678D">
      <w:pPr>
        <w:spacing w:after="120"/>
        <w:ind w:left="720"/>
        <w:rPr>
          <w:rFonts w:asciiTheme="minorHAnsi" w:hAnsiTheme="minorHAnsi" w:cs="Times New Roman"/>
          <w:bCs/>
          <w:lang w:val="en-GB"/>
        </w:rPr>
      </w:pPr>
      <w:r w:rsidRPr="006F16E3">
        <w:rPr>
          <w:rFonts w:asciiTheme="minorHAnsi" w:hAnsiTheme="minorHAnsi" w:cs="Times New Roman"/>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579B8B2" w14:textId="77777777" w:rsidR="006F16E3" w:rsidRPr="006F16E3" w:rsidRDefault="006F16E3" w:rsidP="006F16E3">
      <w:pPr>
        <w:keepNext/>
        <w:numPr>
          <w:ilvl w:val="0"/>
          <w:numId w:val="1"/>
        </w:numPr>
        <w:spacing w:before="240" w:after="120"/>
        <w:jc w:val="left"/>
        <w:outlineLvl w:val="0"/>
        <w:rPr>
          <w:rFonts w:asciiTheme="minorHAnsi" w:hAnsiTheme="minorHAnsi" w:cs="Times New Roman"/>
          <w:b/>
          <w:snapToGrid w:val="0"/>
          <w:sz w:val="32"/>
          <w:szCs w:val="32"/>
        </w:rPr>
      </w:pPr>
      <w:r w:rsidRPr="006F16E3">
        <w:rPr>
          <w:rFonts w:asciiTheme="minorHAnsi" w:hAnsiTheme="minorHAnsi" w:cs="Times New Roman"/>
          <w:b/>
          <w:snapToGrid w:val="0"/>
          <w:sz w:val="32"/>
          <w:szCs w:val="32"/>
        </w:rPr>
        <w:t>Sponsor’s Comment</w:t>
      </w:r>
    </w:p>
    <w:p w14:paraId="0DAE258F" w14:textId="47E0CD4F" w:rsidR="004F0CC7" w:rsidRPr="004F0CC7" w:rsidRDefault="00813B61" w:rsidP="004F678D">
      <w:pPr>
        <w:spacing w:after="120" w:line="276" w:lineRule="auto"/>
        <w:ind w:left="720"/>
        <w:rPr>
          <w:i/>
          <w:iCs/>
          <w:lang w:val="en-GB"/>
        </w:rPr>
      </w:pPr>
      <w:r w:rsidRPr="00E8581E">
        <w:rPr>
          <w:rFonts w:asciiTheme="minorHAnsi" w:eastAsiaTheme="minorHAnsi" w:hAnsiTheme="minorHAnsi" w:cs="Times New Roman"/>
          <w:bCs/>
          <w:szCs w:val="22"/>
          <w:lang w:val="en-GB" w:eastAsia="en-US"/>
        </w:rPr>
        <w:t xml:space="preserve">CSL Behring </w:t>
      </w:r>
      <w:r w:rsidR="006515A5" w:rsidRPr="00E8581E">
        <w:rPr>
          <w:rFonts w:asciiTheme="minorHAnsi" w:eastAsiaTheme="minorHAnsi" w:hAnsiTheme="minorHAnsi" w:cs="Times New Roman"/>
          <w:bCs/>
          <w:szCs w:val="22"/>
          <w:lang w:val="en-GB" w:eastAsia="en-US"/>
        </w:rPr>
        <w:t xml:space="preserve">welcomes </w:t>
      </w:r>
      <w:r w:rsidR="00C96AD5" w:rsidRPr="00E8581E">
        <w:rPr>
          <w:rFonts w:asciiTheme="minorHAnsi" w:eastAsiaTheme="minorHAnsi" w:hAnsiTheme="minorHAnsi" w:cs="Times New Roman"/>
          <w:bCs/>
          <w:szCs w:val="22"/>
          <w:lang w:val="en-GB" w:eastAsia="en-US"/>
        </w:rPr>
        <w:t xml:space="preserve">the </w:t>
      </w:r>
      <w:r w:rsidR="00FF2415" w:rsidRPr="00E8581E">
        <w:rPr>
          <w:rFonts w:asciiTheme="minorHAnsi" w:eastAsiaTheme="minorHAnsi" w:hAnsiTheme="minorHAnsi" w:cs="Times New Roman"/>
          <w:bCs/>
          <w:szCs w:val="22"/>
          <w:lang w:val="en-GB" w:eastAsia="en-US"/>
        </w:rPr>
        <w:t xml:space="preserve">PBAC’s decision </w:t>
      </w:r>
      <w:r w:rsidR="00132F0F" w:rsidRPr="00E8581E">
        <w:rPr>
          <w:rFonts w:asciiTheme="minorHAnsi" w:eastAsiaTheme="minorHAnsi" w:hAnsiTheme="minorHAnsi" w:cs="Times New Roman"/>
          <w:bCs/>
          <w:szCs w:val="22"/>
          <w:lang w:val="en-GB" w:eastAsia="en-US"/>
        </w:rPr>
        <w:t xml:space="preserve">to recommend </w:t>
      </w:r>
      <w:r w:rsidR="000B4BC6" w:rsidRPr="00E8581E">
        <w:rPr>
          <w:rFonts w:asciiTheme="minorHAnsi" w:eastAsiaTheme="minorHAnsi" w:hAnsiTheme="minorHAnsi" w:cs="Times New Roman"/>
          <w:bCs/>
          <w:szCs w:val="22"/>
          <w:lang w:val="en-GB" w:eastAsia="en-US"/>
        </w:rPr>
        <w:t xml:space="preserve">the PBS listing </w:t>
      </w:r>
      <w:r w:rsidR="0062592E" w:rsidRPr="00E8581E">
        <w:rPr>
          <w:rFonts w:asciiTheme="minorHAnsi" w:eastAsiaTheme="minorHAnsi" w:hAnsiTheme="minorHAnsi" w:cs="Times New Roman"/>
          <w:bCs/>
          <w:szCs w:val="22"/>
          <w:lang w:val="en-GB" w:eastAsia="en-US"/>
        </w:rPr>
        <w:t>of</w:t>
      </w:r>
      <w:r w:rsidR="00004E8A" w:rsidRPr="00E8581E">
        <w:rPr>
          <w:rFonts w:asciiTheme="minorHAnsi" w:eastAsiaTheme="minorHAnsi" w:hAnsiTheme="minorHAnsi" w:cs="Times New Roman"/>
          <w:bCs/>
          <w:szCs w:val="22"/>
          <w:lang w:val="en-GB" w:eastAsia="en-US"/>
        </w:rPr>
        <w:t xml:space="preserve"> </w:t>
      </w:r>
      <w:proofErr w:type="spellStart"/>
      <w:r w:rsidR="00004E8A" w:rsidRPr="00E8581E">
        <w:rPr>
          <w:rFonts w:asciiTheme="minorHAnsi" w:eastAsiaTheme="minorHAnsi" w:hAnsiTheme="minorHAnsi" w:cs="Times New Roman"/>
          <w:bCs/>
          <w:szCs w:val="22"/>
          <w:lang w:val="en-GB" w:eastAsia="en-US"/>
        </w:rPr>
        <w:t>Andembry</w:t>
      </w:r>
      <w:proofErr w:type="spellEnd"/>
      <w:r w:rsidR="00004E8A" w:rsidRPr="00E8581E">
        <w:rPr>
          <w:rFonts w:asciiTheme="minorHAnsi" w:eastAsiaTheme="minorHAnsi" w:hAnsiTheme="minorHAnsi" w:cs="Times New Roman"/>
          <w:bCs/>
          <w:szCs w:val="22"/>
          <w:lang w:val="en-GB" w:eastAsia="en-US"/>
        </w:rPr>
        <w:t xml:space="preserve">® and </w:t>
      </w:r>
      <w:r w:rsidR="00673E55" w:rsidRPr="00E8581E">
        <w:rPr>
          <w:rFonts w:asciiTheme="minorHAnsi" w:eastAsiaTheme="minorHAnsi" w:hAnsiTheme="minorHAnsi" w:cs="Times New Roman"/>
          <w:bCs/>
          <w:szCs w:val="22"/>
          <w:lang w:val="en-GB" w:eastAsia="en-US"/>
        </w:rPr>
        <w:t>looks forward to working with the Department</w:t>
      </w:r>
      <w:r w:rsidR="004628D8" w:rsidRPr="00E8581E">
        <w:rPr>
          <w:rFonts w:asciiTheme="minorHAnsi" w:eastAsiaTheme="minorHAnsi" w:hAnsiTheme="minorHAnsi" w:cs="Times New Roman"/>
          <w:bCs/>
          <w:szCs w:val="22"/>
          <w:lang w:val="en-GB" w:eastAsia="en-US"/>
        </w:rPr>
        <w:t xml:space="preserve"> to</w:t>
      </w:r>
      <w:r w:rsidR="00673E55" w:rsidRPr="00E8581E">
        <w:rPr>
          <w:rFonts w:asciiTheme="minorHAnsi" w:eastAsiaTheme="minorHAnsi" w:hAnsiTheme="minorHAnsi" w:cs="Times New Roman"/>
          <w:bCs/>
          <w:szCs w:val="22"/>
          <w:lang w:val="en-GB" w:eastAsia="en-US"/>
        </w:rPr>
        <w:t xml:space="preserve"> </w:t>
      </w:r>
      <w:r w:rsidR="00B770A7" w:rsidRPr="00E8581E">
        <w:rPr>
          <w:rFonts w:asciiTheme="minorHAnsi" w:eastAsiaTheme="minorHAnsi" w:hAnsiTheme="minorHAnsi" w:cs="Times New Roman"/>
          <w:bCs/>
          <w:szCs w:val="22"/>
          <w:lang w:val="en-GB" w:eastAsia="en-US"/>
        </w:rPr>
        <w:t>make th</w:t>
      </w:r>
      <w:r w:rsidR="00BA2AAE" w:rsidRPr="00E8581E">
        <w:rPr>
          <w:rFonts w:asciiTheme="minorHAnsi" w:eastAsiaTheme="minorHAnsi" w:hAnsiTheme="minorHAnsi" w:cs="Times New Roman"/>
          <w:bCs/>
          <w:szCs w:val="22"/>
          <w:lang w:val="en-GB" w:eastAsia="en-US"/>
        </w:rPr>
        <w:t>is</w:t>
      </w:r>
      <w:r w:rsidR="00B770A7" w:rsidRPr="00E8581E">
        <w:rPr>
          <w:rFonts w:asciiTheme="minorHAnsi" w:eastAsiaTheme="minorHAnsi" w:hAnsiTheme="minorHAnsi" w:cs="Times New Roman"/>
          <w:bCs/>
          <w:szCs w:val="22"/>
          <w:lang w:val="en-GB" w:eastAsia="en-US"/>
        </w:rPr>
        <w:t xml:space="preserve"> treatment accessible to patients</w:t>
      </w:r>
      <w:r w:rsidR="00BA2AAE" w:rsidRPr="00E8581E">
        <w:rPr>
          <w:rFonts w:asciiTheme="minorHAnsi" w:eastAsiaTheme="minorHAnsi" w:hAnsiTheme="minorHAnsi" w:cs="Times New Roman"/>
          <w:bCs/>
          <w:szCs w:val="22"/>
          <w:lang w:val="en-GB" w:eastAsia="en-US"/>
        </w:rPr>
        <w:t xml:space="preserve"> as soon as possible.</w:t>
      </w:r>
      <w:bookmarkEnd w:id="85"/>
    </w:p>
    <w:sectPr w:rsidR="004F0CC7" w:rsidRPr="004F0CC7" w:rsidSect="00567CF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E8B7B" w14:textId="77777777" w:rsidR="000327BF" w:rsidRDefault="000327BF" w:rsidP="00124A51">
      <w:r>
        <w:separator/>
      </w:r>
    </w:p>
    <w:p w14:paraId="52B9AC66" w14:textId="77777777" w:rsidR="000327BF" w:rsidRDefault="000327BF"/>
  </w:endnote>
  <w:endnote w:type="continuationSeparator" w:id="0">
    <w:p w14:paraId="00DADEF7" w14:textId="77777777" w:rsidR="000327BF" w:rsidRDefault="000327BF" w:rsidP="00124A51">
      <w:r>
        <w:continuationSeparator/>
      </w:r>
    </w:p>
    <w:p w14:paraId="67A8643F" w14:textId="77777777" w:rsidR="000327BF" w:rsidRDefault="000327BF"/>
  </w:endnote>
  <w:endnote w:type="continuationNotice" w:id="1">
    <w:p w14:paraId="173BC9AD" w14:textId="77777777" w:rsidR="000327BF" w:rsidRDefault="00032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C929" w14:textId="77777777" w:rsidR="0056079A" w:rsidRDefault="00560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D937" w14:textId="77777777" w:rsidR="00567CFD" w:rsidRDefault="00567CFD" w:rsidP="00753B29">
    <w:pPr>
      <w:pStyle w:val="Footer"/>
      <w:jc w:val="center"/>
    </w:pPr>
  </w:p>
  <w:p w14:paraId="421ABD8A" w14:textId="1839256B" w:rsidR="00567CFD" w:rsidRPr="007C1CD9" w:rsidRDefault="00282C49" w:rsidP="006028D3">
    <w:pPr>
      <w:pStyle w:val="PageFooter"/>
    </w:pPr>
    <w:r>
      <w:t xml:space="preserve"> </w:t>
    </w:r>
    <w:r w:rsidR="00567CFD">
      <w:fldChar w:fldCharType="begin"/>
    </w:r>
    <w:r w:rsidR="00567CFD">
      <w:instrText xml:space="preserve"> PAGE  \* Arabic  \* MERGEFORMAT </w:instrText>
    </w:r>
    <w:r w:rsidR="00567CFD">
      <w:fldChar w:fldCharType="separate"/>
    </w:r>
    <w:r w:rsidR="00567CFD">
      <w:rPr>
        <w:noProof/>
      </w:rPr>
      <w:t>3</w:t>
    </w:r>
    <w:r w:rsidR="00567CF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B311" w14:textId="77777777" w:rsidR="0056079A" w:rsidRDefault="00560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1315C" w14:textId="77777777" w:rsidR="000327BF" w:rsidRDefault="000327BF" w:rsidP="00124A51">
      <w:r>
        <w:separator/>
      </w:r>
    </w:p>
    <w:p w14:paraId="4BBF949A" w14:textId="77777777" w:rsidR="000327BF" w:rsidRDefault="000327BF"/>
  </w:footnote>
  <w:footnote w:type="continuationSeparator" w:id="0">
    <w:p w14:paraId="2168C574" w14:textId="77777777" w:rsidR="000327BF" w:rsidRDefault="000327BF" w:rsidP="00124A51">
      <w:r>
        <w:continuationSeparator/>
      </w:r>
    </w:p>
    <w:p w14:paraId="4B6BB740" w14:textId="77777777" w:rsidR="000327BF" w:rsidRDefault="000327BF"/>
  </w:footnote>
  <w:footnote w:type="continuationNotice" w:id="1">
    <w:p w14:paraId="0E4ED8A9" w14:textId="77777777" w:rsidR="000327BF" w:rsidRDefault="000327BF"/>
  </w:footnote>
  <w:footnote w:id="2">
    <w:p w14:paraId="10E9C3F3" w14:textId="77777777" w:rsidR="008D10F1" w:rsidRDefault="008D10F1" w:rsidP="008D10F1">
      <w:pPr>
        <w:pStyle w:val="FootnoteText"/>
      </w:pPr>
      <w:r>
        <w:rPr>
          <w:rStyle w:val="FootnoteReference"/>
        </w:rPr>
        <w:footnoteRef/>
      </w:r>
      <w:r>
        <w:t xml:space="preserve"> Maurer M </w:t>
      </w:r>
      <w:r w:rsidRPr="001E6FCE">
        <w:rPr>
          <w:i/>
          <w:iCs/>
        </w:rPr>
        <w:t>et al</w:t>
      </w:r>
      <w:r>
        <w:t xml:space="preserve">. </w:t>
      </w:r>
      <w:r w:rsidRPr="00270878">
        <w:t>The international WAO/EAACI guideline for the management of hereditary angioedema - The 2021 revision and update</w:t>
      </w:r>
      <w:r>
        <w:t xml:space="preserve">. </w:t>
      </w:r>
      <w:r w:rsidRPr="001E6FCE">
        <w:rPr>
          <w:i/>
          <w:iCs/>
        </w:rPr>
        <w:t>World Allergy Organ J</w:t>
      </w:r>
      <w:r>
        <w:t>. 2022; 15(3): 100627</w:t>
      </w:r>
    </w:p>
  </w:footnote>
  <w:footnote w:id="3">
    <w:p w14:paraId="730EF952" w14:textId="77777777" w:rsidR="008D10F1" w:rsidRDefault="008D10F1" w:rsidP="008D10F1">
      <w:pPr>
        <w:pStyle w:val="FootnoteText"/>
      </w:pPr>
      <w:r>
        <w:rPr>
          <w:rStyle w:val="FootnoteReference"/>
        </w:rPr>
        <w:footnoteRef/>
      </w:r>
      <w:r>
        <w:t xml:space="preserve"> National Blood Agreement. URL: </w:t>
      </w:r>
      <w:r w:rsidRPr="006F7777">
        <w:t>https://www.blood.gov.au/national-blood-agreement</w:t>
      </w:r>
    </w:p>
  </w:footnote>
  <w:footnote w:id="4">
    <w:p w14:paraId="412380EB" w14:textId="77777777" w:rsidR="001E484C" w:rsidRDefault="001E484C" w:rsidP="001E484C">
      <w:pPr>
        <w:pStyle w:val="FootnoteText"/>
      </w:pPr>
      <w:r>
        <w:rPr>
          <w:rStyle w:val="FootnoteReference"/>
        </w:rPr>
        <w:footnoteRef/>
      </w:r>
      <w:r>
        <w:t xml:space="preserve"> </w:t>
      </w:r>
      <w:r w:rsidRPr="000B4FBA">
        <w:t>Bucher HC</w:t>
      </w:r>
      <w:r>
        <w:t xml:space="preserve"> </w:t>
      </w:r>
      <w:r>
        <w:rPr>
          <w:i/>
          <w:iCs/>
        </w:rPr>
        <w:t>et al</w:t>
      </w:r>
      <w:r w:rsidRPr="000B4FBA">
        <w:t xml:space="preserve">. The results of direct and indirect treatment comparisons in meta-analysis of randomized controlled trials. </w:t>
      </w:r>
      <w:r w:rsidRPr="001E6FCE">
        <w:rPr>
          <w:i/>
          <w:iCs/>
        </w:rPr>
        <w:t>J Clin Epidemiol</w:t>
      </w:r>
      <w:r w:rsidRPr="000B4FBA">
        <w:t>. 1997;50(6):683-91.</w:t>
      </w:r>
    </w:p>
  </w:footnote>
  <w:footnote w:id="5">
    <w:p w14:paraId="06D0AA02" w14:textId="23A45A73" w:rsidR="16674D5D" w:rsidRDefault="16674D5D" w:rsidP="008E40AF">
      <w:pPr>
        <w:pStyle w:val="FootnoteText"/>
      </w:pPr>
      <w:r w:rsidRPr="16674D5D">
        <w:rPr>
          <w:rStyle w:val="FootnoteReference"/>
        </w:rPr>
        <w:footnoteRef/>
      </w:r>
      <w:r w:rsidR="100D685D">
        <w:t xml:space="preserve"> Standard deviation</w:t>
      </w:r>
    </w:p>
  </w:footnote>
  <w:footnote w:id="6">
    <w:p w14:paraId="5A21AB23" w14:textId="77777777" w:rsidR="0019518B" w:rsidRDefault="0019518B" w:rsidP="0019518B">
      <w:pPr>
        <w:pStyle w:val="FootnoteText"/>
      </w:pPr>
      <w:r>
        <w:rPr>
          <w:rStyle w:val="FootnoteReference"/>
        </w:rPr>
        <w:footnoteRef/>
      </w:r>
      <w:r>
        <w:t xml:space="preserve"> A reduction of </w:t>
      </w:r>
      <w:r w:rsidRPr="00A30929">
        <w:t>≥ 6 points</w:t>
      </w:r>
      <w:r>
        <w:t xml:space="preserve"> in Angioedema QoL score was considered clinically relevant. A lower score means better quality of life. </w:t>
      </w:r>
    </w:p>
  </w:footnote>
  <w:footnote w:id="7">
    <w:p w14:paraId="610A9324" w14:textId="77777777" w:rsidR="00E6346D" w:rsidRDefault="00E6346D" w:rsidP="00E6346D">
      <w:pPr>
        <w:pStyle w:val="FootnoteText"/>
      </w:pPr>
      <w:r>
        <w:rPr>
          <w:rStyle w:val="FootnoteReference"/>
        </w:rPr>
        <w:footnoteRef/>
      </w:r>
      <w:r>
        <w:t xml:space="preserve"> In VANGUARD, the following events were considered AESIs: thromboembolic events, bleeding events and severe hypersensitivity/anaphylaxis.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163A" w14:textId="77777777" w:rsidR="0056079A" w:rsidRDefault="00560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7068" w14:textId="0BBD4E24" w:rsidR="00324372" w:rsidRPr="00195452" w:rsidRDefault="00F439ED" w:rsidP="00324372">
    <w:pPr>
      <w:pStyle w:val="Header"/>
      <w:rPr>
        <w:rFonts w:asciiTheme="minorHAnsi" w:hAnsiTheme="minorHAnsi"/>
        <w:i w:val="0"/>
        <w:color w:val="808080"/>
      </w:rPr>
    </w:pPr>
    <w:r w:rsidRPr="00F439ED">
      <w:rPr>
        <w:rFonts w:asciiTheme="minorHAnsi" w:hAnsiTheme="minorHAnsi"/>
        <w:color w:val="808080"/>
      </w:rPr>
      <w:t xml:space="preserve">Public Summary Document </w:t>
    </w:r>
    <w:r w:rsidR="00282C49">
      <w:rPr>
        <w:rFonts w:asciiTheme="minorHAnsi" w:hAnsiTheme="minorHAnsi"/>
        <w:color w:val="808080"/>
      </w:rPr>
      <w:t xml:space="preserve">- </w:t>
    </w:r>
    <w:r w:rsidR="00324372">
      <w:rPr>
        <w:rFonts w:asciiTheme="minorHAnsi" w:hAnsiTheme="minorHAnsi"/>
        <w:color w:val="808080"/>
      </w:rPr>
      <w:t xml:space="preserve">November 2024 </w:t>
    </w:r>
    <w:r w:rsidR="00324372" w:rsidRPr="00195452">
      <w:rPr>
        <w:rFonts w:asciiTheme="minorHAnsi" w:hAnsiTheme="minorHAnsi"/>
        <w:color w:val="808080"/>
      </w:rPr>
      <w:t>PBAC Meeting</w:t>
    </w:r>
  </w:p>
  <w:p w14:paraId="36F9D342" w14:textId="77777777" w:rsidR="00324372" w:rsidRDefault="003243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BABC" w14:textId="77777777" w:rsidR="0056079A" w:rsidRDefault="00560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6D2667"/>
    <w:multiLevelType w:val="hybridMultilevel"/>
    <w:tmpl w:val="017C6EF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2960D0"/>
    <w:multiLevelType w:val="hybridMultilevel"/>
    <w:tmpl w:val="C55E1E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96B38FC"/>
    <w:multiLevelType w:val="hybridMultilevel"/>
    <w:tmpl w:val="B900C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346AD7"/>
    <w:multiLevelType w:val="hybridMultilevel"/>
    <w:tmpl w:val="71A65F8E"/>
    <w:lvl w:ilvl="0" w:tplc="CFBE442A">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E417E5C"/>
    <w:multiLevelType w:val="hybridMultilevel"/>
    <w:tmpl w:val="36640166"/>
    <w:lvl w:ilvl="0" w:tplc="E30E330C">
      <w:start w:val="1"/>
      <w:numFmt w:val="decimal"/>
      <w:pStyle w:val="Normal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E3680"/>
    <w:multiLevelType w:val="hybridMultilevel"/>
    <w:tmpl w:val="9B30F762"/>
    <w:lvl w:ilvl="0" w:tplc="1DD86380">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521D51"/>
    <w:multiLevelType w:val="hybridMultilevel"/>
    <w:tmpl w:val="E32476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BD34E4"/>
    <w:multiLevelType w:val="hybridMultilevel"/>
    <w:tmpl w:val="6A5E2C1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3E81FB4"/>
    <w:multiLevelType w:val="hybridMultilevel"/>
    <w:tmpl w:val="311C86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50971A6"/>
    <w:multiLevelType w:val="hybridMultilevel"/>
    <w:tmpl w:val="667C43CC"/>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13" w15:restartNumberingAfterBreak="0">
    <w:nsid w:val="641F5076"/>
    <w:multiLevelType w:val="hybridMultilevel"/>
    <w:tmpl w:val="B622D54E"/>
    <w:lvl w:ilvl="0" w:tplc="0C090001">
      <w:start w:val="1"/>
      <w:numFmt w:val="bullet"/>
      <w:lvlText w:val=""/>
      <w:lvlJc w:val="left"/>
      <w:pPr>
        <w:tabs>
          <w:tab w:val="num" w:pos="720"/>
        </w:tabs>
        <w:ind w:left="720" w:hanging="360"/>
      </w:pPr>
      <w:rPr>
        <w:rFonts w:ascii="Symbol" w:hAnsi="Symbol" w:hint="default"/>
        <w:color w:val="auto"/>
      </w:rPr>
    </w:lvl>
    <w:lvl w:ilvl="1" w:tplc="4E00BE38">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16"/>
  </w:num>
  <w:num w:numId="2" w16cid:durableId="917793048">
    <w:abstractNumId w:val="7"/>
  </w:num>
  <w:num w:numId="3" w16cid:durableId="263461728">
    <w:abstractNumId w:val="0"/>
  </w:num>
  <w:num w:numId="4" w16cid:durableId="220360847">
    <w:abstractNumId w:val="14"/>
  </w:num>
  <w:num w:numId="5" w16cid:durableId="268196418">
    <w:abstractNumId w:val="5"/>
  </w:num>
  <w:num w:numId="6" w16cid:durableId="1048839230">
    <w:abstractNumId w:val="16"/>
  </w:num>
  <w:num w:numId="7" w16cid:durableId="1694109783">
    <w:abstractNumId w:val="2"/>
  </w:num>
  <w:num w:numId="8" w16cid:durableId="1688366108">
    <w:abstractNumId w:val="1"/>
  </w:num>
  <w:num w:numId="9" w16cid:durableId="444426170">
    <w:abstractNumId w:val="6"/>
  </w:num>
  <w:num w:numId="10" w16cid:durableId="1576889345">
    <w:abstractNumId w:val="4"/>
  </w:num>
  <w:num w:numId="11" w16cid:durableId="2037198405">
    <w:abstractNumId w:val="12"/>
  </w:num>
  <w:num w:numId="12" w16cid:durableId="715547645">
    <w:abstractNumId w:val="3"/>
  </w:num>
  <w:num w:numId="13" w16cid:durableId="609971719">
    <w:abstractNumId w:val="8"/>
  </w:num>
  <w:num w:numId="14" w16cid:durableId="126240624">
    <w:abstractNumId w:val="15"/>
  </w:num>
  <w:num w:numId="15" w16cid:durableId="222445558">
    <w:abstractNumId w:val="10"/>
  </w:num>
  <w:num w:numId="16" w16cid:durableId="1438332979">
    <w:abstractNumId w:val="9"/>
  </w:num>
  <w:num w:numId="17" w16cid:durableId="23409819">
    <w:abstractNumId w:val="13"/>
  </w:num>
  <w:num w:numId="18" w16cid:durableId="1407263571">
    <w:abstractNumId w:val="11"/>
  </w:num>
  <w:num w:numId="19" w16cid:durableId="1996252928">
    <w:abstractNumId w:val="16"/>
  </w:num>
  <w:num w:numId="20" w16cid:durableId="1771123100">
    <w:abstractNumId w:val="16"/>
  </w:num>
  <w:num w:numId="21" w16cid:durableId="565339569">
    <w:abstractNumId w:val="16"/>
  </w:num>
  <w:num w:numId="22" w16cid:durableId="708606809">
    <w:abstractNumId w:val="16"/>
  </w:num>
  <w:num w:numId="23" w16cid:durableId="278991844">
    <w:abstractNumId w:val="16"/>
  </w:num>
  <w:num w:numId="24" w16cid:durableId="1598639102">
    <w:abstractNumId w:val="16"/>
  </w:num>
  <w:num w:numId="25" w16cid:durableId="33309988">
    <w:abstractNumId w:val="16"/>
  </w:num>
  <w:num w:numId="26" w16cid:durableId="174410992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pf5sdex0aft5e0zeovsdxjf9zd99drst2r&quot;&gt;PBAC Jul2024_Garadacimab_OC&lt;record-ids&gt;&lt;item&gt;6&lt;/item&gt;&lt;item&gt;9&lt;/item&gt;&lt;item&gt;10&lt;/item&gt;&lt;item&gt;11&lt;/item&gt;&lt;item&gt;12&lt;/item&gt;&lt;item&gt;13&lt;/item&gt;&lt;item&gt;14&lt;/item&gt;&lt;item&gt;15&lt;/item&gt;&lt;item&gt;16&lt;/item&gt;&lt;item&gt;17&lt;/item&gt;&lt;item&gt;18&lt;/item&gt;&lt;item&gt;19&lt;/item&gt;&lt;item&gt;20&lt;/item&gt;&lt;item&gt;21&lt;/item&gt;&lt;item&gt;24&lt;/item&gt;&lt;item&gt;25&lt;/item&gt;&lt;item&gt;26&lt;/item&gt;&lt;item&gt;27&lt;/item&gt;&lt;item&gt;29&lt;/item&gt;&lt;item&gt;30&lt;/item&gt;&lt;item&gt;31&lt;/item&gt;&lt;item&gt;32&lt;/item&gt;&lt;item&gt;33&lt;/item&gt;&lt;item&gt;34&lt;/item&gt;&lt;item&gt;35&lt;/item&gt;&lt;item&gt;36&lt;/item&gt;&lt;/record-ids&gt;&lt;/item&gt;&lt;/Libraries&gt;"/>
  </w:docVars>
  <w:rsids>
    <w:rsidRoot w:val="00E65E79"/>
    <w:rsid w:val="0000023E"/>
    <w:rsid w:val="00000790"/>
    <w:rsid w:val="000007F1"/>
    <w:rsid w:val="0000110B"/>
    <w:rsid w:val="000013D4"/>
    <w:rsid w:val="0000146E"/>
    <w:rsid w:val="00001991"/>
    <w:rsid w:val="00002B09"/>
    <w:rsid w:val="00002F11"/>
    <w:rsid w:val="00003499"/>
    <w:rsid w:val="000038A2"/>
    <w:rsid w:val="000039B7"/>
    <w:rsid w:val="000043AC"/>
    <w:rsid w:val="00004E8A"/>
    <w:rsid w:val="00004EB8"/>
    <w:rsid w:val="000056B9"/>
    <w:rsid w:val="00005D0E"/>
    <w:rsid w:val="0000639A"/>
    <w:rsid w:val="00006D09"/>
    <w:rsid w:val="00010C16"/>
    <w:rsid w:val="00011824"/>
    <w:rsid w:val="00011DA6"/>
    <w:rsid w:val="00012747"/>
    <w:rsid w:val="00012815"/>
    <w:rsid w:val="00013247"/>
    <w:rsid w:val="00014900"/>
    <w:rsid w:val="000156DD"/>
    <w:rsid w:val="00015886"/>
    <w:rsid w:val="000162E4"/>
    <w:rsid w:val="000162EF"/>
    <w:rsid w:val="00016B7D"/>
    <w:rsid w:val="00017334"/>
    <w:rsid w:val="00017C07"/>
    <w:rsid w:val="00017E98"/>
    <w:rsid w:val="00020050"/>
    <w:rsid w:val="00020289"/>
    <w:rsid w:val="000206FF"/>
    <w:rsid w:val="000207C9"/>
    <w:rsid w:val="00020CF7"/>
    <w:rsid w:val="00021190"/>
    <w:rsid w:val="00021250"/>
    <w:rsid w:val="000216F1"/>
    <w:rsid w:val="0002225F"/>
    <w:rsid w:val="00022B5C"/>
    <w:rsid w:val="000232FE"/>
    <w:rsid w:val="00023763"/>
    <w:rsid w:val="00023CC6"/>
    <w:rsid w:val="00023F89"/>
    <w:rsid w:val="000240D6"/>
    <w:rsid w:val="00024A7B"/>
    <w:rsid w:val="00024EB5"/>
    <w:rsid w:val="00025733"/>
    <w:rsid w:val="00026191"/>
    <w:rsid w:val="000264AB"/>
    <w:rsid w:val="00026C02"/>
    <w:rsid w:val="000274B8"/>
    <w:rsid w:val="000274D4"/>
    <w:rsid w:val="000275AF"/>
    <w:rsid w:val="00027962"/>
    <w:rsid w:val="00027D6C"/>
    <w:rsid w:val="00030EAD"/>
    <w:rsid w:val="000327BF"/>
    <w:rsid w:val="00032E20"/>
    <w:rsid w:val="00033863"/>
    <w:rsid w:val="000339F6"/>
    <w:rsid w:val="00033BBF"/>
    <w:rsid w:val="00033E89"/>
    <w:rsid w:val="00035589"/>
    <w:rsid w:val="000359EB"/>
    <w:rsid w:val="00035DC0"/>
    <w:rsid w:val="00036264"/>
    <w:rsid w:val="00036515"/>
    <w:rsid w:val="00036602"/>
    <w:rsid w:val="00036829"/>
    <w:rsid w:val="0003720B"/>
    <w:rsid w:val="00037E9B"/>
    <w:rsid w:val="000407FA"/>
    <w:rsid w:val="00040895"/>
    <w:rsid w:val="000410A0"/>
    <w:rsid w:val="00041590"/>
    <w:rsid w:val="00042A95"/>
    <w:rsid w:val="00042D76"/>
    <w:rsid w:val="000435EE"/>
    <w:rsid w:val="00043676"/>
    <w:rsid w:val="000439D3"/>
    <w:rsid w:val="00043C37"/>
    <w:rsid w:val="000442F2"/>
    <w:rsid w:val="00045017"/>
    <w:rsid w:val="000452E3"/>
    <w:rsid w:val="0004595D"/>
    <w:rsid w:val="00045A2B"/>
    <w:rsid w:val="0004613F"/>
    <w:rsid w:val="0004698F"/>
    <w:rsid w:val="00046D3E"/>
    <w:rsid w:val="00046D64"/>
    <w:rsid w:val="0004742D"/>
    <w:rsid w:val="000508C2"/>
    <w:rsid w:val="00050AAA"/>
    <w:rsid w:val="000518CE"/>
    <w:rsid w:val="00051A1A"/>
    <w:rsid w:val="00052842"/>
    <w:rsid w:val="0005299B"/>
    <w:rsid w:val="000533B0"/>
    <w:rsid w:val="00053559"/>
    <w:rsid w:val="00053858"/>
    <w:rsid w:val="000539D0"/>
    <w:rsid w:val="00054621"/>
    <w:rsid w:val="000546D7"/>
    <w:rsid w:val="00054A8D"/>
    <w:rsid w:val="000555A8"/>
    <w:rsid w:val="0005643F"/>
    <w:rsid w:val="000569BA"/>
    <w:rsid w:val="00056D99"/>
    <w:rsid w:val="00056ECF"/>
    <w:rsid w:val="00056EFC"/>
    <w:rsid w:val="00057166"/>
    <w:rsid w:val="00057362"/>
    <w:rsid w:val="000574B7"/>
    <w:rsid w:val="00057724"/>
    <w:rsid w:val="000603CF"/>
    <w:rsid w:val="000604DF"/>
    <w:rsid w:val="00061460"/>
    <w:rsid w:val="00062324"/>
    <w:rsid w:val="00062409"/>
    <w:rsid w:val="000634EE"/>
    <w:rsid w:val="00063658"/>
    <w:rsid w:val="000640DA"/>
    <w:rsid w:val="00064455"/>
    <w:rsid w:val="00064623"/>
    <w:rsid w:val="00064F20"/>
    <w:rsid w:val="000653B5"/>
    <w:rsid w:val="0006551A"/>
    <w:rsid w:val="00065C84"/>
    <w:rsid w:val="00066360"/>
    <w:rsid w:val="00066473"/>
    <w:rsid w:val="00066AF8"/>
    <w:rsid w:val="00066D43"/>
    <w:rsid w:val="000673BB"/>
    <w:rsid w:val="0006748E"/>
    <w:rsid w:val="00071248"/>
    <w:rsid w:val="00071913"/>
    <w:rsid w:val="000720B9"/>
    <w:rsid w:val="0007248F"/>
    <w:rsid w:val="00072704"/>
    <w:rsid w:val="0007286C"/>
    <w:rsid w:val="000737F7"/>
    <w:rsid w:val="00073FEA"/>
    <w:rsid w:val="00074BF9"/>
    <w:rsid w:val="0007560A"/>
    <w:rsid w:val="000757C9"/>
    <w:rsid w:val="00075858"/>
    <w:rsid w:val="00075F65"/>
    <w:rsid w:val="00076333"/>
    <w:rsid w:val="0007672F"/>
    <w:rsid w:val="000768B4"/>
    <w:rsid w:val="000769B4"/>
    <w:rsid w:val="00076B54"/>
    <w:rsid w:val="00076FFB"/>
    <w:rsid w:val="000774F0"/>
    <w:rsid w:val="0007794E"/>
    <w:rsid w:val="00077A98"/>
    <w:rsid w:val="00077D36"/>
    <w:rsid w:val="00077F9F"/>
    <w:rsid w:val="00080776"/>
    <w:rsid w:val="00080909"/>
    <w:rsid w:val="00080DE6"/>
    <w:rsid w:val="000812CA"/>
    <w:rsid w:val="00081E63"/>
    <w:rsid w:val="0008258D"/>
    <w:rsid w:val="000825B9"/>
    <w:rsid w:val="00082FCA"/>
    <w:rsid w:val="000839B8"/>
    <w:rsid w:val="00083E99"/>
    <w:rsid w:val="00084578"/>
    <w:rsid w:val="00084C48"/>
    <w:rsid w:val="00084FA8"/>
    <w:rsid w:val="00084FFB"/>
    <w:rsid w:val="000856C5"/>
    <w:rsid w:val="00085710"/>
    <w:rsid w:val="00085C31"/>
    <w:rsid w:val="00085E8B"/>
    <w:rsid w:val="00086661"/>
    <w:rsid w:val="000902D9"/>
    <w:rsid w:val="00090B8C"/>
    <w:rsid w:val="00090C7E"/>
    <w:rsid w:val="00091196"/>
    <w:rsid w:val="000911AC"/>
    <w:rsid w:val="000914CF"/>
    <w:rsid w:val="000918C2"/>
    <w:rsid w:val="00091DE9"/>
    <w:rsid w:val="00092482"/>
    <w:rsid w:val="00092600"/>
    <w:rsid w:val="0009262B"/>
    <w:rsid w:val="00093310"/>
    <w:rsid w:val="00093415"/>
    <w:rsid w:val="00093F36"/>
    <w:rsid w:val="0009445C"/>
    <w:rsid w:val="00094808"/>
    <w:rsid w:val="00094C50"/>
    <w:rsid w:val="0009517F"/>
    <w:rsid w:val="00095200"/>
    <w:rsid w:val="0009525A"/>
    <w:rsid w:val="000953B1"/>
    <w:rsid w:val="00095911"/>
    <w:rsid w:val="00095FE5"/>
    <w:rsid w:val="00096284"/>
    <w:rsid w:val="00097624"/>
    <w:rsid w:val="000A018B"/>
    <w:rsid w:val="000A099E"/>
    <w:rsid w:val="000A1176"/>
    <w:rsid w:val="000A1571"/>
    <w:rsid w:val="000A1A96"/>
    <w:rsid w:val="000A1BC0"/>
    <w:rsid w:val="000A2A52"/>
    <w:rsid w:val="000A2F9E"/>
    <w:rsid w:val="000A3E47"/>
    <w:rsid w:val="000A4053"/>
    <w:rsid w:val="000A522B"/>
    <w:rsid w:val="000A6039"/>
    <w:rsid w:val="000A60C8"/>
    <w:rsid w:val="000A7453"/>
    <w:rsid w:val="000A7D08"/>
    <w:rsid w:val="000B0121"/>
    <w:rsid w:val="000B0670"/>
    <w:rsid w:val="000B0E50"/>
    <w:rsid w:val="000B0E75"/>
    <w:rsid w:val="000B1AFB"/>
    <w:rsid w:val="000B2DCB"/>
    <w:rsid w:val="000B3E74"/>
    <w:rsid w:val="000B4057"/>
    <w:rsid w:val="000B4218"/>
    <w:rsid w:val="000B4441"/>
    <w:rsid w:val="000B4BC6"/>
    <w:rsid w:val="000B57A7"/>
    <w:rsid w:val="000B598E"/>
    <w:rsid w:val="000B5B26"/>
    <w:rsid w:val="000B5CE0"/>
    <w:rsid w:val="000B6297"/>
    <w:rsid w:val="000B6CAC"/>
    <w:rsid w:val="000B70FF"/>
    <w:rsid w:val="000B7612"/>
    <w:rsid w:val="000B76A8"/>
    <w:rsid w:val="000B78AE"/>
    <w:rsid w:val="000C02E6"/>
    <w:rsid w:val="000C060D"/>
    <w:rsid w:val="000C0E32"/>
    <w:rsid w:val="000C0F7E"/>
    <w:rsid w:val="000C1880"/>
    <w:rsid w:val="000C19B4"/>
    <w:rsid w:val="000C1E43"/>
    <w:rsid w:val="000C22E5"/>
    <w:rsid w:val="000C2CFC"/>
    <w:rsid w:val="000C2E9D"/>
    <w:rsid w:val="000C3630"/>
    <w:rsid w:val="000C364E"/>
    <w:rsid w:val="000C3932"/>
    <w:rsid w:val="000C3DF9"/>
    <w:rsid w:val="000C3E19"/>
    <w:rsid w:val="000C4A90"/>
    <w:rsid w:val="000C4CF2"/>
    <w:rsid w:val="000C4F98"/>
    <w:rsid w:val="000C59B2"/>
    <w:rsid w:val="000C5AF9"/>
    <w:rsid w:val="000C6258"/>
    <w:rsid w:val="000C6290"/>
    <w:rsid w:val="000C6713"/>
    <w:rsid w:val="000D1244"/>
    <w:rsid w:val="000D166B"/>
    <w:rsid w:val="000D1BFC"/>
    <w:rsid w:val="000D1D5D"/>
    <w:rsid w:val="000D25A9"/>
    <w:rsid w:val="000D281A"/>
    <w:rsid w:val="000D2848"/>
    <w:rsid w:val="000D2C6C"/>
    <w:rsid w:val="000D326A"/>
    <w:rsid w:val="000D3B40"/>
    <w:rsid w:val="000D44C3"/>
    <w:rsid w:val="000D4708"/>
    <w:rsid w:val="000D51FB"/>
    <w:rsid w:val="000D600C"/>
    <w:rsid w:val="000D61BE"/>
    <w:rsid w:val="000D6430"/>
    <w:rsid w:val="000D7453"/>
    <w:rsid w:val="000D7487"/>
    <w:rsid w:val="000E0640"/>
    <w:rsid w:val="000E1288"/>
    <w:rsid w:val="000E12C4"/>
    <w:rsid w:val="000E135D"/>
    <w:rsid w:val="000E1F42"/>
    <w:rsid w:val="000E24A9"/>
    <w:rsid w:val="000E2529"/>
    <w:rsid w:val="000E3161"/>
    <w:rsid w:val="000E3C09"/>
    <w:rsid w:val="000E4397"/>
    <w:rsid w:val="000E4AC9"/>
    <w:rsid w:val="000E4FDE"/>
    <w:rsid w:val="000E5607"/>
    <w:rsid w:val="000E5F91"/>
    <w:rsid w:val="000E600E"/>
    <w:rsid w:val="000E69DE"/>
    <w:rsid w:val="000E6B41"/>
    <w:rsid w:val="000E7385"/>
    <w:rsid w:val="000F00BA"/>
    <w:rsid w:val="000F05BD"/>
    <w:rsid w:val="000F0C72"/>
    <w:rsid w:val="000F0F2C"/>
    <w:rsid w:val="000F0FFD"/>
    <w:rsid w:val="000F2250"/>
    <w:rsid w:val="000F2D70"/>
    <w:rsid w:val="000F316A"/>
    <w:rsid w:val="000F3C74"/>
    <w:rsid w:val="000F3E04"/>
    <w:rsid w:val="000F4BB8"/>
    <w:rsid w:val="000F4C7A"/>
    <w:rsid w:val="000F4FA9"/>
    <w:rsid w:val="000F53FB"/>
    <w:rsid w:val="000F7127"/>
    <w:rsid w:val="000F74F8"/>
    <w:rsid w:val="000F7B54"/>
    <w:rsid w:val="001000B3"/>
    <w:rsid w:val="00100F8A"/>
    <w:rsid w:val="00100FD6"/>
    <w:rsid w:val="001010B9"/>
    <w:rsid w:val="001015B5"/>
    <w:rsid w:val="001015E3"/>
    <w:rsid w:val="00102136"/>
    <w:rsid w:val="00102624"/>
    <w:rsid w:val="00102847"/>
    <w:rsid w:val="0010326D"/>
    <w:rsid w:val="00103808"/>
    <w:rsid w:val="001043F9"/>
    <w:rsid w:val="0010452E"/>
    <w:rsid w:val="00104531"/>
    <w:rsid w:val="00105514"/>
    <w:rsid w:val="00105AE2"/>
    <w:rsid w:val="00106090"/>
    <w:rsid w:val="001060C6"/>
    <w:rsid w:val="001063DA"/>
    <w:rsid w:val="00106796"/>
    <w:rsid w:val="00106B80"/>
    <w:rsid w:val="00106C2B"/>
    <w:rsid w:val="00107371"/>
    <w:rsid w:val="001074A9"/>
    <w:rsid w:val="0011032E"/>
    <w:rsid w:val="00110E67"/>
    <w:rsid w:val="001110C3"/>
    <w:rsid w:val="00111390"/>
    <w:rsid w:val="00111BBA"/>
    <w:rsid w:val="00112BF6"/>
    <w:rsid w:val="001131E6"/>
    <w:rsid w:val="0011348B"/>
    <w:rsid w:val="00113BF4"/>
    <w:rsid w:val="00113FC4"/>
    <w:rsid w:val="001149EE"/>
    <w:rsid w:val="001150F8"/>
    <w:rsid w:val="00115982"/>
    <w:rsid w:val="00116381"/>
    <w:rsid w:val="001168DE"/>
    <w:rsid w:val="00116C53"/>
    <w:rsid w:val="00117CE0"/>
    <w:rsid w:val="00117EEC"/>
    <w:rsid w:val="00117FAA"/>
    <w:rsid w:val="00120439"/>
    <w:rsid w:val="001204D4"/>
    <w:rsid w:val="00121799"/>
    <w:rsid w:val="00121B5B"/>
    <w:rsid w:val="00121F99"/>
    <w:rsid w:val="001222FC"/>
    <w:rsid w:val="00122767"/>
    <w:rsid w:val="00123902"/>
    <w:rsid w:val="001240D1"/>
    <w:rsid w:val="0012417D"/>
    <w:rsid w:val="00124A51"/>
    <w:rsid w:val="00124AC4"/>
    <w:rsid w:val="001255CC"/>
    <w:rsid w:val="00125D07"/>
    <w:rsid w:val="00125F66"/>
    <w:rsid w:val="00126621"/>
    <w:rsid w:val="00126B1D"/>
    <w:rsid w:val="00126D86"/>
    <w:rsid w:val="001272BB"/>
    <w:rsid w:val="00127557"/>
    <w:rsid w:val="00127AB2"/>
    <w:rsid w:val="001301E9"/>
    <w:rsid w:val="0013133F"/>
    <w:rsid w:val="00131D82"/>
    <w:rsid w:val="0013276A"/>
    <w:rsid w:val="00132989"/>
    <w:rsid w:val="00132B11"/>
    <w:rsid w:val="00132B22"/>
    <w:rsid w:val="00132F0F"/>
    <w:rsid w:val="00133D36"/>
    <w:rsid w:val="00133F88"/>
    <w:rsid w:val="001343F6"/>
    <w:rsid w:val="00134865"/>
    <w:rsid w:val="001349CF"/>
    <w:rsid w:val="001349D2"/>
    <w:rsid w:val="00134E21"/>
    <w:rsid w:val="00136912"/>
    <w:rsid w:val="0013734F"/>
    <w:rsid w:val="00137645"/>
    <w:rsid w:val="00137E48"/>
    <w:rsid w:val="0014015A"/>
    <w:rsid w:val="00140E99"/>
    <w:rsid w:val="0014273C"/>
    <w:rsid w:val="00142C44"/>
    <w:rsid w:val="00143573"/>
    <w:rsid w:val="00143F67"/>
    <w:rsid w:val="00144CED"/>
    <w:rsid w:val="00144EED"/>
    <w:rsid w:val="00145234"/>
    <w:rsid w:val="00145540"/>
    <w:rsid w:val="001455F2"/>
    <w:rsid w:val="001456B0"/>
    <w:rsid w:val="001456C1"/>
    <w:rsid w:val="00145B44"/>
    <w:rsid w:val="0014625D"/>
    <w:rsid w:val="00146F78"/>
    <w:rsid w:val="00147B1A"/>
    <w:rsid w:val="00147BF0"/>
    <w:rsid w:val="0015004F"/>
    <w:rsid w:val="00150D0E"/>
    <w:rsid w:val="00151EC8"/>
    <w:rsid w:val="00153214"/>
    <w:rsid w:val="00153223"/>
    <w:rsid w:val="00153455"/>
    <w:rsid w:val="00153E8A"/>
    <w:rsid w:val="001544B9"/>
    <w:rsid w:val="001547AB"/>
    <w:rsid w:val="00154D60"/>
    <w:rsid w:val="00156B0A"/>
    <w:rsid w:val="00156F8F"/>
    <w:rsid w:val="00157130"/>
    <w:rsid w:val="001576B1"/>
    <w:rsid w:val="00157890"/>
    <w:rsid w:val="00160120"/>
    <w:rsid w:val="0016047B"/>
    <w:rsid w:val="00160A4C"/>
    <w:rsid w:val="00161283"/>
    <w:rsid w:val="0016229E"/>
    <w:rsid w:val="00162913"/>
    <w:rsid w:val="001629A8"/>
    <w:rsid w:val="00162B26"/>
    <w:rsid w:val="00163EFF"/>
    <w:rsid w:val="00163F66"/>
    <w:rsid w:val="0016419D"/>
    <w:rsid w:val="0016478E"/>
    <w:rsid w:val="001647BC"/>
    <w:rsid w:val="00165271"/>
    <w:rsid w:val="001656C9"/>
    <w:rsid w:val="00165819"/>
    <w:rsid w:val="00165EC4"/>
    <w:rsid w:val="001661FB"/>
    <w:rsid w:val="00166628"/>
    <w:rsid w:val="00166E1C"/>
    <w:rsid w:val="001671A0"/>
    <w:rsid w:val="00167345"/>
    <w:rsid w:val="0016767F"/>
    <w:rsid w:val="00170167"/>
    <w:rsid w:val="00170438"/>
    <w:rsid w:val="001704AA"/>
    <w:rsid w:val="0017057D"/>
    <w:rsid w:val="001715C9"/>
    <w:rsid w:val="00172E66"/>
    <w:rsid w:val="00173565"/>
    <w:rsid w:val="00173B07"/>
    <w:rsid w:val="001751FA"/>
    <w:rsid w:val="00175486"/>
    <w:rsid w:val="001759C3"/>
    <w:rsid w:val="001775D5"/>
    <w:rsid w:val="001806C9"/>
    <w:rsid w:val="0018168E"/>
    <w:rsid w:val="00181B88"/>
    <w:rsid w:val="00181C10"/>
    <w:rsid w:val="00181D9C"/>
    <w:rsid w:val="00181F0B"/>
    <w:rsid w:val="00182099"/>
    <w:rsid w:val="001829EA"/>
    <w:rsid w:val="00182AD2"/>
    <w:rsid w:val="001837FF"/>
    <w:rsid w:val="0018418E"/>
    <w:rsid w:val="00184257"/>
    <w:rsid w:val="00184B0E"/>
    <w:rsid w:val="00184F07"/>
    <w:rsid w:val="00185796"/>
    <w:rsid w:val="00185FAC"/>
    <w:rsid w:val="00186127"/>
    <w:rsid w:val="0018752F"/>
    <w:rsid w:val="0019021F"/>
    <w:rsid w:val="00190625"/>
    <w:rsid w:val="001918CA"/>
    <w:rsid w:val="0019219A"/>
    <w:rsid w:val="001933F6"/>
    <w:rsid w:val="00193838"/>
    <w:rsid w:val="00193920"/>
    <w:rsid w:val="00194AB6"/>
    <w:rsid w:val="00194AD8"/>
    <w:rsid w:val="00194E90"/>
    <w:rsid w:val="0019518B"/>
    <w:rsid w:val="00195222"/>
    <w:rsid w:val="00195452"/>
    <w:rsid w:val="00195825"/>
    <w:rsid w:val="001959D9"/>
    <w:rsid w:val="00196349"/>
    <w:rsid w:val="0019700E"/>
    <w:rsid w:val="001975D8"/>
    <w:rsid w:val="001A00EB"/>
    <w:rsid w:val="001A0E17"/>
    <w:rsid w:val="001A0FB7"/>
    <w:rsid w:val="001A178E"/>
    <w:rsid w:val="001A2419"/>
    <w:rsid w:val="001A43FA"/>
    <w:rsid w:val="001A47C5"/>
    <w:rsid w:val="001A4C4E"/>
    <w:rsid w:val="001A4DC4"/>
    <w:rsid w:val="001A59FB"/>
    <w:rsid w:val="001A5E9E"/>
    <w:rsid w:val="001A5F97"/>
    <w:rsid w:val="001A6204"/>
    <w:rsid w:val="001A6354"/>
    <w:rsid w:val="001A6366"/>
    <w:rsid w:val="001A6989"/>
    <w:rsid w:val="001A714F"/>
    <w:rsid w:val="001A784B"/>
    <w:rsid w:val="001A7AE8"/>
    <w:rsid w:val="001A7DEB"/>
    <w:rsid w:val="001B0777"/>
    <w:rsid w:val="001B0935"/>
    <w:rsid w:val="001B13C0"/>
    <w:rsid w:val="001B204E"/>
    <w:rsid w:val="001B2372"/>
    <w:rsid w:val="001B27E4"/>
    <w:rsid w:val="001B2A82"/>
    <w:rsid w:val="001B2C5D"/>
    <w:rsid w:val="001B3443"/>
    <w:rsid w:val="001B4891"/>
    <w:rsid w:val="001B4D20"/>
    <w:rsid w:val="001B54DD"/>
    <w:rsid w:val="001B5A37"/>
    <w:rsid w:val="001B613C"/>
    <w:rsid w:val="001B636A"/>
    <w:rsid w:val="001B6688"/>
    <w:rsid w:val="001B670B"/>
    <w:rsid w:val="001B69AF"/>
    <w:rsid w:val="001B7375"/>
    <w:rsid w:val="001B745B"/>
    <w:rsid w:val="001B777F"/>
    <w:rsid w:val="001B7DC9"/>
    <w:rsid w:val="001B7F84"/>
    <w:rsid w:val="001C2721"/>
    <w:rsid w:val="001C290A"/>
    <w:rsid w:val="001C2A98"/>
    <w:rsid w:val="001C2A9B"/>
    <w:rsid w:val="001C3902"/>
    <w:rsid w:val="001C3B26"/>
    <w:rsid w:val="001C3DD6"/>
    <w:rsid w:val="001C4256"/>
    <w:rsid w:val="001C4299"/>
    <w:rsid w:val="001C4368"/>
    <w:rsid w:val="001C4874"/>
    <w:rsid w:val="001C4F14"/>
    <w:rsid w:val="001C574D"/>
    <w:rsid w:val="001C5F94"/>
    <w:rsid w:val="001C636B"/>
    <w:rsid w:val="001C6E66"/>
    <w:rsid w:val="001C6F95"/>
    <w:rsid w:val="001C798F"/>
    <w:rsid w:val="001C7B30"/>
    <w:rsid w:val="001C7DC5"/>
    <w:rsid w:val="001C7F7C"/>
    <w:rsid w:val="001D0AAC"/>
    <w:rsid w:val="001D0B74"/>
    <w:rsid w:val="001D1100"/>
    <w:rsid w:val="001D1391"/>
    <w:rsid w:val="001D1B43"/>
    <w:rsid w:val="001D21B0"/>
    <w:rsid w:val="001D25D7"/>
    <w:rsid w:val="001D2C77"/>
    <w:rsid w:val="001D344C"/>
    <w:rsid w:val="001D363A"/>
    <w:rsid w:val="001D3D42"/>
    <w:rsid w:val="001D4DC4"/>
    <w:rsid w:val="001D50B2"/>
    <w:rsid w:val="001D5140"/>
    <w:rsid w:val="001D5BFB"/>
    <w:rsid w:val="001D6190"/>
    <w:rsid w:val="001D66E2"/>
    <w:rsid w:val="001D672E"/>
    <w:rsid w:val="001D6A8D"/>
    <w:rsid w:val="001D71F4"/>
    <w:rsid w:val="001D7645"/>
    <w:rsid w:val="001D766D"/>
    <w:rsid w:val="001E003A"/>
    <w:rsid w:val="001E1CB9"/>
    <w:rsid w:val="001E1E86"/>
    <w:rsid w:val="001E238E"/>
    <w:rsid w:val="001E2483"/>
    <w:rsid w:val="001E2616"/>
    <w:rsid w:val="001E2B1E"/>
    <w:rsid w:val="001E2CFF"/>
    <w:rsid w:val="001E2F24"/>
    <w:rsid w:val="001E30D4"/>
    <w:rsid w:val="001E34DF"/>
    <w:rsid w:val="001E389F"/>
    <w:rsid w:val="001E484C"/>
    <w:rsid w:val="001E4915"/>
    <w:rsid w:val="001E4A75"/>
    <w:rsid w:val="001E4D37"/>
    <w:rsid w:val="001E4FA8"/>
    <w:rsid w:val="001E52EB"/>
    <w:rsid w:val="001E61D2"/>
    <w:rsid w:val="001E6F35"/>
    <w:rsid w:val="001E740C"/>
    <w:rsid w:val="001E753F"/>
    <w:rsid w:val="001E7995"/>
    <w:rsid w:val="001E7C98"/>
    <w:rsid w:val="001E7FC0"/>
    <w:rsid w:val="001F0ECF"/>
    <w:rsid w:val="001F1235"/>
    <w:rsid w:val="001F1C22"/>
    <w:rsid w:val="001F1CB3"/>
    <w:rsid w:val="001F2445"/>
    <w:rsid w:val="001F38B5"/>
    <w:rsid w:val="001F4081"/>
    <w:rsid w:val="001F5486"/>
    <w:rsid w:val="001F548A"/>
    <w:rsid w:val="001F552A"/>
    <w:rsid w:val="001F565D"/>
    <w:rsid w:val="001F5909"/>
    <w:rsid w:val="001F5B7B"/>
    <w:rsid w:val="001F72E2"/>
    <w:rsid w:val="001F7361"/>
    <w:rsid w:val="00200B99"/>
    <w:rsid w:val="002011B0"/>
    <w:rsid w:val="00201214"/>
    <w:rsid w:val="00201ACE"/>
    <w:rsid w:val="00201C34"/>
    <w:rsid w:val="00203143"/>
    <w:rsid w:val="00203181"/>
    <w:rsid w:val="002033C3"/>
    <w:rsid w:val="00203783"/>
    <w:rsid w:val="0020385F"/>
    <w:rsid w:val="00204021"/>
    <w:rsid w:val="002040FA"/>
    <w:rsid w:val="0020417B"/>
    <w:rsid w:val="002042B6"/>
    <w:rsid w:val="00205311"/>
    <w:rsid w:val="002068A0"/>
    <w:rsid w:val="00206BBA"/>
    <w:rsid w:val="00207021"/>
    <w:rsid w:val="0020732F"/>
    <w:rsid w:val="00207363"/>
    <w:rsid w:val="00207555"/>
    <w:rsid w:val="00207D00"/>
    <w:rsid w:val="002105C1"/>
    <w:rsid w:val="002107D9"/>
    <w:rsid w:val="002116FD"/>
    <w:rsid w:val="00211EAC"/>
    <w:rsid w:val="00212D53"/>
    <w:rsid w:val="00213721"/>
    <w:rsid w:val="00213EF5"/>
    <w:rsid w:val="00215620"/>
    <w:rsid w:val="00215621"/>
    <w:rsid w:val="00216BF5"/>
    <w:rsid w:val="002175C5"/>
    <w:rsid w:val="0021789F"/>
    <w:rsid w:val="00217C17"/>
    <w:rsid w:val="0022005E"/>
    <w:rsid w:val="00220272"/>
    <w:rsid w:val="0022057B"/>
    <w:rsid w:val="00220620"/>
    <w:rsid w:val="00220BB5"/>
    <w:rsid w:val="00220D39"/>
    <w:rsid w:val="00220E47"/>
    <w:rsid w:val="002217B8"/>
    <w:rsid w:val="00221860"/>
    <w:rsid w:val="00221C96"/>
    <w:rsid w:val="00221EA6"/>
    <w:rsid w:val="0022225E"/>
    <w:rsid w:val="0022306C"/>
    <w:rsid w:val="002238A4"/>
    <w:rsid w:val="00223B49"/>
    <w:rsid w:val="00223D5A"/>
    <w:rsid w:val="00223FF7"/>
    <w:rsid w:val="00224019"/>
    <w:rsid w:val="00224212"/>
    <w:rsid w:val="00224D07"/>
    <w:rsid w:val="00224DD4"/>
    <w:rsid w:val="002251F9"/>
    <w:rsid w:val="0022559E"/>
    <w:rsid w:val="00225AE9"/>
    <w:rsid w:val="00226982"/>
    <w:rsid w:val="00226DAD"/>
    <w:rsid w:val="00227559"/>
    <w:rsid w:val="002278A0"/>
    <w:rsid w:val="00227920"/>
    <w:rsid w:val="0023021D"/>
    <w:rsid w:val="002309CC"/>
    <w:rsid w:val="00231168"/>
    <w:rsid w:val="002318A5"/>
    <w:rsid w:val="00231BA9"/>
    <w:rsid w:val="0023209F"/>
    <w:rsid w:val="002325E3"/>
    <w:rsid w:val="0023269C"/>
    <w:rsid w:val="0023273B"/>
    <w:rsid w:val="00232F1F"/>
    <w:rsid w:val="00233320"/>
    <w:rsid w:val="00233792"/>
    <w:rsid w:val="00233984"/>
    <w:rsid w:val="00233C01"/>
    <w:rsid w:val="002340B8"/>
    <w:rsid w:val="0023413C"/>
    <w:rsid w:val="002346F0"/>
    <w:rsid w:val="0023629D"/>
    <w:rsid w:val="00237255"/>
    <w:rsid w:val="002375EC"/>
    <w:rsid w:val="00240EA4"/>
    <w:rsid w:val="002410D1"/>
    <w:rsid w:val="00241290"/>
    <w:rsid w:val="00241588"/>
    <w:rsid w:val="002418F6"/>
    <w:rsid w:val="00241AB0"/>
    <w:rsid w:val="002423E3"/>
    <w:rsid w:val="002424AF"/>
    <w:rsid w:val="002427EC"/>
    <w:rsid w:val="00242800"/>
    <w:rsid w:val="002439DC"/>
    <w:rsid w:val="002441D2"/>
    <w:rsid w:val="00244DC8"/>
    <w:rsid w:val="002458BA"/>
    <w:rsid w:val="00245CE9"/>
    <w:rsid w:val="00245E65"/>
    <w:rsid w:val="0024636C"/>
    <w:rsid w:val="002465D1"/>
    <w:rsid w:val="00247925"/>
    <w:rsid w:val="00250AAA"/>
    <w:rsid w:val="00251006"/>
    <w:rsid w:val="0025203B"/>
    <w:rsid w:val="002523B0"/>
    <w:rsid w:val="002524D5"/>
    <w:rsid w:val="002529BA"/>
    <w:rsid w:val="0025323F"/>
    <w:rsid w:val="00253A86"/>
    <w:rsid w:val="00253B1D"/>
    <w:rsid w:val="00254DCF"/>
    <w:rsid w:val="002550D1"/>
    <w:rsid w:val="0025534B"/>
    <w:rsid w:val="00255BB7"/>
    <w:rsid w:val="00255C30"/>
    <w:rsid w:val="00257541"/>
    <w:rsid w:val="00257A39"/>
    <w:rsid w:val="00257AC4"/>
    <w:rsid w:val="00257B74"/>
    <w:rsid w:val="00257BBE"/>
    <w:rsid w:val="0026034A"/>
    <w:rsid w:val="00260EE8"/>
    <w:rsid w:val="00261867"/>
    <w:rsid w:val="00261EEF"/>
    <w:rsid w:val="00262A1A"/>
    <w:rsid w:val="00262A87"/>
    <w:rsid w:val="00262E91"/>
    <w:rsid w:val="002639F9"/>
    <w:rsid w:val="00263AA8"/>
    <w:rsid w:val="00264B4C"/>
    <w:rsid w:val="00264BED"/>
    <w:rsid w:val="00264C87"/>
    <w:rsid w:val="00264D26"/>
    <w:rsid w:val="00265357"/>
    <w:rsid w:val="00265888"/>
    <w:rsid w:val="002659AB"/>
    <w:rsid w:val="00265FAF"/>
    <w:rsid w:val="0026662C"/>
    <w:rsid w:val="00266940"/>
    <w:rsid w:val="00266D99"/>
    <w:rsid w:val="00266E6A"/>
    <w:rsid w:val="00267642"/>
    <w:rsid w:val="00267AEA"/>
    <w:rsid w:val="00267ED9"/>
    <w:rsid w:val="002700E6"/>
    <w:rsid w:val="002708DB"/>
    <w:rsid w:val="00270F00"/>
    <w:rsid w:val="00271163"/>
    <w:rsid w:val="002716D1"/>
    <w:rsid w:val="00271C18"/>
    <w:rsid w:val="00272886"/>
    <w:rsid w:val="0027294B"/>
    <w:rsid w:val="0027329D"/>
    <w:rsid w:val="00273757"/>
    <w:rsid w:val="00273EB4"/>
    <w:rsid w:val="00273ECA"/>
    <w:rsid w:val="00274682"/>
    <w:rsid w:val="00275104"/>
    <w:rsid w:val="00275158"/>
    <w:rsid w:val="00275266"/>
    <w:rsid w:val="00275B5E"/>
    <w:rsid w:val="00275C5A"/>
    <w:rsid w:val="00276234"/>
    <w:rsid w:val="002763A5"/>
    <w:rsid w:val="00276E12"/>
    <w:rsid w:val="00277E54"/>
    <w:rsid w:val="002806EF"/>
    <w:rsid w:val="00281014"/>
    <w:rsid w:val="002813CD"/>
    <w:rsid w:val="002824F6"/>
    <w:rsid w:val="00282AD9"/>
    <w:rsid w:val="00282C49"/>
    <w:rsid w:val="00283D79"/>
    <w:rsid w:val="002842AB"/>
    <w:rsid w:val="00285A8D"/>
    <w:rsid w:val="00285BCE"/>
    <w:rsid w:val="00285D26"/>
    <w:rsid w:val="00286101"/>
    <w:rsid w:val="0028632C"/>
    <w:rsid w:val="0028665D"/>
    <w:rsid w:val="00286C01"/>
    <w:rsid w:val="00286E15"/>
    <w:rsid w:val="00286FC0"/>
    <w:rsid w:val="002873FD"/>
    <w:rsid w:val="00287A88"/>
    <w:rsid w:val="00287D22"/>
    <w:rsid w:val="00287E8C"/>
    <w:rsid w:val="00287F7F"/>
    <w:rsid w:val="00287FAB"/>
    <w:rsid w:val="0029126F"/>
    <w:rsid w:val="002912E0"/>
    <w:rsid w:val="00292601"/>
    <w:rsid w:val="00293139"/>
    <w:rsid w:val="00293A16"/>
    <w:rsid w:val="00294152"/>
    <w:rsid w:val="0029486E"/>
    <w:rsid w:val="002950F4"/>
    <w:rsid w:val="002951EF"/>
    <w:rsid w:val="002A141E"/>
    <w:rsid w:val="002A144A"/>
    <w:rsid w:val="002A14AB"/>
    <w:rsid w:val="002A1DE9"/>
    <w:rsid w:val="002A252C"/>
    <w:rsid w:val="002A2ADE"/>
    <w:rsid w:val="002A2BEE"/>
    <w:rsid w:val="002A2F50"/>
    <w:rsid w:val="002A347F"/>
    <w:rsid w:val="002A35A8"/>
    <w:rsid w:val="002A53BE"/>
    <w:rsid w:val="002A5527"/>
    <w:rsid w:val="002A5C7F"/>
    <w:rsid w:val="002A5FBA"/>
    <w:rsid w:val="002A6231"/>
    <w:rsid w:val="002A729F"/>
    <w:rsid w:val="002A72C8"/>
    <w:rsid w:val="002A7943"/>
    <w:rsid w:val="002A79C4"/>
    <w:rsid w:val="002A7AC0"/>
    <w:rsid w:val="002B0391"/>
    <w:rsid w:val="002B05A1"/>
    <w:rsid w:val="002B09A4"/>
    <w:rsid w:val="002B0F73"/>
    <w:rsid w:val="002B1C1F"/>
    <w:rsid w:val="002B2B4D"/>
    <w:rsid w:val="002B2EBF"/>
    <w:rsid w:val="002B3106"/>
    <w:rsid w:val="002B432F"/>
    <w:rsid w:val="002B4A98"/>
    <w:rsid w:val="002B5471"/>
    <w:rsid w:val="002B54C1"/>
    <w:rsid w:val="002B55A4"/>
    <w:rsid w:val="002B5945"/>
    <w:rsid w:val="002B5FFB"/>
    <w:rsid w:val="002B62B3"/>
    <w:rsid w:val="002B6754"/>
    <w:rsid w:val="002B69F9"/>
    <w:rsid w:val="002B6CCE"/>
    <w:rsid w:val="002B78AA"/>
    <w:rsid w:val="002C1359"/>
    <w:rsid w:val="002C1515"/>
    <w:rsid w:val="002C1CB3"/>
    <w:rsid w:val="002C2510"/>
    <w:rsid w:val="002C2775"/>
    <w:rsid w:val="002C27C1"/>
    <w:rsid w:val="002C3229"/>
    <w:rsid w:val="002C35FB"/>
    <w:rsid w:val="002C36E3"/>
    <w:rsid w:val="002C3B53"/>
    <w:rsid w:val="002C3EAC"/>
    <w:rsid w:val="002C5099"/>
    <w:rsid w:val="002C51A0"/>
    <w:rsid w:val="002C5889"/>
    <w:rsid w:val="002C6701"/>
    <w:rsid w:val="002C6B27"/>
    <w:rsid w:val="002C6BAA"/>
    <w:rsid w:val="002C6CCA"/>
    <w:rsid w:val="002C6E1D"/>
    <w:rsid w:val="002C6F77"/>
    <w:rsid w:val="002C71C9"/>
    <w:rsid w:val="002C71CE"/>
    <w:rsid w:val="002C7FB8"/>
    <w:rsid w:val="002D00B5"/>
    <w:rsid w:val="002D084D"/>
    <w:rsid w:val="002D088F"/>
    <w:rsid w:val="002D08F8"/>
    <w:rsid w:val="002D0DDA"/>
    <w:rsid w:val="002D1373"/>
    <w:rsid w:val="002D16FF"/>
    <w:rsid w:val="002D1F6E"/>
    <w:rsid w:val="002D2BB3"/>
    <w:rsid w:val="002D3484"/>
    <w:rsid w:val="002D39BC"/>
    <w:rsid w:val="002D3C00"/>
    <w:rsid w:val="002D3F97"/>
    <w:rsid w:val="002D486D"/>
    <w:rsid w:val="002D48BA"/>
    <w:rsid w:val="002D577C"/>
    <w:rsid w:val="002D600F"/>
    <w:rsid w:val="002D6F36"/>
    <w:rsid w:val="002D7554"/>
    <w:rsid w:val="002D7832"/>
    <w:rsid w:val="002E045D"/>
    <w:rsid w:val="002E1071"/>
    <w:rsid w:val="002E15B9"/>
    <w:rsid w:val="002E190A"/>
    <w:rsid w:val="002E1EE0"/>
    <w:rsid w:val="002E2158"/>
    <w:rsid w:val="002E2999"/>
    <w:rsid w:val="002E2EC1"/>
    <w:rsid w:val="002E3197"/>
    <w:rsid w:val="002E4141"/>
    <w:rsid w:val="002E439A"/>
    <w:rsid w:val="002E4A9E"/>
    <w:rsid w:val="002E4F02"/>
    <w:rsid w:val="002E585E"/>
    <w:rsid w:val="002E5F82"/>
    <w:rsid w:val="002E674E"/>
    <w:rsid w:val="002E698A"/>
    <w:rsid w:val="002E6DE0"/>
    <w:rsid w:val="002E703F"/>
    <w:rsid w:val="002E7722"/>
    <w:rsid w:val="002F00A7"/>
    <w:rsid w:val="002F0109"/>
    <w:rsid w:val="002F07BA"/>
    <w:rsid w:val="002F0DA9"/>
    <w:rsid w:val="002F1014"/>
    <w:rsid w:val="002F10EF"/>
    <w:rsid w:val="002F1E3B"/>
    <w:rsid w:val="002F33BD"/>
    <w:rsid w:val="002F3766"/>
    <w:rsid w:val="002F416A"/>
    <w:rsid w:val="002F434B"/>
    <w:rsid w:val="002F4F64"/>
    <w:rsid w:val="002F643C"/>
    <w:rsid w:val="002F6B08"/>
    <w:rsid w:val="002F71C0"/>
    <w:rsid w:val="002F74F1"/>
    <w:rsid w:val="002F7D6E"/>
    <w:rsid w:val="0030083E"/>
    <w:rsid w:val="00300E40"/>
    <w:rsid w:val="00301017"/>
    <w:rsid w:val="0030155F"/>
    <w:rsid w:val="00301B04"/>
    <w:rsid w:val="0030485B"/>
    <w:rsid w:val="00304B70"/>
    <w:rsid w:val="00305343"/>
    <w:rsid w:val="003053BA"/>
    <w:rsid w:val="0030587B"/>
    <w:rsid w:val="00306091"/>
    <w:rsid w:val="0030649D"/>
    <w:rsid w:val="00306569"/>
    <w:rsid w:val="003065A7"/>
    <w:rsid w:val="003069F2"/>
    <w:rsid w:val="00306D98"/>
    <w:rsid w:val="00307266"/>
    <w:rsid w:val="0030786C"/>
    <w:rsid w:val="0031031A"/>
    <w:rsid w:val="00310981"/>
    <w:rsid w:val="00310A43"/>
    <w:rsid w:val="00310A49"/>
    <w:rsid w:val="00310FAD"/>
    <w:rsid w:val="00311D9B"/>
    <w:rsid w:val="003124D9"/>
    <w:rsid w:val="00312594"/>
    <w:rsid w:val="003134EF"/>
    <w:rsid w:val="00315498"/>
    <w:rsid w:val="0031637A"/>
    <w:rsid w:val="00316474"/>
    <w:rsid w:val="00317102"/>
    <w:rsid w:val="003171AF"/>
    <w:rsid w:val="003208FF"/>
    <w:rsid w:val="0032165A"/>
    <w:rsid w:val="00321B4B"/>
    <w:rsid w:val="00321D78"/>
    <w:rsid w:val="00322107"/>
    <w:rsid w:val="0032213B"/>
    <w:rsid w:val="00322355"/>
    <w:rsid w:val="00322672"/>
    <w:rsid w:val="00322846"/>
    <w:rsid w:val="003230B8"/>
    <w:rsid w:val="00323685"/>
    <w:rsid w:val="0032385E"/>
    <w:rsid w:val="00323ABB"/>
    <w:rsid w:val="00323ADF"/>
    <w:rsid w:val="00324372"/>
    <w:rsid w:val="00324D07"/>
    <w:rsid w:val="0032537D"/>
    <w:rsid w:val="00326DA7"/>
    <w:rsid w:val="003270E4"/>
    <w:rsid w:val="003273B6"/>
    <w:rsid w:val="0032749A"/>
    <w:rsid w:val="00330DAA"/>
    <w:rsid w:val="00330E9F"/>
    <w:rsid w:val="00330F5C"/>
    <w:rsid w:val="003323ED"/>
    <w:rsid w:val="003324FB"/>
    <w:rsid w:val="00332B42"/>
    <w:rsid w:val="00332CB9"/>
    <w:rsid w:val="00333345"/>
    <w:rsid w:val="00333BDA"/>
    <w:rsid w:val="00333E4C"/>
    <w:rsid w:val="0033460D"/>
    <w:rsid w:val="003366C9"/>
    <w:rsid w:val="0033677B"/>
    <w:rsid w:val="00336ADA"/>
    <w:rsid w:val="003371B0"/>
    <w:rsid w:val="003373B8"/>
    <w:rsid w:val="00337624"/>
    <w:rsid w:val="0033786B"/>
    <w:rsid w:val="0033A186"/>
    <w:rsid w:val="0034098A"/>
    <w:rsid w:val="003409E4"/>
    <w:rsid w:val="00340DF1"/>
    <w:rsid w:val="00340F5F"/>
    <w:rsid w:val="003411E8"/>
    <w:rsid w:val="003416C2"/>
    <w:rsid w:val="00341960"/>
    <w:rsid w:val="00342293"/>
    <w:rsid w:val="00342495"/>
    <w:rsid w:val="00342ABB"/>
    <w:rsid w:val="00342AFB"/>
    <w:rsid w:val="00342D16"/>
    <w:rsid w:val="00342E52"/>
    <w:rsid w:val="00343890"/>
    <w:rsid w:val="00343911"/>
    <w:rsid w:val="00343D32"/>
    <w:rsid w:val="003447D2"/>
    <w:rsid w:val="00344A9B"/>
    <w:rsid w:val="003451A0"/>
    <w:rsid w:val="0034524F"/>
    <w:rsid w:val="00347031"/>
    <w:rsid w:val="00347EF6"/>
    <w:rsid w:val="003500E6"/>
    <w:rsid w:val="00350D89"/>
    <w:rsid w:val="003517F9"/>
    <w:rsid w:val="00351A7F"/>
    <w:rsid w:val="00351AF8"/>
    <w:rsid w:val="00351BA9"/>
    <w:rsid w:val="003536DE"/>
    <w:rsid w:val="003539E1"/>
    <w:rsid w:val="00353A75"/>
    <w:rsid w:val="00354176"/>
    <w:rsid w:val="003544C6"/>
    <w:rsid w:val="003545E6"/>
    <w:rsid w:val="00354F64"/>
    <w:rsid w:val="00355316"/>
    <w:rsid w:val="00355513"/>
    <w:rsid w:val="003559ED"/>
    <w:rsid w:val="0035620E"/>
    <w:rsid w:val="00356BE1"/>
    <w:rsid w:val="00356E47"/>
    <w:rsid w:val="00357153"/>
    <w:rsid w:val="003575BE"/>
    <w:rsid w:val="00360345"/>
    <w:rsid w:val="003611F0"/>
    <w:rsid w:val="0036140B"/>
    <w:rsid w:val="00361A05"/>
    <w:rsid w:val="003621BC"/>
    <w:rsid w:val="00362333"/>
    <w:rsid w:val="003624C4"/>
    <w:rsid w:val="0036266A"/>
    <w:rsid w:val="0036282E"/>
    <w:rsid w:val="00363325"/>
    <w:rsid w:val="00363B00"/>
    <w:rsid w:val="0036516C"/>
    <w:rsid w:val="003654AC"/>
    <w:rsid w:val="00365617"/>
    <w:rsid w:val="003657F1"/>
    <w:rsid w:val="00365E17"/>
    <w:rsid w:val="003673EB"/>
    <w:rsid w:val="003677F0"/>
    <w:rsid w:val="003707D0"/>
    <w:rsid w:val="0037092A"/>
    <w:rsid w:val="00370B77"/>
    <w:rsid w:val="00370CF2"/>
    <w:rsid w:val="003710CF"/>
    <w:rsid w:val="0037154D"/>
    <w:rsid w:val="00371C8A"/>
    <w:rsid w:val="003720A4"/>
    <w:rsid w:val="00372749"/>
    <w:rsid w:val="00372D94"/>
    <w:rsid w:val="0037358A"/>
    <w:rsid w:val="00373FFA"/>
    <w:rsid w:val="00374463"/>
    <w:rsid w:val="00374BD4"/>
    <w:rsid w:val="00374F93"/>
    <w:rsid w:val="003750F6"/>
    <w:rsid w:val="003760FC"/>
    <w:rsid w:val="00376826"/>
    <w:rsid w:val="0037686B"/>
    <w:rsid w:val="00377EAC"/>
    <w:rsid w:val="003801A0"/>
    <w:rsid w:val="003802F2"/>
    <w:rsid w:val="0038052D"/>
    <w:rsid w:val="0038232D"/>
    <w:rsid w:val="0038365C"/>
    <w:rsid w:val="0038369B"/>
    <w:rsid w:val="00383B78"/>
    <w:rsid w:val="00383EAA"/>
    <w:rsid w:val="00384626"/>
    <w:rsid w:val="003847E3"/>
    <w:rsid w:val="00385A9D"/>
    <w:rsid w:val="00386127"/>
    <w:rsid w:val="00387121"/>
    <w:rsid w:val="0038790B"/>
    <w:rsid w:val="003902B1"/>
    <w:rsid w:val="00390F58"/>
    <w:rsid w:val="003912AD"/>
    <w:rsid w:val="00391781"/>
    <w:rsid w:val="0039179C"/>
    <w:rsid w:val="0039347B"/>
    <w:rsid w:val="00393C79"/>
    <w:rsid w:val="003945FF"/>
    <w:rsid w:val="003946C8"/>
    <w:rsid w:val="00394D72"/>
    <w:rsid w:val="00394ECA"/>
    <w:rsid w:val="00396896"/>
    <w:rsid w:val="00396FD0"/>
    <w:rsid w:val="0039731D"/>
    <w:rsid w:val="00397946"/>
    <w:rsid w:val="003979E7"/>
    <w:rsid w:val="00397B48"/>
    <w:rsid w:val="00397C79"/>
    <w:rsid w:val="003A04B9"/>
    <w:rsid w:val="003A0DD5"/>
    <w:rsid w:val="003A0ECA"/>
    <w:rsid w:val="003A1A7A"/>
    <w:rsid w:val="003A1E0B"/>
    <w:rsid w:val="003A2392"/>
    <w:rsid w:val="003A2831"/>
    <w:rsid w:val="003A2BE2"/>
    <w:rsid w:val="003A2C51"/>
    <w:rsid w:val="003A34E7"/>
    <w:rsid w:val="003A361E"/>
    <w:rsid w:val="003A3780"/>
    <w:rsid w:val="003A3CB6"/>
    <w:rsid w:val="003A3ED1"/>
    <w:rsid w:val="003A44DB"/>
    <w:rsid w:val="003A4C14"/>
    <w:rsid w:val="003A4C71"/>
    <w:rsid w:val="003A4D3B"/>
    <w:rsid w:val="003A5E2C"/>
    <w:rsid w:val="003A6218"/>
    <w:rsid w:val="003A71D7"/>
    <w:rsid w:val="003A7836"/>
    <w:rsid w:val="003B0576"/>
    <w:rsid w:val="003B072A"/>
    <w:rsid w:val="003B0DBA"/>
    <w:rsid w:val="003B20CA"/>
    <w:rsid w:val="003B265D"/>
    <w:rsid w:val="003B26A2"/>
    <w:rsid w:val="003B2E4F"/>
    <w:rsid w:val="003B3971"/>
    <w:rsid w:val="003B3E7B"/>
    <w:rsid w:val="003B43A4"/>
    <w:rsid w:val="003B46D3"/>
    <w:rsid w:val="003B55D1"/>
    <w:rsid w:val="003B59E1"/>
    <w:rsid w:val="003B5B61"/>
    <w:rsid w:val="003B656A"/>
    <w:rsid w:val="003B6B10"/>
    <w:rsid w:val="003B6B65"/>
    <w:rsid w:val="003B6D8A"/>
    <w:rsid w:val="003C0396"/>
    <w:rsid w:val="003C0509"/>
    <w:rsid w:val="003C096C"/>
    <w:rsid w:val="003C1654"/>
    <w:rsid w:val="003C1F58"/>
    <w:rsid w:val="003C2421"/>
    <w:rsid w:val="003C2760"/>
    <w:rsid w:val="003C2B89"/>
    <w:rsid w:val="003C4558"/>
    <w:rsid w:val="003C4C4D"/>
    <w:rsid w:val="003C5542"/>
    <w:rsid w:val="003C5724"/>
    <w:rsid w:val="003C65E2"/>
    <w:rsid w:val="003C6BA1"/>
    <w:rsid w:val="003C6CB0"/>
    <w:rsid w:val="003C6F74"/>
    <w:rsid w:val="003C7638"/>
    <w:rsid w:val="003C77EE"/>
    <w:rsid w:val="003C7C15"/>
    <w:rsid w:val="003C7D19"/>
    <w:rsid w:val="003C7D2F"/>
    <w:rsid w:val="003C7F0E"/>
    <w:rsid w:val="003D0C5A"/>
    <w:rsid w:val="003D0E65"/>
    <w:rsid w:val="003D0EC1"/>
    <w:rsid w:val="003D0F7C"/>
    <w:rsid w:val="003D1828"/>
    <w:rsid w:val="003D1BBE"/>
    <w:rsid w:val="003D1DE4"/>
    <w:rsid w:val="003D1E9A"/>
    <w:rsid w:val="003D2422"/>
    <w:rsid w:val="003D24A3"/>
    <w:rsid w:val="003D361C"/>
    <w:rsid w:val="003D39A1"/>
    <w:rsid w:val="003D39D8"/>
    <w:rsid w:val="003D3FBF"/>
    <w:rsid w:val="003D4A30"/>
    <w:rsid w:val="003D5066"/>
    <w:rsid w:val="003D58D7"/>
    <w:rsid w:val="003D5F94"/>
    <w:rsid w:val="003D70EC"/>
    <w:rsid w:val="003D7452"/>
    <w:rsid w:val="003D7764"/>
    <w:rsid w:val="003D79BB"/>
    <w:rsid w:val="003D7C98"/>
    <w:rsid w:val="003D7D9D"/>
    <w:rsid w:val="003D7FAA"/>
    <w:rsid w:val="003E0543"/>
    <w:rsid w:val="003E0818"/>
    <w:rsid w:val="003E0D8A"/>
    <w:rsid w:val="003E0F30"/>
    <w:rsid w:val="003E1907"/>
    <w:rsid w:val="003E1D0A"/>
    <w:rsid w:val="003E2B2F"/>
    <w:rsid w:val="003E2E5C"/>
    <w:rsid w:val="003E316A"/>
    <w:rsid w:val="003E3521"/>
    <w:rsid w:val="003E44AB"/>
    <w:rsid w:val="003E488C"/>
    <w:rsid w:val="003E4E8A"/>
    <w:rsid w:val="003E5603"/>
    <w:rsid w:val="003E5E16"/>
    <w:rsid w:val="003E6602"/>
    <w:rsid w:val="003E6CBC"/>
    <w:rsid w:val="003E714E"/>
    <w:rsid w:val="003E749E"/>
    <w:rsid w:val="003E7D1E"/>
    <w:rsid w:val="003F0C2D"/>
    <w:rsid w:val="003F0D74"/>
    <w:rsid w:val="003F11B8"/>
    <w:rsid w:val="003F1BE6"/>
    <w:rsid w:val="003F1C92"/>
    <w:rsid w:val="003F1F98"/>
    <w:rsid w:val="003F2586"/>
    <w:rsid w:val="003F2CA9"/>
    <w:rsid w:val="003F2CD7"/>
    <w:rsid w:val="003F3064"/>
    <w:rsid w:val="003F3423"/>
    <w:rsid w:val="003F3AF3"/>
    <w:rsid w:val="003F4156"/>
    <w:rsid w:val="003F418A"/>
    <w:rsid w:val="003F4493"/>
    <w:rsid w:val="003F4EE9"/>
    <w:rsid w:val="003F58FE"/>
    <w:rsid w:val="003F5A5C"/>
    <w:rsid w:val="003F5ADF"/>
    <w:rsid w:val="003F5B4A"/>
    <w:rsid w:val="003F605A"/>
    <w:rsid w:val="003F69FD"/>
    <w:rsid w:val="003F7455"/>
    <w:rsid w:val="0040087C"/>
    <w:rsid w:val="00400B29"/>
    <w:rsid w:val="00400E18"/>
    <w:rsid w:val="004014DF"/>
    <w:rsid w:val="00402127"/>
    <w:rsid w:val="00402812"/>
    <w:rsid w:val="004028AB"/>
    <w:rsid w:val="00402ACF"/>
    <w:rsid w:val="00402C7E"/>
    <w:rsid w:val="004033D0"/>
    <w:rsid w:val="0040370B"/>
    <w:rsid w:val="004042F7"/>
    <w:rsid w:val="0040504B"/>
    <w:rsid w:val="0040554C"/>
    <w:rsid w:val="004059F4"/>
    <w:rsid w:val="00405EB3"/>
    <w:rsid w:val="00405F32"/>
    <w:rsid w:val="00407FE5"/>
    <w:rsid w:val="004101B0"/>
    <w:rsid w:val="00410326"/>
    <w:rsid w:val="00410708"/>
    <w:rsid w:val="00410854"/>
    <w:rsid w:val="00410CAF"/>
    <w:rsid w:val="00410EC7"/>
    <w:rsid w:val="00411B39"/>
    <w:rsid w:val="004127A7"/>
    <w:rsid w:val="00412AC5"/>
    <w:rsid w:val="004135C5"/>
    <w:rsid w:val="004139EF"/>
    <w:rsid w:val="00413A1E"/>
    <w:rsid w:val="00413ED1"/>
    <w:rsid w:val="00413EE1"/>
    <w:rsid w:val="0041436D"/>
    <w:rsid w:val="00414476"/>
    <w:rsid w:val="00414C2E"/>
    <w:rsid w:val="00415008"/>
    <w:rsid w:val="004151CF"/>
    <w:rsid w:val="00416054"/>
    <w:rsid w:val="00416364"/>
    <w:rsid w:val="004167EF"/>
    <w:rsid w:val="00416D4C"/>
    <w:rsid w:val="004171DB"/>
    <w:rsid w:val="0042047F"/>
    <w:rsid w:val="00420AA6"/>
    <w:rsid w:val="00420B9F"/>
    <w:rsid w:val="00420D47"/>
    <w:rsid w:val="00420F64"/>
    <w:rsid w:val="00421568"/>
    <w:rsid w:val="0042192C"/>
    <w:rsid w:val="00421B26"/>
    <w:rsid w:val="00422260"/>
    <w:rsid w:val="00422F23"/>
    <w:rsid w:val="0042413F"/>
    <w:rsid w:val="00424934"/>
    <w:rsid w:val="00424F51"/>
    <w:rsid w:val="00425DDD"/>
    <w:rsid w:val="00426D69"/>
    <w:rsid w:val="004275A5"/>
    <w:rsid w:val="00427926"/>
    <w:rsid w:val="0043075B"/>
    <w:rsid w:val="0043135F"/>
    <w:rsid w:val="0043140D"/>
    <w:rsid w:val="004319F8"/>
    <w:rsid w:val="00431E55"/>
    <w:rsid w:val="004321F6"/>
    <w:rsid w:val="00432AF8"/>
    <w:rsid w:val="00433044"/>
    <w:rsid w:val="00433764"/>
    <w:rsid w:val="00433B99"/>
    <w:rsid w:val="00434088"/>
    <w:rsid w:val="00434284"/>
    <w:rsid w:val="0043471D"/>
    <w:rsid w:val="0043572E"/>
    <w:rsid w:val="00436435"/>
    <w:rsid w:val="0043656F"/>
    <w:rsid w:val="004375B9"/>
    <w:rsid w:val="004375FA"/>
    <w:rsid w:val="00437F1C"/>
    <w:rsid w:val="004409FF"/>
    <w:rsid w:val="00441E0C"/>
    <w:rsid w:val="004428D0"/>
    <w:rsid w:val="00442AE8"/>
    <w:rsid w:val="004432A8"/>
    <w:rsid w:val="004434B4"/>
    <w:rsid w:val="0044376F"/>
    <w:rsid w:val="00444185"/>
    <w:rsid w:val="004443A7"/>
    <w:rsid w:val="0044442C"/>
    <w:rsid w:val="00444E5D"/>
    <w:rsid w:val="0044512A"/>
    <w:rsid w:val="00445941"/>
    <w:rsid w:val="00445B99"/>
    <w:rsid w:val="004464EB"/>
    <w:rsid w:val="004478AD"/>
    <w:rsid w:val="00447D26"/>
    <w:rsid w:val="00447DFC"/>
    <w:rsid w:val="004500C1"/>
    <w:rsid w:val="00451850"/>
    <w:rsid w:val="00452090"/>
    <w:rsid w:val="0045241D"/>
    <w:rsid w:val="00452B34"/>
    <w:rsid w:val="004543F6"/>
    <w:rsid w:val="00454690"/>
    <w:rsid w:val="004546DF"/>
    <w:rsid w:val="00455D45"/>
    <w:rsid w:val="00456C13"/>
    <w:rsid w:val="00457A27"/>
    <w:rsid w:val="00457B7F"/>
    <w:rsid w:val="0046036A"/>
    <w:rsid w:val="0046064C"/>
    <w:rsid w:val="0046076B"/>
    <w:rsid w:val="004611FC"/>
    <w:rsid w:val="00462059"/>
    <w:rsid w:val="00462154"/>
    <w:rsid w:val="00462179"/>
    <w:rsid w:val="00462335"/>
    <w:rsid w:val="00462705"/>
    <w:rsid w:val="004628D8"/>
    <w:rsid w:val="004633E6"/>
    <w:rsid w:val="00463527"/>
    <w:rsid w:val="0046370E"/>
    <w:rsid w:val="0046405E"/>
    <w:rsid w:val="00464595"/>
    <w:rsid w:val="00464FAA"/>
    <w:rsid w:val="004658B5"/>
    <w:rsid w:val="00465B40"/>
    <w:rsid w:val="0046628D"/>
    <w:rsid w:val="0046637B"/>
    <w:rsid w:val="00466444"/>
    <w:rsid w:val="00467548"/>
    <w:rsid w:val="0046761D"/>
    <w:rsid w:val="00467ABA"/>
    <w:rsid w:val="004703CA"/>
    <w:rsid w:val="00470F7E"/>
    <w:rsid w:val="00470FFE"/>
    <w:rsid w:val="00471EA5"/>
    <w:rsid w:val="004725D4"/>
    <w:rsid w:val="00472A79"/>
    <w:rsid w:val="00473808"/>
    <w:rsid w:val="00473F19"/>
    <w:rsid w:val="0047418F"/>
    <w:rsid w:val="00475E22"/>
    <w:rsid w:val="0047676D"/>
    <w:rsid w:val="00476B9B"/>
    <w:rsid w:val="004777BB"/>
    <w:rsid w:val="00477990"/>
    <w:rsid w:val="0048088E"/>
    <w:rsid w:val="00480C20"/>
    <w:rsid w:val="00480DBC"/>
    <w:rsid w:val="00480F2B"/>
    <w:rsid w:val="00481976"/>
    <w:rsid w:val="00481BDE"/>
    <w:rsid w:val="00481C7A"/>
    <w:rsid w:val="0048213C"/>
    <w:rsid w:val="004826F9"/>
    <w:rsid w:val="00482720"/>
    <w:rsid w:val="004835E7"/>
    <w:rsid w:val="004841D5"/>
    <w:rsid w:val="004844DF"/>
    <w:rsid w:val="00484B67"/>
    <w:rsid w:val="0048502E"/>
    <w:rsid w:val="004859E1"/>
    <w:rsid w:val="004865EC"/>
    <w:rsid w:val="0048679D"/>
    <w:rsid w:val="004867E2"/>
    <w:rsid w:val="00490510"/>
    <w:rsid w:val="00490B17"/>
    <w:rsid w:val="00490C3E"/>
    <w:rsid w:val="00490CA4"/>
    <w:rsid w:val="00490E22"/>
    <w:rsid w:val="00491A9D"/>
    <w:rsid w:val="00491B3A"/>
    <w:rsid w:val="00491D06"/>
    <w:rsid w:val="004927E6"/>
    <w:rsid w:val="00492957"/>
    <w:rsid w:val="00492CFD"/>
    <w:rsid w:val="00493BC4"/>
    <w:rsid w:val="00494207"/>
    <w:rsid w:val="004944FB"/>
    <w:rsid w:val="00494964"/>
    <w:rsid w:val="00494DD5"/>
    <w:rsid w:val="00495051"/>
    <w:rsid w:val="0049589F"/>
    <w:rsid w:val="0049602E"/>
    <w:rsid w:val="004962D2"/>
    <w:rsid w:val="00496CE5"/>
    <w:rsid w:val="00496D35"/>
    <w:rsid w:val="00497B2D"/>
    <w:rsid w:val="004A05B9"/>
    <w:rsid w:val="004A0DA1"/>
    <w:rsid w:val="004A13D6"/>
    <w:rsid w:val="004A1CFF"/>
    <w:rsid w:val="004A24D3"/>
    <w:rsid w:val="004A2D83"/>
    <w:rsid w:val="004A323D"/>
    <w:rsid w:val="004A4397"/>
    <w:rsid w:val="004A45E4"/>
    <w:rsid w:val="004A48CF"/>
    <w:rsid w:val="004A4912"/>
    <w:rsid w:val="004A4E6F"/>
    <w:rsid w:val="004A52E9"/>
    <w:rsid w:val="004A6040"/>
    <w:rsid w:val="004A6597"/>
    <w:rsid w:val="004A7848"/>
    <w:rsid w:val="004A793B"/>
    <w:rsid w:val="004A79E7"/>
    <w:rsid w:val="004B031F"/>
    <w:rsid w:val="004B0DBC"/>
    <w:rsid w:val="004B0FA1"/>
    <w:rsid w:val="004B1562"/>
    <w:rsid w:val="004B1CB4"/>
    <w:rsid w:val="004B2F18"/>
    <w:rsid w:val="004B38AE"/>
    <w:rsid w:val="004B3CF2"/>
    <w:rsid w:val="004B3DDB"/>
    <w:rsid w:val="004B44FD"/>
    <w:rsid w:val="004B46B4"/>
    <w:rsid w:val="004B4911"/>
    <w:rsid w:val="004B5CFC"/>
    <w:rsid w:val="004B6F79"/>
    <w:rsid w:val="004B70A4"/>
    <w:rsid w:val="004B7746"/>
    <w:rsid w:val="004B774D"/>
    <w:rsid w:val="004B7E2B"/>
    <w:rsid w:val="004C0087"/>
    <w:rsid w:val="004C2AC2"/>
    <w:rsid w:val="004C3552"/>
    <w:rsid w:val="004C3B02"/>
    <w:rsid w:val="004C3B5E"/>
    <w:rsid w:val="004C3DF5"/>
    <w:rsid w:val="004C4846"/>
    <w:rsid w:val="004C4AED"/>
    <w:rsid w:val="004C6599"/>
    <w:rsid w:val="004C6676"/>
    <w:rsid w:val="004C6DEF"/>
    <w:rsid w:val="004C7E58"/>
    <w:rsid w:val="004D00F0"/>
    <w:rsid w:val="004D0704"/>
    <w:rsid w:val="004D0CAE"/>
    <w:rsid w:val="004D1601"/>
    <w:rsid w:val="004D1CD6"/>
    <w:rsid w:val="004D21F4"/>
    <w:rsid w:val="004D2C2D"/>
    <w:rsid w:val="004D32F4"/>
    <w:rsid w:val="004D374A"/>
    <w:rsid w:val="004D379A"/>
    <w:rsid w:val="004D3BD8"/>
    <w:rsid w:val="004D4355"/>
    <w:rsid w:val="004D49A4"/>
    <w:rsid w:val="004D5041"/>
    <w:rsid w:val="004D69B5"/>
    <w:rsid w:val="004D6D1D"/>
    <w:rsid w:val="004D7227"/>
    <w:rsid w:val="004D7B5E"/>
    <w:rsid w:val="004E0473"/>
    <w:rsid w:val="004E0C13"/>
    <w:rsid w:val="004E0E09"/>
    <w:rsid w:val="004E0E14"/>
    <w:rsid w:val="004E0E7F"/>
    <w:rsid w:val="004E0EB8"/>
    <w:rsid w:val="004E18E9"/>
    <w:rsid w:val="004E1F4F"/>
    <w:rsid w:val="004E2107"/>
    <w:rsid w:val="004E24AC"/>
    <w:rsid w:val="004E2ADC"/>
    <w:rsid w:val="004E3A51"/>
    <w:rsid w:val="004E3B51"/>
    <w:rsid w:val="004E43B2"/>
    <w:rsid w:val="004E4BE2"/>
    <w:rsid w:val="004E4F38"/>
    <w:rsid w:val="004E609F"/>
    <w:rsid w:val="004E6725"/>
    <w:rsid w:val="004E68AA"/>
    <w:rsid w:val="004E6DAF"/>
    <w:rsid w:val="004F0CC7"/>
    <w:rsid w:val="004F182D"/>
    <w:rsid w:val="004F1D02"/>
    <w:rsid w:val="004F2467"/>
    <w:rsid w:val="004F2679"/>
    <w:rsid w:val="004F2955"/>
    <w:rsid w:val="004F2F21"/>
    <w:rsid w:val="004F3C98"/>
    <w:rsid w:val="004F3DE5"/>
    <w:rsid w:val="004F678D"/>
    <w:rsid w:val="004F6913"/>
    <w:rsid w:val="004F6A44"/>
    <w:rsid w:val="004F6F46"/>
    <w:rsid w:val="004F6F93"/>
    <w:rsid w:val="004F75E4"/>
    <w:rsid w:val="004F7865"/>
    <w:rsid w:val="004F7914"/>
    <w:rsid w:val="004F7ADE"/>
    <w:rsid w:val="005003BB"/>
    <w:rsid w:val="005008F6"/>
    <w:rsid w:val="0050174E"/>
    <w:rsid w:val="00501854"/>
    <w:rsid w:val="00501962"/>
    <w:rsid w:val="00502097"/>
    <w:rsid w:val="0050219B"/>
    <w:rsid w:val="005021CC"/>
    <w:rsid w:val="00502B96"/>
    <w:rsid w:val="005030E9"/>
    <w:rsid w:val="005032DA"/>
    <w:rsid w:val="005039A3"/>
    <w:rsid w:val="00503A93"/>
    <w:rsid w:val="00503F17"/>
    <w:rsid w:val="00503F3A"/>
    <w:rsid w:val="00503FF3"/>
    <w:rsid w:val="00504AD0"/>
    <w:rsid w:val="005057A1"/>
    <w:rsid w:val="00505A0E"/>
    <w:rsid w:val="005064A7"/>
    <w:rsid w:val="00506549"/>
    <w:rsid w:val="00506928"/>
    <w:rsid w:val="00507007"/>
    <w:rsid w:val="00507537"/>
    <w:rsid w:val="0050754F"/>
    <w:rsid w:val="005076F1"/>
    <w:rsid w:val="005077EF"/>
    <w:rsid w:val="005101C9"/>
    <w:rsid w:val="005103D0"/>
    <w:rsid w:val="00510831"/>
    <w:rsid w:val="00510A92"/>
    <w:rsid w:val="005114B3"/>
    <w:rsid w:val="00511AD5"/>
    <w:rsid w:val="00511BE5"/>
    <w:rsid w:val="00511C9E"/>
    <w:rsid w:val="00511D74"/>
    <w:rsid w:val="00511DC7"/>
    <w:rsid w:val="0051224C"/>
    <w:rsid w:val="00512A31"/>
    <w:rsid w:val="00512C51"/>
    <w:rsid w:val="0051409C"/>
    <w:rsid w:val="005142C5"/>
    <w:rsid w:val="00514C9D"/>
    <w:rsid w:val="0051501B"/>
    <w:rsid w:val="005152B5"/>
    <w:rsid w:val="00515886"/>
    <w:rsid w:val="00515BFB"/>
    <w:rsid w:val="0051618C"/>
    <w:rsid w:val="00517BC5"/>
    <w:rsid w:val="005202BA"/>
    <w:rsid w:val="005202D1"/>
    <w:rsid w:val="0052071E"/>
    <w:rsid w:val="0052094A"/>
    <w:rsid w:val="00520B90"/>
    <w:rsid w:val="00520C39"/>
    <w:rsid w:val="0052123C"/>
    <w:rsid w:val="00521319"/>
    <w:rsid w:val="0052172C"/>
    <w:rsid w:val="00521F71"/>
    <w:rsid w:val="00522BC8"/>
    <w:rsid w:val="00522BC9"/>
    <w:rsid w:val="00523195"/>
    <w:rsid w:val="00523656"/>
    <w:rsid w:val="00523C28"/>
    <w:rsid w:val="0052401C"/>
    <w:rsid w:val="00524B73"/>
    <w:rsid w:val="005256CB"/>
    <w:rsid w:val="0052582A"/>
    <w:rsid w:val="005260A7"/>
    <w:rsid w:val="0052633D"/>
    <w:rsid w:val="00526D79"/>
    <w:rsid w:val="00526E11"/>
    <w:rsid w:val="00526EB0"/>
    <w:rsid w:val="0052721F"/>
    <w:rsid w:val="005275B2"/>
    <w:rsid w:val="00527C6D"/>
    <w:rsid w:val="00527CE4"/>
    <w:rsid w:val="00527E17"/>
    <w:rsid w:val="005309B3"/>
    <w:rsid w:val="00530FB0"/>
    <w:rsid w:val="0053176B"/>
    <w:rsid w:val="00531A69"/>
    <w:rsid w:val="00531C53"/>
    <w:rsid w:val="00531CE8"/>
    <w:rsid w:val="00532844"/>
    <w:rsid w:val="00532AA2"/>
    <w:rsid w:val="005333AE"/>
    <w:rsid w:val="0053387F"/>
    <w:rsid w:val="00533E8C"/>
    <w:rsid w:val="00533F8C"/>
    <w:rsid w:val="005340C4"/>
    <w:rsid w:val="005341B3"/>
    <w:rsid w:val="00534514"/>
    <w:rsid w:val="00534EFB"/>
    <w:rsid w:val="00536820"/>
    <w:rsid w:val="00536B12"/>
    <w:rsid w:val="00536F42"/>
    <w:rsid w:val="00537182"/>
    <w:rsid w:val="00540B06"/>
    <w:rsid w:val="00540C76"/>
    <w:rsid w:val="00540E93"/>
    <w:rsid w:val="00541EDD"/>
    <w:rsid w:val="005424CE"/>
    <w:rsid w:val="00542569"/>
    <w:rsid w:val="00542743"/>
    <w:rsid w:val="00542C2D"/>
    <w:rsid w:val="0054309C"/>
    <w:rsid w:val="005444CB"/>
    <w:rsid w:val="00544694"/>
    <w:rsid w:val="00544D20"/>
    <w:rsid w:val="00544E32"/>
    <w:rsid w:val="00545719"/>
    <w:rsid w:val="00546979"/>
    <w:rsid w:val="00546EF2"/>
    <w:rsid w:val="005474BD"/>
    <w:rsid w:val="005478BD"/>
    <w:rsid w:val="005479E3"/>
    <w:rsid w:val="00547E35"/>
    <w:rsid w:val="005509EC"/>
    <w:rsid w:val="00551399"/>
    <w:rsid w:val="00551662"/>
    <w:rsid w:val="0055186C"/>
    <w:rsid w:val="00551985"/>
    <w:rsid w:val="00551B25"/>
    <w:rsid w:val="00551C5A"/>
    <w:rsid w:val="005523A0"/>
    <w:rsid w:val="00552447"/>
    <w:rsid w:val="00552558"/>
    <w:rsid w:val="00552882"/>
    <w:rsid w:val="00552BD3"/>
    <w:rsid w:val="005532A0"/>
    <w:rsid w:val="0055371B"/>
    <w:rsid w:val="005537D7"/>
    <w:rsid w:val="0055411C"/>
    <w:rsid w:val="00555109"/>
    <w:rsid w:val="00555BE7"/>
    <w:rsid w:val="00555C16"/>
    <w:rsid w:val="005568D3"/>
    <w:rsid w:val="00556B35"/>
    <w:rsid w:val="0055741A"/>
    <w:rsid w:val="00557FDC"/>
    <w:rsid w:val="0056029F"/>
    <w:rsid w:val="0056079A"/>
    <w:rsid w:val="005611B7"/>
    <w:rsid w:val="005618D4"/>
    <w:rsid w:val="00562769"/>
    <w:rsid w:val="0056303D"/>
    <w:rsid w:val="0056367C"/>
    <w:rsid w:val="0056468E"/>
    <w:rsid w:val="00564867"/>
    <w:rsid w:val="00565242"/>
    <w:rsid w:val="005658EA"/>
    <w:rsid w:val="00565C79"/>
    <w:rsid w:val="00565D3D"/>
    <w:rsid w:val="00565DB0"/>
    <w:rsid w:val="00565DF0"/>
    <w:rsid w:val="005668FC"/>
    <w:rsid w:val="0056696F"/>
    <w:rsid w:val="005676B1"/>
    <w:rsid w:val="00567971"/>
    <w:rsid w:val="00567BA9"/>
    <w:rsid w:val="00567CFD"/>
    <w:rsid w:val="00570E29"/>
    <w:rsid w:val="00571458"/>
    <w:rsid w:val="0057160D"/>
    <w:rsid w:val="00571A2C"/>
    <w:rsid w:val="00571D2F"/>
    <w:rsid w:val="00572269"/>
    <w:rsid w:val="0057244A"/>
    <w:rsid w:val="005725F4"/>
    <w:rsid w:val="00572884"/>
    <w:rsid w:val="00572B87"/>
    <w:rsid w:val="00572F26"/>
    <w:rsid w:val="00572FAC"/>
    <w:rsid w:val="00573A34"/>
    <w:rsid w:val="005750C5"/>
    <w:rsid w:val="005752DE"/>
    <w:rsid w:val="00575487"/>
    <w:rsid w:val="00575D60"/>
    <w:rsid w:val="00575D8D"/>
    <w:rsid w:val="00575E73"/>
    <w:rsid w:val="0057612C"/>
    <w:rsid w:val="0057686E"/>
    <w:rsid w:val="005768D5"/>
    <w:rsid w:val="00576972"/>
    <w:rsid w:val="00577248"/>
    <w:rsid w:val="005808A9"/>
    <w:rsid w:val="00580AFE"/>
    <w:rsid w:val="00580FDF"/>
    <w:rsid w:val="00582106"/>
    <w:rsid w:val="00582312"/>
    <w:rsid w:val="0058255C"/>
    <w:rsid w:val="00582769"/>
    <w:rsid w:val="00583699"/>
    <w:rsid w:val="005839C9"/>
    <w:rsid w:val="00583C91"/>
    <w:rsid w:val="005848A6"/>
    <w:rsid w:val="005848EC"/>
    <w:rsid w:val="00584AB8"/>
    <w:rsid w:val="0058511F"/>
    <w:rsid w:val="00585ABE"/>
    <w:rsid w:val="00585CDD"/>
    <w:rsid w:val="005861BD"/>
    <w:rsid w:val="00586755"/>
    <w:rsid w:val="00586C1E"/>
    <w:rsid w:val="00587058"/>
    <w:rsid w:val="0059054A"/>
    <w:rsid w:val="005910A0"/>
    <w:rsid w:val="005913CE"/>
    <w:rsid w:val="00591957"/>
    <w:rsid w:val="00593412"/>
    <w:rsid w:val="0059383E"/>
    <w:rsid w:val="00593ABE"/>
    <w:rsid w:val="00594D2B"/>
    <w:rsid w:val="0059518D"/>
    <w:rsid w:val="00595662"/>
    <w:rsid w:val="00596CFF"/>
    <w:rsid w:val="00596FB5"/>
    <w:rsid w:val="0059767A"/>
    <w:rsid w:val="005977EB"/>
    <w:rsid w:val="00597BF9"/>
    <w:rsid w:val="00597D6D"/>
    <w:rsid w:val="005A004E"/>
    <w:rsid w:val="005A0C11"/>
    <w:rsid w:val="005A0DFD"/>
    <w:rsid w:val="005A1D1B"/>
    <w:rsid w:val="005A309A"/>
    <w:rsid w:val="005A373D"/>
    <w:rsid w:val="005A3789"/>
    <w:rsid w:val="005A393B"/>
    <w:rsid w:val="005A4AFE"/>
    <w:rsid w:val="005A5251"/>
    <w:rsid w:val="005A5D8E"/>
    <w:rsid w:val="005A6321"/>
    <w:rsid w:val="005A78BE"/>
    <w:rsid w:val="005B0206"/>
    <w:rsid w:val="005B0470"/>
    <w:rsid w:val="005B0636"/>
    <w:rsid w:val="005B0930"/>
    <w:rsid w:val="005B0A46"/>
    <w:rsid w:val="005B0B58"/>
    <w:rsid w:val="005B1085"/>
    <w:rsid w:val="005B1373"/>
    <w:rsid w:val="005B2604"/>
    <w:rsid w:val="005B478D"/>
    <w:rsid w:val="005B4E53"/>
    <w:rsid w:val="005B4F1E"/>
    <w:rsid w:val="005B5857"/>
    <w:rsid w:val="005B68CC"/>
    <w:rsid w:val="005B74B8"/>
    <w:rsid w:val="005B7859"/>
    <w:rsid w:val="005C15CE"/>
    <w:rsid w:val="005C1849"/>
    <w:rsid w:val="005C19C4"/>
    <w:rsid w:val="005C1B83"/>
    <w:rsid w:val="005C1D6E"/>
    <w:rsid w:val="005C231B"/>
    <w:rsid w:val="005C24B2"/>
    <w:rsid w:val="005C25FF"/>
    <w:rsid w:val="005C299A"/>
    <w:rsid w:val="005C2D55"/>
    <w:rsid w:val="005C3191"/>
    <w:rsid w:val="005C346B"/>
    <w:rsid w:val="005C36A4"/>
    <w:rsid w:val="005C393E"/>
    <w:rsid w:val="005C4561"/>
    <w:rsid w:val="005C4F02"/>
    <w:rsid w:val="005C51DF"/>
    <w:rsid w:val="005C52EC"/>
    <w:rsid w:val="005C55DF"/>
    <w:rsid w:val="005C5ABC"/>
    <w:rsid w:val="005C5E32"/>
    <w:rsid w:val="005C602A"/>
    <w:rsid w:val="005C630E"/>
    <w:rsid w:val="005C6698"/>
    <w:rsid w:val="005C7B46"/>
    <w:rsid w:val="005D044D"/>
    <w:rsid w:val="005D0ABD"/>
    <w:rsid w:val="005D0C22"/>
    <w:rsid w:val="005D0DEE"/>
    <w:rsid w:val="005D18AD"/>
    <w:rsid w:val="005D210D"/>
    <w:rsid w:val="005D26B4"/>
    <w:rsid w:val="005D2B3D"/>
    <w:rsid w:val="005D41DB"/>
    <w:rsid w:val="005D50BE"/>
    <w:rsid w:val="005D57D7"/>
    <w:rsid w:val="005D5C62"/>
    <w:rsid w:val="005D5C80"/>
    <w:rsid w:val="005D68CA"/>
    <w:rsid w:val="005D6E18"/>
    <w:rsid w:val="005E0777"/>
    <w:rsid w:val="005E0A36"/>
    <w:rsid w:val="005E1419"/>
    <w:rsid w:val="005E1995"/>
    <w:rsid w:val="005E20CF"/>
    <w:rsid w:val="005E22B9"/>
    <w:rsid w:val="005E26C4"/>
    <w:rsid w:val="005E2ED9"/>
    <w:rsid w:val="005E37B2"/>
    <w:rsid w:val="005E39E5"/>
    <w:rsid w:val="005E3B82"/>
    <w:rsid w:val="005E446F"/>
    <w:rsid w:val="005E4591"/>
    <w:rsid w:val="005E51C7"/>
    <w:rsid w:val="005E5471"/>
    <w:rsid w:val="005E6179"/>
    <w:rsid w:val="005E6CBC"/>
    <w:rsid w:val="005E72FF"/>
    <w:rsid w:val="005E7358"/>
    <w:rsid w:val="005E73C0"/>
    <w:rsid w:val="005E746A"/>
    <w:rsid w:val="005E79F2"/>
    <w:rsid w:val="005E7B79"/>
    <w:rsid w:val="005F0460"/>
    <w:rsid w:val="005F07ED"/>
    <w:rsid w:val="005F081C"/>
    <w:rsid w:val="005F0BC1"/>
    <w:rsid w:val="005F0DE2"/>
    <w:rsid w:val="005F19D2"/>
    <w:rsid w:val="005F264D"/>
    <w:rsid w:val="005F2706"/>
    <w:rsid w:val="005F2EA7"/>
    <w:rsid w:val="005F44BC"/>
    <w:rsid w:val="005F547D"/>
    <w:rsid w:val="005F5C4D"/>
    <w:rsid w:val="005F60CA"/>
    <w:rsid w:val="005F68F0"/>
    <w:rsid w:val="005F6A8F"/>
    <w:rsid w:val="005F6AA0"/>
    <w:rsid w:val="005F6BB7"/>
    <w:rsid w:val="005F6EA5"/>
    <w:rsid w:val="005F74A3"/>
    <w:rsid w:val="005F7588"/>
    <w:rsid w:val="005F7B63"/>
    <w:rsid w:val="006004C6"/>
    <w:rsid w:val="006012DB"/>
    <w:rsid w:val="00601462"/>
    <w:rsid w:val="00601BB5"/>
    <w:rsid w:val="00601F82"/>
    <w:rsid w:val="006028D3"/>
    <w:rsid w:val="00602944"/>
    <w:rsid w:val="00603DB9"/>
    <w:rsid w:val="00603E5B"/>
    <w:rsid w:val="00604C99"/>
    <w:rsid w:val="0060582C"/>
    <w:rsid w:val="00605FDE"/>
    <w:rsid w:val="006061D9"/>
    <w:rsid w:val="00606C4F"/>
    <w:rsid w:val="00606D21"/>
    <w:rsid w:val="00606FBA"/>
    <w:rsid w:val="006072B5"/>
    <w:rsid w:val="00607575"/>
    <w:rsid w:val="00607669"/>
    <w:rsid w:val="006076F4"/>
    <w:rsid w:val="006078A6"/>
    <w:rsid w:val="00607AFD"/>
    <w:rsid w:val="00610175"/>
    <w:rsid w:val="006103ED"/>
    <w:rsid w:val="00610708"/>
    <w:rsid w:val="00610C1A"/>
    <w:rsid w:val="00611B10"/>
    <w:rsid w:val="00611B12"/>
    <w:rsid w:val="00612485"/>
    <w:rsid w:val="00612AEE"/>
    <w:rsid w:val="00612F97"/>
    <w:rsid w:val="006130F7"/>
    <w:rsid w:val="0061345D"/>
    <w:rsid w:val="006134B7"/>
    <w:rsid w:val="00613973"/>
    <w:rsid w:val="006143C8"/>
    <w:rsid w:val="0061488E"/>
    <w:rsid w:val="00614980"/>
    <w:rsid w:val="0061549B"/>
    <w:rsid w:val="00615A4D"/>
    <w:rsid w:val="00615A57"/>
    <w:rsid w:val="0061616E"/>
    <w:rsid w:val="0061618E"/>
    <w:rsid w:val="00616802"/>
    <w:rsid w:val="00616E6C"/>
    <w:rsid w:val="00617092"/>
    <w:rsid w:val="00617152"/>
    <w:rsid w:val="00617E12"/>
    <w:rsid w:val="0062014C"/>
    <w:rsid w:val="00620C25"/>
    <w:rsid w:val="00620F8C"/>
    <w:rsid w:val="00621477"/>
    <w:rsid w:val="00621ADA"/>
    <w:rsid w:val="00621F66"/>
    <w:rsid w:val="00623F7B"/>
    <w:rsid w:val="00624219"/>
    <w:rsid w:val="00624BD4"/>
    <w:rsid w:val="0062564E"/>
    <w:rsid w:val="0062592E"/>
    <w:rsid w:val="00625B0D"/>
    <w:rsid w:val="00625D34"/>
    <w:rsid w:val="0062691D"/>
    <w:rsid w:val="00626F9D"/>
    <w:rsid w:val="00627044"/>
    <w:rsid w:val="006270DD"/>
    <w:rsid w:val="00627495"/>
    <w:rsid w:val="0063082A"/>
    <w:rsid w:val="00630916"/>
    <w:rsid w:val="00630E35"/>
    <w:rsid w:val="00630EB4"/>
    <w:rsid w:val="0063118E"/>
    <w:rsid w:val="00631505"/>
    <w:rsid w:val="0063158F"/>
    <w:rsid w:val="00631D6B"/>
    <w:rsid w:val="00631EAF"/>
    <w:rsid w:val="00632183"/>
    <w:rsid w:val="006326AA"/>
    <w:rsid w:val="006330A1"/>
    <w:rsid w:val="006332E4"/>
    <w:rsid w:val="006337C8"/>
    <w:rsid w:val="0063479F"/>
    <w:rsid w:val="00634823"/>
    <w:rsid w:val="006353F0"/>
    <w:rsid w:val="006357B5"/>
    <w:rsid w:val="006357E6"/>
    <w:rsid w:val="00635ABD"/>
    <w:rsid w:val="00636435"/>
    <w:rsid w:val="006364A1"/>
    <w:rsid w:val="0063678E"/>
    <w:rsid w:val="006371E7"/>
    <w:rsid w:val="0063738E"/>
    <w:rsid w:val="0063788A"/>
    <w:rsid w:val="00637BFD"/>
    <w:rsid w:val="00637C5C"/>
    <w:rsid w:val="00640DB2"/>
    <w:rsid w:val="00640FF4"/>
    <w:rsid w:val="00641111"/>
    <w:rsid w:val="006416CC"/>
    <w:rsid w:val="00641C4E"/>
    <w:rsid w:val="00641FB3"/>
    <w:rsid w:val="00643654"/>
    <w:rsid w:val="006436EF"/>
    <w:rsid w:val="00643805"/>
    <w:rsid w:val="0064434C"/>
    <w:rsid w:val="00644461"/>
    <w:rsid w:val="00644A89"/>
    <w:rsid w:val="00644B8E"/>
    <w:rsid w:val="00645352"/>
    <w:rsid w:val="006455FE"/>
    <w:rsid w:val="00646264"/>
    <w:rsid w:val="006471CC"/>
    <w:rsid w:val="006472FE"/>
    <w:rsid w:val="00647543"/>
    <w:rsid w:val="00647753"/>
    <w:rsid w:val="006477AA"/>
    <w:rsid w:val="00647A29"/>
    <w:rsid w:val="00650307"/>
    <w:rsid w:val="0065079F"/>
    <w:rsid w:val="006510AC"/>
    <w:rsid w:val="006515A5"/>
    <w:rsid w:val="00651B61"/>
    <w:rsid w:val="00651CCC"/>
    <w:rsid w:val="00651CD8"/>
    <w:rsid w:val="006521B8"/>
    <w:rsid w:val="006523F3"/>
    <w:rsid w:val="00652456"/>
    <w:rsid w:val="0065263C"/>
    <w:rsid w:val="00652A28"/>
    <w:rsid w:val="0065379F"/>
    <w:rsid w:val="00654665"/>
    <w:rsid w:val="00655264"/>
    <w:rsid w:val="006558FB"/>
    <w:rsid w:val="00656132"/>
    <w:rsid w:val="00656188"/>
    <w:rsid w:val="0065626A"/>
    <w:rsid w:val="00656482"/>
    <w:rsid w:val="00656E08"/>
    <w:rsid w:val="0065715A"/>
    <w:rsid w:val="006573C3"/>
    <w:rsid w:val="0065748E"/>
    <w:rsid w:val="006577C3"/>
    <w:rsid w:val="00657A49"/>
    <w:rsid w:val="0066044C"/>
    <w:rsid w:val="006610F1"/>
    <w:rsid w:val="00661C6B"/>
    <w:rsid w:val="00661F38"/>
    <w:rsid w:val="0066230D"/>
    <w:rsid w:val="00662D3E"/>
    <w:rsid w:val="0066324D"/>
    <w:rsid w:val="00663466"/>
    <w:rsid w:val="006640A2"/>
    <w:rsid w:val="00664744"/>
    <w:rsid w:val="006654D1"/>
    <w:rsid w:val="00665BF2"/>
    <w:rsid w:val="0066635F"/>
    <w:rsid w:val="00666A7D"/>
    <w:rsid w:val="00666B98"/>
    <w:rsid w:val="00667AF2"/>
    <w:rsid w:val="00667BE3"/>
    <w:rsid w:val="00670C5A"/>
    <w:rsid w:val="00671004"/>
    <w:rsid w:val="00671DDA"/>
    <w:rsid w:val="006722E8"/>
    <w:rsid w:val="00672643"/>
    <w:rsid w:val="00672646"/>
    <w:rsid w:val="00672D73"/>
    <w:rsid w:val="0067312B"/>
    <w:rsid w:val="00673823"/>
    <w:rsid w:val="00673E55"/>
    <w:rsid w:val="00674E42"/>
    <w:rsid w:val="006755F4"/>
    <w:rsid w:val="0067570D"/>
    <w:rsid w:val="00675AE4"/>
    <w:rsid w:val="00675F2E"/>
    <w:rsid w:val="00676563"/>
    <w:rsid w:val="0067674D"/>
    <w:rsid w:val="0068009B"/>
    <w:rsid w:val="006813F8"/>
    <w:rsid w:val="00682112"/>
    <w:rsid w:val="00682BA6"/>
    <w:rsid w:val="00682E33"/>
    <w:rsid w:val="0068372E"/>
    <w:rsid w:val="00684913"/>
    <w:rsid w:val="006865A2"/>
    <w:rsid w:val="006865AA"/>
    <w:rsid w:val="00686655"/>
    <w:rsid w:val="00686957"/>
    <w:rsid w:val="00686ECC"/>
    <w:rsid w:val="006872BA"/>
    <w:rsid w:val="00687A1A"/>
    <w:rsid w:val="00690324"/>
    <w:rsid w:val="00690795"/>
    <w:rsid w:val="006910F5"/>
    <w:rsid w:val="00691648"/>
    <w:rsid w:val="006917D7"/>
    <w:rsid w:val="0069184B"/>
    <w:rsid w:val="006918E9"/>
    <w:rsid w:val="00691D80"/>
    <w:rsid w:val="00691EF6"/>
    <w:rsid w:val="00692013"/>
    <w:rsid w:val="00692A22"/>
    <w:rsid w:val="006933FF"/>
    <w:rsid w:val="00693C94"/>
    <w:rsid w:val="00694303"/>
    <w:rsid w:val="0069434C"/>
    <w:rsid w:val="00694F44"/>
    <w:rsid w:val="006951DA"/>
    <w:rsid w:val="0069545A"/>
    <w:rsid w:val="006958C2"/>
    <w:rsid w:val="00696196"/>
    <w:rsid w:val="0069652A"/>
    <w:rsid w:val="00696C31"/>
    <w:rsid w:val="00696EF9"/>
    <w:rsid w:val="00696F51"/>
    <w:rsid w:val="006979A5"/>
    <w:rsid w:val="006A002C"/>
    <w:rsid w:val="006A016F"/>
    <w:rsid w:val="006A0207"/>
    <w:rsid w:val="006A0976"/>
    <w:rsid w:val="006A0DF7"/>
    <w:rsid w:val="006A36CC"/>
    <w:rsid w:val="006A3E8E"/>
    <w:rsid w:val="006A4321"/>
    <w:rsid w:val="006A43D9"/>
    <w:rsid w:val="006A4603"/>
    <w:rsid w:val="006A46A4"/>
    <w:rsid w:val="006A5FB9"/>
    <w:rsid w:val="006A66F5"/>
    <w:rsid w:val="006A6943"/>
    <w:rsid w:val="006A6B99"/>
    <w:rsid w:val="006A6EA0"/>
    <w:rsid w:val="006A7751"/>
    <w:rsid w:val="006A796A"/>
    <w:rsid w:val="006A7E5F"/>
    <w:rsid w:val="006A7EE4"/>
    <w:rsid w:val="006B00EF"/>
    <w:rsid w:val="006B0366"/>
    <w:rsid w:val="006B1497"/>
    <w:rsid w:val="006B14CD"/>
    <w:rsid w:val="006B1669"/>
    <w:rsid w:val="006B21F1"/>
    <w:rsid w:val="006B22A1"/>
    <w:rsid w:val="006B2500"/>
    <w:rsid w:val="006B261B"/>
    <w:rsid w:val="006B2B0C"/>
    <w:rsid w:val="006B2C90"/>
    <w:rsid w:val="006B31E3"/>
    <w:rsid w:val="006B35E6"/>
    <w:rsid w:val="006B3E8B"/>
    <w:rsid w:val="006B4110"/>
    <w:rsid w:val="006B465A"/>
    <w:rsid w:val="006B5850"/>
    <w:rsid w:val="006B598D"/>
    <w:rsid w:val="006B5E49"/>
    <w:rsid w:val="006B5F5D"/>
    <w:rsid w:val="006B60AC"/>
    <w:rsid w:val="006B65D4"/>
    <w:rsid w:val="006B6DD0"/>
    <w:rsid w:val="006B6E2A"/>
    <w:rsid w:val="006B7D0E"/>
    <w:rsid w:val="006C0399"/>
    <w:rsid w:val="006C1E1E"/>
    <w:rsid w:val="006C27A6"/>
    <w:rsid w:val="006C27AA"/>
    <w:rsid w:val="006C2A8E"/>
    <w:rsid w:val="006C30F3"/>
    <w:rsid w:val="006C3255"/>
    <w:rsid w:val="006C3F26"/>
    <w:rsid w:val="006C5489"/>
    <w:rsid w:val="006C56C6"/>
    <w:rsid w:val="006C602C"/>
    <w:rsid w:val="006C6350"/>
    <w:rsid w:val="006C6CAE"/>
    <w:rsid w:val="006C7E34"/>
    <w:rsid w:val="006D0CB5"/>
    <w:rsid w:val="006D0D17"/>
    <w:rsid w:val="006D1255"/>
    <w:rsid w:val="006D1731"/>
    <w:rsid w:val="006D1849"/>
    <w:rsid w:val="006D1FA2"/>
    <w:rsid w:val="006D3C7D"/>
    <w:rsid w:val="006D4659"/>
    <w:rsid w:val="006D5D5F"/>
    <w:rsid w:val="006D5F92"/>
    <w:rsid w:val="006D65A5"/>
    <w:rsid w:val="006D664C"/>
    <w:rsid w:val="006D68FB"/>
    <w:rsid w:val="006E0864"/>
    <w:rsid w:val="006E1747"/>
    <w:rsid w:val="006E1B6D"/>
    <w:rsid w:val="006E2868"/>
    <w:rsid w:val="006E3A85"/>
    <w:rsid w:val="006E41F5"/>
    <w:rsid w:val="006E42C0"/>
    <w:rsid w:val="006E4904"/>
    <w:rsid w:val="006E4966"/>
    <w:rsid w:val="006E498C"/>
    <w:rsid w:val="006E4DBB"/>
    <w:rsid w:val="006E5184"/>
    <w:rsid w:val="006E5624"/>
    <w:rsid w:val="006E57B6"/>
    <w:rsid w:val="006E6B73"/>
    <w:rsid w:val="006E7510"/>
    <w:rsid w:val="006E7CF7"/>
    <w:rsid w:val="006F0E42"/>
    <w:rsid w:val="006F16E3"/>
    <w:rsid w:val="006F2900"/>
    <w:rsid w:val="006F2B8E"/>
    <w:rsid w:val="006F306C"/>
    <w:rsid w:val="006F37B2"/>
    <w:rsid w:val="006F384D"/>
    <w:rsid w:val="006F4189"/>
    <w:rsid w:val="006F48D4"/>
    <w:rsid w:val="006F530C"/>
    <w:rsid w:val="006F555F"/>
    <w:rsid w:val="006F63A5"/>
    <w:rsid w:val="006F651E"/>
    <w:rsid w:val="006F6F2F"/>
    <w:rsid w:val="006F6FC2"/>
    <w:rsid w:val="006F7322"/>
    <w:rsid w:val="006F79CF"/>
    <w:rsid w:val="006F7D91"/>
    <w:rsid w:val="007001BF"/>
    <w:rsid w:val="007008E8"/>
    <w:rsid w:val="00700ACE"/>
    <w:rsid w:val="00700DF6"/>
    <w:rsid w:val="0070142B"/>
    <w:rsid w:val="00701A5B"/>
    <w:rsid w:val="00701E7F"/>
    <w:rsid w:val="0070276E"/>
    <w:rsid w:val="00702A36"/>
    <w:rsid w:val="00702F8F"/>
    <w:rsid w:val="0070327B"/>
    <w:rsid w:val="00704633"/>
    <w:rsid w:val="00704BE8"/>
    <w:rsid w:val="00705081"/>
    <w:rsid w:val="00705085"/>
    <w:rsid w:val="00705CE2"/>
    <w:rsid w:val="00705FC2"/>
    <w:rsid w:val="007068ED"/>
    <w:rsid w:val="00706CB5"/>
    <w:rsid w:val="0070707B"/>
    <w:rsid w:val="007079D6"/>
    <w:rsid w:val="007079FC"/>
    <w:rsid w:val="0071017C"/>
    <w:rsid w:val="00710360"/>
    <w:rsid w:val="00711530"/>
    <w:rsid w:val="00711806"/>
    <w:rsid w:val="00711A36"/>
    <w:rsid w:val="007123E2"/>
    <w:rsid w:val="007125D3"/>
    <w:rsid w:val="00713162"/>
    <w:rsid w:val="007135BF"/>
    <w:rsid w:val="00713853"/>
    <w:rsid w:val="00714C26"/>
    <w:rsid w:val="00715168"/>
    <w:rsid w:val="0071529C"/>
    <w:rsid w:val="00715639"/>
    <w:rsid w:val="007162CE"/>
    <w:rsid w:val="00716BE2"/>
    <w:rsid w:val="007170DA"/>
    <w:rsid w:val="007172AD"/>
    <w:rsid w:val="00717546"/>
    <w:rsid w:val="00720485"/>
    <w:rsid w:val="00720801"/>
    <w:rsid w:val="00720803"/>
    <w:rsid w:val="00720AD4"/>
    <w:rsid w:val="007228F9"/>
    <w:rsid w:val="00722A89"/>
    <w:rsid w:val="00722B1B"/>
    <w:rsid w:val="00723703"/>
    <w:rsid w:val="00723E2E"/>
    <w:rsid w:val="00723E32"/>
    <w:rsid w:val="0072416F"/>
    <w:rsid w:val="00725636"/>
    <w:rsid w:val="00725719"/>
    <w:rsid w:val="00725BD9"/>
    <w:rsid w:val="0072643E"/>
    <w:rsid w:val="00726A89"/>
    <w:rsid w:val="00726AE1"/>
    <w:rsid w:val="00727C94"/>
    <w:rsid w:val="007302E2"/>
    <w:rsid w:val="00730BDC"/>
    <w:rsid w:val="00731409"/>
    <w:rsid w:val="00731B0A"/>
    <w:rsid w:val="00731EAE"/>
    <w:rsid w:val="00733073"/>
    <w:rsid w:val="00733202"/>
    <w:rsid w:val="00734301"/>
    <w:rsid w:val="00734927"/>
    <w:rsid w:val="00734E1E"/>
    <w:rsid w:val="00735033"/>
    <w:rsid w:val="00735328"/>
    <w:rsid w:val="00735AE2"/>
    <w:rsid w:val="007361A8"/>
    <w:rsid w:val="00736570"/>
    <w:rsid w:val="007365C1"/>
    <w:rsid w:val="0073685B"/>
    <w:rsid w:val="00736F3F"/>
    <w:rsid w:val="0073771C"/>
    <w:rsid w:val="00737F11"/>
    <w:rsid w:val="00737F78"/>
    <w:rsid w:val="0074021A"/>
    <w:rsid w:val="0074048D"/>
    <w:rsid w:val="00740604"/>
    <w:rsid w:val="00740778"/>
    <w:rsid w:val="00740E81"/>
    <w:rsid w:val="007437A5"/>
    <w:rsid w:val="00743A3A"/>
    <w:rsid w:val="007448AA"/>
    <w:rsid w:val="007449BF"/>
    <w:rsid w:val="00744AAD"/>
    <w:rsid w:val="00745102"/>
    <w:rsid w:val="00745C3F"/>
    <w:rsid w:val="007463FE"/>
    <w:rsid w:val="00746978"/>
    <w:rsid w:val="00746B00"/>
    <w:rsid w:val="00746BC0"/>
    <w:rsid w:val="007510B4"/>
    <w:rsid w:val="007514B7"/>
    <w:rsid w:val="007516A4"/>
    <w:rsid w:val="007516EE"/>
    <w:rsid w:val="00751D29"/>
    <w:rsid w:val="00751D5B"/>
    <w:rsid w:val="007520CE"/>
    <w:rsid w:val="00752142"/>
    <w:rsid w:val="007523F9"/>
    <w:rsid w:val="007527C0"/>
    <w:rsid w:val="007528F4"/>
    <w:rsid w:val="0075357E"/>
    <w:rsid w:val="00753B29"/>
    <w:rsid w:val="00754298"/>
    <w:rsid w:val="0075564E"/>
    <w:rsid w:val="00756666"/>
    <w:rsid w:val="007573E8"/>
    <w:rsid w:val="00757E3B"/>
    <w:rsid w:val="00760C4E"/>
    <w:rsid w:val="00760F9E"/>
    <w:rsid w:val="007613CD"/>
    <w:rsid w:val="007616E6"/>
    <w:rsid w:val="00762231"/>
    <w:rsid w:val="007625DD"/>
    <w:rsid w:val="007627BE"/>
    <w:rsid w:val="00763225"/>
    <w:rsid w:val="00763270"/>
    <w:rsid w:val="00764B91"/>
    <w:rsid w:val="00764F03"/>
    <w:rsid w:val="00764F2B"/>
    <w:rsid w:val="007651BE"/>
    <w:rsid w:val="00765B1A"/>
    <w:rsid w:val="00765DC1"/>
    <w:rsid w:val="00767315"/>
    <w:rsid w:val="007673C8"/>
    <w:rsid w:val="00767EC8"/>
    <w:rsid w:val="0077027A"/>
    <w:rsid w:val="00770A93"/>
    <w:rsid w:val="00770D6C"/>
    <w:rsid w:val="00773EC2"/>
    <w:rsid w:val="00774905"/>
    <w:rsid w:val="00775C05"/>
    <w:rsid w:val="00776A29"/>
    <w:rsid w:val="00777335"/>
    <w:rsid w:val="00777FAD"/>
    <w:rsid w:val="0078208B"/>
    <w:rsid w:val="007820B4"/>
    <w:rsid w:val="007821EB"/>
    <w:rsid w:val="00782672"/>
    <w:rsid w:val="00782E23"/>
    <w:rsid w:val="007843F2"/>
    <w:rsid w:val="007846D3"/>
    <w:rsid w:val="007846FA"/>
    <w:rsid w:val="00784FC4"/>
    <w:rsid w:val="00785788"/>
    <w:rsid w:val="00785A9F"/>
    <w:rsid w:val="0078632E"/>
    <w:rsid w:val="00787616"/>
    <w:rsid w:val="00787711"/>
    <w:rsid w:val="00787B7F"/>
    <w:rsid w:val="00787BEB"/>
    <w:rsid w:val="007907FB"/>
    <w:rsid w:val="007908F6"/>
    <w:rsid w:val="00790D5F"/>
    <w:rsid w:val="00790D8C"/>
    <w:rsid w:val="00791525"/>
    <w:rsid w:val="00791E52"/>
    <w:rsid w:val="007920B1"/>
    <w:rsid w:val="007925DF"/>
    <w:rsid w:val="00792F1E"/>
    <w:rsid w:val="00793AD0"/>
    <w:rsid w:val="00793D67"/>
    <w:rsid w:val="00794791"/>
    <w:rsid w:val="00794F8D"/>
    <w:rsid w:val="0079625D"/>
    <w:rsid w:val="00796DDA"/>
    <w:rsid w:val="007A01FB"/>
    <w:rsid w:val="007A08AA"/>
    <w:rsid w:val="007A0A12"/>
    <w:rsid w:val="007A132D"/>
    <w:rsid w:val="007A1345"/>
    <w:rsid w:val="007A144E"/>
    <w:rsid w:val="007A17D3"/>
    <w:rsid w:val="007A1B8B"/>
    <w:rsid w:val="007A2236"/>
    <w:rsid w:val="007A2888"/>
    <w:rsid w:val="007A2DDB"/>
    <w:rsid w:val="007A4C28"/>
    <w:rsid w:val="007A4F28"/>
    <w:rsid w:val="007A5B6B"/>
    <w:rsid w:val="007A5F2A"/>
    <w:rsid w:val="007A683D"/>
    <w:rsid w:val="007A6E22"/>
    <w:rsid w:val="007A706F"/>
    <w:rsid w:val="007A70BA"/>
    <w:rsid w:val="007A7402"/>
    <w:rsid w:val="007A7756"/>
    <w:rsid w:val="007A78B7"/>
    <w:rsid w:val="007B0426"/>
    <w:rsid w:val="007B070A"/>
    <w:rsid w:val="007B074E"/>
    <w:rsid w:val="007B0D68"/>
    <w:rsid w:val="007B0E61"/>
    <w:rsid w:val="007B2212"/>
    <w:rsid w:val="007B251D"/>
    <w:rsid w:val="007B2E8F"/>
    <w:rsid w:val="007B3533"/>
    <w:rsid w:val="007B3A14"/>
    <w:rsid w:val="007B4F58"/>
    <w:rsid w:val="007B50CA"/>
    <w:rsid w:val="007B5203"/>
    <w:rsid w:val="007B528D"/>
    <w:rsid w:val="007B54A9"/>
    <w:rsid w:val="007B63CA"/>
    <w:rsid w:val="007B65D6"/>
    <w:rsid w:val="007B6A19"/>
    <w:rsid w:val="007B77D1"/>
    <w:rsid w:val="007C05D8"/>
    <w:rsid w:val="007C07C7"/>
    <w:rsid w:val="007C1799"/>
    <w:rsid w:val="007C1CD9"/>
    <w:rsid w:val="007C2D74"/>
    <w:rsid w:val="007C2F89"/>
    <w:rsid w:val="007C32C5"/>
    <w:rsid w:val="007C32EF"/>
    <w:rsid w:val="007C361D"/>
    <w:rsid w:val="007C370A"/>
    <w:rsid w:val="007C3921"/>
    <w:rsid w:val="007C3951"/>
    <w:rsid w:val="007C4161"/>
    <w:rsid w:val="007C4739"/>
    <w:rsid w:val="007C4B84"/>
    <w:rsid w:val="007C628D"/>
    <w:rsid w:val="007C6F10"/>
    <w:rsid w:val="007C70FF"/>
    <w:rsid w:val="007C734C"/>
    <w:rsid w:val="007C7C25"/>
    <w:rsid w:val="007C7EC9"/>
    <w:rsid w:val="007D004F"/>
    <w:rsid w:val="007D035F"/>
    <w:rsid w:val="007D06B2"/>
    <w:rsid w:val="007D0B38"/>
    <w:rsid w:val="007D1729"/>
    <w:rsid w:val="007D209F"/>
    <w:rsid w:val="007D294D"/>
    <w:rsid w:val="007D3393"/>
    <w:rsid w:val="007D343B"/>
    <w:rsid w:val="007D468A"/>
    <w:rsid w:val="007D4EB3"/>
    <w:rsid w:val="007D5185"/>
    <w:rsid w:val="007D53B0"/>
    <w:rsid w:val="007D53FF"/>
    <w:rsid w:val="007D5440"/>
    <w:rsid w:val="007D5A04"/>
    <w:rsid w:val="007D5ECE"/>
    <w:rsid w:val="007D62ED"/>
    <w:rsid w:val="007D649B"/>
    <w:rsid w:val="007D69EB"/>
    <w:rsid w:val="007D6B3E"/>
    <w:rsid w:val="007D6C17"/>
    <w:rsid w:val="007E128F"/>
    <w:rsid w:val="007E1AAD"/>
    <w:rsid w:val="007E1E6C"/>
    <w:rsid w:val="007E3873"/>
    <w:rsid w:val="007E51C4"/>
    <w:rsid w:val="007E67AB"/>
    <w:rsid w:val="007E70A9"/>
    <w:rsid w:val="007E79C7"/>
    <w:rsid w:val="007F036B"/>
    <w:rsid w:val="007F0667"/>
    <w:rsid w:val="007F0EA1"/>
    <w:rsid w:val="007F1017"/>
    <w:rsid w:val="007F1065"/>
    <w:rsid w:val="007F354A"/>
    <w:rsid w:val="007F3572"/>
    <w:rsid w:val="007F3788"/>
    <w:rsid w:val="007F4A3F"/>
    <w:rsid w:val="007F4A61"/>
    <w:rsid w:val="007F4EB2"/>
    <w:rsid w:val="007F5255"/>
    <w:rsid w:val="007F54DA"/>
    <w:rsid w:val="007F56CC"/>
    <w:rsid w:val="007F5ADC"/>
    <w:rsid w:val="007F5B09"/>
    <w:rsid w:val="007F61C2"/>
    <w:rsid w:val="007F69C5"/>
    <w:rsid w:val="007F69EC"/>
    <w:rsid w:val="007F6CDD"/>
    <w:rsid w:val="007F7628"/>
    <w:rsid w:val="00800107"/>
    <w:rsid w:val="00800651"/>
    <w:rsid w:val="0080082A"/>
    <w:rsid w:val="00801A1B"/>
    <w:rsid w:val="0080250C"/>
    <w:rsid w:val="00803161"/>
    <w:rsid w:val="008038AA"/>
    <w:rsid w:val="008038BA"/>
    <w:rsid w:val="008042DB"/>
    <w:rsid w:val="008048A4"/>
    <w:rsid w:val="00805142"/>
    <w:rsid w:val="00805333"/>
    <w:rsid w:val="008054C2"/>
    <w:rsid w:val="0080566B"/>
    <w:rsid w:val="00805A7F"/>
    <w:rsid w:val="00805F46"/>
    <w:rsid w:val="00805FCE"/>
    <w:rsid w:val="00806095"/>
    <w:rsid w:val="00806755"/>
    <w:rsid w:val="00807A8B"/>
    <w:rsid w:val="00807BD1"/>
    <w:rsid w:val="00807E29"/>
    <w:rsid w:val="0081034F"/>
    <w:rsid w:val="00811383"/>
    <w:rsid w:val="00811AB8"/>
    <w:rsid w:val="00812149"/>
    <w:rsid w:val="00812CAC"/>
    <w:rsid w:val="00813469"/>
    <w:rsid w:val="008135DA"/>
    <w:rsid w:val="00813B61"/>
    <w:rsid w:val="00814250"/>
    <w:rsid w:val="00814AF9"/>
    <w:rsid w:val="00816361"/>
    <w:rsid w:val="00816464"/>
    <w:rsid w:val="00816580"/>
    <w:rsid w:val="008166D7"/>
    <w:rsid w:val="008166EF"/>
    <w:rsid w:val="00816A69"/>
    <w:rsid w:val="00816FEF"/>
    <w:rsid w:val="00817437"/>
    <w:rsid w:val="00817C56"/>
    <w:rsid w:val="008206A4"/>
    <w:rsid w:val="00820A8C"/>
    <w:rsid w:val="008215FB"/>
    <w:rsid w:val="00821982"/>
    <w:rsid w:val="008220CC"/>
    <w:rsid w:val="0082269C"/>
    <w:rsid w:val="00822965"/>
    <w:rsid w:val="00823174"/>
    <w:rsid w:val="008234E0"/>
    <w:rsid w:val="00824EDC"/>
    <w:rsid w:val="00825751"/>
    <w:rsid w:val="008264DC"/>
    <w:rsid w:val="008264EB"/>
    <w:rsid w:val="008268CE"/>
    <w:rsid w:val="00827C23"/>
    <w:rsid w:val="00830570"/>
    <w:rsid w:val="00830A18"/>
    <w:rsid w:val="00830C58"/>
    <w:rsid w:val="00830EEF"/>
    <w:rsid w:val="008314E1"/>
    <w:rsid w:val="00831AEE"/>
    <w:rsid w:val="0083287A"/>
    <w:rsid w:val="00832C48"/>
    <w:rsid w:val="00832D20"/>
    <w:rsid w:val="00832DD2"/>
    <w:rsid w:val="0083314F"/>
    <w:rsid w:val="00833255"/>
    <w:rsid w:val="0083330A"/>
    <w:rsid w:val="0083334E"/>
    <w:rsid w:val="00833B05"/>
    <w:rsid w:val="00833E46"/>
    <w:rsid w:val="00834132"/>
    <w:rsid w:val="00835390"/>
    <w:rsid w:val="008356F1"/>
    <w:rsid w:val="00835FC9"/>
    <w:rsid w:val="00835FD5"/>
    <w:rsid w:val="00835FFF"/>
    <w:rsid w:val="008362B4"/>
    <w:rsid w:val="0083643B"/>
    <w:rsid w:val="00836501"/>
    <w:rsid w:val="00836607"/>
    <w:rsid w:val="00837265"/>
    <w:rsid w:val="00840CA2"/>
    <w:rsid w:val="00841F62"/>
    <w:rsid w:val="0084374F"/>
    <w:rsid w:val="0084389C"/>
    <w:rsid w:val="00843C62"/>
    <w:rsid w:val="00844A22"/>
    <w:rsid w:val="00844C9F"/>
    <w:rsid w:val="0084733C"/>
    <w:rsid w:val="00847703"/>
    <w:rsid w:val="00847D78"/>
    <w:rsid w:val="00847DF5"/>
    <w:rsid w:val="008509BC"/>
    <w:rsid w:val="00851AED"/>
    <w:rsid w:val="00851FB9"/>
    <w:rsid w:val="00852893"/>
    <w:rsid w:val="0085309D"/>
    <w:rsid w:val="0085367F"/>
    <w:rsid w:val="008538F0"/>
    <w:rsid w:val="0085552D"/>
    <w:rsid w:val="00855982"/>
    <w:rsid w:val="00856897"/>
    <w:rsid w:val="00856E9A"/>
    <w:rsid w:val="00857266"/>
    <w:rsid w:val="008572C8"/>
    <w:rsid w:val="008576A9"/>
    <w:rsid w:val="008606AE"/>
    <w:rsid w:val="0086075D"/>
    <w:rsid w:val="00860CCF"/>
    <w:rsid w:val="00861571"/>
    <w:rsid w:val="0086192C"/>
    <w:rsid w:val="00862502"/>
    <w:rsid w:val="00862B7F"/>
    <w:rsid w:val="00862C68"/>
    <w:rsid w:val="00862CC1"/>
    <w:rsid w:val="00863E7E"/>
    <w:rsid w:val="008642A7"/>
    <w:rsid w:val="00864F4C"/>
    <w:rsid w:val="008653DC"/>
    <w:rsid w:val="00865AE2"/>
    <w:rsid w:val="00865EC5"/>
    <w:rsid w:val="008660D4"/>
    <w:rsid w:val="00867ABB"/>
    <w:rsid w:val="008706E4"/>
    <w:rsid w:val="00871999"/>
    <w:rsid w:val="00871BC2"/>
    <w:rsid w:val="00871FA9"/>
    <w:rsid w:val="008728E9"/>
    <w:rsid w:val="00872975"/>
    <w:rsid w:val="00872BB7"/>
    <w:rsid w:val="00873200"/>
    <w:rsid w:val="008738F8"/>
    <w:rsid w:val="00875650"/>
    <w:rsid w:val="00877210"/>
    <w:rsid w:val="00877303"/>
    <w:rsid w:val="00877A26"/>
    <w:rsid w:val="00880442"/>
    <w:rsid w:val="00880C5C"/>
    <w:rsid w:val="0088244A"/>
    <w:rsid w:val="00882874"/>
    <w:rsid w:val="00882E3C"/>
    <w:rsid w:val="00882ED4"/>
    <w:rsid w:val="0088308A"/>
    <w:rsid w:val="0088349F"/>
    <w:rsid w:val="0088361F"/>
    <w:rsid w:val="00883787"/>
    <w:rsid w:val="0088389D"/>
    <w:rsid w:val="00883B9A"/>
    <w:rsid w:val="00883CF8"/>
    <w:rsid w:val="00883E2E"/>
    <w:rsid w:val="008841B9"/>
    <w:rsid w:val="00884D1D"/>
    <w:rsid w:val="008852E8"/>
    <w:rsid w:val="008855E4"/>
    <w:rsid w:val="00886804"/>
    <w:rsid w:val="00886B54"/>
    <w:rsid w:val="00886B5D"/>
    <w:rsid w:val="00886C71"/>
    <w:rsid w:val="00886CD2"/>
    <w:rsid w:val="008870D0"/>
    <w:rsid w:val="00887512"/>
    <w:rsid w:val="00887EDB"/>
    <w:rsid w:val="008907C8"/>
    <w:rsid w:val="0089169D"/>
    <w:rsid w:val="0089172A"/>
    <w:rsid w:val="0089194B"/>
    <w:rsid w:val="00891DEE"/>
    <w:rsid w:val="00891E6F"/>
    <w:rsid w:val="008926F0"/>
    <w:rsid w:val="0089275D"/>
    <w:rsid w:val="00892872"/>
    <w:rsid w:val="00892A36"/>
    <w:rsid w:val="00893239"/>
    <w:rsid w:val="00893E00"/>
    <w:rsid w:val="00893EC6"/>
    <w:rsid w:val="0089420E"/>
    <w:rsid w:val="00894489"/>
    <w:rsid w:val="00894CD6"/>
    <w:rsid w:val="008954EE"/>
    <w:rsid w:val="0089584A"/>
    <w:rsid w:val="00895CD1"/>
    <w:rsid w:val="008963A5"/>
    <w:rsid w:val="00896D5D"/>
    <w:rsid w:val="00897B0D"/>
    <w:rsid w:val="008A050B"/>
    <w:rsid w:val="008A084D"/>
    <w:rsid w:val="008A0A4C"/>
    <w:rsid w:val="008A2BC4"/>
    <w:rsid w:val="008A3158"/>
    <w:rsid w:val="008A31A4"/>
    <w:rsid w:val="008A3363"/>
    <w:rsid w:val="008A3371"/>
    <w:rsid w:val="008A3C3E"/>
    <w:rsid w:val="008A3FFC"/>
    <w:rsid w:val="008A4094"/>
    <w:rsid w:val="008A6CFC"/>
    <w:rsid w:val="008A6EFB"/>
    <w:rsid w:val="008A79DE"/>
    <w:rsid w:val="008B02C5"/>
    <w:rsid w:val="008B0FA7"/>
    <w:rsid w:val="008B1757"/>
    <w:rsid w:val="008B1C33"/>
    <w:rsid w:val="008B2F61"/>
    <w:rsid w:val="008B3BF9"/>
    <w:rsid w:val="008B4256"/>
    <w:rsid w:val="008B4954"/>
    <w:rsid w:val="008B4B6F"/>
    <w:rsid w:val="008B4D62"/>
    <w:rsid w:val="008B5FFF"/>
    <w:rsid w:val="008B6101"/>
    <w:rsid w:val="008B621B"/>
    <w:rsid w:val="008B66A9"/>
    <w:rsid w:val="008B676C"/>
    <w:rsid w:val="008B7992"/>
    <w:rsid w:val="008B7ACB"/>
    <w:rsid w:val="008B7D7E"/>
    <w:rsid w:val="008B7D8A"/>
    <w:rsid w:val="008C09DC"/>
    <w:rsid w:val="008C0B6F"/>
    <w:rsid w:val="008C1A16"/>
    <w:rsid w:val="008C21DB"/>
    <w:rsid w:val="008C21F6"/>
    <w:rsid w:val="008C2916"/>
    <w:rsid w:val="008C2DDD"/>
    <w:rsid w:val="008C3E3E"/>
    <w:rsid w:val="008C4027"/>
    <w:rsid w:val="008C4D0D"/>
    <w:rsid w:val="008C5610"/>
    <w:rsid w:val="008C5739"/>
    <w:rsid w:val="008C60D6"/>
    <w:rsid w:val="008C61C1"/>
    <w:rsid w:val="008C65B3"/>
    <w:rsid w:val="008C6C78"/>
    <w:rsid w:val="008C71BF"/>
    <w:rsid w:val="008C7278"/>
    <w:rsid w:val="008C7282"/>
    <w:rsid w:val="008C7ECB"/>
    <w:rsid w:val="008D035B"/>
    <w:rsid w:val="008D0FEE"/>
    <w:rsid w:val="008D10F1"/>
    <w:rsid w:val="008D1A8A"/>
    <w:rsid w:val="008D2048"/>
    <w:rsid w:val="008D22E7"/>
    <w:rsid w:val="008D3B86"/>
    <w:rsid w:val="008D43C7"/>
    <w:rsid w:val="008D43FD"/>
    <w:rsid w:val="008D463F"/>
    <w:rsid w:val="008D465B"/>
    <w:rsid w:val="008D4755"/>
    <w:rsid w:val="008D4832"/>
    <w:rsid w:val="008D4C3D"/>
    <w:rsid w:val="008D5618"/>
    <w:rsid w:val="008D5695"/>
    <w:rsid w:val="008D5825"/>
    <w:rsid w:val="008D640D"/>
    <w:rsid w:val="008D743C"/>
    <w:rsid w:val="008E0966"/>
    <w:rsid w:val="008E0D3C"/>
    <w:rsid w:val="008E0EEC"/>
    <w:rsid w:val="008E1B9E"/>
    <w:rsid w:val="008E26EA"/>
    <w:rsid w:val="008E2715"/>
    <w:rsid w:val="008E33E2"/>
    <w:rsid w:val="008E3685"/>
    <w:rsid w:val="008E40AF"/>
    <w:rsid w:val="008E45A0"/>
    <w:rsid w:val="008E52D0"/>
    <w:rsid w:val="008E55AB"/>
    <w:rsid w:val="008E6F89"/>
    <w:rsid w:val="008E73C6"/>
    <w:rsid w:val="008E7D43"/>
    <w:rsid w:val="008F120A"/>
    <w:rsid w:val="008F16F9"/>
    <w:rsid w:val="008F27E0"/>
    <w:rsid w:val="008F2C4F"/>
    <w:rsid w:val="008F3092"/>
    <w:rsid w:val="008F331C"/>
    <w:rsid w:val="008F46CB"/>
    <w:rsid w:val="008F479A"/>
    <w:rsid w:val="008F48EB"/>
    <w:rsid w:val="008F4F0B"/>
    <w:rsid w:val="008F4FB4"/>
    <w:rsid w:val="008F6133"/>
    <w:rsid w:val="008F6248"/>
    <w:rsid w:val="008F66A5"/>
    <w:rsid w:val="008F69CA"/>
    <w:rsid w:val="008F7547"/>
    <w:rsid w:val="00900104"/>
    <w:rsid w:val="009004DC"/>
    <w:rsid w:val="00901D1B"/>
    <w:rsid w:val="00901DA9"/>
    <w:rsid w:val="0090230A"/>
    <w:rsid w:val="00902647"/>
    <w:rsid w:val="00903205"/>
    <w:rsid w:val="009037D1"/>
    <w:rsid w:val="009046C4"/>
    <w:rsid w:val="009057CF"/>
    <w:rsid w:val="00905927"/>
    <w:rsid w:val="009062A5"/>
    <w:rsid w:val="00906367"/>
    <w:rsid w:val="00906472"/>
    <w:rsid w:val="009066E8"/>
    <w:rsid w:val="00906C66"/>
    <w:rsid w:val="00906D10"/>
    <w:rsid w:val="00907106"/>
    <w:rsid w:val="009075CF"/>
    <w:rsid w:val="00907699"/>
    <w:rsid w:val="0090791D"/>
    <w:rsid w:val="00907A49"/>
    <w:rsid w:val="0091071C"/>
    <w:rsid w:val="0091090D"/>
    <w:rsid w:val="00910998"/>
    <w:rsid w:val="009109AF"/>
    <w:rsid w:val="00910FA7"/>
    <w:rsid w:val="00911219"/>
    <w:rsid w:val="00911272"/>
    <w:rsid w:val="009112CA"/>
    <w:rsid w:val="00911339"/>
    <w:rsid w:val="009114A4"/>
    <w:rsid w:val="00911F19"/>
    <w:rsid w:val="00912696"/>
    <w:rsid w:val="00912E35"/>
    <w:rsid w:val="00912F72"/>
    <w:rsid w:val="009135D6"/>
    <w:rsid w:val="00914A87"/>
    <w:rsid w:val="00914C77"/>
    <w:rsid w:val="00914DE5"/>
    <w:rsid w:val="00915908"/>
    <w:rsid w:val="00915A89"/>
    <w:rsid w:val="00915FBE"/>
    <w:rsid w:val="00917E6C"/>
    <w:rsid w:val="00917E93"/>
    <w:rsid w:val="00920296"/>
    <w:rsid w:val="00920907"/>
    <w:rsid w:val="0092097B"/>
    <w:rsid w:val="00920C68"/>
    <w:rsid w:val="00921059"/>
    <w:rsid w:val="00921480"/>
    <w:rsid w:val="0092151B"/>
    <w:rsid w:val="00921ACB"/>
    <w:rsid w:val="00921C89"/>
    <w:rsid w:val="00922125"/>
    <w:rsid w:val="009223E9"/>
    <w:rsid w:val="0092285E"/>
    <w:rsid w:val="00923247"/>
    <w:rsid w:val="0092369B"/>
    <w:rsid w:val="00923C14"/>
    <w:rsid w:val="00924D6C"/>
    <w:rsid w:val="00925841"/>
    <w:rsid w:val="009258E8"/>
    <w:rsid w:val="00925C79"/>
    <w:rsid w:val="00926F20"/>
    <w:rsid w:val="00927029"/>
    <w:rsid w:val="0092784C"/>
    <w:rsid w:val="00927ECD"/>
    <w:rsid w:val="00930795"/>
    <w:rsid w:val="0093126C"/>
    <w:rsid w:val="00931844"/>
    <w:rsid w:val="00931ECB"/>
    <w:rsid w:val="009320B3"/>
    <w:rsid w:val="0093210E"/>
    <w:rsid w:val="0093296B"/>
    <w:rsid w:val="00933F14"/>
    <w:rsid w:val="009348D7"/>
    <w:rsid w:val="00934988"/>
    <w:rsid w:val="00934D65"/>
    <w:rsid w:val="00934F37"/>
    <w:rsid w:val="00934FAE"/>
    <w:rsid w:val="00935F82"/>
    <w:rsid w:val="00936D90"/>
    <w:rsid w:val="00937089"/>
    <w:rsid w:val="009375E7"/>
    <w:rsid w:val="009376C3"/>
    <w:rsid w:val="00937A79"/>
    <w:rsid w:val="00937DDA"/>
    <w:rsid w:val="00940CE2"/>
    <w:rsid w:val="00940E0C"/>
    <w:rsid w:val="0094125F"/>
    <w:rsid w:val="00941AB6"/>
    <w:rsid w:val="00941F4B"/>
    <w:rsid w:val="00942276"/>
    <w:rsid w:val="0094252D"/>
    <w:rsid w:val="009426E9"/>
    <w:rsid w:val="00942B1D"/>
    <w:rsid w:val="009436F5"/>
    <w:rsid w:val="00943AE1"/>
    <w:rsid w:val="00944BCF"/>
    <w:rsid w:val="00944F8A"/>
    <w:rsid w:val="00945B0D"/>
    <w:rsid w:val="00945C59"/>
    <w:rsid w:val="00947F2D"/>
    <w:rsid w:val="009510A2"/>
    <w:rsid w:val="009515B7"/>
    <w:rsid w:val="00952154"/>
    <w:rsid w:val="00953257"/>
    <w:rsid w:val="00953C13"/>
    <w:rsid w:val="009546E1"/>
    <w:rsid w:val="0095474C"/>
    <w:rsid w:val="00956577"/>
    <w:rsid w:val="009568B7"/>
    <w:rsid w:val="00957009"/>
    <w:rsid w:val="00957331"/>
    <w:rsid w:val="00957D92"/>
    <w:rsid w:val="0096021C"/>
    <w:rsid w:val="009604F1"/>
    <w:rsid w:val="009605E1"/>
    <w:rsid w:val="00960F10"/>
    <w:rsid w:val="009613CC"/>
    <w:rsid w:val="0096175C"/>
    <w:rsid w:val="009624E4"/>
    <w:rsid w:val="00962553"/>
    <w:rsid w:val="009627F3"/>
    <w:rsid w:val="00962A6C"/>
    <w:rsid w:val="00962CB9"/>
    <w:rsid w:val="00963E53"/>
    <w:rsid w:val="00964312"/>
    <w:rsid w:val="00964748"/>
    <w:rsid w:val="0096499A"/>
    <w:rsid w:val="00964EBE"/>
    <w:rsid w:val="0096500F"/>
    <w:rsid w:val="00965B8A"/>
    <w:rsid w:val="00965BDA"/>
    <w:rsid w:val="00965F04"/>
    <w:rsid w:val="00966284"/>
    <w:rsid w:val="00966756"/>
    <w:rsid w:val="0096748E"/>
    <w:rsid w:val="0097071F"/>
    <w:rsid w:val="00970C6C"/>
    <w:rsid w:val="009717AC"/>
    <w:rsid w:val="009718AB"/>
    <w:rsid w:val="00973225"/>
    <w:rsid w:val="00973A51"/>
    <w:rsid w:val="00973AF1"/>
    <w:rsid w:val="00974641"/>
    <w:rsid w:val="0097489E"/>
    <w:rsid w:val="00974BCF"/>
    <w:rsid w:val="00974D77"/>
    <w:rsid w:val="009751C1"/>
    <w:rsid w:val="00975461"/>
    <w:rsid w:val="00976198"/>
    <w:rsid w:val="00980A0F"/>
    <w:rsid w:val="009810F3"/>
    <w:rsid w:val="00981189"/>
    <w:rsid w:val="009811F1"/>
    <w:rsid w:val="00982498"/>
    <w:rsid w:val="0098262F"/>
    <w:rsid w:val="00982FBA"/>
    <w:rsid w:val="009830C1"/>
    <w:rsid w:val="009834B7"/>
    <w:rsid w:val="00983E57"/>
    <w:rsid w:val="009840D0"/>
    <w:rsid w:val="00985DE2"/>
    <w:rsid w:val="0098675D"/>
    <w:rsid w:val="00986A41"/>
    <w:rsid w:val="00987BA4"/>
    <w:rsid w:val="009907FC"/>
    <w:rsid w:val="00990D65"/>
    <w:rsid w:val="00991D81"/>
    <w:rsid w:val="00992216"/>
    <w:rsid w:val="009926E0"/>
    <w:rsid w:val="0099313B"/>
    <w:rsid w:val="00993242"/>
    <w:rsid w:val="0099339C"/>
    <w:rsid w:val="0099451E"/>
    <w:rsid w:val="009946A0"/>
    <w:rsid w:val="009946D1"/>
    <w:rsid w:val="009947C7"/>
    <w:rsid w:val="009951CD"/>
    <w:rsid w:val="00995CAD"/>
    <w:rsid w:val="009960D1"/>
    <w:rsid w:val="00996274"/>
    <w:rsid w:val="009962A6"/>
    <w:rsid w:val="00996B1A"/>
    <w:rsid w:val="00997032"/>
    <w:rsid w:val="00997105"/>
    <w:rsid w:val="00997D02"/>
    <w:rsid w:val="009A0412"/>
    <w:rsid w:val="009A0577"/>
    <w:rsid w:val="009A1817"/>
    <w:rsid w:val="009A18F6"/>
    <w:rsid w:val="009A2DCC"/>
    <w:rsid w:val="009A3154"/>
    <w:rsid w:val="009A3DA2"/>
    <w:rsid w:val="009A43AC"/>
    <w:rsid w:val="009A5ABC"/>
    <w:rsid w:val="009A6BF8"/>
    <w:rsid w:val="009A6C6B"/>
    <w:rsid w:val="009A79A4"/>
    <w:rsid w:val="009A7A33"/>
    <w:rsid w:val="009A7F10"/>
    <w:rsid w:val="009B060E"/>
    <w:rsid w:val="009B0C7E"/>
    <w:rsid w:val="009B1D44"/>
    <w:rsid w:val="009B2356"/>
    <w:rsid w:val="009B23D0"/>
    <w:rsid w:val="009B3E26"/>
    <w:rsid w:val="009B3F12"/>
    <w:rsid w:val="009B4448"/>
    <w:rsid w:val="009B6299"/>
    <w:rsid w:val="009B632E"/>
    <w:rsid w:val="009B6C59"/>
    <w:rsid w:val="009B706C"/>
    <w:rsid w:val="009B7F69"/>
    <w:rsid w:val="009C1271"/>
    <w:rsid w:val="009C1841"/>
    <w:rsid w:val="009C1AB9"/>
    <w:rsid w:val="009C206F"/>
    <w:rsid w:val="009C218C"/>
    <w:rsid w:val="009C2AFA"/>
    <w:rsid w:val="009C2D31"/>
    <w:rsid w:val="009C3706"/>
    <w:rsid w:val="009C3A3A"/>
    <w:rsid w:val="009C415A"/>
    <w:rsid w:val="009C426B"/>
    <w:rsid w:val="009C434A"/>
    <w:rsid w:val="009C43FC"/>
    <w:rsid w:val="009C492D"/>
    <w:rsid w:val="009C4FB4"/>
    <w:rsid w:val="009C555A"/>
    <w:rsid w:val="009C56C1"/>
    <w:rsid w:val="009C6CEA"/>
    <w:rsid w:val="009C7180"/>
    <w:rsid w:val="009C7A49"/>
    <w:rsid w:val="009C7B85"/>
    <w:rsid w:val="009D0254"/>
    <w:rsid w:val="009D09AD"/>
    <w:rsid w:val="009D0B08"/>
    <w:rsid w:val="009D15A3"/>
    <w:rsid w:val="009D1A64"/>
    <w:rsid w:val="009D2FF9"/>
    <w:rsid w:val="009D432C"/>
    <w:rsid w:val="009D47F0"/>
    <w:rsid w:val="009D4881"/>
    <w:rsid w:val="009D5B91"/>
    <w:rsid w:val="009D5CB2"/>
    <w:rsid w:val="009D66EE"/>
    <w:rsid w:val="009D6879"/>
    <w:rsid w:val="009D741E"/>
    <w:rsid w:val="009D792E"/>
    <w:rsid w:val="009D7A69"/>
    <w:rsid w:val="009E04D0"/>
    <w:rsid w:val="009E0DFE"/>
    <w:rsid w:val="009E1A3B"/>
    <w:rsid w:val="009E24C4"/>
    <w:rsid w:val="009E31F6"/>
    <w:rsid w:val="009E3D12"/>
    <w:rsid w:val="009E481E"/>
    <w:rsid w:val="009E48D8"/>
    <w:rsid w:val="009E4C07"/>
    <w:rsid w:val="009E5AE3"/>
    <w:rsid w:val="009E61AB"/>
    <w:rsid w:val="009E7290"/>
    <w:rsid w:val="009E7505"/>
    <w:rsid w:val="009E777F"/>
    <w:rsid w:val="009E77D1"/>
    <w:rsid w:val="009E7F45"/>
    <w:rsid w:val="009F0559"/>
    <w:rsid w:val="009F11BF"/>
    <w:rsid w:val="009F1C27"/>
    <w:rsid w:val="009F2A3F"/>
    <w:rsid w:val="009F2E2B"/>
    <w:rsid w:val="009F2E94"/>
    <w:rsid w:val="009F36A6"/>
    <w:rsid w:val="009F3B85"/>
    <w:rsid w:val="009F4F63"/>
    <w:rsid w:val="009F4F6F"/>
    <w:rsid w:val="009F5021"/>
    <w:rsid w:val="009F5503"/>
    <w:rsid w:val="009F5D84"/>
    <w:rsid w:val="009F6120"/>
    <w:rsid w:val="009F67BB"/>
    <w:rsid w:val="009F6DAB"/>
    <w:rsid w:val="009F7FEA"/>
    <w:rsid w:val="00A0015D"/>
    <w:rsid w:val="00A00D76"/>
    <w:rsid w:val="00A01184"/>
    <w:rsid w:val="00A01449"/>
    <w:rsid w:val="00A027ED"/>
    <w:rsid w:val="00A03037"/>
    <w:rsid w:val="00A037C2"/>
    <w:rsid w:val="00A03D43"/>
    <w:rsid w:val="00A04380"/>
    <w:rsid w:val="00A04786"/>
    <w:rsid w:val="00A04ADE"/>
    <w:rsid w:val="00A04B2C"/>
    <w:rsid w:val="00A05472"/>
    <w:rsid w:val="00A05569"/>
    <w:rsid w:val="00A05970"/>
    <w:rsid w:val="00A05C32"/>
    <w:rsid w:val="00A0653F"/>
    <w:rsid w:val="00A0681F"/>
    <w:rsid w:val="00A06CBA"/>
    <w:rsid w:val="00A07359"/>
    <w:rsid w:val="00A07D66"/>
    <w:rsid w:val="00A1035A"/>
    <w:rsid w:val="00A1075A"/>
    <w:rsid w:val="00A109C3"/>
    <w:rsid w:val="00A10CFD"/>
    <w:rsid w:val="00A116F2"/>
    <w:rsid w:val="00A11921"/>
    <w:rsid w:val="00A11CD0"/>
    <w:rsid w:val="00A12776"/>
    <w:rsid w:val="00A13948"/>
    <w:rsid w:val="00A13C85"/>
    <w:rsid w:val="00A14D78"/>
    <w:rsid w:val="00A151B4"/>
    <w:rsid w:val="00A153F0"/>
    <w:rsid w:val="00A1555B"/>
    <w:rsid w:val="00A155C5"/>
    <w:rsid w:val="00A16AD8"/>
    <w:rsid w:val="00A173F2"/>
    <w:rsid w:val="00A17D0C"/>
    <w:rsid w:val="00A2021E"/>
    <w:rsid w:val="00A21A72"/>
    <w:rsid w:val="00A21C95"/>
    <w:rsid w:val="00A21CF3"/>
    <w:rsid w:val="00A23265"/>
    <w:rsid w:val="00A244FD"/>
    <w:rsid w:val="00A24813"/>
    <w:rsid w:val="00A248BF"/>
    <w:rsid w:val="00A24D2E"/>
    <w:rsid w:val="00A24D8D"/>
    <w:rsid w:val="00A25E60"/>
    <w:rsid w:val="00A26352"/>
    <w:rsid w:val="00A26FE3"/>
    <w:rsid w:val="00A27AEC"/>
    <w:rsid w:val="00A30566"/>
    <w:rsid w:val="00A306DC"/>
    <w:rsid w:val="00A30A29"/>
    <w:rsid w:val="00A30FC6"/>
    <w:rsid w:val="00A320DB"/>
    <w:rsid w:val="00A326FC"/>
    <w:rsid w:val="00A32D02"/>
    <w:rsid w:val="00A32DDE"/>
    <w:rsid w:val="00A33502"/>
    <w:rsid w:val="00A3383F"/>
    <w:rsid w:val="00A355F9"/>
    <w:rsid w:val="00A35D16"/>
    <w:rsid w:val="00A368AE"/>
    <w:rsid w:val="00A36BF1"/>
    <w:rsid w:val="00A378C0"/>
    <w:rsid w:val="00A37920"/>
    <w:rsid w:val="00A37BCD"/>
    <w:rsid w:val="00A37DAE"/>
    <w:rsid w:val="00A40C0E"/>
    <w:rsid w:val="00A41321"/>
    <w:rsid w:val="00A41346"/>
    <w:rsid w:val="00A41689"/>
    <w:rsid w:val="00A42592"/>
    <w:rsid w:val="00A435CD"/>
    <w:rsid w:val="00A43C59"/>
    <w:rsid w:val="00A443DF"/>
    <w:rsid w:val="00A4498F"/>
    <w:rsid w:val="00A45930"/>
    <w:rsid w:val="00A47CDE"/>
    <w:rsid w:val="00A47EDA"/>
    <w:rsid w:val="00A50ECD"/>
    <w:rsid w:val="00A51800"/>
    <w:rsid w:val="00A518F3"/>
    <w:rsid w:val="00A52729"/>
    <w:rsid w:val="00A531A5"/>
    <w:rsid w:val="00A53675"/>
    <w:rsid w:val="00A5422A"/>
    <w:rsid w:val="00A55C07"/>
    <w:rsid w:val="00A56204"/>
    <w:rsid w:val="00A564D7"/>
    <w:rsid w:val="00A56B6A"/>
    <w:rsid w:val="00A56D96"/>
    <w:rsid w:val="00A56E48"/>
    <w:rsid w:val="00A574D8"/>
    <w:rsid w:val="00A578DC"/>
    <w:rsid w:val="00A60314"/>
    <w:rsid w:val="00A60422"/>
    <w:rsid w:val="00A60802"/>
    <w:rsid w:val="00A60914"/>
    <w:rsid w:val="00A60CB1"/>
    <w:rsid w:val="00A61074"/>
    <w:rsid w:val="00A613C0"/>
    <w:rsid w:val="00A61557"/>
    <w:rsid w:val="00A6160C"/>
    <w:rsid w:val="00A619BD"/>
    <w:rsid w:val="00A61B85"/>
    <w:rsid w:val="00A62276"/>
    <w:rsid w:val="00A62828"/>
    <w:rsid w:val="00A629D0"/>
    <w:rsid w:val="00A62D09"/>
    <w:rsid w:val="00A632C9"/>
    <w:rsid w:val="00A638A7"/>
    <w:rsid w:val="00A63974"/>
    <w:rsid w:val="00A63C03"/>
    <w:rsid w:val="00A63EB8"/>
    <w:rsid w:val="00A63F72"/>
    <w:rsid w:val="00A640E2"/>
    <w:rsid w:val="00A6465E"/>
    <w:rsid w:val="00A64CCA"/>
    <w:rsid w:val="00A64D65"/>
    <w:rsid w:val="00A6564A"/>
    <w:rsid w:val="00A65C7B"/>
    <w:rsid w:val="00A661D1"/>
    <w:rsid w:val="00A662F1"/>
    <w:rsid w:val="00A671BA"/>
    <w:rsid w:val="00A6725B"/>
    <w:rsid w:val="00A673D4"/>
    <w:rsid w:val="00A67470"/>
    <w:rsid w:val="00A67931"/>
    <w:rsid w:val="00A67A04"/>
    <w:rsid w:val="00A70498"/>
    <w:rsid w:val="00A70605"/>
    <w:rsid w:val="00A7064E"/>
    <w:rsid w:val="00A706A6"/>
    <w:rsid w:val="00A707CC"/>
    <w:rsid w:val="00A70E7E"/>
    <w:rsid w:val="00A71829"/>
    <w:rsid w:val="00A71F93"/>
    <w:rsid w:val="00A72153"/>
    <w:rsid w:val="00A7264B"/>
    <w:rsid w:val="00A72BB8"/>
    <w:rsid w:val="00A72DF0"/>
    <w:rsid w:val="00A73134"/>
    <w:rsid w:val="00A7365A"/>
    <w:rsid w:val="00A740C6"/>
    <w:rsid w:val="00A742F3"/>
    <w:rsid w:val="00A745DF"/>
    <w:rsid w:val="00A75B34"/>
    <w:rsid w:val="00A75C33"/>
    <w:rsid w:val="00A76001"/>
    <w:rsid w:val="00A7773C"/>
    <w:rsid w:val="00A777B2"/>
    <w:rsid w:val="00A80390"/>
    <w:rsid w:val="00A80769"/>
    <w:rsid w:val="00A81F6D"/>
    <w:rsid w:val="00A825D4"/>
    <w:rsid w:val="00A828F6"/>
    <w:rsid w:val="00A82B73"/>
    <w:rsid w:val="00A83653"/>
    <w:rsid w:val="00A844F0"/>
    <w:rsid w:val="00A847F3"/>
    <w:rsid w:val="00A84E58"/>
    <w:rsid w:val="00A852CE"/>
    <w:rsid w:val="00A85B42"/>
    <w:rsid w:val="00A86683"/>
    <w:rsid w:val="00A86E8B"/>
    <w:rsid w:val="00A87164"/>
    <w:rsid w:val="00A871A9"/>
    <w:rsid w:val="00A87BC2"/>
    <w:rsid w:val="00A91504"/>
    <w:rsid w:val="00A9224A"/>
    <w:rsid w:val="00A926D8"/>
    <w:rsid w:val="00A92F6C"/>
    <w:rsid w:val="00A93072"/>
    <w:rsid w:val="00A938BD"/>
    <w:rsid w:val="00A93953"/>
    <w:rsid w:val="00A93C97"/>
    <w:rsid w:val="00A9417B"/>
    <w:rsid w:val="00A94B1A"/>
    <w:rsid w:val="00A94F49"/>
    <w:rsid w:val="00A9504C"/>
    <w:rsid w:val="00A959D8"/>
    <w:rsid w:val="00A96600"/>
    <w:rsid w:val="00A96AFC"/>
    <w:rsid w:val="00A97A77"/>
    <w:rsid w:val="00AA0B10"/>
    <w:rsid w:val="00AA113D"/>
    <w:rsid w:val="00AA12A9"/>
    <w:rsid w:val="00AA17A6"/>
    <w:rsid w:val="00AA1B78"/>
    <w:rsid w:val="00AA23F9"/>
    <w:rsid w:val="00AA2B6A"/>
    <w:rsid w:val="00AA31BF"/>
    <w:rsid w:val="00AA3E9A"/>
    <w:rsid w:val="00AA48C1"/>
    <w:rsid w:val="00AA6066"/>
    <w:rsid w:val="00AA6537"/>
    <w:rsid w:val="00AA6BD5"/>
    <w:rsid w:val="00AA6BD8"/>
    <w:rsid w:val="00AA6C7D"/>
    <w:rsid w:val="00AA7238"/>
    <w:rsid w:val="00AA75DE"/>
    <w:rsid w:val="00AA7FD6"/>
    <w:rsid w:val="00AA7FEF"/>
    <w:rsid w:val="00AB042A"/>
    <w:rsid w:val="00AB0891"/>
    <w:rsid w:val="00AB0BFA"/>
    <w:rsid w:val="00AB117B"/>
    <w:rsid w:val="00AB11AD"/>
    <w:rsid w:val="00AB19EF"/>
    <w:rsid w:val="00AB20E5"/>
    <w:rsid w:val="00AB2495"/>
    <w:rsid w:val="00AB2AAD"/>
    <w:rsid w:val="00AB2D34"/>
    <w:rsid w:val="00AB3430"/>
    <w:rsid w:val="00AB37B9"/>
    <w:rsid w:val="00AB3D8A"/>
    <w:rsid w:val="00AB4AD1"/>
    <w:rsid w:val="00AB4DCC"/>
    <w:rsid w:val="00AB5718"/>
    <w:rsid w:val="00AB5C45"/>
    <w:rsid w:val="00AB5E07"/>
    <w:rsid w:val="00AB5FE1"/>
    <w:rsid w:val="00AB7807"/>
    <w:rsid w:val="00AB7CFA"/>
    <w:rsid w:val="00AC01DF"/>
    <w:rsid w:val="00AC0201"/>
    <w:rsid w:val="00AC05F9"/>
    <w:rsid w:val="00AC0A92"/>
    <w:rsid w:val="00AC2746"/>
    <w:rsid w:val="00AC342E"/>
    <w:rsid w:val="00AC3E44"/>
    <w:rsid w:val="00AC46CD"/>
    <w:rsid w:val="00AC493E"/>
    <w:rsid w:val="00AC4EA1"/>
    <w:rsid w:val="00AC5B42"/>
    <w:rsid w:val="00AC5B48"/>
    <w:rsid w:val="00AC6A3D"/>
    <w:rsid w:val="00AC6A54"/>
    <w:rsid w:val="00AC7B64"/>
    <w:rsid w:val="00AD0CF7"/>
    <w:rsid w:val="00AD0D05"/>
    <w:rsid w:val="00AD1450"/>
    <w:rsid w:val="00AD14F3"/>
    <w:rsid w:val="00AD15E8"/>
    <w:rsid w:val="00AD22BD"/>
    <w:rsid w:val="00AD2433"/>
    <w:rsid w:val="00AD2B53"/>
    <w:rsid w:val="00AD356D"/>
    <w:rsid w:val="00AD3AB5"/>
    <w:rsid w:val="00AD3E88"/>
    <w:rsid w:val="00AD3F78"/>
    <w:rsid w:val="00AD4749"/>
    <w:rsid w:val="00AD4A7A"/>
    <w:rsid w:val="00AD4CBF"/>
    <w:rsid w:val="00AD57D8"/>
    <w:rsid w:val="00AD6502"/>
    <w:rsid w:val="00AD65C0"/>
    <w:rsid w:val="00AD70C6"/>
    <w:rsid w:val="00AE0695"/>
    <w:rsid w:val="00AE0A16"/>
    <w:rsid w:val="00AE1A19"/>
    <w:rsid w:val="00AE1C23"/>
    <w:rsid w:val="00AE2B2C"/>
    <w:rsid w:val="00AE3175"/>
    <w:rsid w:val="00AE3E7E"/>
    <w:rsid w:val="00AE3FC0"/>
    <w:rsid w:val="00AE4405"/>
    <w:rsid w:val="00AE5162"/>
    <w:rsid w:val="00AE6D87"/>
    <w:rsid w:val="00AE7374"/>
    <w:rsid w:val="00AE7E53"/>
    <w:rsid w:val="00AE7F59"/>
    <w:rsid w:val="00AF0C42"/>
    <w:rsid w:val="00AF0D8A"/>
    <w:rsid w:val="00AF1033"/>
    <w:rsid w:val="00AF10BB"/>
    <w:rsid w:val="00AF1315"/>
    <w:rsid w:val="00AF19BF"/>
    <w:rsid w:val="00AF1ACA"/>
    <w:rsid w:val="00AF257E"/>
    <w:rsid w:val="00AF2CED"/>
    <w:rsid w:val="00AF2DC3"/>
    <w:rsid w:val="00AF2F60"/>
    <w:rsid w:val="00AF2F8F"/>
    <w:rsid w:val="00AF468B"/>
    <w:rsid w:val="00AF64E9"/>
    <w:rsid w:val="00AF6B76"/>
    <w:rsid w:val="00AF6E78"/>
    <w:rsid w:val="00B00091"/>
    <w:rsid w:val="00B017C4"/>
    <w:rsid w:val="00B01BB0"/>
    <w:rsid w:val="00B0221F"/>
    <w:rsid w:val="00B024D9"/>
    <w:rsid w:val="00B02AC7"/>
    <w:rsid w:val="00B02AF8"/>
    <w:rsid w:val="00B02EDF"/>
    <w:rsid w:val="00B033E5"/>
    <w:rsid w:val="00B03A63"/>
    <w:rsid w:val="00B03D7E"/>
    <w:rsid w:val="00B05029"/>
    <w:rsid w:val="00B05373"/>
    <w:rsid w:val="00B055B1"/>
    <w:rsid w:val="00B05B82"/>
    <w:rsid w:val="00B05DD4"/>
    <w:rsid w:val="00B06626"/>
    <w:rsid w:val="00B0685A"/>
    <w:rsid w:val="00B078DF"/>
    <w:rsid w:val="00B07B9F"/>
    <w:rsid w:val="00B105A0"/>
    <w:rsid w:val="00B105F4"/>
    <w:rsid w:val="00B11282"/>
    <w:rsid w:val="00B11323"/>
    <w:rsid w:val="00B11AFA"/>
    <w:rsid w:val="00B129A4"/>
    <w:rsid w:val="00B13AF9"/>
    <w:rsid w:val="00B13D6D"/>
    <w:rsid w:val="00B144E9"/>
    <w:rsid w:val="00B151F6"/>
    <w:rsid w:val="00B15F02"/>
    <w:rsid w:val="00B168AA"/>
    <w:rsid w:val="00B201A4"/>
    <w:rsid w:val="00B201D1"/>
    <w:rsid w:val="00B206A3"/>
    <w:rsid w:val="00B211ED"/>
    <w:rsid w:val="00B213A6"/>
    <w:rsid w:val="00B214B9"/>
    <w:rsid w:val="00B216BE"/>
    <w:rsid w:val="00B21B7D"/>
    <w:rsid w:val="00B22A04"/>
    <w:rsid w:val="00B2328B"/>
    <w:rsid w:val="00B235B0"/>
    <w:rsid w:val="00B239EB"/>
    <w:rsid w:val="00B24DF6"/>
    <w:rsid w:val="00B270DB"/>
    <w:rsid w:val="00B27A61"/>
    <w:rsid w:val="00B27BE8"/>
    <w:rsid w:val="00B27E08"/>
    <w:rsid w:val="00B30B63"/>
    <w:rsid w:val="00B3176F"/>
    <w:rsid w:val="00B32339"/>
    <w:rsid w:val="00B3311B"/>
    <w:rsid w:val="00B34742"/>
    <w:rsid w:val="00B34FE2"/>
    <w:rsid w:val="00B35166"/>
    <w:rsid w:val="00B357D8"/>
    <w:rsid w:val="00B360F4"/>
    <w:rsid w:val="00B36A00"/>
    <w:rsid w:val="00B36E56"/>
    <w:rsid w:val="00B3792B"/>
    <w:rsid w:val="00B37983"/>
    <w:rsid w:val="00B37BFC"/>
    <w:rsid w:val="00B40027"/>
    <w:rsid w:val="00B40358"/>
    <w:rsid w:val="00B40641"/>
    <w:rsid w:val="00B40BA8"/>
    <w:rsid w:val="00B41614"/>
    <w:rsid w:val="00B419F4"/>
    <w:rsid w:val="00B41BAA"/>
    <w:rsid w:val="00B424B3"/>
    <w:rsid w:val="00B4258F"/>
    <w:rsid w:val="00B42851"/>
    <w:rsid w:val="00B42F80"/>
    <w:rsid w:val="00B430A7"/>
    <w:rsid w:val="00B4332C"/>
    <w:rsid w:val="00B435CB"/>
    <w:rsid w:val="00B43721"/>
    <w:rsid w:val="00B43CBB"/>
    <w:rsid w:val="00B449D4"/>
    <w:rsid w:val="00B45510"/>
    <w:rsid w:val="00B4648E"/>
    <w:rsid w:val="00B465EC"/>
    <w:rsid w:val="00B4673E"/>
    <w:rsid w:val="00B46EA6"/>
    <w:rsid w:val="00B46F15"/>
    <w:rsid w:val="00B47321"/>
    <w:rsid w:val="00B47346"/>
    <w:rsid w:val="00B4785B"/>
    <w:rsid w:val="00B505C8"/>
    <w:rsid w:val="00B50DB8"/>
    <w:rsid w:val="00B50EAE"/>
    <w:rsid w:val="00B51744"/>
    <w:rsid w:val="00B52200"/>
    <w:rsid w:val="00B53654"/>
    <w:rsid w:val="00B53905"/>
    <w:rsid w:val="00B53945"/>
    <w:rsid w:val="00B53E22"/>
    <w:rsid w:val="00B542AE"/>
    <w:rsid w:val="00B546DB"/>
    <w:rsid w:val="00B54B5B"/>
    <w:rsid w:val="00B54BF5"/>
    <w:rsid w:val="00B5520B"/>
    <w:rsid w:val="00B5562E"/>
    <w:rsid w:val="00B55693"/>
    <w:rsid w:val="00B55862"/>
    <w:rsid w:val="00B55C12"/>
    <w:rsid w:val="00B55D65"/>
    <w:rsid w:val="00B562A6"/>
    <w:rsid w:val="00B56305"/>
    <w:rsid w:val="00B564E6"/>
    <w:rsid w:val="00B565F3"/>
    <w:rsid w:val="00B56B6D"/>
    <w:rsid w:val="00B56EA8"/>
    <w:rsid w:val="00B57000"/>
    <w:rsid w:val="00B57274"/>
    <w:rsid w:val="00B57660"/>
    <w:rsid w:val="00B602DD"/>
    <w:rsid w:val="00B60939"/>
    <w:rsid w:val="00B60AFD"/>
    <w:rsid w:val="00B61529"/>
    <w:rsid w:val="00B62715"/>
    <w:rsid w:val="00B62965"/>
    <w:rsid w:val="00B62A95"/>
    <w:rsid w:val="00B62E61"/>
    <w:rsid w:val="00B62EF2"/>
    <w:rsid w:val="00B632B7"/>
    <w:rsid w:val="00B63D68"/>
    <w:rsid w:val="00B63E81"/>
    <w:rsid w:val="00B64B91"/>
    <w:rsid w:val="00B65330"/>
    <w:rsid w:val="00B65611"/>
    <w:rsid w:val="00B6574E"/>
    <w:rsid w:val="00B658F2"/>
    <w:rsid w:val="00B66602"/>
    <w:rsid w:val="00B66FE3"/>
    <w:rsid w:val="00B67727"/>
    <w:rsid w:val="00B70804"/>
    <w:rsid w:val="00B70E8E"/>
    <w:rsid w:val="00B70F51"/>
    <w:rsid w:val="00B7206F"/>
    <w:rsid w:val="00B72255"/>
    <w:rsid w:val="00B7369A"/>
    <w:rsid w:val="00B73FC3"/>
    <w:rsid w:val="00B74081"/>
    <w:rsid w:val="00B74510"/>
    <w:rsid w:val="00B753A8"/>
    <w:rsid w:val="00B754CA"/>
    <w:rsid w:val="00B759AA"/>
    <w:rsid w:val="00B75DA0"/>
    <w:rsid w:val="00B75FC3"/>
    <w:rsid w:val="00B767CB"/>
    <w:rsid w:val="00B76C92"/>
    <w:rsid w:val="00B76CD6"/>
    <w:rsid w:val="00B770A7"/>
    <w:rsid w:val="00B77511"/>
    <w:rsid w:val="00B7773D"/>
    <w:rsid w:val="00B77E7F"/>
    <w:rsid w:val="00B80EFD"/>
    <w:rsid w:val="00B818A4"/>
    <w:rsid w:val="00B81CAA"/>
    <w:rsid w:val="00B820A5"/>
    <w:rsid w:val="00B83002"/>
    <w:rsid w:val="00B83739"/>
    <w:rsid w:val="00B84117"/>
    <w:rsid w:val="00B84ADA"/>
    <w:rsid w:val="00B84B28"/>
    <w:rsid w:val="00B858F0"/>
    <w:rsid w:val="00B85AA2"/>
    <w:rsid w:val="00B85DE9"/>
    <w:rsid w:val="00B8637A"/>
    <w:rsid w:val="00B8649C"/>
    <w:rsid w:val="00B86658"/>
    <w:rsid w:val="00B8695D"/>
    <w:rsid w:val="00B86FDA"/>
    <w:rsid w:val="00B87513"/>
    <w:rsid w:val="00B876AF"/>
    <w:rsid w:val="00B87F0A"/>
    <w:rsid w:val="00B90491"/>
    <w:rsid w:val="00B9074B"/>
    <w:rsid w:val="00B90923"/>
    <w:rsid w:val="00B90B69"/>
    <w:rsid w:val="00B91695"/>
    <w:rsid w:val="00B91B05"/>
    <w:rsid w:val="00B91B83"/>
    <w:rsid w:val="00B924B7"/>
    <w:rsid w:val="00B926B5"/>
    <w:rsid w:val="00B926E6"/>
    <w:rsid w:val="00B92BCB"/>
    <w:rsid w:val="00B92D0B"/>
    <w:rsid w:val="00B93282"/>
    <w:rsid w:val="00B9405D"/>
    <w:rsid w:val="00B94584"/>
    <w:rsid w:val="00B94945"/>
    <w:rsid w:val="00B94DD6"/>
    <w:rsid w:val="00B9514E"/>
    <w:rsid w:val="00B957D0"/>
    <w:rsid w:val="00BA086A"/>
    <w:rsid w:val="00BA0E9A"/>
    <w:rsid w:val="00BA14A4"/>
    <w:rsid w:val="00BA14A7"/>
    <w:rsid w:val="00BA2AAE"/>
    <w:rsid w:val="00BA3150"/>
    <w:rsid w:val="00BA322D"/>
    <w:rsid w:val="00BA3FCA"/>
    <w:rsid w:val="00BA4533"/>
    <w:rsid w:val="00BA4FA9"/>
    <w:rsid w:val="00BA5200"/>
    <w:rsid w:val="00BA5553"/>
    <w:rsid w:val="00BA5D6B"/>
    <w:rsid w:val="00BA60F4"/>
    <w:rsid w:val="00BA6292"/>
    <w:rsid w:val="00BA63FA"/>
    <w:rsid w:val="00BA6677"/>
    <w:rsid w:val="00BA7DEA"/>
    <w:rsid w:val="00BB00B3"/>
    <w:rsid w:val="00BB0161"/>
    <w:rsid w:val="00BB07EA"/>
    <w:rsid w:val="00BB0AA0"/>
    <w:rsid w:val="00BB0BDD"/>
    <w:rsid w:val="00BB176C"/>
    <w:rsid w:val="00BB2012"/>
    <w:rsid w:val="00BB24D1"/>
    <w:rsid w:val="00BB2A73"/>
    <w:rsid w:val="00BB2F35"/>
    <w:rsid w:val="00BB3A45"/>
    <w:rsid w:val="00BB40FD"/>
    <w:rsid w:val="00BB44D1"/>
    <w:rsid w:val="00BB452A"/>
    <w:rsid w:val="00BB4ACC"/>
    <w:rsid w:val="00BB5651"/>
    <w:rsid w:val="00BB5B4B"/>
    <w:rsid w:val="00BB703E"/>
    <w:rsid w:val="00BB732D"/>
    <w:rsid w:val="00BB7405"/>
    <w:rsid w:val="00BB760F"/>
    <w:rsid w:val="00BB7736"/>
    <w:rsid w:val="00BB7DED"/>
    <w:rsid w:val="00BB7EE4"/>
    <w:rsid w:val="00BB7FBD"/>
    <w:rsid w:val="00BC03D0"/>
    <w:rsid w:val="00BC085B"/>
    <w:rsid w:val="00BC0BE0"/>
    <w:rsid w:val="00BC0EAA"/>
    <w:rsid w:val="00BC3457"/>
    <w:rsid w:val="00BC3562"/>
    <w:rsid w:val="00BC3631"/>
    <w:rsid w:val="00BC38B8"/>
    <w:rsid w:val="00BC44B9"/>
    <w:rsid w:val="00BC4806"/>
    <w:rsid w:val="00BC5281"/>
    <w:rsid w:val="00BC550C"/>
    <w:rsid w:val="00BC58AA"/>
    <w:rsid w:val="00BC591F"/>
    <w:rsid w:val="00BC72A7"/>
    <w:rsid w:val="00BC7399"/>
    <w:rsid w:val="00BC7D6D"/>
    <w:rsid w:val="00BD054B"/>
    <w:rsid w:val="00BD0CAB"/>
    <w:rsid w:val="00BD152B"/>
    <w:rsid w:val="00BD158E"/>
    <w:rsid w:val="00BD1EF6"/>
    <w:rsid w:val="00BD2108"/>
    <w:rsid w:val="00BD2FD8"/>
    <w:rsid w:val="00BD4DB3"/>
    <w:rsid w:val="00BD555C"/>
    <w:rsid w:val="00BD6325"/>
    <w:rsid w:val="00BD68A3"/>
    <w:rsid w:val="00BD6938"/>
    <w:rsid w:val="00BD6966"/>
    <w:rsid w:val="00BD6A37"/>
    <w:rsid w:val="00BD6BEA"/>
    <w:rsid w:val="00BD6CF3"/>
    <w:rsid w:val="00BD788B"/>
    <w:rsid w:val="00BD7BCB"/>
    <w:rsid w:val="00BD7EF2"/>
    <w:rsid w:val="00BD7F72"/>
    <w:rsid w:val="00BE072C"/>
    <w:rsid w:val="00BE0916"/>
    <w:rsid w:val="00BE0ECA"/>
    <w:rsid w:val="00BE1E08"/>
    <w:rsid w:val="00BE1F91"/>
    <w:rsid w:val="00BE2105"/>
    <w:rsid w:val="00BE2180"/>
    <w:rsid w:val="00BE21F2"/>
    <w:rsid w:val="00BE2247"/>
    <w:rsid w:val="00BE2683"/>
    <w:rsid w:val="00BE2962"/>
    <w:rsid w:val="00BE2A83"/>
    <w:rsid w:val="00BE2AC4"/>
    <w:rsid w:val="00BE2D45"/>
    <w:rsid w:val="00BE31CF"/>
    <w:rsid w:val="00BE3766"/>
    <w:rsid w:val="00BE4275"/>
    <w:rsid w:val="00BE436B"/>
    <w:rsid w:val="00BE5506"/>
    <w:rsid w:val="00BE560D"/>
    <w:rsid w:val="00BE634D"/>
    <w:rsid w:val="00BE696F"/>
    <w:rsid w:val="00BE7AEE"/>
    <w:rsid w:val="00BF06AE"/>
    <w:rsid w:val="00BF0ADB"/>
    <w:rsid w:val="00BF0F95"/>
    <w:rsid w:val="00BF1ADA"/>
    <w:rsid w:val="00BF2171"/>
    <w:rsid w:val="00BF2433"/>
    <w:rsid w:val="00BF2C2D"/>
    <w:rsid w:val="00BF2E6E"/>
    <w:rsid w:val="00BF3EDE"/>
    <w:rsid w:val="00BF4FA7"/>
    <w:rsid w:val="00BF52B0"/>
    <w:rsid w:val="00BF5A5F"/>
    <w:rsid w:val="00BF61C9"/>
    <w:rsid w:val="00BF63E8"/>
    <w:rsid w:val="00BF6C94"/>
    <w:rsid w:val="00BF6CA2"/>
    <w:rsid w:val="00BF7040"/>
    <w:rsid w:val="00BF7265"/>
    <w:rsid w:val="00BF744E"/>
    <w:rsid w:val="00BF7DD9"/>
    <w:rsid w:val="00BF7FBE"/>
    <w:rsid w:val="00C00424"/>
    <w:rsid w:val="00C00BB0"/>
    <w:rsid w:val="00C00D94"/>
    <w:rsid w:val="00C00EC3"/>
    <w:rsid w:val="00C0316A"/>
    <w:rsid w:val="00C03404"/>
    <w:rsid w:val="00C04037"/>
    <w:rsid w:val="00C04196"/>
    <w:rsid w:val="00C04A96"/>
    <w:rsid w:val="00C052E9"/>
    <w:rsid w:val="00C05F96"/>
    <w:rsid w:val="00C06184"/>
    <w:rsid w:val="00C0723E"/>
    <w:rsid w:val="00C107F3"/>
    <w:rsid w:val="00C1179F"/>
    <w:rsid w:val="00C11BDB"/>
    <w:rsid w:val="00C127B9"/>
    <w:rsid w:val="00C128FA"/>
    <w:rsid w:val="00C12C14"/>
    <w:rsid w:val="00C132A8"/>
    <w:rsid w:val="00C14295"/>
    <w:rsid w:val="00C142B7"/>
    <w:rsid w:val="00C14920"/>
    <w:rsid w:val="00C14D47"/>
    <w:rsid w:val="00C15117"/>
    <w:rsid w:val="00C15302"/>
    <w:rsid w:val="00C15BE7"/>
    <w:rsid w:val="00C15E42"/>
    <w:rsid w:val="00C15F04"/>
    <w:rsid w:val="00C16C79"/>
    <w:rsid w:val="00C16F25"/>
    <w:rsid w:val="00C179B3"/>
    <w:rsid w:val="00C17E3F"/>
    <w:rsid w:val="00C17E72"/>
    <w:rsid w:val="00C17E7B"/>
    <w:rsid w:val="00C200AA"/>
    <w:rsid w:val="00C2019D"/>
    <w:rsid w:val="00C202DC"/>
    <w:rsid w:val="00C20710"/>
    <w:rsid w:val="00C20CA9"/>
    <w:rsid w:val="00C21697"/>
    <w:rsid w:val="00C2352D"/>
    <w:rsid w:val="00C23647"/>
    <w:rsid w:val="00C237ED"/>
    <w:rsid w:val="00C2392D"/>
    <w:rsid w:val="00C23DB4"/>
    <w:rsid w:val="00C23F2E"/>
    <w:rsid w:val="00C24632"/>
    <w:rsid w:val="00C24A50"/>
    <w:rsid w:val="00C24B6C"/>
    <w:rsid w:val="00C251BE"/>
    <w:rsid w:val="00C25418"/>
    <w:rsid w:val="00C25D9C"/>
    <w:rsid w:val="00C26065"/>
    <w:rsid w:val="00C263BE"/>
    <w:rsid w:val="00C2778B"/>
    <w:rsid w:val="00C30233"/>
    <w:rsid w:val="00C3069B"/>
    <w:rsid w:val="00C31649"/>
    <w:rsid w:val="00C31894"/>
    <w:rsid w:val="00C31CA4"/>
    <w:rsid w:val="00C31E68"/>
    <w:rsid w:val="00C328B2"/>
    <w:rsid w:val="00C329E2"/>
    <w:rsid w:val="00C330E7"/>
    <w:rsid w:val="00C3346F"/>
    <w:rsid w:val="00C33793"/>
    <w:rsid w:val="00C33B78"/>
    <w:rsid w:val="00C341E0"/>
    <w:rsid w:val="00C3434C"/>
    <w:rsid w:val="00C34648"/>
    <w:rsid w:val="00C3495F"/>
    <w:rsid w:val="00C34E10"/>
    <w:rsid w:val="00C35A36"/>
    <w:rsid w:val="00C36626"/>
    <w:rsid w:val="00C40385"/>
    <w:rsid w:val="00C40729"/>
    <w:rsid w:val="00C40A50"/>
    <w:rsid w:val="00C41768"/>
    <w:rsid w:val="00C42E71"/>
    <w:rsid w:val="00C431D7"/>
    <w:rsid w:val="00C433E3"/>
    <w:rsid w:val="00C434F4"/>
    <w:rsid w:val="00C43991"/>
    <w:rsid w:val="00C442A6"/>
    <w:rsid w:val="00C44634"/>
    <w:rsid w:val="00C44C8E"/>
    <w:rsid w:val="00C45B89"/>
    <w:rsid w:val="00C45D38"/>
    <w:rsid w:val="00C468B3"/>
    <w:rsid w:val="00C475AA"/>
    <w:rsid w:val="00C47A8F"/>
    <w:rsid w:val="00C501DD"/>
    <w:rsid w:val="00C50459"/>
    <w:rsid w:val="00C507FB"/>
    <w:rsid w:val="00C50945"/>
    <w:rsid w:val="00C50FAE"/>
    <w:rsid w:val="00C51015"/>
    <w:rsid w:val="00C510C0"/>
    <w:rsid w:val="00C5127A"/>
    <w:rsid w:val="00C51D11"/>
    <w:rsid w:val="00C5253A"/>
    <w:rsid w:val="00C52732"/>
    <w:rsid w:val="00C527C7"/>
    <w:rsid w:val="00C531E4"/>
    <w:rsid w:val="00C53775"/>
    <w:rsid w:val="00C53B40"/>
    <w:rsid w:val="00C53C98"/>
    <w:rsid w:val="00C54611"/>
    <w:rsid w:val="00C56FCF"/>
    <w:rsid w:val="00C572F6"/>
    <w:rsid w:val="00C57568"/>
    <w:rsid w:val="00C57B6C"/>
    <w:rsid w:val="00C57C65"/>
    <w:rsid w:val="00C57CBB"/>
    <w:rsid w:val="00C6057D"/>
    <w:rsid w:val="00C60CF5"/>
    <w:rsid w:val="00C60D3E"/>
    <w:rsid w:val="00C610CB"/>
    <w:rsid w:val="00C61401"/>
    <w:rsid w:val="00C61A59"/>
    <w:rsid w:val="00C61DA1"/>
    <w:rsid w:val="00C628A6"/>
    <w:rsid w:val="00C62962"/>
    <w:rsid w:val="00C62BF2"/>
    <w:rsid w:val="00C6353B"/>
    <w:rsid w:val="00C64344"/>
    <w:rsid w:val="00C6441C"/>
    <w:rsid w:val="00C64A49"/>
    <w:rsid w:val="00C65108"/>
    <w:rsid w:val="00C65576"/>
    <w:rsid w:val="00C66165"/>
    <w:rsid w:val="00C6636C"/>
    <w:rsid w:val="00C6653F"/>
    <w:rsid w:val="00C66E0C"/>
    <w:rsid w:val="00C66F69"/>
    <w:rsid w:val="00C67CC6"/>
    <w:rsid w:val="00C704B5"/>
    <w:rsid w:val="00C7060A"/>
    <w:rsid w:val="00C70936"/>
    <w:rsid w:val="00C70E22"/>
    <w:rsid w:val="00C711EA"/>
    <w:rsid w:val="00C7151A"/>
    <w:rsid w:val="00C717E3"/>
    <w:rsid w:val="00C71B7E"/>
    <w:rsid w:val="00C71F60"/>
    <w:rsid w:val="00C72241"/>
    <w:rsid w:val="00C726E9"/>
    <w:rsid w:val="00C7295E"/>
    <w:rsid w:val="00C72EBF"/>
    <w:rsid w:val="00C74E94"/>
    <w:rsid w:val="00C750C8"/>
    <w:rsid w:val="00C7560F"/>
    <w:rsid w:val="00C75BA9"/>
    <w:rsid w:val="00C75C50"/>
    <w:rsid w:val="00C76913"/>
    <w:rsid w:val="00C76F03"/>
    <w:rsid w:val="00C77015"/>
    <w:rsid w:val="00C77A7F"/>
    <w:rsid w:val="00C805F9"/>
    <w:rsid w:val="00C80A0E"/>
    <w:rsid w:val="00C8213F"/>
    <w:rsid w:val="00C82271"/>
    <w:rsid w:val="00C8303F"/>
    <w:rsid w:val="00C83630"/>
    <w:rsid w:val="00C83673"/>
    <w:rsid w:val="00C83687"/>
    <w:rsid w:val="00C83DC5"/>
    <w:rsid w:val="00C84179"/>
    <w:rsid w:val="00C85154"/>
    <w:rsid w:val="00C85A70"/>
    <w:rsid w:val="00C85A9F"/>
    <w:rsid w:val="00C8653B"/>
    <w:rsid w:val="00C8653D"/>
    <w:rsid w:val="00C870DE"/>
    <w:rsid w:val="00C87459"/>
    <w:rsid w:val="00C8797A"/>
    <w:rsid w:val="00C900B8"/>
    <w:rsid w:val="00C90197"/>
    <w:rsid w:val="00C904A2"/>
    <w:rsid w:val="00C90C71"/>
    <w:rsid w:val="00C91FD1"/>
    <w:rsid w:val="00C924E4"/>
    <w:rsid w:val="00C929DF"/>
    <w:rsid w:val="00C931CF"/>
    <w:rsid w:val="00C938CF"/>
    <w:rsid w:val="00C94053"/>
    <w:rsid w:val="00C94136"/>
    <w:rsid w:val="00C945EF"/>
    <w:rsid w:val="00C9489F"/>
    <w:rsid w:val="00C94AF7"/>
    <w:rsid w:val="00C9529D"/>
    <w:rsid w:val="00C9576F"/>
    <w:rsid w:val="00C960EA"/>
    <w:rsid w:val="00C9624D"/>
    <w:rsid w:val="00C969DA"/>
    <w:rsid w:val="00C96AD5"/>
    <w:rsid w:val="00C97EB6"/>
    <w:rsid w:val="00C97EFD"/>
    <w:rsid w:val="00CA06E2"/>
    <w:rsid w:val="00CA0E93"/>
    <w:rsid w:val="00CA0EC4"/>
    <w:rsid w:val="00CA2AEB"/>
    <w:rsid w:val="00CA2C77"/>
    <w:rsid w:val="00CA444F"/>
    <w:rsid w:val="00CA5245"/>
    <w:rsid w:val="00CA5504"/>
    <w:rsid w:val="00CA5E1A"/>
    <w:rsid w:val="00CA6CCA"/>
    <w:rsid w:val="00CA71F4"/>
    <w:rsid w:val="00CA725D"/>
    <w:rsid w:val="00CA7822"/>
    <w:rsid w:val="00CA7B09"/>
    <w:rsid w:val="00CA7C82"/>
    <w:rsid w:val="00CB1229"/>
    <w:rsid w:val="00CB12A5"/>
    <w:rsid w:val="00CB1C7F"/>
    <w:rsid w:val="00CB1CAC"/>
    <w:rsid w:val="00CB1D17"/>
    <w:rsid w:val="00CB243B"/>
    <w:rsid w:val="00CB2AEE"/>
    <w:rsid w:val="00CB2F2A"/>
    <w:rsid w:val="00CB357C"/>
    <w:rsid w:val="00CB36AA"/>
    <w:rsid w:val="00CB4423"/>
    <w:rsid w:val="00CB4D9D"/>
    <w:rsid w:val="00CB4E9F"/>
    <w:rsid w:val="00CB5148"/>
    <w:rsid w:val="00CB590B"/>
    <w:rsid w:val="00CB5AD2"/>
    <w:rsid w:val="00CB5B1A"/>
    <w:rsid w:val="00CB6B22"/>
    <w:rsid w:val="00CB74E4"/>
    <w:rsid w:val="00CB7F5F"/>
    <w:rsid w:val="00CC0317"/>
    <w:rsid w:val="00CC0743"/>
    <w:rsid w:val="00CC1B39"/>
    <w:rsid w:val="00CC1BFA"/>
    <w:rsid w:val="00CC2276"/>
    <w:rsid w:val="00CC2409"/>
    <w:rsid w:val="00CC2816"/>
    <w:rsid w:val="00CC2E9F"/>
    <w:rsid w:val="00CC32F3"/>
    <w:rsid w:val="00CC32F6"/>
    <w:rsid w:val="00CC338D"/>
    <w:rsid w:val="00CC35EA"/>
    <w:rsid w:val="00CC3848"/>
    <w:rsid w:val="00CC3AAE"/>
    <w:rsid w:val="00CC3B53"/>
    <w:rsid w:val="00CC6D5E"/>
    <w:rsid w:val="00CC7E5B"/>
    <w:rsid w:val="00CD0200"/>
    <w:rsid w:val="00CD0942"/>
    <w:rsid w:val="00CD0F5E"/>
    <w:rsid w:val="00CD1C31"/>
    <w:rsid w:val="00CD1F78"/>
    <w:rsid w:val="00CD2485"/>
    <w:rsid w:val="00CD2542"/>
    <w:rsid w:val="00CD2A61"/>
    <w:rsid w:val="00CD2B2B"/>
    <w:rsid w:val="00CD2C18"/>
    <w:rsid w:val="00CD2F9C"/>
    <w:rsid w:val="00CD3542"/>
    <w:rsid w:val="00CD3EDC"/>
    <w:rsid w:val="00CD3F77"/>
    <w:rsid w:val="00CD41D2"/>
    <w:rsid w:val="00CD41E8"/>
    <w:rsid w:val="00CD4230"/>
    <w:rsid w:val="00CD544A"/>
    <w:rsid w:val="00CD63A2"/>
    <w:rsid w:val="00CD6ADC"/>
    <w:rsid w:val="00CD6D3E"/>
    <w:rsid w:val="00CD6FA0"/>
    <w:rsid w:val="00CD7193"/>
    <w:rsid w:val="00CD7B4A"/>
    <w:rsid w:val="00CD7D17"/>
    <w:rsid w:val="00CD7F5C"/>
    <w:rsid w:val="00CE10BA"/>
    <w:rsid w:val="00CE12F5"/>
    <w:rsid w:val="00CE169E"/>
    <w:rsid w:val="00CE231D"/>
    <w:rsid w:val="00CE34C9"/>
    <w:rsid w:val="00CE38C8"/>
    <w:rsid w:val="00CE4509"/>
    <w:rsid w:val="00CE4CB9"/>
    <w:rsid w:val="00CE524F"/>
    <w:rsid w:val="00CE54B3"/>
    <w:rsid w:val="00CE54B5"/>
    <w:rsid w:val="00CE58CC"/>
    <w:rsid w:val="00CE6274"/>
    <w:rsid w:val="00CE62D6"/>
    <w:rsid w:val="00CE77B6"/>
    <w:rsid w:val="00CEDFB3"/>
    <w:rsid w:val="00CF0574"/>
    <w:rsid w:val="00CF089F"/>
    <w:rsid w:val="00CF0CCA"/>
    <w:rsid w:val="00CF1A93"/>
    <w:rsid w:val="00CF29BD"/>
    <w:rsid w:val="00CF2B2C"/>
    <w:rsid w:val="00CF2B8D"/>
    <w:rsid w:val="00CF3A1B"/>
    <w:rsid w:val="00CF43A6"/>
    <w:rsid w:val="00CF456B"/>
    <w:rsid w:val="00CF5A22"/>
    <w:rsid w:val="00CF6812"/>
    <w:rsid w:val="00D0262E"/>
    <w:rsid w:val="00D02A9F"/>
    <w:rsid w:val="00D02F3B"/>
    <w:rsid w:val="00D03679"/>
    <w:rsid w:val="00D04F06"/>
    <w:rsid w:val="00D052DA"/>
    <w:rsid w:val="00D059F1"/>
    <w:rsid w:val="00D05E3D"/>
    <w:rsid w:val="00D06139"/>
    <w:rsid w:val="00D06222"/>
    <w:rsid w:val="00D06B2A"/>
    <w:rsid w:val="00D06C3D"/>
    <w:rsid w:val="00D07BF1"/>
    <w:rsid w:val="00D102EE"/>
    <w:rsid w:val="00D110BD"/>
    <w:rsid w:val="00D1171A"/>
    <w:rsid w:val="00D118CB"/>
    <w:rsid w:val="00D121A4"/>
    <w:rsid w:val="00D13675"/>
    <w:rsid w:val="00D138E9"/>
    <w:rsid w:val="00D13D6B"/>
    <w:rsid w:val="00D141E1"/>
    <w:rsid w:val="00D14CA5"/>
    <w:rsid w:val="00D15314"/>
    <w:rsid w:val="00D15B48"/>
    <w:rsid w:val="00D1648C"/>
    <w:rsid w:val="00D16513"/>
    <w:rsid w:val="00D17D6C"/>
    <w:rsid w:val="00D17FB7"/>
    <w:rsid w:val="00D2116A"/>
    <w:rsid w:val="00D2155B"/>
    <w:rsid w:val="00D23581"/>
    <w:rsid w:val="00D23903"/>
    <w:rsid w:val="00D23D11"/>
    <w:rsid w:val="00D244B6"/>
    <w:rsid w:val="00D26674"/>
    <w:rsid w:val="00D2754D"/>
    <w:rsid w:val="00D27925"/>
    <w:rsid w:val="00D27B27"/>
    <w:rsid w:val="00D3040B"/>
    <w:rsid w:val="00D30BCE"/>
    <w:rsid w:val="00D30D5B"/>
    <w:rsid w:val="00D310E5"/>
    <w:rsid w:val="00D3160E"/>
    <w:rsid w:val="00D31B9A"/>
    <w:rsid w:val="00D31BF0"/>
    <w:rsid w:val="00D32672"/>
    <w:rsid w:val="00D32B43"/>
    <w:rsid w:val="00D32D66"/>
    <w:rsid w:val="00D33592"/>
    <w:rsid w:val="00D3375A"/>
    <w:rsid w:val="00D33BE9"/>
    <w:rsid w:val="00D33F93"/>
    <w:rsid w:val="00D353AF"/>
    <w:rsid w:val="00D357FF"/>
    <w:rsid w:val="00D35B01"/>
    <w:rsid w:val="00D35CCD"/>
    <w:rsid w:val="00D36BBE"/>
    <w:rsid w:val="00D3776E"/>
    <w:rsid w:val="00D405A7"/>
    <w:rsid w:val="00D413E2"/>
    <w:rsid w:val="00D41D0C"/>
    <w:rsid w:val="00D424C7"/>
    <w:rsid w:val="00D4301F"/>
    <w:rsid w:val="00D43861"/>
    <w:rsid w:val="00D43B2A"/>
    <w:rsid w:val="00D43CF1"/>
    <w:rsid w:val="00D43D83"/>
    <w:rsid w:val="00D467D3"/>
    <w:rsid w:val="00D47575"/>
    <w:rsid w:val="00D505D4"/>
    <w:rsid w:val="00D51BCF"/>
    <w:rsid w:val="00D5243B"/>
    <w:rsid w:val="00D52942"/>
    <w:rsid w:val="00D52A75"/>
    <w:rsid w:val="00D52DC9"/>
    <w:rsid w:val="00D53217"/>
    <w:rsid w:val="00D533EC"/>
    <w:rsid w:val="00D546B4"/>
    <w:rsid w:val="00D5502F"/>
    <w:rsid w:val="00D562CB"/>
    <w:rsid w:val="00D56A95"/>
    <w:rsid w:val="00D57CD8"/>
    <w:rsid w:val="00D60100"/>
    <w:rsid w:val="00D601DC"/>
    <w:rsid w:val="00D6076E"/>
    <w:rsid w:val="00D61B9D"/>
    <w:rsid w:val="00D62353"/>
    <w:rsid w:val="00D62E87"/>
    <w:rsid w:val="00D63287"/>
    <w:rsid w:val="00D63543"/>
    <w:rsid w:val="00D641DB"/>
    <w:rsid w:val="00D64312"/>
    <w:rsid w:val="00D64851"/>
    <w:rsid w:val="00D67DA4"/>
    <w:rsid w:val="00D67EBE"/>
    <w:rsid w:val="00D706DE"/>
    <w:rsid w:val="00D70D1C"/>
    <w:rsid w:val="00D70F16"/>
    <w:rsid w:val="00D70F8C"/>
    <w:rsid w:val="00D70FAF"/>
    <w:rsid w:val="00D72617"/>
    <w:rsid w:val="00D7266B"/>
    <w:rsid w:val="00D72984"/>
    <w:rsid w:val="00D72C00"/>
    <w:rsid w:val="00D72F57"/>
    <w:rsid w:val="00D73C0D"/>
    <w:rsid w:val="00D73FF9"/>
    <w:rsid w:val="00D7450C"/>
    <w:rsid w:val="00D74D68"/>
    <w:rsid w:val="00D754D2"/>
    <w:rsid w:val="00D758E2"/>
    <w:rsid w:val="00D75D0B"/>
    <w:rsid w:val="00D75FF6"/>
    <w:rsid w:val="00D7673D"/>
    <w:rsid w:val="00D76842"/>
    <w:rsid w:val="00D76A44"/>
    <w:rsid w:val="00D76D1D"/>
    <w:rsid w:val="00D771EE"/>
    <w:rsid w:val="00D775D0"/>
    <w:rsid w:val="00D7787E"/>
    <w:rsid w:val="00D80168"/>
    <w:rsid w:val="00D80A6D"/>
    <w:rsid w:val="00D81441"/>
    <w:rsid w:val="00D814D2"/>
    <w:rsid w:val="00D815EF"/>
    <w:rsid w:val="00D81949"/>
    <w:rsid w:val="00D81A27"/>
    <w:rsid w:val="00D81F26"/>
    <w:rsid w:val="00D821A1"/>
    <w:rsid w:val="00D822E2"/>
    <w:rsid w:val="00D843F2"/>
    <w:rsid w:val="00D84910"/>
    <w:rsid w:val="00D86231"/>
    <w:rsid w:val="00D8637C"/>
    <w:rsid w:val="00D8659D"/>
    <w:rsid w:val="00D86882"/>
    <w:rsid w:val="00D87266"/>
    <w:rsid w:val="00D874CF"/>
    <w:rsid w:val="00D87F87"/>
    <w:rsid w:val="00D90CE3"/>
    <w:rsid w:val="00D90D1C"/>
    <w:rsid w:val="00D912AB"/>
    <w:rsid w:val="00D9141C"/>
    <w:rsid w:val="00D915EB"/>
    <w:rsid w:val="00D91923"/>
    <w:rsid w:val="00D92120"/>
    <w:rsid w:val="00D92D9D"/>
    <w:rsid w:val="00D93753"/>
    <w:rsid w:val="00D93D24"/>
    <w:rsid w:val="00D945EF"/>
    <w:rsid w:val="00D94637"/>
    <w:rsid w:val="00D946F1"/>
    <w:rsid w:val="00D95058"/>
    <w:rsid w:val="00D95577"/>
    <w:rsid w:val="00D95751"/>
    <w:rsid w:val="00D95931"/>
    <w:rsid w:val="00D95EB5"/>
    <w:rsid w:val="00D9635E"/>
    <w:rsid w:val="00D9681C"/>
    <w:rsid w:val="00D96B46"/>
    <w:rsid w:val="00D96F77"/>
    <w:rsid w:val="00D96F84"/>
    <w:rsid w:val="00D9749E"/>
    <w:rsid w:val="00D974C1"/>
    <w:rsid w:val="00D976C4"/>
    <w:rsid w:val="00DA0403"/>
    <w:rsid w:val="00DA08DC"/>
    <w:rsid w:val="00DA28C3"/>
    <w:rsid w:val="00DA28CB"/>
    <w:rsid w:val="00DA29FC"/>
    <w:rsid w:val="00DA3167"/>
    <w:rsid w:val="00DA4306"/>
    <w:rsid w:val="00DA4DC3"/>
    <w:rsid w:val="00DA53DF"/>
    <w:rsid w:val="00DA54C4"/>
    <w:rsid w:val="00DA5629"/>
    <w:rsid w:val="00DA563F"/>
    <w:rsid w:val="00DA5759"/>
    <w:rsid w:val="00DA57AD"/>
    <w:rsid w:val="00DA5E05"/>
    <w:rsid w:val="00DA63BB"/>
    <w:rsid w:val="00DA6EDD"/>
    <w:rsid w:val="00DA75F1"/>
    <w:rsid w:val="00DA77A5"/>
    <w:rsid w:val="00DB094F"/>
    <w:rsid w:val="00DB0E36"/>
    <w:rsid w:val="00DB1C52"/>
    <w:rsid w:val="00DB2063"/>
    <w:rsid w:val="00DB265B"/>
    <w:rsid w:val="00DB26FA"/>
    <w:rsid w:val="00DB2723"/>
    <w:rsid w:val="00DB3268"/>
    <w:rsid w:val="00DB338B"/>
    <w:rsid w:val="00DB358F"/>
    <w:rsid w:val="00DB3DBF"/>
    <w:rsid w:val="00DB4838"/>
    <w:rsid w:val="00DB484F"/>
    <w:rsid w:val="00DB4861"/>
    <w:rsid w:val="00DB4AC5"/>
    <w:rsid w:val="00DB4EFA"/>
    <w:rsid w:val="00DB5261"/>
    <w:rsid w:val="00DB554D"/>
    <w:rsid w:val="00DB56A6"/>
    <w:rsid w:val="00DB5ADE"/>
    <w:rsid w:val="00DB60AB"/>
    <w:rsid w:val="00DB7AE9"/>
    <w:rsid w:val="00DB7E73"/>
    <w:rsid w:val="00DC0362"/>
    <w:rsid w:val="00DC04F6"/>
    <w:rsid w:val="00DC0690"/>
    <w:rsid w:val="00DC1D65"/>
    <w:rsid w:val="00DC29E6"/>
    <w:rsid w:val="00DC3C57"/>
    <w:rsid w:val="00DC403B"/>
    <w:rsid w:val="00DC4418"/>
    <w:rsid w:val="00DC5501"/>
    <w:rsid w:val="00DC5DE4"/>
    <w:rsid w:val="00DC5FD6"/>
    <w:rsid w:val="00DC6647"/>
    <w:rsid w:val="00DC678A"/>
    <w:rsid w:val="00DC7154"/>
    <w:rsid w:val="00DC7E8A"/>
    <w:rsid w:val="00DD03DC"/>
    <w:rsid w:val="00DD0F78"/>
    <w:rsid w:val="00DD1655"/>
    <w:rsid w:val="00DD1BE8"/>
    <w:rsid w:val="00DD216C"/>
    <w:rsid w:val="00DD273C"/>
    <w:rsid w:val="00DD29E5"/>
    <w:rsid w:val="00DD3F28"/>
    <w:rsid w:val="00DD4446"/>
    <w:rsid w:val="00DD4537"/>
    <w:rsid w:val="00DD4E15"/>
    <w:rsid w:val="00DD53C2"/>
    <w:rsid w:val="00DD542A"/>
    <w:rsid w:val="00DD68DC"/>
    <w:rsid w:val="00DD725F"/>
    <w:rsid w:val="00DD77EB"/>
    <w:rsid w:val="00DD7D74"/>
    <w:rsid w:val="00DE038C"/>
    <w:rsid w:val="00DE053B"/>
    <w:rsid w:val="00DE2304"/>
    <w:rsid w:val="00DE3138"/>
    <w:rsid w:val="00DE340D"/>
    <w:rsid w:val="00DE37F8"/>
    <w:rsid w:val="00DE3DC7"/>
    <w:rsid w:val="00DE4273"/>
    <w:rsid w:val="00DE431F"/>
    <w:rsid w:val="00DE4675"/>
    <w:rsid w:val="00DE4AD5"/>
    <w:rsid w:val="00DE4CB9"/>
    <w:rsid w:val="00DE4FCB"/>
    <w:rsid w:val="00DE5D07"/>
    <w:rsid w:val="00DE6BC4"/>
    <w:rsid w:val="00DE72A7"/>
    <w:rsid w:val="00DE737B"/>
    <w:rsid w:val="00DE7832"/>
    <w:rsid w:val="00DF07F8"/>
    <w:rsid w:val="00DF0C15"/>
    <w:rsid w:val="00DF1270"/>
    <w:rsid w:val="00DF18FC"/>
    <w:rsid w:val="00DF1F42"/>
    <w:rsid w:val="00DF1F84"/>
    <w:rsid w:val="00DF244A"/>
    <w:rsid w:val="00DF34CE"/>
    <w:rsid w:val="00DF4C1F"/>
    <w:rsid w:val="00DF54FA"/>
    <w:rsid w:val="00DF5941"/>
    <w:rsid w:val="00DF5D2B"/>
    <w:rsid w:val="00DF6341"/>
    <w:rsid w:val="00DF77F8"/>
    <w:rsid w:val="00DF7F3B"/>
    <w:rsid w:val="00E00368"/>
    <w:rsid w:val="00E00395"/>
    <w:rsid w:val="00E00E8E"/>
    <w:rsid w:val="00E00F15"/>
    <w:rsid w:val="00E01A73"/>
    <w:rsid w:val="00E0357D"/>
    <w:rsid w:val="00E03F9E"/>
    <w:rsid w:val="00E044CC"/>
    <w:rsid w:val="00E0479F"/>
    <w:rsid w:val="00E04ECC"/>
    <w:rsid w:val="00E05630"/>
    <w:rsid w:val="00E05FF7"/>
    <w:rsid w:val="00E06029"/>
    <w:rsid w:val="00E06DBB"/>
    <w:rsid w:val="00E07238"/>
    <w:rsid w:val="00E07316"/>
    <w:rsid w:val="00E07C7D"/>
    <w:rsid w:val="00E07E6C"/>
    <w:rsid w:val="00E100EA"/>
    <w:rsid w:val="00E10149"/>
    <w:rsid w:val="00E107F1"/>
    <w:rsid w:val="00E11340"/>
    <w:rsid w:val="00E11DA3"/>
    <w:rsid w:val="00E122A1"/>
    <w:rsid w:val="00E13811"/>
    <w:rsid w:val="00E140F9"/>
    <w:rsid w:val="00E152BA"/>
    <w:rsid w:val="00E15693"/>
    <w:rsid w:val="00E15747"/>
    <w:rsid w:val="00E16372"/>
    <w:rsid w:val="00E16AD8"/>
    <w:rsid w:val="00E16EC6"/>
    <w:rsid w:val="00E17A54"/>
    <w:rsid w:val="00E17BC3"/>
    <w:rsid w:val="00E17FFA"/>
    <w:rsid w:val="00E20E4D"/>
    <w:rsid w:val="00E20ED6"/>
    <w:rsid w:val="00E21358"/>
    <w:rsid w:val="00E218AB"/>
    <w:rsid w:val="00E22403"/>
    <w:rsid w:val="00E2249B"/>
    <w:rsid w:val="00E22A0D"/>
    <w:rsid w:val="00E244F6"/>
    <w:rsid w:val="00E247F4"/>
    <w:rsid w:val="00E24DE1"/>
    <w:rsid w:val="00E258DB"/>
    <w:rsid w:val="00E25BF1"/>
    <w:rsid w:val="00E26317"/>
    <w:rsid w:val="00E2662E"/>
    <w:rsid w:val="00E26B9E"/>
    <w:rsid w:val="00E2771E"/>
    <w:rsid w:val="00E27820"/>
    <w:rsid w:val="00E278FB"/>
    <w:rsid w:val="00E27AAC"/>
    <w:rsid w:val="00E30A47"/>
    <w:rsid w:val="00E30DC1"/>
    <w:rsid w:val="00E311EF"/>
    <w:rsid w:val="00E31220"/>
    <w:rsid w:val="00E31B48"/>
    <w:rsid w:val="00E31B97"/>
    <w:rsid w:val="00E32180"/>
    <w:rsid w:val="00E3245C"/>
    <w:rsid w:val="00E34077"/>
    <w:rsid w:val="00E34948"/>
    <w:rsid w:val="00E35215"/>
    <w:rsid w:val="00E3536E"/>
    <w:rsid w:val="00E3545A"/>
    <w:rsid w:val="00E36612"/>
    <w:rsid w:val="00E368B7"/>
    <w:rsid w:val="00E36EF5"/>
    <w:rsid w:val="00E3723B"/>
    <w:rsid w:val="00E37569"/>
    <w:rsid w:val="00E401B2"/>
    <w:rsid w:val="00E41E30"/>
    <w:rsid w:val="00E4213A"/>
    <w:rsid w:val="00E423B2"/>
    <w:rsid w:val="00E42705"/>
    <w:rsid w:val="00E428DD"/>
    <w:rsid w:val="00E42953"/>
    <w:rsid w:val="00E42E94"/>
    <w:rsid w:val="00E42F73"/>
    <w:rsid w:val="00E43154"/>
    <w:rsid w:val="00E43449"/>
    <w:rsid w:val="00E43736"/>
    <w:rsid w:val="00E43D70"/>
    <w:rsid w:val="00E449F3"/>
    <w:rsid w:val="00E45321"/>
    <w:rsid w:val="00E45E13"/>
    <w:rsid w:val="00E462E5"/>
    <w:rsid w:val="00E466F3"/>
    <w:rsid w:val="00E46EE1"/>
    <w:rsid w:val="00E473F2"/>
    <w:rsid w:val="00E47AD2"/>
    <w:rsid w:val="00E47B2C"/>
    <w:rsid w:val="00E50DDD"/>
    <w:rsid w:val="00E50E73"/>
    <w:rsid w:val="00E5106C"/>
    <w:rsid w:val="00E5139F"/>
    <w:rsid w:val="00E514C3"/>
    <w:rsid w:val="00E514F6"/>
    <w:rsid w:val="00E51560"/>
    <w:rsid w:val="00E51821"/>
    <w:rsid w:val="00E52CE2"/>
    <w:rsid w:val="00E537E3"/>
    <w:rsid w:val="00E53A1C"/>
    <w:rsid w:val="00E53B92"/>
    <w:rsid w:val="00E53FC8"/>
    <w:rsid w:val="00E54347"/>
    <w:rsid w:val="00E55424"/>
    <w:rsid w:val="00E55703"/>
    <w:rsid w:val="00E55915"/>
    <w:rsid w:val="00E55BB5"/>
    <w:rsid w:val="00E57AB1"/>
    <w:rsid w:val="00E60C78"/>
    <w:rsid w:val="00E611DF"/>
    <w:rsid w:val="00E6221A"/>
    <w:rsid w:val="00E63427"/>
    <w:rsid w:val="00E6346D"/>
    <w:rsid w:val="00E63558"/>
    <w:rsid w:val="00E63A83"/>
    <w:rsid w:val="00E64AFA"/>
    <w:rsid w:val="00E653F6"/>
    <w:rsid w:val="00E65943"/>
    <w:rsid w:val="00E65E79"/>
    <w:rsid w:val="00E66253"/>
    <w:rsid w:val="00E66455"/>
    <w:rsid w:val="00E66813"/>
    <w:rsid w:val="00E66BA2"/>
    <w:rsid w:val="00E66E79"/>
    <w:rsid w:val="00E67416"/>
    <w:rsid w:val="00E67539"/>
    <w:rsid w:val="00E677B3"/>
    <w:rsid w:val="00E67B3A"/>
    <w:rsid w:val="00E7024F"/>
    <w:rsid w:val="00E710E2"/>
    <w:rsid w:val="00E718B6"/>
    <w:rsid w:val="00E719E2"/>
    <w:rsid w:val="00E723BA"/>
    <w:rsid w:val="00E72B49"/>
    <w:rsid w:val="00E73581"/>
    <w:rsid w:val="00E7377A"/>
    <w:rsid w:val="00E73885"/>
    <w:rsid w:val="00E73FB3"/>
    <w:rsid w:val="00E74B5A"/>
    <w:rsid w:val="00E7557C"/>
    <w:rsid w:val="00E75670"/>
    <w:rsid w:val="00E771F2"/>
    <w:rsid w:val="00E77B3F"/>
    <w:rsid w:val="00E77E51"/>
    <w:rsid w:val="00E77F59"/>
    <w:rsid w:val="00E8111D"/>
    <w:rsid w:val="00E81BAA"/>
    <w:rsid w:val="00E81BE8"/>
    <w:rsid w:val="00E81DBB"/>
    <w:rsid w:val="00E833F7"/>
    <w:rsid w:val="00E83BDF"/>
    <w:rsid w:val="00E83C37"/>
    <w:rsid w:val="00E83D8D"/>
    <w:rsid w:val="00E84286"/>
    <w:rsid w:val="00E85167"/>
    <w:rsid w:val="00E852F5"/>
    <w:rsid w:val="00E8581E"/>
    <w:rsid w:val="00E858BE"/>
    <w:rsid w:val="00E85ACE"/>
    <w:rsid w:val="00E85BCC"/>
    <w:rsid w:val="00E86D63"/>
    <w:rsid w:val="00E86DC5"/>
    <w:rsid w:val="00E86FCC"/>
    <w:rsid w:val="00E87137"/>
    <w:rsid w:val="00E87A1D"/>
    <w:rsid w:val="00E9094A"/>
    <w:rsid w:val="00E91156"/>
    <w:rsid w:val="00E91A8A"/>
    <w:rsid w:val="00E91C6B"/>
    <w:rsid w:val="00E91D35"/>
    <w:rsid w:val="00E91D64"/>
    <w:rsid w:val="00E91E07"/>
    <w:rsid w:val="00E926A5"/>
    <w:rsid w:val="00E93E55"/>
    <w:rsid w:val="00E94252"/>
    <w:rsid w:val="00E9426A"/>
    <w:rsid w:val="00E944BA"/>
    <w:rsid w:val="00E94B96"/>
    <w:rsid w:val="00E951A8"/>
    <w:rsid w:val="00E9558F"/>
    <w:rsid w:val="00E95A78"/>
    <w:rsid w:val="00E95D60"/>
    <w:rsid w:val="00E962CC"/>
    <w:rsid w:val="00E977C6"/>
    <w:rsid w:val="00EA0131"/>
    <w:rsid w:val="00EA08D4"/>
    <w:rsid w:val="00EA0F0E"/>
    <w:rsid w:val="00EA1692"/>
    <w:rsid w:val="00EA17C3"/>
    <w:rsid w:val="00EA27CD"/>
    <w:rsid w:val="00EA2C13"/>
    <w:rsid w:val="00EA2CAA"/>
    <w:rsid w:val="00EA2D28"/>
    <w:rsid w:val="00EA2E80"/>
    <w:rsid w:val="00EA3085"/>
    <w:rsid w:val="00EA3398"/>
    <w:rsid w:val="00EA3864"/>
    <w:rsid w:val="00EA3CDF"/>
    <w:rsid w:val="00EA471F"/>
    <w:rsid w:val="00EA4A0B"/>
    <w:rsid w:val="00EA55B7"/>
    <w:rsid w:val="00EA66F8"/>
    <w:rsid w:val="00EA6FDA"/>
    <w:rsid w:val="00EA7F1C"/>
    <w:rsid w:val="00EB0474"/>
    <w:rsid w:val="00EB05CC"/>
    <w:rsid w:val="00EB0610"/>
    <w:rsid w:val="00EB0DA0"/>
    <w:rsid w:val="00EB0F5B"/>
    <w:rsid w:val="00EB15B6"/>
    <w:rsid w:val="00EB171E"/>
    <w:rsid w:val="00EB2DB1"/>
    <w:rsid w:val="00EB31E9"/>
    <w:rsid w:val="00EB35F0"/>
    <w:rsid w:val="00EB3A67"/>
    <w:rsid w:val="00EB3D06"/>
    <w:rsid w:val="00EB3EC9"/>
    <w:rsid w:val="00EB4916"/>
    <w:rsid w:val="00EB4A32"/>
    <w:rsid w:val="00EB5261"/>
    <w:rsid w:val="00EB5B77"/>
    <w:rsid w:val="00EB624E"/>
    <w:rsid w:val="00EB6B07"/>
    <w:rsid w:val="00EB7B1C"/>
    <w:rsid w:val="00EC00C9"/>
    <w:rsid w:val="00EC0598"/>
    <w:rsid w:val="00EC0DD9"/>
    <w:rsid w:val="00EC15A4"/>
    <w:rsid w:val="00EC2649"/>
    <w:rsid w:val="00EC295F"/>
    <w:rsid w:val="00EC31ED"/>
    <w:rsid w:val="00EC4896"/>
    <w:rsid w:val="00EC51B4"/>
    <w:rsid w:val="00EC5836"/>
    <w:rsid w:val="00EC63AA"/>
    <w:rsid w:val="00EC688C"/>
    <w:rsid w:val="00EC6E08"/>
    <w:rsid w:val="00EC7238"/>
    <w:rsid w:val="00EC77DB"/>
    <w:rsid w:val="00EC7C4F"/>
    <w:rsid w:val="00ED0CBB"/>
    <w:rsid w:val="00ED12E3"/>
    <w:rsid w:val="00ED16B1"/>
    <w:rsid w:val="00ED2D7D"/>
    <w:rsid w:val="00ED3C1C"/>
    <w:rsid w:val="00ED4220"/>
    <w:rsid w:val="00ED4B04"/>
    <w:rsid w:val="00ED51F4"/>
    <w:rsid w:val="00ED5323"/>
    <w:rsid w:val="00ED5390"/>
    <w:rsid w:val="00ED57EA"/>
    <w:rsid w:val="00ED5B57"/>
    <w:rsid w:val="00ED5BD4"/>
    <w:rsid w:val="00ED5FFC"/>
    <w:rsid w:val="00ED617A"/>
    <w:rsid w:val="00ED6C7E"/>
    <w:rsid w:val="00ED6FD3"/>
    <w:rsid w:val="00EE04A1"/>
    <w:rsid w:val="00EE05AC"/>
    <w:rsid w:val="00EE079F"/>
    <w:rsid w:val="00EE07D3"/>
    <w:rsid w:val="00EE1996"/>
    <w:rsid w:val="00EE1C01"/>
    <w:rsid w:val="00EE2008"/>
    <w:rsid w:val="00EE20AF"/>
    <w:rsid w:val="00EE22AF"/>
    <w:rsid w:val="00EE2587"/>
    <w:rsid w:val="00EE436C"/>
    <w:rsid w:val="00EE536B"/>
    <w:rsid w:val="00EE5394"/>
    <w:rsid w:val="00EE53F7"/>
    <w:rsid w:val="00EE5D4B"/>
    <w:rsid w:val="00EE66C0"/>
    <w:rsid w:val="00EE6701"/>
    <w:rsid w:val="00EE7389"/>
    <w:rsid w:val="00EF0171"/>
    <w:rsid w:val="00EF08FB"/>
    <w:rsid w:val="00EF14C6"/>
    <w:rsid w:val="00EF1A38"/>
    <w:rsid w:val="00EF1B25"/>
    <w:rsid w:val="00EF1DA0"/>
    <w:rsid w:val="00EF2AE1"/>
    <w:rsid w:val="00EF2EA6"/>
    <w:rsid w:val="00EF2F36"/>
    <w:rsid w:val="00EF35FC"/>
    <w:rsid w:val="00EF4176"/>
    <w:rsid w:val="00EF4747"/>
    <w:rsid w:val="00EF4BF8"/>
    <w:rsid w:val="00EF593A"/>
    <w:rsid w:val="00EF5B5C"/>
    <w:rsid w:val="00EF5F85"/>
    <w:rsid w:val="00EF6FAD"/>
    <w:rsid w:val="00EF72E9"/>
    <w:rsid w:val="00EF75D1"/>
    <w:rsid w:val="00EF7D2D"/>
    <w:rsid w:val="00F0053D"/>
    <w:rsid w:val="00F013B5"/>
    <w:rsid w:val="00F0206C"/>
    <w:rsid w:val="00F02253"/>
    <w:rsid w:val="00F032E8"/>
    <w:rsid w:val="00F03C2E"/>
    <w:rsid w:val="00F04A07"/>
    <w:rsid w:val="00F04A66"/>
    <w:rsid w:val="00F04B4B"/>
    <w:rsid w:val="00F0516C"/>
    <w:rsid w:val="00F06281"/>
    <w:rsid w:val="00F067A2"/>
    <w:rsid w:val="00F06E37"/>
    <w:rsid w:val="00F07179"/>
    <w:rsid w:val="00F076BF"/>
    <w:rsid w:val="00F07B9E"/>
    <w:rsid w:val="00F10DDC"/>
    <w:rsid w:val="00F1116F"/>
    <w:rsid w:val="00F11D3B"/>
    <w:rsid w:val="00F12576"/>
    <w:rsid w:val="00F1263A"/>
    <w:rsid w:val="00F12743"/>
    <w:rsid w:val="00F12B30"/>
    <w:rsid w:val="00F12CAD"/>
    <w:rsid w:val="00F139C5"/>
    <w:rsid w:val="00F143F5"/>
    <w:rsid w:val="00F15479"/>
    <w:rsid w:val="00F15B77"/>
    <w:rsid w:val="00F15B9A"/>
    <w:rsid w:val="00F15C5D"/>
    <w:rsid w:val="00F160CA"/>
    <w:rsid w:val="00F1650B"/>
    <w:rsid w:val="00F166D0"/>
    <w:rsid w:val="00F16B45"/>
    <w:rsid w:val="00F17AE2"/>
    <w:rsid w:val="00F20402"/>
    <w:rsid w:val="00F20E45"/>
    <w:rsid w:val="00F21236"/>
    <w:rsid w:val="00F2228F"/>
    <w:rsid w:val="00F22C82"/>
    <w:rsid w:val="00F23521"/>
    <w:rsid w:val="00F239DF"/>
    <w:rsid w:val="00F247A3"/>
    <w:rsid w:val="00F24837"/>
    <w:rsid w:val="00F24843"/>
    <w:rsid w:val="00F24AA4"/>
    <w:rsid w:val="00F24DC1"/>
    <w:rsid w:val="00F24E46"/>
    <w:rsid w:val="00F2575F"/>
    <w:rsid w:val="00F25850"/>
    <w:rsid w:val="00F27241"/>
    <w:rsid w:val="00F27565"/>
    <w:rsid w:val="00F27574"/>
    <w:rsid w:val="00F30004"/>
    <w:rsid w:val="00F310D4"/>
    <w:rsid w:val="00F311FE"/>
    <w:rsid w:val="00F31429"/>
    <w:rsid w:val="00F31BDF"/>
    <w:rsid w:val="00F31D5A"/>
    <w:rsid w:val="00F31DE6"/>
    <w:rsid w:val="00F33293"/>
    <w:rsid w:val="00F33975"/>
    <w:rsid w:val="00F33DE9"/>
    <w:rsid w:val="00F34BD6"/>
    <w:rsid w:val="00F35676"/>
    <w:rsid w:val="00F35E6D"/>
    <w:rsid w:val="00F3602F"/>
    <w:rsid w:val="00F3619A"/>
    <w:rsid w:val="00F372C2"/>
    <w:rsid w:val="00F374C2"/>
    <w:rsid w:val="00F409BF"/>
    <w:rsid w:val="00F40AAA"/>
    <w:rsid w:val="00F40BA7"/>
    <w:rsid w:val="00F40F9D"/>
    <w:rsid w:val="00F41417"/>
    <w:rsid w:val="00F41960"/>
    <w:rsid w:val="00F41ACD"/>
    <w:rsid w:val="00F424FB"/>
    <w:rsid w:val="00F43922"/>
    <w:rsid w:val="00F439B7"/>
    <w:rsid w:val="00F439ED"/>
    <w:rsid w:val="00F44A30"/>
    <w:rsid w:val="00F45025"/>
    <w:rsid w:val="00F46CB6"/>
    <w:rsid w:val="00F46E2A"/>
    <w:rsid w:val="00F47258"/>
    <w:rsid w:val="00F4756D"/>
    <w:rsid w:val="00F47B58"/>
    <w:rsid w:val="00F47DE8"/>
    <w:rsid w:val="00F507CE"/>
    <w:rsid w:val="00F509A5"/>
    <w:rsid w:val="00F50B8B"/>
    <w:rsid w:val="00F51144"/>
    <w:rsid w:val="00F51DF4"/>
    <w:rsid w:val="00F529EE"/>
    <w:rsid w:val="00F52A33"/>
    <w:rsid w:val="00F52E2D"/>
    <w:rsid w:val="00F53EDA"/>
    <w:rsid w:val="00F542C1"/>
    <w:rsid w:val="00F550E3"/>
    <w:rsid w:val="00F55E73"/>
    <w:rsid w:val="00F55EDA"/>
    <w:rsid w:val="00F55FBC"/>
    <w:rsid w:val="00F56C80"/>
    <w:rsid w:val="00F60092"/>
    <w:rsid w:val="00F601A8"/>
    <w:rsid w:val="00F608F5"/>
    <w:rsid w:val="00F60D5A"/>
    <w:rsid w:val="00F60EB8"/>
    <w:rsid w:val="00F61314"/>
    <w:rsid w:val="00F618F0"/>
    <w:rsid w:val="00F61AC5"/>
    <w:rsid w:val="00F61C18"/>
    <w:rsid w:val="00F61EEC"/>
    <w:rsid w:val="00F62611"/>
    <w:rsid w:val="00F627D3"/>
    <w:rsid w:val="00F6286B"/>
    <w:rsid w:val="00F629D6"/>
    <w:rsid w:val="00F62BDD"/>
    <w:rsid w:val="00F63206"/>
    <w:rsid w:val="00F63B36"/>
    <w:rsid w:val="00F640A8"/>
    <w:rsid w:val="00F65AFA"/>
    <w:rsid w:val="00F65F4B"/>
    <w:rsid w:val="00F660B4"/>
    <w:rsid w:val="00F66143"/>
    <w:rsid w:val="00F663D0"/>
    <w:rsid w:val="00F665A5"/>
    <w:rsid w:val="00F66791"/>
    <w:rsid w:val="00F66AFA"/>
    <w:rsid w:val="00F66B39"/>
    <w:rsid w:val="00F67A69"/>
    <w:rsid w:val="00F67B8F"/>
    <w:rsid w:val="00F70BFF"/>
    <w:rsid w:val="00F70C9D"/>
    <w:rsid w:val="00F71080"/>
    <w:rsid w:val="00F712FA"/>
    <w:rsid w:val="00F71824"/>
    <w:rsid w:val="00F72F69"/>
    <w:rsid w:val="00F73552"/>
    <w:rsid w:val="00F73E08"/>
    <w:rsid w:val="00F74496"/>
    <w:rsid w:val="00F74CD9"/>
    <w:rsid w:val="00F74F4A"/>
    <w:rsid w:val="00F75D95"/>
    <w:rsid w:val="00F760DD"/>
    <w:rsid w:val="00F76738"/>
    <w:rsid w:val="00F80A7B"/>
    <w:rsid w:val="00F80E5D"/>
    <w:rsid w:val="00F80FF6"/>
    <w:rsid w:val="00F81052"/>
    <w:rsid w:val="00F81DFA"/>
    <w:rsid w:val="00F81E78"/>
    <w:rsid w:val="00F8269D"/>
    <w:rsid w:val="00F83916"/>
    <w:rsid w:val="00F84501"/>
    <w:rsid w:val="00F847F3"/>
    <w:rsid w:val="00F84B40"/>
    <w:rsid w:val="00F84D37"/>
    <w:rsid w:val="00F851CE"/>
    <w:rsid w:val="00F852A3"/>
    <w:rsid w:val="00F86706"/>
    <w:rsid w:val="00F86B43"/>
    <w:rsid w:val="00F86C0F"/>
    <w:rsid w:val="00F86E09"/>
    <w:rsid w:val="00F879F1"/>
    <w:rsid w:val="00F87A7D"/>
    <w:rsid w:val="00F91219"/>
    <w:rsid w:val="00F916E9"/>
    <w:rsid w:val="00F92444"/>
    <w:rsid w:val="00F92A28"/>
    <w:rsid w:val="00F9393E"/>
    <w:rsid w:val="00F939D7"/>
    <w:rsid w:val="00F95320"/>
    <w:rsid w:val="00F958D1"/>
    <w:rsid w:val="00F96FD0"/>
    <w:rsid w:val="00F97A78"/>
    <w:rsid w:val="00F97C50"/>
    <w:rsid w:val="00FA03AA"/>
    <w:rsid w:val="00FA0540"/>
    <w:rsid w:val="00FA0B20"/>
    <w:rsid w:val="00FA0B88"/>
    <w:rsid w:val="00FA0EE1"/>
    <w:rsid w:val="00FA12DE"/>
    <w:rsid w:val="00FA24E7"/>
    <w:rsid w:val="00FA25D1"/>
    <w:rsid w:val="00FA26DD"/>
    <w:rsid w:val="00FA2C11"/>
    <w:rsid w:val="00FA3F01"/>
    <w:rsid w:val="00FA4A31"/>
    <w:rsid w:val="00FA4B80"/>
    <w:rsid w:val="00FA5EE6"/>
    <w:rsid w:val="00FA60EC"/>
    <w:rsid w:val="00FA660D"/>
    <w:rsid w:val="00FA70FD"/>
    <w:rsid w:val="00FA7909"/>
    <w:rsid w:val="00FA7956"/>
    <w:rsid w:val="00FB03BD"/>
    <w:rsid w:val="00FB0824"/>
    <w:rsid w:val="00FB09E7"/>
    <w:rsid w:val="00FB0C71"/>
    <w:rsid w:val="00FB0E15"/>
    <w:rsid w:val="00FB2FCB"/>
    <w:rsid w:val="00FB3794"/>
    <w:rsid w:val="00FB394D"/>
    <w:rsid w:val="00FB3D3E"/>
    <w:rsid w:val="00FB488A"/>
    <w:rsid w:val="00FB4C9C"/>
    <w:rsid w:val="00FB5006"/>
    <w:rsid w:val="00FB50C2"/>
    <w:rsid w:val="00FB527C"/>
    <w:rsid w:val="00FB5AEE"/>
    <w:rsid w:val="00FB6558"/>
    <w:rsid w:val="00FB6AEC"/>
    <w:rsid w:val="00FB7C55"/>
    <w:rsid w:val="00FC0216"/>
    <w:rsid w:val="00FC0D23"/>
    <w:rsid w:val="00FC1074"/>
    <w:rsid w:val="00FC1884"/>
    <w:rsid w:val="00FC2143"/>
    <w:rsid w:val="00FC214D"/>
    <w:rsid w:val="00FC23EA"/>
    <w:rsid w:val="00FC317C"/>
    <w:rsid w:val="00FC36EE"/>
    <w:rsid w:val="00FC371D"/>
    <w:rsid w:val="00FC37EE"/>
    <w:rsid w:val="00FC3AB3"/>
    <w:rsid w:val="00FC3EC3"/>
    <w:rsid w:val="00FC44FE"/>
    <w:rsid w:val="00FC55F3"/>
    <w:rsid w:val="00FC5953"/>
    <w:rsid w:val="00FC5AED"/>
    <w:rsid w:val="00FC5F0B"/>
    <w:rsid w:val="00FC6256"/>
    <w:rsid w:val="00FC6F96"/>
    <w:rsid w:val="00FC76CF"/>
    <w:rsid w:val="00FD0CAF"/>
    <w:rsid w:val="00FD11BB"/>
    <w:rsid w:val="00FD1E96"/>
    <w:rsid w:val="00FD2100"/>
    <w:rsid w:val="00FD22BA"/>
    <w:rsid w:val="00FD25C2"/>
    <w:rsid w:val="00FD2757"/>
    <w:rsid w:val="00FD28C7"/>
    <w:rsid w:val="00FD2B4E"/>
    <w:rsid w:val="00FD2C7C"/>
    <w:rsid w:val="00FD40F1"/>
    <w:rsid w:val="00FD436C"/>
    <w:rsid w:val="00FD446D"/>
    <w:rsid w:val="00FD44E4"/>
    <w:rsid w:val="00FD4F2C"/>
    <w:rsid w:val="00FD4FCB"/>
    <w:rsid w:val="00FD5D1D"/>
    <w:rsid w:val="00FD6083"/>
    <w:rsid w:val="00FD6394"/>
    <w:rsid w:val="00FD6491"/>
    <w:rsid w:val="00FD7C66"/>
    <w:rsid w:val="00FD7F39"/>
    <w:rsid w:val="00FE00E4"/>
    <w:rsid w:val="00FE015B"/>
    <w:rsid w:val="00FE0C9D"/>
    <w:rsid w:val="00FE0DAF"/>
    <w:rsid w:val="00FE0E6C"/>
    <w:rsid w:val="00FE1029"/>
    <w:rsid w:val="00FE1B3C"/>
    <w:rsid w:val="00FE1CDC"/>
    <w:rsid w:val="00FE2936"/>
    <w:rsid w:val="00FE3136"/>
    <w:rsid w:val="00FE399B"/>
    <w:rsid w:val="00FE3E85"/>
    <w:rsid w:val="00FE41DC"/>
    <w:rsid w:val="00FE4825"/>
    <w:rsid w:val="00FE4B7C"/>
    <w:rsid w:val="00FE4FDD"/>
    <w:rsid w:val="00FE5A68"/>
    <w:rsid w:val="00FE60D7"/>
    <w:rsid w:val="00FE6A27"/>
    <w:rsid w:val="00FE70C3"/>
    <w:rsid w:val="00FF055C"/>
    <w:rsid w:val="00FF0A6F"/>
    <w:rsid w:val="00FF11C5"/>
    <w:rsid w:val="00FF168B"/>
    <w:rsid w:val="00FF1921"/>
    <w:rsid w:val="00FF1A8B"/>
    <w:rsid w:val="00FF2415"/>
    <w:rsid w:val="00FF2438"/>
    <w:rsid w:val="00FF2911"/>
    <w:rsid w:val="00FF2AD9"/>
    <w:rsid w:val="00FF2D64"/>
    <w:rsid w:val="00FF359F"/>
    <w:rsid w:val="00FF3DCF"/>
    <w:rsid w:val="00FF4869"/>
    <w:rsid w:val="00FF492C"/>
    <w:rsid w:val="00FF4A21"/>
    <w:rsid w:val="00FF4E54"/>
    <w:rsid w:val="00FF5118"/>
    <w:rsid w:val="00FF58E7"/>
    <w:rsid w:val="00FF5AA3"/>
    <w:rsid w:val="00FF5AD8"/>
    <w:rsid w:val="00FF5FBC"/>
    <w:rsid w:val="0114CC6C"/>
    <w:rsid w:val="02254E42"/>
    <w:rsid w:val="03A07FC5"/>
    <w:rsid w:val="0600ADD4"/>
    <w:rsid w:val="061A0B86"/>
    <w:rsid w:val="062AF747"/>
    <w:rsid w:val="066E5BB2"/>
    <w:rsid w:val="0672C7FE"/>
    <w:rsid w:val="06F7F548"/>
    <w:rsid w:val="073AB15E"/>
    <w:rsid w:val="076E374B"/>
    <w:rsid w:val="0853ECEB"/>
    <w:rsid w:val="0888FF0F"/>
    <w:rsid w:val="08A4D6EA"/>
    <w:rsid w:val="08E04E32"/>
    <w:rsid w:val="0AA71346"/>
    <w:rsid w:val="0B62456B"/>
    <w:rsid w:val="0BB026F0"/>
    <w:rsid w:val="0C5F8549"/>
    <w:rsid w:val="0C63957F"/>
    <w:rsid w:val="0D3718DE"/>
    <w:rsid w:val="0E499BD2"/>
    <w:rsid w:val="0F584600"/>
    <w:rsid w:val="0F5CD473"/>
    <w:rsid w:val="100D685D"/>
    <w:rsid w:val="109C9D15"/>
    <w:rsid w:val="109EAAF3"/>
    <w:rsid w:val="12187A28"/>
    <w:rsid w:val="1318D12E"/>
    <w:rsid w:val="134298B7"/>
    <w:rsid w:val="13DDE006"/>
    <w:rsid w:val="1495A3D8"/>
    <w:rsid w:val="155666AD"/>
    <w:rsid w:val="15A88C35"/>
    <w:rsid w:val="15FD1CBC"/>
    <w:rsid w:val="1607586C"/>
    <w:rsid w:val="164F1315"/>
    <w:rsid w:val="16674D5D"/>
    <w:rsid w:val="168E1B07"/>
    <w:rsid w:val="16A024A4"/>
    <w:rsid w:val="16A052CC"/>
    <w:rsid w:val="17AE7962"/>
    <w:rsid w:val="192EBFC4"/>
    <w:rsid w:val="1982DC49"/>
    <w:rsid w:val="19BC32FE"/>
    <w:rsid w:val="19F8B420"/>
    <w:rsid w:val="1A391B84"/>
    <w:rsid w:val="1AC9F59C"/>
    <w:rsid w:val="1B09F614"/>
    <w:rsid w:val="1B6D043B"/>
    <w:rsid w:val="1BBEEC24"/>
    <w:rsid w:val="1DE02A48"/>
    <w:rsid w:val="1DE66D3F"/>
    <w:rsid w:val="1FDAE32C"/>
    <w:rsid w:val="1FF1294E"/>
    <w:rsid w:val="212414F3"/>
    <w:rsid w:val="21375824"/>
    <w:rsid w:val="213E5C1D"/>
    <w:rsid w:val="22456A90"/>
    <w:rsid w:val="2264394A"/>
    <w:rsid w:val="22AD7984"/>
    <w:rsid w:val="2322F001"/>
    <w:rsid w:val="24EA15A1"/>
    <w:rsid w:val="24F78030"/>
    <w:rsid w:val="2555889B"/>
    <w:rsid w:val="256B9634"/>
    <w:rsid w:val="25A13E66"/>
    <w:rsid w:val="25F37C2E"/>
    <w:rsid w:val="26AE5867"/>
    <w:rsid w:val="277D08F2"/>
    <w:rsid w:val="285ACA35"/>
    <w:rsid w:val="28BAC3A9"/>
    <w:rsid w:val="28C0F7FE"/>
    <w:rsid w:val="29950DAF"/>
    <w:rsid w:val="29C4AE4F"/>
    <w:rsid w:val="2A0A7F2C"/>
    <w:rsid w:val="2AFE766E"/>
    <w:rsid w:val="2C286B96"/>
    <w:rsid w:val="2CB4DB25"/>
    <w:rsid w:val="2CED2FA7"/>
    <w:rsid w:val="2D6B8B0C"/>
    <w:rsid w:val="2DA10C72"/>
    <w:rsid w:val="2DDDDBE2"/>
    <w:rsid w:val="2E661F26"/>
    <w:rsid w:val="2EA0542B"/>
    <w:rsid w:val="2FA5DB89"/>
    <w:rsid w:val="2FB10E1F"/>
    <w:rsid w:val="305A4D1A"/>
    <w:rsid w:val="30D7EAFA"/>
    <w:rsid w:val="3115F784"/>
    <w:rsid w:val="343ABB53"/>
    <w:rsid w:val="34914AAB"/>
    <w:rsid w:val="35B0A534"/>
    <w:rsid w:val="35ECBE94"/>
    <w:rsid w:val="36255852"/>
    <w:rsid w:val="3647BB90"/>
    <w:rsid w:val="36568C09"/>
    <w:rsid w:val="368915A6"/>
    <w:rsid w:val="369AA3DD"/>
    <w:rsid w:val="373F558B"/>
    <w:rsid w:val="37C75501"/>
    <w:rsid w:val="38388C2A"/>
    <w:rsid w:val="38A2D342"/>
    <w:rsid w:val="38E86A9F"/>
    <w:rsid w:val="3918373C"/>
    <w:rsid w:val="39481EC0"/>
    <w:rsid w:val="3A6C3E69"/>
    <w:rsid w:val="3AD85754"/>
    <w:rsid w:val="3C269AF7"/>
    <w:rsid w:val="3D2A4244"/>
    <w:rsid w:val="3EFA0461"/>
    <w:rsid w:val="3FB7F133"/>
    <w:rsid w:val="408F0E8D"/>
    <w:rsid w:val="40FB1A41"/>
    <w:rsid w:val="417E8291"/>
    <w:rsid w:val="426EF3A5"/>
    <w:rsid w:val="42F30E67"/>
    <w:rsid w:val="438EBE25"/>
    <w:rsid w:val="448AFDCF"/>
    <w:rsid w:val="44B4F383"/>
    <w:rsid w:val="45474F62"/>
    <w:rsid w:val="461711D1"/>
    <w:rsid w:val="463E2B9C"/>
    <w:rsid w:val="46759ACF"/>
    <w:rsid w:val="46B972D4"/>
    <w:rsid w:val="46ECAF45"/>
    <w:rsid w:val="47571A6A"/>
    <w:rsid w:val="476C02F9"/>
    <w:rsid w:val="477BC099"/>
    <w:rsid w:val="48269490"/>
    <w:rsid w:val="493388DC"/>
    <w:rsid w:val="4AD850FE"/>
    <w:rsid w:val="4B149CAB"/>
    <w:rsid w:val="4B7A3908"/>
    <w:rsid w:val="4BAF36D0"/>
    <w:rsid w:val="4BCD5829"/>
    <w:rsid w:val="4E874108"/>
    <w:rsid w:val="4F5EF98A"/>
    <w:rsid w:val="4FAFFDD2"/>
    <w:rsid w:val="50595882"/>
    <w:rsid w:val="50698046"/>
    <w:rsid w:val="50ADFCBA"/>
    <w:rsid w:val="5112A6F2"/>
    <w:rsid w:val="51ACDC5F"/>
    <w:rsid w:val="52127E5F"/>
    <w:rsid w:val="55130825"/>
    <w:rsid w:val="55AF66F5"/>
    <w:rsid w:val="56A8FB46"/>
    <w:rsid w:val="56AA1484"/>
    <w:rsid w:val="56CE6E53"/>
    <w:rsid w:val="576742F7"/>
    <w:rsid w:val="58B752B6"/>
    <w:rsid w:val="58F5AEEA"/>
    <w:rsid w:val="5AB23F93"/>
    <w:rsid w:val="5B202477"/>
    <w:rsid w:val="5B4BA82E"/>
    <w:rsid w:val="5C268C41"/>
    <w:rsid w:val="5C2E02B3"/>
    <w:rsid w:val="5C669ABE"/>
    <w:rsid w:val="5D5417D6"/>
    <w:rsid w:val="5D67A3E6"/>
    <w:rsid w:val="5E8F6D56"/>
    <w:rsid w:val="5EAD3F56"/>
    <w:rsid w:val="6014253B"/>
    <w:rsid w:val="616DAE08"/>
    <w:rsid w:val="6171FF8B"/>
    <w:rsid w:val="61D3C1DF"/>
    <w:rsid w:val="63387652"/>
    <w:rsid w:val="6531ADC8"/>
    <w:rsid w:val="657D7C3B"/>
    <w:rsid w:val="65829BA5"/>
    <w:rsid w:val="664490FF"/>
    <w:rsid w:val="674F18EA"/>
    <w:rsid w:val="6863223D"/>
    <w:rsid w:val="6991F320"/>
    <w:rsid w:val="6A40EC42"/>
    <w:rsid w:val="6A6D5FBE"/>
    <w:rsid w:val="6AFF370B"/>
    <w:rsid w:val="6BCECDDC"/>
    <w:rsid w:val="6BEE200A"/>
    <w:rsid w:val="6BF18BEB"/>
    <w:rsid w:val="6C10ED9F"/>
    <w:rsid w:val="6D97A553"/>
    <w:rsid w:val="6DFC566A"/>
    <w:rsid w:val="6E71521E"/>
    <w:rsid w:val="6EB2D504"/>
    <w:rsid w:val="6F3857A8"/>
    <w:rsid w:val="714AAC4D"/>
    <w:rsid w:val="71A7DED1"/>
    <w:rsid w:val="71FC9C45"/>
    <w:rsid w:val="725CE808"/>
    <w:rsid w:val="72988938"/>
    <w:rsid w:val="739437E7"/>
    <w:rsid w:val="74744112"/>
    <w:rsid w:val="75DDFAF7"/>
    <w:rsid w:val="760ABE10"/>
    <w:rsid w:val="7697D888"/>
    <w:rsid w:val="769E4DDA"/>
    <w:rsid w:val="774A582B"/>
    <w:rsid w:val="77C25FFD"/>
    <w:rsid w:val="77CEBDA5"/>
    <w:rsid w:val="7834B38D"/>
    <w:rsid w:val="784F1E3F"/>
    <w:rsid w:val="796F52C3"/>
    <w:rsid w:val="7A353481"/>
    <w:rsid w:val="7A9FA1E5"/>
    <w:rsid w:val="7AB59D60"/>
    <w:rsid w:val="7C076C26"/>
    <w:rsid w:val="7CFE0E18"/>
    <w:rsid w:val="7D806D77"/>
    <w:rsid w:val="7E401FC9"/>
    <w:rsid w:val="7F769939"/>
    <w:rsid w:val="7F9550D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256"/>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RTI AMCP Table,HealthConsult,MSD Table Grid,Dossier table,Section 3- footnotes,Conclusion box,Table Grid nm"/>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H19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CF2B2C"/>
    <w:pPr>
      <w:widowControl w:val="0"/>
    </w:pPr>
    <w:rPr>
      <w:rFonts w:ascii="Arial Narrow" w:eastAsiaTheme="majorEastAsia" w:hAnsi="Arial Narrow" w:cstheme="majorBidi"/>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7B2E8F"/>
    <w:pPr>
      <w:keepNext/>
      <w:keepLines/>
    </w:pPr>
    <w:rPr>
      <w:rFonts w:ascii="Arial Narrow" w:eastAsiaTheme="majorEastAsia" w:hAnsi="Arial Narrow"/>
      <w:b/>
      <w:iCs/>
      <w:szCs w:val="24"/>
      <w:lang w:val="en-US"/>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autoRedefine/>
    <w:qFormat/>
    <w:rsid w:val="009B6299"/>
    <w:pPr>
      <w:numPr>
        <w:ilvl w:val="1"/>
        <w:numId w:val="6"/>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9B6299"/>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CF2B2C"/>
    <w:rPr>
      <w:rFonts w:ascii="Arial Narrow" w:eastAsiaTheme="majorEastAsia" w:hAnsi="Arial Narrow" w:cstheme="majorBidi"/>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106C2B"/>
    <w:pPr>
      <w:keepLines/>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106C2B"/>
    <w:rPr>
      <w:rFonts w:ascii="Arial Narrow" w:hAnsi="Arial Narrow" w:cs="Arial"/>
      <w:snapToGrid w:val="0"/>
      <w:sz w:val="18"/>
      <w:szCs w:val="22"/>
    </w:rPr>
  </w:style>
  <w:style w:type="paragraph" w:styleId="FootnoteText">
    <w:name w:val="footnote text"/>
    <w:basedOn w:val="Normal"/>
    <w:link w:val="FootnoteTextChar"/>
    <w:semiHidden/>
    <w:unhideWhenUsed/>
    <w:rsid w:val="00FB5006"/>
    <w:rPr>
      <w:sz w:val="20"/>
      <w:szCs w:val="20"/>
    </w:rPr>
  </w:style>
  <w:style w:type="character" w:customStyle="1" w:styleId="FootnoteTextChar">
    <w:name w:val="Footnote Text Char"/>
    <w:basedOn w:val="DefaultParagraphFont"/>
    <w:link w:val="FootnoteText"/>
    <w:semiHidden/>
    <w:rsid w:val="00FB5006"/>
    <w:rPr>
      <w:rFonts w:ascii="Calibri" w:hAnsi="Calibri" w:cs="Arial"/>
    </w:rPr>
  </w:style>
  <w:style w:type="character" w:styleId="FootnoteReference">
    <w:name w:val="footnote reference"/>
    <w:basedOn w:val="DefaultParagraphFont"/>
    <w:semiHidden/>
    <w:unhideWhenUsed/>
    <w:rsid w:val="00FB5006"/>
    <w:rPr>
      <w:vertAlign w:val="superscript"/>
    </w:rPr>
  </w:style>
  <w:style w:type="character" w:styleId="UnresolvedMention">
    <w:name w:val="Unresolved Mention"/>
    <w:basedOn w:val="DefaultParagraphFont"/>
    <w:uiPriority w:val="99"/>
    <w:semiHidden/>
    <w:unhideWhenUsed/>
    <w:rsid w:val="00AD3F78"/>
    <w:rPr>
      <w:color w:val="605E5C"/>
      <w:shd w:val="clear" w:color="auto" w:fill="E1DFDD"/>
    </w:rPr>
  </w:style>
  <w:style w:type="character" w:styleId="LineNumber">
    <w:name w:val="line number"/>
    <w:basedOn w:val="DefaultParagraphFont"/>
    <w:semiHidden/>
    <w:unhideWhenUsed/>
    <w:rsid w:val="000E12C4"/>
  </w:style>
  <w:style w:type="character" w:customStyle="1" w:styleId="Small">
    <w:name w:val="Small"/>
    <w:basedOn w:val="DefaultParagraphFont"/>
    <w:uiPriority w:val="4"/>
    <w:qFormat/>
    <w:rsid w:val="00220272"/>
    <w:rPr>
      <w:rFonts w:asciiTheme="minorHAnsi" w:hAnsiTheme="minorHAnsi"/>
      <w:sz w:val="18"/>
    </w:rPr>
  </w:style>
  <w:style w:type="paragraph" w:customStyle="1" w:styleId="TableBullets">
    <w:name w:val="Table Bullets"/>
    <w:basedOn w:val="Normal"/>
    <w:uiPriority w:val="5"/>
    <w:qFormat/>
    <w:rsid w:val="00030EAD"/>
    <w:pPr>
      <w:numPr>
        <w:numId w:val="8"/>
      </w:numPr>
      <w:ind w:left="170" w:hanging="170"/>
      <w:jc w:val="left"/>
    </w:pPr>
    <w:rPr>
      <w:rFonts w:eastAsiaTheme="majorEastAsia" w:cstheme="majorBidi"/>
      <w:sz w:val="18"/>
      <w:szCs w:val="18"/>
      <w:lang w:eastAsia="en-US" w:bidi="en-US"/>
    </w:rPr>
  </w:style>
  <w:style w:type="paragraph" w:customStyle="1" w:styleId="TableLeft">
    <w:name w:val="Table Left"/>
    <w:basedOn w:val="Normal"/>
    <w:link w:val="TableLeftChar"/>
    <w:uiPriority w:val="99"/>
    <w:qFormat/>
    <w:rsid w:val="007907FB"/>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7907FB"/>
    <w:rPr>
      <w:rFonts w:ascii="Calibri" w:eastAsiaTheme="majorEastAsia" w:hAnsi="Calibri" w:cstheme="majorBidi"/>
      <w:sz w:val="18"/>
      <w:szCs w:val="22"/>
      <w:lang w:eastAsia="en-US" w:bidi="en-US"/>
    </w:rPr>
  </w:style>
  <w:style w:type="table" w:customStyle="1" w:styleId="TableGrid1">
    <w:name w:val="Table Grid1"/>
    <w:basedOn w:val="TableNormal"/>
    <w:next w:val="TableGrid"/>
    <w:uiPriority w:val="59"/>
    <w:rsid w:val="007907FB"/>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Numbers">
    <w:name w:val="Normal Numbers"/>
    <w:basedOn w:val="Normal"/>
    <w:qFormat/>
    <w:rsid w:val="007907FB"/>
    <w:pPr>
      <w:numPr>
        <w:numId w:val="9"/>
      </w:numPr>
      <w:spacing w:after="240" w:line="360" w:lineRule="auto"/>
      <w:jc w:val="left"/>
    </w:pPr>
    <w:rPr>
      <w:rFonts w:asciiTheme="minorHAnsi" w:eastAsiaTheme="minorHAnsi" w:hAnsiTheme="minorHAnsi" w:cstheme="minorBidi"/>
      <w:sz w:val="22"/>
      <w:szCs w:val="22"/>
      <w:lang w:eastAsia="en-US"/>
    </w:rPr>
  </w:style>
  <w:style w:type="paragraph" w:customStyle="1" w:styleId="CaptionFootnote">
    <w:name w:val="Caption Footnote"/>
    <w:basedOn w:val="Normal"/>
    <w:link w:val="CaptionFootnoteChar"/>
    <w:qFormat/>
    <w:rsid w:val="005E446F"/>
    <w:pPr>
      <w:jc w:val="left"/>
    </w:pPr>
    <w:rPr>
      <w:rFonts w:eastAsiaTheme="minorHAnsi" w:cstheme="minorHAnsi"/>
      <w:sz w:val="18"/>
      <w:szCs w:val="18"/>
      <w:lang w:eastAsia="en-US"/>
    </w:rPr>
  </w:style>
  <w:style w:type="character" w:customStyle="1" w:styleId="CaptionFootnoteChar">
    <w:name w:val="Caption Footnote Char"/>
    <w:basedOn w:val="DefaultParagraphFont"/>
    <w:link w:val="CaptionFootnote"/>
    <w:rsid w:val="005E446F"/>
    <w:rPr>
      <w:rFonts w:ascii="Calibri" w:eastAsiaTheme="minorHAnsi" w:hAnsi="Calibri" w:cstheme="minorHAnsi"/>
      <w:sz w:val="18"/>
      <w:szCs w:val="18"/>
      <w:lang w:eastAsia="en-US"/>
    </w:rPr>
  </w:style>
  <w:style w:type="character" w:styleId="PlaceholderText">
    <w:name w:val="Placeholder Text"/>
    <w:basedOn w:val="DefaultParagraphFont"/>
    <w:uiPriority w:val="99"/>
    <w:semiHidden/>
    <w:rsid w:val="00E83C37"/>
    <w:rPr>
      <w:color w:val="666666"/>
    </w:rPr>
  </w:style>
  <w:style w:type="paragraph" w:customStyle="1" w:styleId="EndNoteBibliographyTitle">
    <w:name w:val="EndNote Bibliography Title"/>
    <w:basedOn w:val="Normal"/>
    <w:link w:val="EndNoteBibliographyTitleChar"/>
    <w:rsid w:val="004F182D"/>
    <w:pPr>
      <w:jc w:val="center"/>
    </w:pPr>
    <w:rPr>
      <w:rFonts w:cs="Calibri"/>
      <w:noProof/>
    </w:rPr>
  </w:style>
  <w:style w:type="character" w:customStyle="1" w:styleId="EndNoteBibliographyTitleChar">
    <w:name w:val="EndNote Bibliography Title Char"/>
    <w:basedOn w:val="TableFigureFooterChar"/>
    <w:link w:val="EndNoteBibliographyTitle"/>
    <w:rsid w:val="004F182D"/>
    <w:rPr>
      <w:rFonts w:ascii="Calibri" w:hAnsi="Calibri" w:cs="Calibri"/>
      <w:noProof/>
      <w:snapToGrid/>
      <w:sz w:val="24"/>
      <w:szCs w:val="24"/>
    </w:rPr>
  </w:style>
  <w:style w:type="paragraph" w:customStyle="1" w:styleId="EndNoteBibliography">
    <w:name w:val="EndNote Bibliography"/>
    <w:basedOn w:val="Normal"/>
    <w:link w:val="EndNoteBibliographyChar"/>
    <w:rsid w:val="004F182D"/>
    <w:rPr>
      <w:rFonts w:cs="Calibri"/>
      <w:noProof/>
    </w:rPr>
  </w:style>
  <w:style w:type="character" w:customStyle="1" w:styleId="EndNoteBibliographyChar">
    <w:name w:val="EndNote Bibliography Char"/>
    <w:basedOn w:val="TableFigureFooterChar"/>
    <w:link w:val="EndNoteBibliography"/>
    <w:rsid w:val="004F182D"/>
    <w:rPr>
      <w:rFonts w:ascii="Calibri" w:hAnsi="Calibri" w:cs="Calibri"/>
      <w:noProof/>
      <w:snapToGrid/>
      <w:sz w:val="24"/>
      <w:szCs w:val="24"/>
    </w:rPr>
  </w:style>
  <w:style w:type="character" w:styleId="Mention">
    <w:name w:val="Mention"/>
    <w:basedOn w:val="DefaultParagraphFont"/>
    <w:uiPriority w:val="99"/>
    <w:unhideWhenUsed/>
    <w:rsid w:val="0046761D"/>
    <w:rPr>
      <w:color w:val="2B579A"/>
      <w:shd w:val="clear" w:color="auto" w:fill="E1DFDD"/>
    </w:rPr>
  </w:style>
  <w:style w:type="paragraph" w:customStyle="1" w:styleId="PBACTabletext">
    <w:name w:val="PBAC Table text"/>
    <w:qFormat/>
    <w:rsid w:val="000C6290"/>
    <w:pPr>
      <w:keepNext/>
      <w:keepLines/>
      <w:suppressLineNumbers/>
      <w:spacing w:after="20"/>
      <w:textboxTightWrap w:val="allLines"/>
    </w:pPr>
    <w:rPr>
      <w:rFonts w:ascii="Arial Narrow" w:hAnsi="Arial Narrow" w:cs="Arial"/>
      <w:szCs w:val="24"/>
      <w:lang w:eastAsia="en-GB"/>
    </w:rPr>
  </w:style>
  <w:style w:type="character" w:customStyle="1" w:styleId="Font">
    <w:name w:val="Font"/>
    <w:basedOn w:val="DefaultParagraphFont"/>
    <w:uiPriority w:val="1"/>
    <w:qFormat/>
    <w:rsid w:val="00245E65"/>
    <w:rPr>
      <w:rFonts w:asciiTheme="minorHAnsi" w:hAnsiTheme="minorHAnsi"/>
      <w:sz w:val="22"/>
    </w:rPr>
  </w:style>
  <w:style w:type="paragraph" w:customStyle="1" w:styleId="pf0">
    <w:name w:val="pf0"/>
    <w:basedOn w:val="Normal"/>
    <w:rsid w:val="00B07B9F"/>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B07B9F"/>
    <w:rPr>
      <w:rFonts w:ascii="Segoe UI" w:hAnsi="Segoe UI" w:cs="Segoe UI" w:hint="default"/>
      <w:i/>
      <w:iCs/>
      <w:sz w:val="18"/>
      <w:szCs w:val="18"/>
    </w:rPr>
  </w:style>
  <w:style w:type="character" w:customStyle="1" w:styleId="cf21">
    <w:name w:val="cf21"/>
    <w:basedOn w:val="DefaultParagraphFont"/>
    <w:rsid w:val="00B07B9F"/>
    <w:rPr>
      <w:rFonts w:ascii="Segoe UI" w:hAnsi="Segoe UI" w:cs="Segoe UI" w:hint="default"/>
      <w:b/>
      <w:bCs/>
      <w:i/>
      <w:iCs/>
      <w:sz w:val="18"/>
      <w:szCs w:val="18"/>
    </w:rPr>
  </w:style>
  <w:style w:type="character" w:customStyle="1" w:styleId="cf11">
    <w:name w:val="cf11"/>
    <w:basedOn w:val="DefaultParagraphFont"/>
    <w:rsid w:val="00B07B9F"/>
    <w:rPr>
      <w:rFonts w:ascii="Segoe UI" w:hAnsi="Segoe UI" w:cs="Segoe UI" w:hint="default"/>
      <w:sz w:val="18"/>
      <w:szCs w:val="18"/>
    </w:rPr>
  </w:style>
  <w:style w:type="paragraph" w:customStyle="1" w:styleId="3-SubsectionHeading">
    <w:name w:val="3-Subsection Heading"/>
    <w:basedOn w:val="Heading2"/>
    <w:next w:val="Normal"/>
    <w:link w:val="3-SubsectionHeadingChar"/>
    <w:qFormat/>
    <w:rsid w:val="0046036A"/>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6036A"/>
    <w:rPr>
      <w:rFonts w:asciiTheme="minorHAnsi" w:eastAsiaTheme="majorEastAsia" w:hAnsiTheme="minorHAnsi" w:cstheme="majorBidi"/>
      <w:b/>
      <w:i/>
      <w:snapToGrid/>
      <w:spacing w:val="5"/>
      <w:kern w:val="28"/>
      <w:sz w:val="28"/>
      <w:szCs w:val="36"/>
      <w:lang w:eastAsia="en-US"/>
    </w:rPr>
  </w:style>
  <w:style w:type="paragraph" w:styleId="BodyText3">
    <w:name w:val="Body Text 3"/>
    <w:basedOn w:val="Normal"/>
    <w:link w:val="BodyText3Char"/>
    <w:semiHidden/>
    <w:unhideWhenUsed/>
    <w:rsid w:val="00D771EE"/>
    <w:pPr>
      <w:spacing w:after="120"/>
    </w:pPr>
    <w:rPr>
      <w:sz w:val="16"/>
      <w:szCs w:val="16"/>
    </w:rPr>
  </w:style>
  <w:style w:type="character" w:customStyle="1" w:styleId="BodyText3Char">
    <w:name w:val="Body Text 3 Char"/>
    <w:basedOn w:val="DefaultParagraphFont"/>
    <w:link w:val="BodyText3"/>
    <w:semiHidden/>
    <w:rsid w:val="00D771EE"/>
    <w:rPr>
      <w:rFonts w:ascii="Calibri" w:hAnsi="Calibri" w:cs="Arial"/>
      <w:sz w:val="16"/>
      <w:szCs w:val="16"/>
    </w:rPr>
  </w:style>
  <w:style w:type="paragraph" w:customStyle="1" w:styleId="Tabletitle">
    <w:name w:val="Table title"/>
    <w:basedOn w:val="Tabletext"/>
    <w:link w:val="TabletitleChar"/>
    <w:qFormat/>
    <w:rsid w:val="006573C3"/>
    <w:rPr>
      <w:rFonts w:eastAsia="Calibri" w:cs="Arial"/>
      <w:b/>
      <w:snapToGrid/>
      <w:szCs w:val="20"/>
      <w:lang w:eastAsia="en-US"/>
    </w:rPr>
  </w:style>
  <w:style w:type="character" w:customStyle="1" w:styleId="TabletitleChar">
    <w:name w:val="Table title Char"/>
    <w:basedOn w:val="TabletextChar"/>
    <w:link w:val="Tabletitle"/>
    <w:rsid w:val="006573C3"/>
    <w:rPr>
      <w:rFonts w:ascii="Arial Narrow" w:eastAsia="Calibri" w:hAnsi="Arial Narrow" w:cs="Arial"/>
      <w:b/>
      <w:lang w:eastAsia="en-US"/>
    </w:rPr>
  </w:style>
  <w:style w:type="table" w:customStyle="1" w:styleId="TableGridnm1">
    <w:name w:val="Table Grid nm1"/>
    <w:basedOn w:val="TableNormal"/>
    <w:next w:val="TableGrid"/>
    <w:uiPriority w:val="39"/>
    <w:rsid w:val="00496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425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97933942">
      <w:bodyDiv w:val="1"/>
      <w:marLeft w:val="0"/>
      <w:marRight w:val="0"/>
      <w:marTop w:val="0"/>
      <w:marBottom w:val="0"/>
      <w:divBdr>
        <w:top w:val="none" w:sz="0" w:space="0" w:color="auto"/>
        <w:left w:val="none" w:sz="0" w:space="0" w:color="auto"/>
        <w:bottom w:val="none" w:sz="0" w:space="0" w:color="auto"/>
        <w:right w:val="none" w:sz="0" w:space="0" w:color="auto"/>
      </w:divBdr>
    </w:div>
    <w:div w:id="24858522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00588971">
      <w:bodyDiv w:val="1"/>
      <w:marLeft w:val="0"/>
      <w:marRight w:val="0"/>
      <w:marTop w:val="0"/>
      <w:marBottom w:val="0"/>
      <w:divBdr>
        <w:top w:val="none" w:sz="0" w:space="0" w:color="auto"/>
        <w:left w:val="none" w:sz="0" w:space="0" w:color="auto"/>
        <w:bottom w:val="none" w:sz="0" w:space="0" w:color="auto"/>
        <w:right w:val="none" w:sz="0" w:space="0" w:color="auto"/>
      </w:divBdr>
    </w:div>
    <w:div w:id="707296444">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71980393">
      <w:bodyDiv w:val="1"/>
      <w:marLeft w:val="0"/>
      <w:marRight w:val="0"/>
      <w:marTop w:val="0"/>
      <w:marBottom w:val="0"/>
      <w:divBdr>
        <w:top w:val="none" w:sz="0" w:space="0" w:color="auto"/>
        <w:left w:val="none" w:sz="0" w:space="0" w:color="auto"/>
        <w:bottom w:val="none" w:sz="0" w:space="0" w:color="auto"/>
        <w:right w:val="none" w:sz="0" w:space="0" w:color="auto"/>
      </w:divBdr>
      <w:divsChild>
        <w:div w:id="1280409534">
          <w:marLeft w:val="360"/>
          <w:marRight w:val="0"/>
          <w:marTop w:val="200"/>
          <w:marBottom w:val="0"/>
          <w:divBdr>
            <w:top w:val="none" w:sz="0" w:space="0" w:color="auto"/>
            <w:left w:val="none" w:sz="0" w:space="0" w:color="auto"/>
            <w:bottom w:val="none" w:sz="0" w:space="0" w:color="auto"/>
            <w:right w:val="none" w:sz="0" w:space="0" w:color="auto"/>
          </w:divBdr>
        </w:div>
        <w:div w:id="1582181813">
          <w:marLeft w:val="1080"/>
          <w:marRight w:val="0"/>
          <w:marTop w:val="100"/>
          <w:marBottom w:val="0"/>
          <w:divBdr>
            <w:top w:val="none" w:sz="0" w:space="0" w:color="auto"/>
            <w:left w:val="none" w:sz="0" w:space="0" w:color="auto"/>
            <w:bottom w:val="none" w:sz="0" w:space="0" w:color="auto"/>
            <w:right w:val="none" w:sz="0" w:space="0" w:color="auto"/>
          </w:divBdr>
        </w:div>
        <w:div w:id="1717049736">
          <w:marLeft w:val="1080"/>
          <w:marRight w:val="0"/>
          <w:marTop w:val="100"/>
          <w:marBottom w:val="0"/>
          <w:divBdr>
            <w:top w:val="none" w:sz="0" w:space="0" w:color="auto"/>
            <w:left w:val="none" w:sz="0" w:space="0" w:color="auto"/>
            <w:bottom w:val="none" w:sz="0" w:space="0" w:color="auto"/>
            <w:right w:val="none" w:sz="0" w:space="0" w:color="auto"/>
          </w:divBdr>
        </w:div>
        <w:div w:id="1705861802">
          <w:marLeft w:val="1080"/>
          <w:marRight w:val="0"/>
          <w:marTop w:val="100"/>
          <w:marBottom w:val="0"/>
          <w:divBdr>
            <w:top w:val="none" w:sz="0" w:space="0" w:color="auto"/>
            <w:left w:val="none" w:sz="0" w:space="0" w:color="auto"/>
            <w:bottom w:val="none" w:sz="0" w:space="0" w:color="auto"/>
            <w:right w:val="none" w:sz="0" w:space="0" w:color="auto"/>
          </w:divBdr>
        </w:div>
        <w:div w:id="535238008">
          <w:marLeft w:val="1080"/>
          <w:marRight w:val="0"/>
          <w:marTop w:val="100"/>
          <w:marBottom w:val="0"/>
          <w:divBdr>
            <w:top w:val="none" w:sz="0" w:space="0" w:color="auto"/>
            <w:left w:val="none" w:sz="0" w:space="0" w:color="auto"/>
            <w:bottom w:val="none" w:sz="0" w:space="0" w:color="auto"/>
            <w:right w:val="none" w:sz="0" w:space="0" w:color="auto"/>
          </w:divBdr>
        </w:div>
        <w:div w:id="1955556326">
          <w:marLeft w:val="1080"/>
          <w:marRight w:val="0"/>
          <w:marTop w:val="100"/>
          <w:marBottom w:val="0"/>
          <w:divBdr>
            <w:top w:val="none" w:sz="0" w:space="0" w:color="auto"/>
            <w:left w:val="none" w:sz="0" w:space="0" w:color="auto"/>
            <w:bottom w:val="none" w:sz="0" w:space="0" w:color="auto"/>
            <w:right w:val="none" w:sz="0" w:space="0" w:color="auto"/>
          </w:divBdr>
        </w:div>
        <w:div w:id="1711999638">
          <w:marLeft w:val="360"/>
          <w:marRight w:val="0"/>
          <w:marTop w:val="200"/>
          <w:marBottom w:val="0"/>
          <w:divBdr>
            <w:top w:val="none" w:sz="0" w:space="0" w:color="auto"/>
            <w:left w:val="none" w:sz="0" w:space="0" w:color="auto"/>
            <w:bottom w:val="none" w:sz="0" w:space="0" w:color="auto"/>
            <w:right w:val="none" w:sz="0" w:space="0" w:color="auto"/>
          </w:divBdr>
        </w:div>
        <w:div w:id="2037996915">
          <w:marLeft w:val="1080"/>
          <w:marRight w:val="0"/>
          <w:marTop w:val="100"/>
          <w:marBottom w:val="0"/>
          <w:divBdr>
            <w:top w:val="none" w:sz="0" w:space="0" w:color="auto"/>
            <w:left w:val="none" w:sz="0" w:space="0" w:color="auto"/>
            <w:bottom w:val="none" w:sz="0" w:space="0" w:color="auto"/>
            <w:right w:val="none" w:sz="0" w:space="0" w:color="auto"/>
          </w:divBdr>
        </w:div>
      </w:divsChild>
    </w:div>
    <w:div w:id="107154524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38313077">
      <w:bodyDiv w:val="1"/>
      <w:marLeft w:val="0"/>
      <w:marRight w:val="0"/>
      <w:marTop w:val="0"/>
      <w:marBottom w:val="0"/>
      <w:divBdr>
        <w:top w:val="none" w:sz="0" w:space="0" w:color="auto"/>
        <w:left w:val="none" w:sz="0" w:space="0" w:color="auto"/>
        <w:bottom w:val="none" w:sz="0" w:space="0" w:color="auto"/>
        <w:right w:val="none" w:sz="0" w:space="0" w:color="auto"/>
      </w:divBdr>
    </w:div>
    <w:div w:id="1362049140">
      <w:bodyDiv w:val="1"/>
      <w:marLeft w:val="0"/>
      <w:marRight w:val="0"/>
      <w:marTop w:val="0"/>
      <w:marBottom w:val="0"/>
      <w:divBdr>
        <w:top w:val="none" w:sz="0" w:space="0" w:color="auto"/>
        <w:left w:val="none" w:sz="0" w:space="0" w:color="auto"/>
        <w:bottom w:val="none" w:sz="0" w:space="0" w:color="auto"/>
        <w:right w:val="none" w:sz="0" w:space="0" w:color="auto"/>
      </w:divBdr>
    </w:div>
    <w:div w:id="1454014307">
      <w:bodyDiv w:val="1"/>
      <w:marLeft w:val="0"/>
      <w:marRight w:val="0"/>
      <w:marTop w:val="0"/>
      <w:marBottom w:val="0"/>
      <w:divBdr>
        <w:top w:val="none" w:sz="0" w:space="0" w:color="auto"/>
        <w:left w:val="none" w:sz="0" w:space="0" w:color="auto"/>
        <w:bottom w:val="none" w:sz="0" w:space="0" w:color="auto"/>
        <w:right w:val="none" w:sz="0" w:space="0" w:color="auto"/>
      </w:divBdr>
    </w:div>
    <w:div w:id="1456942039">
      <w:bodyDiv w:val="1"/>
      <w:marLeft w:val="0"/>
      <w:marRight w:val="0"/>
      <w:marTop w:val="0"/>
      <w:marBottom w:val="0"/>
      <w:divBdr>
        <w:top w:val="none" w:sz="0" w:space="0" w:color="auto"/>
        <w:left w:val="none" w:sz="0" w:space="0" w:color="auto"/>
        <w:bottom w:val="none" w:sz="0" w:space="0" w:color="auto"/>
        <w:right w:val="none" w:sz="0" w:space="0" w:color="auto"/>
      </w:divBdr>
    </w:div>
    <w:div w:id="1461797512">
      <w:bodyDiv w:val="1"/>
      <w:marLeft w:val="0"/>
      <w:marRight w:val="0"/>
      <w:marTop w:val="0"/>
      <w:marBottom w:val="0"/>
      <w:divBdr>
        <w:top w:val="none" w:sz="0" w:space="0" w:color="auto"/>
        <w:left w:val="none" w:sz="0" w:space="0" w:color="auto"/>
        <w:bottom w:val="none" w:sz="0" w:space="0" w:color="auto"/>
        <w:right w:val="none" w:sz="0" w:space="0" w:color="auto"/>
      </w:divBdr>
      <w:divsChild>
        <w:div w:id="266037865">
          <w:marLeft w:val="360"/>
          <w:marRight w:val="0"/>
          <w:marTop w:val="200"/>
          <w:marBottom w:val="0"/>
          <w:divBdr>
            <w:top w:val="none" w:sz="0" w:space="0" w:color="auto"/>
            <w:left w:val="none" w:sz="0" w:space="0" w:color="auto"/>
            <w:bottom w:val="none" w:sz="0" w:space="0" w:color="auto"/>
            <w:right w:val="none" w:sz="0" w:space="0" w:color="auto"/>
          </w:divBdr>
        </w:div>
        <w:div w:id="150870208">
          <w:marLeft w:val="1080"/>
          <w:marRight w:val="0"/>
          <w:marTop w:val="100"/>
          <w:marBottom w:val="0"/>
          <w:divBdr>
            <w:top w:val="none" w:sz="0" w:space="0" w:color="auto"/>
            <w:left w:val="none" w:sz="0" w:space="0" w:color="auto"/>
            <w:bottom w:val="none" w:sz="0" w:space="0" w:color="auto"/>
            <w:right w:val="none" w:sz="0" w:space="0" w:color="auto"/>
          </w:divBdr>
        </w:div>
        <w:div w:id="2111898065">
          <w:marLeft w:val="1080"/>
          <w:marRight w:val="0"/>
          <w:marTop w:val="100"/>
          <w:marBottom w:val="0"/>
          <w:divBdr>
            <w:top w:val="none" w:sz="0" w:space="0" w:color="auto"/>
            <w:left w:val="none" w:sz="0" w:space="0" w:color="auto"/>
            <w:bottom w:val="none" w:sz="0" w:space="0" w:color="auto"/>
            <w:right w:val="none" w:sz="0" w:space="0" w:color="auto"/>
          </w:divBdr>
        </w:div>
        <w:div w:id="2049605629">
          <w:marLeft w:val="1080"/>
          <w:marRight w:val="0"/>
          <w:marTop w:val="100"/>
          <w:marBottom w:val="0"/>
          <w:divBdr>
            <w:top w:val="none" w:sz="0" w:space="0" w:color="auto"/>
            <w:left w:val="none" w:sz="0" w:space="0" w:color="auto"/>
            <w:bottom w:val="none" w:sz="0" w:space="0" w:color="auto"/>
            <w:right w:val="none" w:sz="0" w:space="0" w:color="auto"/>
          </w:divBdr>
        </w:div>
        <w:div w:id="2135635197">
          <w:marLeft w:val="1080"/>
          <w:marRight w:val="0"/>
          <w:marTop w:val="100"/>
          <w:marBottom w:val="0"/>
          <w:divBdr>
            <w:top w:val="none" w:sz="0" w:space="0" w:color="auto"/>
            <w:left w:val="none" w:sz="0" w:space="0" w:color="auto"/>
            <w:bottom w:val="none" w:sz="0" w:space="0" w:color="auto"/>
            <w:right w:val="none" w:sz="0" w:space="0" w:color="auto"/>
          </w:divBdr>
        </w:div>
      </w:divsChild>
    </w:div>
    <w:div w:id="1580021793">
      <w:bodyDiv w:val="1"/>
      <w:marLeft w:val="0"/>
      <w:marRight w:val="0"/>
      <w:marTop w:val="0"/>
      <w:marBottom w:val="0"/>
      <w:divBdr>
        <w:top w:val="none" w:sz="0" w:space="0" w:color="auto"/>
        <w:left w:val="none" w:sz="0" w:space="0" w:color="auto"/>
        <w:bottom w:val="none" w:sz="0" w:space="0" w:color="auto"/>
        <w:right w:val="none" w:sz="0" w:space="0" w:color="auto"/>
      </w:divBdr>
      <w:divsChild>
        <w:div w:id="1626160530">
          <w:marLeft w:val="1080"/>
          <w:marRight w:val="0"/>
          <w:marTop w:val="100"/>
          <w:marBottom w:val="0"/>
          <w:divBdr>
            <w:top w:val="none" w:sz="0" w:space="0" w:color="auto"/>
            <w:left w:val="none" w:sz="0" w:space="0" w:color="auto"/>
            <w:bottom w:val="none" w:sz="0" w:space="0" w:color="auto"/>
            <w:right w:val="none" w:sz="0" w:space="0" w:color="auto"/>
          </w:divBdr>
        </w:div>
        <w:div w:id="1424956779">
          <w:marLeft w:val="1080"/>
          <w:marRight w:val="0"/>
          <w:marTop w:val="100"/>
          <w:marBottom w:val="0"/>
          <w:divBdr>
            <w:top w:val="none" w:sz="0" w:space="0" w:color="auto"/>
            <w:left w:val="none" w:sz="0" w:space="0" w:color="auto"/>
            <w:bottom w:val="none" w:sz="0" w:space="0" w:color="auto"/>
            <w:right w:val="none" w:sz="0" w:space="0" w:color="auto"/>
          </w:divBdr>
        </w:div>
        <w:div w:id="67114350">
          <w:marLeft w:val="1080"/>
          <w:marRight w:val="0"/>
          <w:marTop w:val="100"/>
          <w:marBottom w:val="0"/>
          <w:divBdr>
            <w:top w:val="none" w:sz="0" w:space="0" w:color="auto"/>
            <w:left w:val="none" w:sz="0" w:space="0" w:color="auto"/>
            <w:bottom w:val="none" w:sz="0" w:space="0" w:color="auto"/>
            <w:right w:val="none" w:sz="0" w:space="0" w:color="auto"/>
          </w:divBdr>
        </w:div>
        <w:div w:id="24135601">
          <w:marLeft w:val="1080"/>
          <w:marRight w:val="0"/>
          <w:marTop w:val="100"/>
          <w:marBottom w:val="0"/>
          <w:divBdr>
            <w:top w:val="none" w:sz="0" w:space="0" w:color="auto"/>
            <w:left w:val="none" w:sz="0" w:space="0" w:color="auto"/>
            <w:bottom w:val="none" w:sz="0" w:space="0" w:color="auto"/>
            <w:right w:val="none" w:sz="0" w:space="0" w:color="auto"/>
          </w:divBdr>
        </w:div>
      </w:divsChild>
    </w:div>
    <w:div w:id="1665819766">
      <w:bodyDiv w:val="1"/>
      <w:marLeft w:val="0"/>
      <w:marRight w:val="0"/>
      <w:marTop w:val="0"/>
      <w:marBottom w:val="0"/>
      <w:divBdr>
        <w:top w:val="none" w:sz="0" w:space="0" w:color="auto"/>
        <w:left w:val="none" w:sz="0" w:space="0" w:color="auto"/>
        <w:bottom w:val="none" w:sz="0" w:space="0" w:color="auto"/>
        <w:right w:val="none" w:sz="0" w:space="0" w:color="auto"/>
      </w:divBdr>
    </w:div>
    <w:div w:id="1777822880">
      <w:bodyDiv w:val="1"/>
      <w:marLeft w:val="0"/>
      <w:marRight w:val="0"/>
      <w:marTop w:val="0"/>
      <w:marBottom w:val="0"/>
      <w:divBdr>
        <w:top w:val="none" w:sz="0" w:space="0" w:color="auto"/>
        <w:left w:val="none" w:sz="0" w:space="0" w:color="auto"/>
        <w:bottom w:val="none" w:sz="0" w:space="0" w:color="auto"/>
        <w:right w:val="none" w:sz="0" w:space="0" w:color="auto"/>
      </w:divBdr>
    </w:div>
    <w:div w:id="184084773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36537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rvicesaustralia.gov.au" TargetMode="External"/><Relationship Id="rId13" Type="http://schemas.openxmlformats.org/officeDocument/2006/relationships/hyperlink" Target="http://www.servicesaustralia.gov.au/hpos"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servicesaustralia.gov.au"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pbs.gov.au/medicine/item/12790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australia.gov.au/hpo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ervicesaustralia.gov.au/hpos" TargetMode="External"/><Relationship Id="rId23" Type="http://schemas.openxmlformats.org/officeDocument/2006/relationships/fontTable" Target="fontTable.xml"/><Relationship Id="rId10" Type="http://schemas.openxmlformats.org/officeDocument/2006/relationships/hyperlink" Target="http://www.servicesaustralia.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rvicesaustralia.gov.au/hpos" TargetMode="External"/><Relationship Id="rId14" Type="http://schemas.openxmlformats.org/officeDocument/2006/relationships/hyperlink" Target="http://www.servicesaustralia.gov.au"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95518B32-2B6B-438F-9757-31212F0B602F}"/>
</file>

<file path=customXml/itemProps3.xml><?xml version="1.0" encoding="utf-8"?>
<ds:datastoreItem xmlns:ds="http://schemas.openxmlformats.org/officeDocument/2006/customXml" ds:itemID="{127C7B05-738B-49EA-96E9-3D27061F57D3}"/>
</file>

<file path=customXml/itemProps4.xml><?xml version="1.0" encoding="utf-8"?>
<ds:datastoreItem xmlns:ds="http://schemas.openxmlformats.org/officeDocument/2006/customXml" ds:itemID="{9B66D278-A55C-44E4-A646-33888630B397}"/>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38</Pages>
  <Words>15954</Words>
  <Characters>90940</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106681</CharactersWithSpaces>
  <SharedDoc>false</SharedDoc>
  <HLinks>
    <vt:vector size="54" baseType="variant">
      <vt:variant>
        <vt:i4>3407924</vt:i4>
      </vt:variant>
      <vt:variant>
        <vt:i4>237</vt:i4>
      </vt:variant>
      <vt:variant>
        <vt:i4>0</vt:i4>
      </vt:variant>
      <vt:variant>
        <vt:i4>5</vt:i4>
      </vt:variant>
      <vt:variant>
        <vt:lpwstr>https://www.pbs.gov.au/medicine/item/12790e</vt:lpwstr>
      </vt:variant>
      <vt:variant>
        <vt:lpwstr/>
      </vt:variant>
      <vt:variant>
        <vt:i4>1507399</vt:i4>
      </vt:variant>
      <vt:variant>
        <vt:i4>234</vt:i4>
      </vt:variant>
      <vt:variant>
        <vt:i4>0</vt:i4>
      </vt:variant>
      <vt:variant>
        <vt:i4>5</vt:i4>
      </vt:variant>
      <vt:variant>
        <vt:lpwstr>http://www.servicesaustralia.gov.au/hpos</vt:lpwstr>
      </vt:variant>
      <vt:variant>
        <vt:lpwstr/>
      </vt:variant>
      <vt:variant>
        <vt:i4>1310784</vt:i4>
      </vt:variant>
      <vt:variant>
        <vt:i4>231</vt:i4>
      </vt:variant>
      <vt:variant>
        <vt:i4>0</vt:i4>
      </vt:variant>
      <vt:variant>
        <vt:i4>5</vt:i4>
      </vt:variant>
      <vt:variant>
        <vt:lpwstr>http://www.servicesaustralia.gov.au/</vt:lpwstr>
      </vt:variant>
      <vt:variant>
        <vt:lpwstr/>
      </vt:variant>
      <vt:variant>
        <vt:i4>1507399</vt:i4>
      </vt:variant>
      <vt:variant>
        <vt:i4>210</vt:i4>
      </vt:variant>
      <vt:variant>
        <vt:i4>0</vt:i4>
      </vt:variant>
      <vt:variant>
        <vt:i4>5</vt:i4>
      </vt:variant>
      <vt:variant>
        <vt:lpwstr>http://www.servicesaustralia.gov.au/hpos</vt:lpwstr>
      </vt:variant>
      <vt:variant>
        <vt:lpwstr/>
      </vt:variant>
      <vt:variant>
        <vt:i4>1310784</vt:i4>
      </vt:variant>
      <vt:variant>
        <vt:i4>207</vt:i4>
      </vt:variant>
      <vt:variant>
        <vt:i4>0</vt:i4>
      </vt:variant>
      <vt:variant>
        <vt:i4>5</vt:i4>
      </vt:variant>
      <vt:variant>
        <vt:lpwstr>http://www.servicesaustralia.gov.au/</vt:lpwstr>
      </vt:variant>
      <vt:variant>
        <vt:lpwstr/>
      </vt:variant>
      <vt:variant>
        <vt:i4>1507399</vt:i4>
      </vt:variant>
      <vt:variant>
        <vt:i4>204</vt:i4>
      </vt:variant>
      <vt:variant>
        <vt:i4>0</vt:i4>
      </vt:variant>
      <vt:variant>
        <vt:i4>5</vt:i4>
      </vt:variant>
      <vt:variant>
        <vt:lpwstr>http://www.servicesaustralia.gov.au/hpos</vt:lpwstr>
      </vt:variant>
      <vt:variant>
        <vt:lpwstr/>
      </vt:variant>
      <vt:variant>
        <vt:i4>1310784</vt:i4>
      </vt:variant>
      <vt:variant>
        <vt:i4>201</vt:i4>
      </vt:variant>
      <vt:variant>
        <vt:i4>0</vt:i4>
      </vt:variant>
      <vt:variant>
        <vt:i4>5</vt:i4>
      </vt:variant>
      <vt:variant>
        <vt:lpwstr>http://www.servicesaustralia.gov.au/</vt:lpwstr>
      </vt:variant>
      <vt:variant>
        <vt:lpwstr/>
      </vt:variant>
      <vt:variant>
        <vt:i4>1507399</vt:i4>
      </vt:variant>
      <vt:variant>
        <vt:i4>198</vt:i4>
      </vt:variant>
      <vt:variant>
        <vt:i4>0</vt:i4>
      </vt:variant>
      <vt:variant>
        <vt:i4>5</vt:i4>
      </vt:variant>
      <vt:variant>
        <vt:lpwstr>http://www.servicesaustralia.gov.au/hpos</vt:lpwstr>
      </vt:variant>
      <vt:variant>
        <vt:lpwstr/>
      </vt:variant>
      <vt:variant>
        <vt:i4>1310784</vt:i4>
      </vt:variant>
      <vt:variant>
        <vt:i4>195</vt:i4>
      </vt:variant>
      <vt:variant>
        <vt:i4>0</vt:i4>
      </vt:variant>
      <vt:variant>
        <vt:i4>5</vt:i4>
      </vt:variant>
      <vt:variant>
        <vt:lpwstr>http://www.servicesaustralia.gov.au/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2025-03-03T04:48:00Z</dcterms:created>
  <dcterms:modified xsi:type="dcterms:W3CDTF">2025-03-03T04:49:00Z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