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071F" w14:textId="6C36DBA6" w:rsidR="00CE7338" w:rsidRPr="006B5229" w:rsidRDefault="00CE7338" w:rsidP="008575E1">
      <w:pPr>
        <w:pStyle w:val="1-MainHeading"/>
      </w:pPr>
      <w:bookmarkStart w:id="0" w:name="_Toc177562892"/>
      <w:bookmarkStart w:id="1" w:name="_Toc107927642"/>
      <w:bookmarkStart w:id="2" w:name="_Toc107927647"/>
      <w:bookmarkStart w:id="3" w:name="_Toc380746195"/>
      <w:bookmarkStart w:id="4" w:name="_Toc380746321"/>
      <w:bookmarkStart w:id="5" w:name="_Toc380746602"/>
      <w:r w:rsidRPr="006B5229">
        <w:t>5.11</w:t>
      </w:r>
      <w:r w:rsidRPr="006B5229">
        <w:tab/>
        <w:t>FENFLURAMINE,</w:t>
      </w:r>
      <w:r w:rsidRPr="006B5229">
        <w:br/>
      </w:r>
      <w:r w:rsidR="00FB6018">
        <w:t xml:space="preserve">Oral solution </w:t>
      </w:r>
      <w:r w:rsidRPr="006B5229">
        <w:t>2.2 mg</w:t>
      </w:r>
      <w:r w:rsidR="00FB6018">
        <w:t xml:space="preserve"> (as hydrochloride)</w:t>
      </w:r>
      <w:r w:rsidR="006548FE">
        <w:t xml:space="preserve"> per </w:t>
      </w:r>
      <w:r w:rsidRPr="006B5229">
        <w:t>mL,</w:t>
      </w:r>
      <w:r w:rsidR="00C3055C">
        <w:t xml:space="preserve"> </w:t>
      </w:r>
      <w:r w:rsidR="006C1173">
        <w:t>360</w:t>
      </w:r>
      <w:r w:rsidR="000777DE">
        <w:t> </w:t>
      </w:r>
      <w:r w:rsidR="006C1173">
        <w:t>mL</w:t>
      </w:r>
      <w:r w:rsidRPr="006B5229">
        <w:br/>
      </w:r>
      <w:r w:rsidR="002D0C88">
        <w:t>Fintepla</w:t>
      </w:r>
      <w:r w:rsidRPr="006B5229">
        <w:rPr>
          <w:vertAlign w:val="superscript"/>
        </w:rPr>
        <w:t>®</w:t>
      </w:r>
      <w:r w:rsidRPr="006B5229">
        <w:t>,</w:t>
      </w:r>
      <w:r w:rsidRPr="006B5229">
        <w:br/>
        <w:t>UCB Australia Pty Ltd.</w:t>
      </w:r>
      <w:bookmarkEnd w:id="0"/>
    </w:p>
    <w:p w14:paraId="58C11380" w14:textId="77777777" w:rsidR="00CE7338" w:rsidRPr="006B5229" w:rsidRDefault="00CE7338" w:rsidP="008D55B4">
      <w:pPr>
        <w:pStyle w:val="2-SectionHeading"/>
      </w:pPr>
      <w:bookmarkStart w:id="6" w:name="_Toc177562894"/>
      <w:r w:rsidRPr="006B5229">
        <w:t>Purpose of submission</w:t>
      </w:r>
      <w:bookmarkEnd w:id="6"/>
    </w:p>
    <w:p w14:paraId="0215E886" w14:textId="49A845E7" w:rsidR="00CE7338" w:rsidRPr="000777DE" w:rsidRDefault="00CE7338" w:rsidP="000777DE">
      <w:pPr>
        <w:pStyle w:val="3-BodyText"/>
      </w:pPr>
      <w:r w:rsidRPr="000777DE">
        <w:t xml:space="preserve">The Category </w:t>
      </w:r>
      <w:r w:rsidR="008763C3" w:rsidRPr="000777DE">
        <w:t>1</w:t>
      </w:r>
      <w:r w:rsidRPr="000777DE">
        <w:t xml:space="preserve"> submission requested an Authority Required (telephone/online) listing for fenfluramine for the treatment of seizures associated with Dravet Syndrome. </w:t>
      </w:r>
    </w:p>
    <w:p w14:paraId="3CA20F23" w14:textId="779C4827" w:rsidR="00CE7338" w:rsidRPr="000777DE" w:rsidRDefault="00CE7338" w:rsidP="000777DE">
      <w:pPr>
        <w:pStyle w:val="3-BodyText"/>
      </w:pPr>
      <w:r w:rsidRPr="000777DE">
        <w:t xml:space="preserve">Listing was requested on the basis of a cost-effectiveness analysis versus cannabidiol. The components of the clinical issue addressed by the submission are presented in </w:t>
      </w:r>
      <w:r w:rsidR="0034078A" w:rsidRPr="000777DE">
        <w:fldChar w:fldCharType="begin" w:fldLock="1"/>
      </w:r>
      <w:r w:rsidR="0034078A" w:rsidRPr="000777DE">
        <w:instrText xml:space="preserve"> REF _Ref174567732 \h </w:instrText>
      </w:r>
      <w:r w:rsidR="000777DE">
        <w:instrText xml:space="preserve"> \* MERGEFORMAT </w:instrText>
      </w:r>
      <w:r w:rsidR="0034078A" w:rsidRPr="000777DE">
        <w:fldChar w:fldCharType="separate"/>
      </w:r>
      <w:r w:rsidR="00D72887" w:rsidRPr="000777DE">
        <w:t>Table 1</w:t>
      </w:r>
      <w:r w:rsidR="0034078A" w:rsidRPr="000777DE">
        <w:fldChar w:fldCharType="end"/>
      </w:r>
      <w:r w:rsidR="0034078A" w:rsidRPr="000777DE">
        <w:t>.</w:t>
      </w:r>
    </w:p>
    <w:p w14:paraId="302B74DA" w14:textId="4451901E" w:rsidR="00CE7338" w:rsidRPr="006B5229" w:rsidRDefault="00CE7338" w:rsidP="00CE7338">
      <w:pPr>
        <w:pStyle w:val="TableFigureHeading"/>
        <w:rPr>
          <w:rStyle w:val="CommentReference"/>
          <w:b/>
          <w:szCs w:val="24"/>
        </w:rPr>
      </w:pPr>
      <w:bookmarkStart w:id="7" w:name="_Ref174567732"/>
      <w:r w:rsidRPr="006B5229">
        <w:t xml:space="preserve">Table </w:t>
      </w:r>
      <w:r w:rsidR="00D72887">
        <w:fldChar w:fldCharType="begin" w:fldLock="1"/>
      </w:r>
      <w:r w:rsidR="00D72887">
        <w:instrText xml:space="preserve"> SEQ Table \* ARABIC </w:instrText>
      </w:r>
      <w:r w:rsidR="00D72887">
        <w:fldChar w:fldCharType="separate"/>
      </w:r>
      <w:r w:rsidR="00D72887">
        <w:rPr>
          <w:noProof/>
        </w:rPr>
        <w:t>1</w:t>
      </w:r>
      <w:r w:rsidR="00D72887">
        <w:rPr>
          <w:noProof/>
        </w:rPr>
        <w:fldChar w:fldCharType="end"/>
      </w:r>
      <w:bookmarkEnd w:id="7"/>
      <w:r w:rsidRPr="006B5229">
        <w:t>:</w:t>
      </w:r>
      <w:r w:rsidRPr="006B5229">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33"/>
        <w:gridCol w:w="2655"/>
        <w:gridCol w:w="2458"/>
      </w:tblGrid>
      <w:tr w:rsidR="006B5229" w:rsidRPr="00BD5D02" w14:paraId="12C4F7F0" w14:textId="77777777">
        <w:tc>
          <w:tcPr>
            <w:tcW w:w="705" w:type="pct"/>
            <w:vAlign w:val="center"/>
          </w:tcPr>
          <w:p w14:paraId="0E2E9F72" w14:textId="77777777" w:rsidR="00CE7338" w:rsidRPr="00BD5D02" w:rsidRDefault="00CE7338">
            <w:pPr>
              <w:pStyle w:val="In-tableHeading"/>
            </w:pPr>
            <w:r w:rsidRPr="00BD5D02">
              <w:t>Component</w:t>
            </w:r>
          </w:p>
        </w:tc>
        <w:tc>
          <w:tcPr>
            <w:tcW w:w="4295" w:type="pct"/>
            <w:gridSpan w:val="3"/>
            <w:vAlign w:val="center"/>
          </w:tcPr>
          <w:p w14:paraId="2DA7A07F" w14:textId="77777777" w:rsidR="00CE7338" w:rsidRPr="00BD5D02" w:rsidRDefault="00CE7338">
            <w:pPr>
              <w:pStyle w:val="In-tableHeading"/>
            </w:pPr>
            <w:r w:rsidRPr="00BD5D02">
              <w:t>Description</w:t>
            </w:r>
          </w:p>
        </w:tc>
      </w:tr>
      <w:tr w:rsidR="006B5229" w:rsidRPr="00BD5D02" w14:paraId="3CAD9A50" w14:textId="77777777" w:rsidTr="004F0B70">
        <w:tc>
          <w:tcPr>
            <w:tcW w:w="705" w:type="pct"/>
          </w:tcPr>
          <w:p w14:paraId="296876D3" w14:textId="77777777" w:rsidR="00CE7338" w:rsidRPr="00BD5D02" w:rsidRDefault="00CE7338" w:rsidP="004F0B70">
            <w:pPr>
              <w:pStyle w:val="TableText0"/>
            </w:pPr>
            <w:r w:rsidRPr="00BD5D02">
              <w:t>Population</w:t>
            </w:r>
          </w:p>
        </w:tc>
        <w:tc>
          <w:tcPr>
            <w:tcW w:w="4295" w:type="pct"/>
            <w:gridSpan w:val="3"/>
            <w:vAlign w:val="center"/>
          </w:tcPr>
          <w:p w14:paraId="27A33ED1" w14:textId="77777777" w:rsidR="00CE7338" w:rsidRPr="00BD5D02" w:rsidRDefault="00CE7338">
            <w:pPr>
              <w:pStyle w:val="TableText0"/>
            </w:pPr>
            <w:r w:rsidRPr="00BD5D02">
              <w:t xml:space="preserve">Patients with Dravet Syndrome not adequately controlled despite treatment with at least 2 other antiepileptic drugs.  </w:t>
            </w:r>
          </w:p>
        </w:tc>
      </w:tr>
      <w:tr w:rsidR="006B5229" w:rsidRPr="00BD5D02" w14:paraId="64B0C4F6" w14:textId="77777777" w:rsidTr="004F0B70">
        <w:tc>
          <w:tcPr>
            <w:tcW w:w="705" w:type="pct"/>
            <w:vMerge w:val="restart"/>
          </w:tcPr>
          <w:p w14:paraId="6B05C65A" w14:textId="77777777" w:rsidR="00CE7338" w:rsidRPr="00BD5D02" w:rsidRDefault="00CE7338" w:rsidP="004F0B70">
            <w:pPr>
              <w:pStyle w:val="TableText0"/>
            </w:pPr>
            <w:r w:rsidRPr="00BD5D02">
              <w:t>Intervention</w:t>
            </w:r>
          </w:p>
        </w:tc>
        <w:tc>
          <w:tcPr>
            <w:tcW w:w="4295" w:type="pct"/>
            <w:gridSpan w:val="3"/>
            <w:vAlign w:val="center"/>
          </w:tcPr>
          <w:p w14:paraId="57975BFC" w14:textId="77777777" w:rsidR="00CE7338" w:rsidRPr="00BD5D02" w:rsidRDefault="00CE7338">
            <w:pPr>
              <w:pStyle w:val="TableText0"/>
            </w:pPr>
            <w:r w:rsidRPr="00BD5D02">
              <w:t>Fenfluramine 2.2 mg/mL oral solution (as below)</w:t>
            </w:r>
          </w:p>
        </w:tc>
      </w:tr>
      <w:tr w:rsidR="006B5229" w:rsidRPr="00BD5D02" w14:paraId="531A63DC" w14:textId="77777777" w:rsidTr="004F0B70">
        <w:tc>
          <w:tcPr>
            <w:tcW w:w="705" w:type="pct"/>
            <w:vMerge/>
          </w:tcPr>
          <w:p w14:paraId="6C80F937" w14:textId="77777777" w:rsidR="00CE7338" w:rsidRPr="00BD5D02" w:rsidRDefault="00CE7338" w:rsidP="004F0B70">
            <w:pPr>
              <w:pStyle w:val="TableText0"/>
            </w:pPr>
          </w:p>
        </w:tc>
        <w:tc>
          <w:tcPr>
            <w:tcW w:w="1460" w:type="pct"/>
            <w:vAlign w:val="center"/>
          </w:tcPr>
          <w:p w14:paraId="2AE5A9BE" w14:textId="39F16355" w:rsidR="00CE7338" w:rsidRPr="00BD5D02" w:rsidRDefault="00CE7338">
            <w:pPr>
              <w:pStyle w:val="TableText0"/>
            </w:pPr>
            <w:r w:rsidRPr="00BD5D02">
              <w:t>Dose</w:t>
            </w:r>
          </w:p>
        </w:tc>
        <w:tc>
          <w:tcPr>
            <w:tcW w:w="1472" w:type="pct"/>
            <w:vAlign w:val="center"/>
          </w:tcPr>
          <w:p w14:paraId="47ADB41E" w14:textId="77777777" w:rsidR="00CE7338" w:rsidRPr="00BD5D02" w:rsidRDefault="00CE7338">
            <w:pPr>
              <w:pStyle w:val="TableText0"/>
            </w:pPr>
            <w:r w:rsidRPr="00BD5D02">
              <w:rPr>
                <w:rStyle w:val="Small"/>
                <w:rFonts w:ascii="Arial Narrow" w:hAnsi="Arial Narrow"/>
              </w:rPr>
              <w:t>With stiripentol</w:t>
            </w:r>
          </w:p>
        </w:tc>
        <w:tc>
          <w:tcPr>
            <w:tcW w:w="1363" w:type="pct"/>
            <w:vAlign w:val="center"/>
          </w:tcPr>
          <w:p w14:paraId="6DE3B16C" w14:textId="77777777" w:rsidR="00CE7338" w:rsidRPr="00BD5D02" w:rsidRDefault="00CE7338">
            <w:pPr>
              <w:pStyle w:val="TableText0"/>
            </w:pPr>
            <w:r w:rsidRPr="00BD5D02">
              <w:rPr>
                <w:rStyle w:val="Small"/>
                <w:rFonts w:ascii="Arial Narrow" w:hAnsi="Arial Narrow"/>
              </w:rPr>
              <w:t>Without stiripentol</w:t>
            </w:r>
          </w:p>
        </w:tc>
      </w:tr>
      <w:tr w:rsidR="006B5229" w:rsidRPr="00BD5D02" w14:paraId="4E8503D7" w14:textId="77777777" w:rsidTr="004F0B70">
        <w:tc>
          <w:tcPr>
            <w:tcW w:w="705" w:type="pct"/>
            <w:vMerge/>
          </w:tcPr>
          <w:p w14:paraId="3675D0DB" w14:textId="77777777" w:rsidR="00CE7338" w:rsidRPr="00BD5D02" w:rsidRDefault="00CE7338" w:rsidP="004F0B70">
            <w:pPr>
              <w:pStyle w:val="TableText0"/>
            </w:pPr>
          </w:p>
        </w:tc>
        <w:tc>
          <w:tcPr>
            <w:tcW w:w="1460" w:type="pct"/>
            <w:vAlign w:val="center"/>
          </w:tcPr>
          <w:p w14:paraId="60DA248B" w14:textId="77777777" w:rsidR="00CE7338" w:rsidRPr="00BD5D02" w:rsidRDefault="00CE7338">
            <w:pPr>
              <w:pStyle w:val="TableText0"/>
            </w:pPr>
            <w:r w:rsidRPr="00BD5D02">
              <w:t>First week</w:t>
            </w:r>
          </w:p>
        </w:tc>
        <w:tc>
          <w:tcPr>
            <w:tcW w:w="1472" w:type="pct"/>
            <w:vAlign w:val="center"/>
          </w:tcPr>
          <w:p w14:paraId="2BB8D12C" w14:textId="77777777" w:rsidR="00CE7338" w:rsidRPr="00BD5D02" w:rsidRDefault="00CE7338">
            <w:pPr>
              <w:pStyle w:val="TableText0"/>
              <w:rPr>
                <w:rStyle w:val="Small"/>
                <w:rFonts w:ascii="Arial Narrow" w:hAnsi="Arial Narrow"/>
              </w:rPr>
            </w:pPr>
            <w:r w:rsidRPr="00BD5D02">
              <w:rPr>
                <w:rStyle w:val="Small"/>
                <w:rFonts w:ascii="Arial Narrow" w:hAnsi="Arial Narrow"/>
              </w:rPr>
              <w:t xml:space="preserve">0.2 </w:t>
            </w:r>
            <w:r w:rsidRPr="00BD5D02" w:rsidDel="00DB7ECE">
              <w:rPr>
                <w:rStyle w:val="Small"/>
                <w:rFonts w:ascii="Arial Narrow" w:hAnsi="Arial Narrow"/>
              </w:rPr>
              <w:t>mg/kg/day</w:t>
            </w:r>
          </w:p>
          <w:p w14:paraId="6C3D554E" w14:textId="2319CB37" w:rsidR="00CE7338" w:rsidRPr="00BD5D02" w:rsidRDefault="00CE7338">
            <w:pPr>
              <w:pStyle w:val="TableText0"/>
            </w:pPr>
            <w:r w:rsidRPr="00BD5D02" w:rsidDel="00DB7ECE">
              <w:rPr>
                <w:rStyle w:val="Small"/>
                <w:rFonts w:ascii="Arial Narrow" w:hAnsi="Arial Narrow"/>
              </w:rPr>
              <w:t>(0.1 mg/kg twice daily)</w:t>
            </w:r>
          </w:p>
        </w:tc>
        <w:tc>
          <w:tcPr>
            <w:tcW w:w="1363" w:type="pct"/>
            <w:vAlign w:val="center"/>
          </w:tcPr>
          <w:p w14:paraId="07FE86C1" w14:textId="42514D1B" w:rsidR="00CE7338" w:rsidRPr="00BD5D02" w:rsidRDefault="00CE7338">
            <w:pPr>
              <w:pStyle w:val="TableText0"/>
              <w:rPr>
                <w:rStyle w:val="Small"/>
                <w:rFonts w:ascii="Arial Narrow" w:hAnsi="Arial Narrow"/>
              </w:rPr>
            </w:pPr>
            <w:r w:rsidRPr="00BD5D02">
              <w:rPr>
                <w:rStyle w:val="Small"/>
                <w:rFonts w:ascii="Arial Narrow" w:hAnsi="Arial Narrow"/>
              </w:rPr>
              <w:t xml:space="preserve">0.2 </w:t>
            </w:r>
            <w:r w:rsidRPr="00BD5D02" w:rsidDel="00DB7ECE">
              <w:rPr>
                <w:rStyle w:val="Small"/>
                <w:rFonts w:ascii="Arial Narrow" w:hAnsi="Arial Narrow"/>
              </w:rPr>
              <w:t>mg/kg/day</w:t>
            </w:r>
          </w:p>
          <w:p w14:paraId="4A843F81" w14:textId="094F7023" w:rsidR="00CE7338" w:rsidRPr="00BD5D02" w:rsidRDefault="00CE7338">
            <w:pPr>
              <w:pStyle w:val="TableText0"/>
            </w:pPr>
            <w:r w:rsidRPr="00BD5D02" w:rsidDel="00DB7ECE">
              <w:rPr>
                <w:rStyle w:val="Small"/>
                <w:rFonts w:ascii="Arial Narrow" w:hAnsi="Arial Narrow"/>
              </w:rPr>
              <w:t>(0.1 mg/kg twice daily)</w:t>
            </w:r>
          </w:p>
        </w:tc>
      </w:tr>
      <w:tr w:rsidR="006B5229" w:rsidRPr="00BD5D02" w14:paraId="278CEA0D" w14:textId="77777777" w:rsidTr="004F0B70">
        <w:tc>
          <w:tcPr>
            <w:tcW w:w="705" w:type="pct"/>
            <w:vMerge/>
          </w:tcPr>
          <w:p w14:paraId="5FF12FFC" w14:textId="77777777" w:rsidR="00CE7338" w:rsidRPr="00BD5D02" w:rsidRDefault="00CE7338" w:rsidP="004F0B70">
            <w:pPr>
              <w:pStyle w:val="TableText0"/>
            </w:pPr>
          </w:p>
        </w:tc>
        <w:tc>
          <w:tcPr>
            <w:tcW w:w="1460" w:type="pct"/>
            <w:vAlign w:val="center"/>
          </w:tcPr>
          <w:p w14:paraId="42CAD16E" w14:textId="77777777" w:rsidR="00CE7338" w:rsidRPr="00BD5D02" w:rsidRDefault="00CE7338">
            <w:pPr>
              <w:pStyle w:val="TableText0"/>
            </w:pPr>
            <w:r w:rsidRPr="00BD5D02">
              <w:t>Second week</w:t>
            </w:r>
          </w:p>
        </w:tc>
        <w:tc>
          <w:tcPr>
            <w:tcW w:w="1472" w:type="pct"/>
            <w:vMerge w:val="restart"/>
            <w:vAlign w:val="center"/>
          </w:tcPr>
          <w:p w14:paraId="79D13E9A" w14:textId="0A4732E4" w:rsidR="00CE7338" w:rsidRPr="00BD5D02" w:rsidDel="00DB7ECE" w:rsidRDefault="00CE7338" w:rsidP="00DB7ECE">
            <w:pPr>
              <w:pStyle w:val="TableText0"/>
              <w:rPr>
                <w:rStyle w:val="Small"/>
                <w:rFonts w:ascii="Arial Narrow" w:hAnsi="Arial Narrow"/>
              </w:rPr>
            </w:pPr>
            <w:r w:rsidRPr="00BD5D02">
              <w:rPr>
                <w:rStyle w:val="Small"/>
                <w:rFonts w:ascii="Arial Narrow" w:hAnsi="Arial Narrow"/>
              </w:rPr>
              <w:t xml:space="preserve">0.4 </w:t>
            </w:r>
            <w:r w:rsidRPr="00BD5D02" w:rsidDel="00DB7ECE">
              <w:rPr>
                <w:rStyle w:val="Small"/>
                <w:rFonts w:ascii="Arial Narrow" w:hAnsi="Arial Narrow"/>
              </w:rPr>
              <w:t>mg/kg/day</w:t>
            </w:r>
          </w:p>
          <w:p w14:paraId="6B5B8B62" w14:textId="6878023C" w:rsidR="00CE7338" w:rsidRPr="00BD5D02" w:rsidRDefault="00CE7338" w:rsidP="00DB7ECE">
            <w:pPr>
              <w:pStyle w:val="TableText0"/>
            </w:pPr>
            <w:r w:rsidRPr="00BD5D02" w:rsidDel="00DB7ECE">
              <w:rPr>
                <w:rStyle w:val="Small"/>
                <w:rFonts w:ascii="Arial Narrow" w:hAnsi="Arial Narrow"/>
              </w:rPr>
              <w:t>(0.2 mg/kg twice daily)</w:t>
            </w:r>
          </w:p>
        </w:tc>
        <w:tc>
          <w:tcPr>
            <w:tcW w:w="1363" w:type="pct"/>
            <w:vAlign w:val="center"/>
          </w:tcPr>
          <w:p w14:paraId="31FF2F1B" w14:textId="3A1FBE96" w:rsidR="00CE7338" w:rsidRPr="00BD5D02" w:rsidRDefault="00CE7338">
            <w:pPr>
              <w:pStyle w:val="TableText0"/>
              <w:rPr>
                <w:rStyle w:val="Small"/>
                <w:rFonts w:ascii="Arial Narrow" w:hAnsi="Arial Narrow"/>
              </w:rPr>
            </w:pPr>
            <w:r w:rsidRPr="00BD5D02">
              <w:rPr>
                <w:rStyle w:val="Small"/>
                <w:rFonts w:ascii="Arial Narrow" w:hAnsi="Arial Narrow"/>
              </w:rPr>
              <w:t xml:space="preserve">0.4 </w:t>
            </w:r>
            <w:r w:rsidRPr="00BD5D02" w:rsidDel="00DB7ECE">
              <w:rPr>
                <w:rStyle w:val="Small"/>
                <w:rFonts w:ascii="Arial Narrow" w:hAnsi="Arial Narrow"/>
              </w:rPr>
              <w:t>mg/kg/day</w:t>
            </w:r>
          </w:p>
          <w:p w14:paraId="25BEE611" w14:textId="735B5AAF" w:rsidR="00CE7338" w:rsidRPr="00BD5D02" w:rsidRDefault="00CE7338">
            <w:pPr>
              <w:pStyle w:val="TableText0"/>
            </w:pPr>
            <w:r w:rsidRPr="00BD5D02" w:rsidDel="00DB7ECE">
              <w:rPr>
                <w:rStyle w:val="Small"/>
                <w:rFonts w:ascii="Arial Narrow" w:hAnsi="Arial Narrow"/>
              </w:rPr>
              <w:t>(0.2 mg/kg twice daily)</w:t>
            </w:r>
          </w:p>
        </w:tc>
      </w:tr>
      <w:tr w:rsidR="006B5229" w:rsidRPr="00BD5D02" w14:paraId="13264819" w14:textId="77777777" w:rsidTr="004F0B70">
        <w:tc>
          <w:tcPr>
            <w:tcW w:w="705" w:type="pct"/>
            <w:vMerge/>
          </w:tcPr>
          <w:p w14:paraId="63FBC053" w14:textId="77777777" w:rsidR="00CE7338" w:rsidRPr="00BD5D02" w:rsidRDefault="00CE7338" w:rsidP="004F0B70">
            <w:pPr>
              <w:pStyle w:val="TableText0"/>
            </w:pPr>
          </w:p>
        </w:tc>
        <w:tc>
          <w:tcPr>
            <w:tcW w:w="1460" w:type="pct"/>
            <w:vAlign w:val="center"/>
          </w:tcPr>
          <w:p w14:paraId="4C0E148E" w14:textId="77777777" w:rsidR="00CE7338" w:rsidRPr="00BD5D02" w:rsidRDefault="00CE7338">
            <w:pPr>
              <w:pStyle w:val="TableText0"/>
            </w:pPr>
            <w:r w:rsidRPr="00BD5D02">
              <w:t>Ongoing treatment</w:t>
            </w:r>
          </w:p>
        </w:tc>
        <w:tc>
          <w:tcPr>
            <w:tcW w:w="1472" w:type="pct"/>
            <w:vMerge/>
            <w:vAlign w:val="center"/>
          </w:tcPr>
          <w:p w14:paraId="533774B6" w14:textId="77777777" w:rsidR="00CE7338" w:rsidRPr="00BD5D02" w:rsidRDefault="00CE7338">
            <w:pPr>
              <w:pStyle w:val="TableText0"/>
            </w:pPr>
          </w:p>
        </w:tc>
        <w:tc>
          <w:tcPr>
            <w:tcW w:w="1363" w:type="pct"/>
            <w:vAlign w:val="center"/>
          </w:tcPr>
          <w:p w14:paraId="11853DE4" w14:textId="42A6A59D" w:rsidR="00CE7338" w:rsidRPr="00BD5D02" w:rsidRDefault="00CE7338">
            <w:pPr>
              <w:pStyle w:val="TableText0"/>
              <w:rPr>
                <w:rStyle w:val="Small"/>
                <w:rFonts w:ascii="Arial Narrow" w:hAnsi="Arial Narrow"/>
              </w:rPr>
            </w:pPr>
            <w:r w:rsidRPr="00BD5D02">
              <w:rPr>
                <w:rStyle w:val="Small"/>
                <w:rFonts w:ascii="Arial Narrow" w:hAnsi="Arial Narrow"/>
              </w:rPr>
              <w:t xml:space="preserve">0.7 </w:t>
            </w:r>
            <w:r w:rsidRPr="00BD5D02" w:rsidDel="00DB7ECE">
              <w:rPr>
                <w:rStyle w:val="Small"/>
                <w:rFonts w:ascii="Arial Narrow" w:hAnsi="Arial Narrow"/>
              </w:rPr>
              <w:t>mg/kg/day</w:t>
            </w:r>
          </w:p>
          <w:p w14:paraId="3FA40A27" w14:textId="4B8D0DE1" w:rsidR="00CE7338" w:rsidRPr="00BD5D02" w:rsidRDefault="00CE7338">
            <w:pPr>
              <w:pStyle w:val="TableText0"/>
            </w:pPr>
            <w:r w:rsidRPr="00BD5D02" w:rsidDel="00DB7ECE">
              <w:rPr>
                <w:rStyle w:val="Small"/>
                <w:rFonts w:ascii="Arial Narrow" w:hAnsi="Arial Narrow"/>
              </w:rPr>
              <w:t>(0.35 mg/kg twice daily)</w:t>
            </w:r>
          </w:p>
        </w:tc>
      </w:tr>
      <w:tr w:rsidR="006B5229" w:rsidRPr="00BD5D02" w14:paraId="6161A4BB" w14:textId="77777777" w:rsidTr="004F0B70">
        <w:tc>
          <w:tcPr>
            <w:tcW w:w="705" w:type="pct"/>
            <w:vMerge/>
          </w:tcPr>
          <w:p w14:paraId="3EA896F6" w14:textId="77777777" w:rsidR="00CE7338" w:rsidRPr="00BD5D02" w:rsidRDefault="00CE7338" w:rsidP="004F0B70">
            <w:pPr>
              <w:pStyle w:val="TableText0"/>
            </w:pPr>
          </w:p>
        </w:tc>
        <w:tc>
          <w:tcPr>
            <w:tcW w:w="1460" w:type="pct"/>
            <w:vAlign w:val="center"/>
          </w:tcPr>
          <w:p w14:paraId="64B437D4" w14:textId="77777777" w:rsidR="00CE7338" w:rsidRPr="00BD5D02" w:rsidRDefault="00CE7338">
            <w:pPr>
              <w:pStyle w:val="TableText0"/>
            </w:pPr>
            <w:r w:rsidRPr="00BD5D02">
              <w:t>Maximum recommended</w:t>
            </w:r>
          </w:p>
        </w:tc>
        <w:tc>
          <w:tcPr>
            <w:tcW w:w="1472" w:type="pct"/>
            <w:vAlign w:val="center"/>
          </w:tcPr>
          <w:p w14:paraId="70CE9F66" w14:textId="12D10015" w:rsidR="00CE7338" w:rsidRPr="00BD5D02" w:rsidRDefault="00CE7338">
            <w:pPr>
              <w:pStyle w:val="TableText0"/>
            </w:pPr>
            <w:r w:rsidRPr="00BD5D02">
              <w:rPr>
                <w:rStyle w:val="Small"/>
                <w:rFonts w:ascii="Arial Narrow" w:hAnsi="Arial Narrow"/>
              </w:rPr>
              <w:t xml:space="preserve">17 mg daily </w:t>
            </w:r>
            <w:r w:rsidRPr="00BD5D02" w:rsidDel="00DB7ECE">
              <w:rPr>
                <w:rStyle w:val="Small"/>
                <w:rFonts w:ascii="Arial Narrow" w:hAnsi="Arial Narrow"/>
              </w:rPr>
              <w:t>(8.6 mg twice daily)</w:t>
            </w:r>
          </w:p>
        </w:tc>
        <w:tc>
          <w:tcPr>
            <w:tcW w:w="1363" w:type="pct"/>
            <w:vAlign w:val="center"/>
          </w:tcPr>
          <w:p w14:paraId="41C5EEA9" w14:textId="25134BDE" w:rsidR="00CE7338" w:rsidRPr="00BD5D02" w:rsidRDefault="00CE7338">
            <w:pPr>
              <w:pStyle w:val="TableText0"/>
            </w:pPr>
            <w:r w:rsidRPr="00BD5D02">
              <w:rPr>
                <w:rStyle w:val="Small"/>
                <w:rFonts w:ascii="Arial Narrow" w:hAnsi="Arial Narrow"/>
              </w:rPr>
              <w:t xml:space="preserve">26 mg daily </w:t>
            </w:r>
            <w:r w:rsidRPr="00BD5D02" w:rsidDel="00DB7ECE">
              <w:rPr>
                <w:rStyle w:val="Small"/>
                <w:rFonts w:ascii="Arial Narrow" w:hAnsi="Arial Narrow"/>
              </w:rPr>
              <w:t>(13 mg twice daily)</w:t>
            </w:r>
          </w:p>
        </w:tc>
      </w:tr>
      <w:tr w:rsidR="006B5229" w:rsidRPr="00BD5D02" w14:paraId="21068FE8" w14:textId="77777777" w:rsidTr="004F0B70">
        <w:tc>
          <w:tcPr>
            <w:tcW w:w="705" w:type="pct"/>
          </w:tcPr>
          <w:p w14:paraId="79F983E1" w14:textId="77777777" w:rsidR="00CE7338" w:rsidRPr="00BD5D02" w:rsidRDefault="00CE7338" w:rsidP="004F0B70">
            <w:pPr>
              <w:pStyle w:val="TableText0"/>
            </w:pPr>
            <w:r w:rsidRPr="00BD5D02">
              <w:t>Comparator</w:t>
            </w:r>
          </w:p>
        </w:tc>
        <w:tc>
          <w:tcPr>
            <w:tcW w:w="4295" w:type="pct"/>
            <w:gridSpan w:val="3"/>
          </w:tcPr>
          <w:p w14:paraId="744548CB" w14:textId="77777777" w:rsidR="00CE7338" w:rsidRPr="00BD5D02" w:rsidRDefault="00CE7338">
            <w:pPr>
              <w:pStyle w:val="TableText0"/>
            </w:pPr>
            <w:r w:rsidRPr="00BD5D02">
              <w:t>Main: Cannabidiol 100 mg/mL oral solution: titrated to a maintenance dose of up to 20 mg/kg/day.</w:t>
            </w:r>
          </w:p>
        </w:tc>
      </w:tr>
      <w:tr w:rsidR="006B5229" w:rsidRPr="00BD5D02" w14:paraId="24B4E3DA" w14:textId="77777777" w:rsidTr="004F0B70">
        <w:tc>
          <w:tcPr>
            <w:tcW w:w="705" w:type="pct"/>
          </w:tcPr>
          <w:p w14:paraId="13CB6A03" w14:textId="77777777" w:rsidR="00CE7338" w:rsidRPr="00BD5D02" w:rsidRDefault="00CE7338" w:rsidP="004F0B70">
            <w:pPr>
              <w:pStyle w:val="TableText0"/>
            </w:pPr>
            <w:r w:rsidRPr="00BD5D02">
              <w:t>Outcomes</w:t>
            </w:r>
          </w:p>
        </w:tc>
        <w:tc>
          <w:tcPr>
            <w:tcW w:w="4295" w:type="pct"/>
            <w:gridSpan w:val="3"/>
          </w:tcPr>
          <w:p w14:paraId="7DAEA770" w14:textId="77777777" w:rsidR="00CE7338" w:rsidRPr="00BD5D02" w:rsidRDefault="00CE7338">
            <w:pPr>
              <w:pStyle w:val="TableText0"/>
            </w:pPr>
            <w:r w:rsidRPr="00BD5D02">
              <w:t>Convulsive and total seizure frequency (and associated responder analyses).</w:t>
            </w:r>
          </w:p>
          <w:p w14:paraId="305A764A" w14:textId="77777777" w:rsidR="00CE7338" w:rsidRPr="00BD5D02" w:rsidRDefault="00CE7338">
            <w:pPr>
              <w:pStyle w:val="TableText0"/>
            </w:pPr>
            <w:r w:rsidRPr="00BD5D02">
              <w:t>Seizure-free days and intervals.</w:t>
            </w:r>
          </w:p>
          <w:p w14:paraId="1978BF70" w14:textId="77777777" w:rsidR="00CE7338" w:rsidRPr="00BD5D02" w:rsidRDefault="00CE7338">
            <w:pPr>
              <w:pStyle w:val="TableText0"/>
            </w:pPr>
            <w:r w:rsidRPr="00BD5D02">
              <w:t>Patient-reported outcomes and health-related quality of life.</w:t>
            </w:r>
          </w:p>
          <w:p w14:paraId="4854FB43" w14:textId="77777777" w:rsidR="00CE7338" w:rsidRPr="00BD5D02" w:rsidRDefault="00CE7338">
            <w:pPr>
              <w:pStyle w:val="TableText0"/>
            </w:pPr>
            <w:r w:rsidRPr="00BD5D02">
              <w:t xml:space="preserve">Incidence and severity of adverse events. </w:t>
            </w:r>
          </w:p>
          <w:p w14:paraId="7F380F6E" w14:textId="77777777" w:rsidR="00CE7338" w:rsidRPr="00BD5D02" w:rsidRDefault="00CE7338">
            <w:pPr>
              <w:pStyle w:val="TableText0"/>
            </w:pPr>
            <w:r w:rsidRPr="00BD5D02">
              <w:t>Long-term safety.</w:t>
            </w:r>
          </w:p>
        </w:tc>
      </w:tr>
      <w:tr w:rsidR="006B5229" w:rsidRPr="00BD5D02" w14:paraId="65A66D57" w14:textId="77777777" w:rsidTr="004F0B70">
        <w:trPr>
          <w:trHeight w:val="70"/>
        </w:trPr>
        <w:tc>
          <w:tcPr>
            <w:tcW w:w="705" w:type="pct"/>
          </w:tcPr>
          <w:p w14:paraId="4A95E375" w14:textId="77777777" w:rsidR="00CE7338" w:rsidRPr="00BD5D02" w:rsidRDefault="00CE7338" w:rsidP="004F0B70">
            <w:pPr>
              <w:pStyle w:val="TableText0"/>
            </w:pPr>
            <w:r w:rsidRPr="00BD5D02">
              <w:t>Clinical claim</w:t>
            </w:r>
          </w:p>
        </w:tc>
        <w:tc>
          <w:tcPr>
            <w:tcW w:w="4295" w:type="pct"/>
            <w:gridSpan w:val="3"/>
          </w:tcPr>
          <w:p w14:paraId="7343E15C" w14:textId="77777777" w:rsidR="00CE7338" w:rsidRPr="00BD5D02" w:rsidRDefault="00CE7338">
            <w:pPr>
              <w:pStyle w:val="TableText0"/>
            </w:pPr>
            <w:r w:rsidRPr="00BD5D02">
              <w:t>Superior efficacy and similar safety compared to cannabidiol.</w:t>
            </w:r>
          </w:p>
          <w:p w14:paraId="0E2968CE" w14:textId="77777777" w:rsidR="00CE7338" w:rsidRPr="00BD5D02" w:rsidRDefault="00CE7338">
            <w:pPr>
              <w:pStyle w:val="TableText0"/>
            </w:pPr>
            <w:r w:rsidRPr="00BD5D02">
              <w:t>Uncertain comparative efficacy versus stiripentol.</w:t>
            </w:r>
          </w:p>
        </w:tc>
      </w:tr>
    </w:tbl>
    <w:p w14:paraId="3CBD9FE3" w14:textId="77777777" w:rsidR="00CE7338" w:rsidRPr="006B5229" w:rsidRDefault="00CE7338" w:rsidP="00CE7338">
      <w:pPr>
        <w:pStyle w:val="FooterTableFigure"/>
        <w:rPr>
          <w:sz w:val="20"/>
        </w:rPr>
      </w:pPr>
      <w:r w:rsidRPr="006B5229">
        <w:t>Source: Table 1-1, p16 of the submission.</w:t>
      </w:r>
    </w:p>
    <w:p w14:paraId="51AB95EA" w14:textId="77777777" w:rsidR="00CE7338" w:rsidRPr="006B5229" w:rsidRDefault="00CE7338" w:rsidP="00CE7338">
      <w:pPr>
        <w:pStyle w:val="2-SectionHeading"/>
      </w:pPr>
      <w:bookmarkStart w:id="8" w:name="_Toc177562895"/>
      <w:r w:rsidRPr="006B5229">
        <w:t>Background</w:t>
      </w:r>
      <w:bookmarkEnd w:id="8"/>
    </w:p>
    <w:p w14:paraId="3EA312AA" w14:textId="0C942D00" w:rsidR="00CE7338" w:rsidRPr="006B5229" w:rsidRDefault="00CE7338" w:rsidP="00CE7338">
      <w:pPr>
        <w:pStyle w:val="4-SubsectionHeading"/>
      </w:pPr>
      <w:bookmarkStart w:id="9" w:name="_Toc22897638"/>
      <w:bookmarkStart w:id="10" w:name="_Toc177562896"/>
      <w:r w:rsidRPr="006B5229">
        <w:t>Registration status</w:t>
      </w:r>
      <w:bookmarkEnd w:id="9"/>
      <w:bookmarkEnd w:id="10"/>
    </w:p>
    <w:p w14:paraId="110FE9BD" w14:textId="3495AA1F" w:rsidR="00CE7338" w:rsidRPr="006B5229" w:rsidRDefault="005E3251" w:rsidP="005A2B5D">
      <w:pPr>
        <w:pStyle w:val="3-BodyText"/>
      </w:pPr>
      <w:bookmarkStart w:id="11" w:name="_Toc22897639"/>
      <w:bookmarkStart w:id="12" w:name="_Hlk112059474"/>
      <w:r w:rsidRPr="00E66F3D">
        <w:rPr>
          <w:rFonts w:ascii="Calibri" w:eastAsia="Calibri" w:hAnsi="Calibri"/>
          <w:b/>
          <w:i/>
          <w:iCs/>
          <w:szCs w:val="22"/>
        </w:rPr>
        <w:t xml:space="preserve">TGA status at time of </w:t>
      </w:r>
      <w:r w:rsidR="00E66F3D" w:rsidRPr="00E66F3D">
        <w:rPr>
          <w:rFonts w:ascii="Calibri" w:eastAsia="Calibri" w:hAnsi="Calibri"/>
          <w:b/>
          <w:i/>
          <w:iCs/>
          <w:szCs w:val="22"/>
        </w:rPr>
        <w:t>PBAC consideration</w:t>
      </w:r>
      <w:r w:rsidRPr="00E66F3D">
        <w:rPr>
          <w:rFonts w:ascii="Calibri" w:eastAsia="Calibri" w:hAnsi="Calibri"/>
          <w:i/>
          <w:iCs/>
          <w:szCs w:val="22"/>
        </w:rPr>
        <w:t>:</w:t>
      </w:r>
      <w:r w:rsidRPr="00E66F3D">
        <w:rPr>
          <w:rFonts w:ascii="Calibri" w:eastAsia="Calibri" w:hAnsi="Calibri"/>
          <w:szCs w:val="22"/>
        </w:rPr>
        <w:t xml:space="preserve"> </w:t>
      </w:r>
      <w:r w:rsidRPr="00E66F3D">
        <w:t xml:space="preserve"> </w:t>
      </w:r>
      <w:r w:rsidR="005F4968" w:rsidRPr="00E66F3D">
        <w:t>not registered.</w:t>
      </w:r>
      <w:r w:rsidR="005F4968">
        <w:t xml:space="preserve"> </w:t>
      </w:r>
      <w:r w:rsidR="007F3343">
        <w:t xml:space="preserve">The submission was made under the TGA/PBAC Parallel Process. </w:t>
      </w:r>
      <w:r w:rsidR="00155F27">
        <w:t xml:space="preserve">At the time of </w:t>
      </w:r>
      <w:r w:rsidR="00E66F3D">
        <w:t xml:space="preserve">PBAC consideration, </w:t>
      </w:r>
      <w:r w:rsidR="00155F27">
        <w:t>t</w:t>
      </w:r>
      <w:r w:rsidR="00D06781">
        <w:t xml:space="preserve">he </w:t>
      </w:r>
      <w:r w:rsidR="00155F27">
        <w:t>D</w:t>
      </w:r>
      <w:r w:rsidR="00D06781">
        <w:t xml:space="preserve">elegate’s </w:t>
      </w:r>
      <w:r w:rsidR="00155F27">
        <w:t>O</w:t>
      </w:r>
      <w:r w:rsidR="00D06781">
        <w:t xml:space="preserve">verview </w:t>
      </w:r>
      <w:r w:rsidR="008621B6">
        <w:t>and ACM advice were</w:t>
      </w:r>
      <w:r w:rsidR="007650C1">
        <w:t xml:space="preserve"> </w:t>
      </w:r>
      <w:r w:rsidR="00B01EF2">
        <w:t>available</w:t>
      </w:r>
      <w:r w:rsidR="00AD68DD">
        <w:t>.</w:t>
      </w:r>
      <w:r w:rsidR="005C4935">
        <w:t xml:space="preserve"> The pro</w:t>
      </w:r>
      <w:r w:rsidR="00BD5666">
        <w:t>posed</w:t>
      </w:r>
      <w:r w:rsidR="003F70FA">
        <w:t xml:space="preserve"> indication </w:t>
      </w:r>
      <w:r w:rsidR="00527BF2">
        <w:t>is</w:t>
      </w:r>
      <w:r w:rsidR="00EF22B5">
        <w:t>:</w:t>
      </w:r>
      <w:r w:rsidR="00E949FC">
        <w:t xml:space="preserve"> </w:t>
      </w:r>
      <w:r w:rsidR="00BD5666">
        <w:lastRenderedPageBreak/>
        <w:t>‘</w:t>
      </w:r>
      <w:r w:rsidR="0020727E">
        <w:t>Fintepla</w:t>
      </w:r>
      <w:r w:rsidR="0020727E" w:rsidRPr="00E949FC">
        <w:t xml:space="preserve"> </w:t>
      </w:r>
      <w:r w:rsidR="007D5B08" w:rsidRPr="00E949FC">
        <w:t xml:space="preserve">is indicated </w:t>
      </w:r>
      <w:r w:rsidR="17959EF6" w:rsidRPr="00E949FC">
        <w:t>for the treatment of seizures associated with Dravet syndrome</w:t>
      </w:r>
      <w:r w:rsidR="005D7DDD" w:rsidRPr="00E949FC">
        <w:t xml:space="preserve"> (DS)</w:t>
      </w:r>
      <w:r w:rsidR="17959EF6" w:rsidRPr="00E949FC">
        <w:t xml:space="preserve"> and Lennox-Gastaut syndrome</w:t>
      </w:r>
      <w:r w:rsidR="005D7DDD" w:rsidRPr="00E949FC">
        <w:t xml:space="preserve"> (LGS)</w:t>
      </w:r>
      <w:r w:rsidR="17959EF6" w:rsidRPr="00E949FC">
        <w:t xml:space="preserve"> in patients 2 years of age and older</w:t>
      </w:r>
      <w:r w:rsidR="00B94281">
        <w:t>’</w:t>
      </w:r>
      <w:r w:rsidR="17959EF6" w:rsidRPr="00E949FC">
        <w:t>.</w:t>
      </w:r>
      <w:r w:rsidR="00BD5666">
        <w:t xml:space="preserve"> </w:t>
      </w:r>
    </w:p>
    <w:p w14:paraId="24D4567D" w14:textId="77777777" w:rsidR="00ED22E0" w:rsidRDefault="00A332E9" w:rsidP="00ED22E0">
      <w:pPr>
        <w:pStyle w:val="3-BodyText"/>
      </w:pPr>
      <w:r w:rsidRPr="00A332E9">
        <w:t>Fenfluramine was previously registered for weight loss in adults and withdrawn from the Australian market in 1997 due to its potential for causing valvular damage in the heart and pulmonary hypertension</w:t>
      </w:r>
      <w:r w:rsidRPr="00ED22E0">
        <w:t>.</w:t>
      </w:r>
      <w:r w:rsidRPr="00ED22E0">
        <w:rPr>
          <w:rStyle w:val="FootnoteReference"/>
        </w:rPr>
        <w:footnoteReference w:id="2"/>
      </w:r>
      <w:r w:rsidRPr="00A332E9">
        <w:t xml:space="preserve">  </w:t>
      </w:r>
    </w:p>
    <w:p w14:paraId="0C99814B" w14:textId="77777777" w:rsidR="00CE7338" w:rsidRPr="006B5229" w:rsidRDefault="00CE7338" w:rsidP="00CE7338">
      <w:pPr>
        <w:pStyle w:val="4-SubsectionHeading"/>
      </w:pPr>
      <w:bookmarkStart w:id="13" w:name="_Toc177562897"/>
      <w:r w:rsidRPr="006B5229">
        <w:t>Previous PBAC consideration</w:t>
      </w:r>
      <w:bookmarkEnd w:id="11"/>
      <w:bookmarkEnd w:id="13"/>
    </w:p>
    <w:p w14:paraId="7801D86F" w14:textId="4DEB9327" w:rsidR="00CE7338" w:rsidRPr="006B5229" w:rsidRDefault="00CE7338" w:rsidP="000777DE">
      <w:pPr>
        <w:pStyle w:val="3-BodyText"/>
      </w:pPr>
      <w:bookmarkStart w:id="14" w:name="_Toc107902078"/>
      <w:bookmarkEnd w:id="12"/>
      <w:bookmarkEnd w:id="14"/>
      <w:r w:rsidRPr="006B5229">
        <w:t xml:space="preserve">The PBAC has not previously considered fenfluramine for listing on the PBS for any condition. </w:t>
      </w:r>
    </w:p>
    <w:p w14:paraId="79D91162" w14:textId="4C08FE03" w:rsidR="00CE7338" w:rsidRPr="006B5229" w:rsidRDefault="00CE7338" w:rsidP="000777DE">
      <w:pPr>
        <w:pStyle w:val="3-BodyText"/>
      </w:pPr>
      <w:r w:rsidRPr="006B5229">
        <w:t xml:space="preserve">The PBAC has previously recommended </w:t>
      </w:r>
      <w:r w:rsidR="002E7D08">
        <w:t xml:space="preserve">the PBS </w:t>
      </w:r>
      <w:r w:rsidRPr="006B5229">
        <w:t xml:space="preserve">listing of cannabidiol </w:t>
      </w:r>
      <w:r w:rsidR="005E4719">
        <w:t xml:space="preserve">and </w:t>
      </w:r>
      <w:r w:rsidRPr="006B5229">
        <w:t xml:space="preserve">stiripentol </w:t>
      </w:r>
      <w:r w:rsidR="007F3292">
        <w:t>for the</w:t>
      </w:r>
      <w:r w:rsidR="007F3292" w:rsidRPr="006B5229">
        <w:t xml:space="preserve"> </w:t>
      </w:r>
      <w:r w:rsidRPr="006B5229">
        <w:t>treatment</w:t>
      </w:r>
      <w:r w:rsidR="007F3292">
        <w:t xml:space="preserve"> of seizures associated with</w:t>
      </w:r>
      <w:r w:rsidRPr="006B5229">
        <w:t xml:space="preserve"> Dravet Syndrome in </w:t>
      </w:r>
      <w:r w:rsidR="005E4719">
        <w:t xml:space="preserve">November </w:t>
      </w:r>
      <w:r w:rsidRPr="006B5229">
        <w:t xml:space="preserve">2020 and March 2020, respectively. </w:t>
      </w:r>
      <w:r w:rsidR="000F5CAD">
        <w:t xml:space="preserve">Both </w:t>
      </w:r>
      <w:r w:rsidR="00030DFA">
        <w:t xml:space="preserve">cannabidiol and stiripentol are </w:t>
      </w:r>
      <w:r w:rsidR="00356618">
        <w:t xml:space="preserve">currently </w:t>
      </w:r>
      <w:r w:rsidR="00030DFA">
        <w:t xml:space="preserve">PBS listed as adjunctive therapy to at least </w:t>
      </w:r>
      <w:r w:rsidR="00F30D48">
        <w:t>2</w:t>
      </w:r>
      <w:r w:rsidR="00030DFA">
        <w:t xml:space="preserve"> other anti-epileptic drugs</w:t>
      </w:r>
      <w:r w:rsidR="00C00735">
        <w:t xml:space="preserve"> and </w:t>
      </w:r>
      <w:r w:rsidR="007C7BA9">
        <w:t xml:space="preserve">are </w:t>
      </w:r>
      <w:r w:rsidR="00C00735">
        <w:t xml:space="preserve">therefore placed as </w:t>
      </w:r>
      <w:r w:rsidR="00FB161E">
        <w:t>third-line therapy</w:t>
      </w:r>
      <w:r w:rsidR="00C00735">
        <w:t xml:space="preserve"> option</w:t>
      </w:r>
      <w:r w:rsidR="007C7BA9">
        <w:t>s</w:t>
      </w:r>
      <w:r w:rsidR="00FB161E">
        <w:t>.</w:t>
      </w:r>
      <w:r w:rsidR="00074632">
        <w:t xml:space="preserve"> </w:t>
      </w:r>
    </w:p>
    <w:p w14:paraId="61544942" w14:textId="77777777" w:rsidR="00CE7338" w:rsidRPr="006B5229" w:rsidRDefault="00CE7338" w:rsidP="00CE7338">
      <w:pPr>
        <w:pStyle w:val="2-SectionHeading"/>
      </w:pPr>
      <w:bookmarkStart w:id="15" w:name="_Toc177562898"/>
      <w:r w:rsidRPr="006B5229">
        <w:t>Requested listing</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2204"/>
        <w:gridCol w:w="916"/>
        <w:gridCol w:w="994"/>
        <w:gridCol w:w="707"/>
        <w:gridCol w:w="1652"/>
      </w:tblGrid>
      <w:tr w:rsidR="006B5229" w:rsidRPr="008C4417" w14:paraId="764E204D" w14:textId="77777777" w:rsidTr="00A14F19">
        <w:trPr>
          <w:cantSplit/>
          <w:trHeight w:val="20"/>
        </w:trPr>
        <w:tc>
          <w:tcPr>
            <w:tcW w:w="1411" w:type="pct"/>
            <w:vAlign w:val="center"/>
          </w:tcPr>
          <w:p w14:paraId="798B5EFC" w14:textId="77777777" w:rsidR="00CE7338" w:rsidRPr="008C4417" w:rsidRDefault="00CE7338">
            <w:pPr>
              <w:pStyle w:val="In-tableHeading"/>
            </w:pPr>
            <w:bookmarkStart w:id="16" w:name="_Hlk104809055"/>
            <w:r w:rsidRPr="008C4417">
              <w:t>MEDICINAL PRODUCT</w:t>
            </w:r>
          </w:p>
          <w:p w14:paraId="72C7ECF8" w14:textId="77777777" w:rsidR="00CE7338" w:rsidRPr="008C4417" w:rsidRDefault="00CE7338">
            <w:pPr>
              <w:pStyle w:val="In-tableHeading"/>
            </w:pPr>
            <w:r w:rsidRPr="008C4417">
              <w:t>medicinal product pack</w:t>
            </w:r>
          </w:p>
        </w:tc>
        <w:tc>
          <w:tcPr>
            <w:tcW w:w="1222" w:type="pct"/>
            <w:vAlign w:val="center"/>
          </w:tcPr>
          <w:p w14:paraId="7ADAD702" w14:textId="77777777" w:rsidR="00CE7338" w:rsidRPr="008C4417" w:rsidRDefault="00CE7338">
            <w:pPr>
              <w:pStyle w:val="In-tableHeading"/>
            </w:pPr>
            <w:r w:rsidRPr="008C4417">
              <w:rPr>
                <w:snapToGrid w:val="0"/>
              </w:rPr>
              <w:t>Dispensed Price for Max. Qty</w:t>
            </w:r>
          </w:p>
        </w:tc>
        <w:tc>
          <w:tcPr>
            <w:tcW w:w="508" w:type="pct"/>
            <w:vAlign w:val="center"/>
          </w:tcPr>
          <w:p w14:paraId="38775DBD" w14:textId="77777777" w:rsidR="00CE7338" w:rsidRPr="008C4417" w:rsidRDefault="00CE7338">
            <w:pPr>
              <w:pStyle w:val="In-tableHeading"/>
            </w:pPr>
            <w:r w:rsidRPr="008C4417">
              <w:t>Max. qty packs</w:t>
            </w:r>
          </w:p>
        </w:tc>
        <w:tc>
          <w:tcPr>
            <w:tcW w:w="551" w:type="pct"/>
            <w:vAlign w:val="center"/>
          </w:tcPr>
          <w:p w14:paraId="5653F8CC" w14:textId="77777777" w:rsidR="00CE7338" w:rsidRPr="008C4417" w:rsidRDefault="00CE7338">
            <w:pPr>
              <w:pStyle w:val="In-tableHeading"/>
            </w:pPr>
            <w:r w:rsidRPr="008C4417">
              <w:t>Max. qty units</w:t>
            </w:r>
          </w:p>
        </w:tc>
        <w:tc>
          <w:tcPr>
            <w:tcW w:w="392" w:type="pct"/>
            <w:vAlign w:val="center"/>
          </w:tcPr>
          <w:p w14:paraId="6E7C7B7B" w14:textId="77777777" w:rsidR="00CE7338" w:rsidRPr="008C4417" w:rsidRDefault="00CE7338">
            <w:pPr>
              <w:pStyle w:val="In-tableHeading"/>
            </w:pPr>
            <w:r w:rsidRPr="008C4417">
              <w:t>№.of</w:t>
            </w:r>
          </w:p>
          <w:p w14:paraId="389A0190" w14:textId="77777777" w:rsidR="00CE7338" w:rsidRPr="008C4417" w:rsidRDefault="00CE7338">
            <w:pPr>
              <w:pStyle w:val="In-tableHeading"/>
            </w:pPr>
            <w:r w:rsidRPr="008C4417">
              <w:t>Rpts</w:t>
            </w:r>
          </w:p>
        </w:tc>
        <w:tc>
          <w:tcPr>
            <w:tcW w:w="916" w:type="pct"/>
            <w:vAlign w:val="center"/>
          </w:tcPr>
          <w:p w14:paraId="073AD01A" w14:textId="77777777" w:rsidR="00CE7338" w:rsidRPr="008C4417" w:rsidRDefault="00CE7338">
            <w:pPr>
              <w:pStyle w:val="In-tableHeading"/>
            </w:pPr>
            <w:r w:rsidRPr="008C4417">
              <w:t>Available brands</w:t>
            </w:r>
          </w:p>
        </w:tc>
      </w:tr>
      <w:tr w:rsidR="006B5229" w:rsidRPr="008C4417" w14:paraId="07DB58D3" w14:textId="77777777">
        <w:trPr>
          <w:cantSplit/>
          <w:trHeight w:val="20"/>
        </w:trPr>
        <w:tc>
          <w:tcPr>
            <w:tcW w:w="5000" w:type="pct"/>
            <w:gridSpan w:val="6"/>
            <w:vAlign w:val="center"/>
          </w:tcPr>
          <w:p w14:paraId="2E3A2648" w14:textId="77777777" w:rsidR="00CE7338" w:rsidRPr="008C4417" w:rsidRDefault="00CE7338">
            <w:pPr>
              <w:pStyle w:val="TableText0"/>
              <w:rPr>
                <w:rFonts w:cs="Arial"/>
                <w:szCs w:val="20"/>
              </w:rPr>
            </w:pPr>
            <w:r w:rsidRPr="008C4417">
              <w:t>FENFLURAMINE</w:t>
            </w:r>
          </w:p>
        </w:tc>
      </w:tr>
      <w:tr w:rsidR="006B5229" w:rsidRPr="008C4417" w14:paraId="0FF8E199" w14:textId="77777777" w:rsidTr="00A14F19">
        <w:trPr>
          <w:cantSplit/>
          <w:trHeight w:val="20"/>
        </w:trPr>
        <w:tc>
          <w:tcPr>
            <w:tcW w:w="1411" w:type="pct"/>
            <w:vAlign w:val="center"/>
          </w:tcPr>
          <w:p w14:paraId="04EB40C4" w14:textId="77777777" w:rsidR="00CE7338" w:rsidRPr="008C4417" w:rsidRDefault="00CE7338">
            <w:pPr>
              <w:pStyle w:val="TableText0"/>
              <w:rPr>
                <w:szCs w:val="20"/>
              </w:rPr>
            </w:pPr>
            <w:r w:rsidRPr="008C4417">
              <w:t>Fenfluramine, 2.2 mg/mL oral solution, 360 mL</w:t>
            </w:r>
          </w:p>
        </w:tc>
        <w:tc>
          <w:tcPr>
            <w:tcW w:w="1222" w:type="pct"/>
          </w:tcPr>
          <w:p w14:paraId="502055D3" w14:textId="77777777" w:rsidR="00CE7338" w:rsidRPr="008C4417" w:rsidRDefault="00CE7338">
            <w:pPr>
              <w:pStyle w:val="TableText0"/>
            </w:pPr>
            <w:r w:rsidRPr="008C4417">
              <w:t>$4,636.97 published price</w:t>
            </w:r>
          </w:p>
          <w:p w14:paraId="03896975" w14:textId="6F921CFB" w:rsidR="00CE7338" w:rsidRPr="008C4417" w:rsidRDefault="00CE7338">
            <w:pPr>
              <w:pStyle w:val="TableText0"/>
              <w:rPr>
                <w:szCs w:val="20"/>
              </w:rPr>
            </w:pPr>
            <w:r w:rsidRPr="008C4417">
              <w:t>$</w:t>
            </w:r>
            <w:r w:rsidR="008114C4" w:rsidRPr="008114C4">
              <w:rPr>
                <w:color w:val="000000"/>
                <w:spacing w:val="53"/>
                <w:shd w:val="solid" w:color="000000" w:fill="000000"/>
                <w:fitText w:val="334" w:id="-761538560"/>
                <w14:textFill>
                  <w14:solidFill>
                    <w14:srgbClr w14:val="000000">
                      <w14:alpha w14:val="100000"/>
                    </w14:srgbClr>
                  </w14:solidFill>
                </w14:textFill>
              </w:rPr>
              <w:t>|||</w:t>
            </w:r>
            <w:r w:rsidR="008114C4" w:rsidRPr="008114C4">
              <w:rPr>
                <w:color w:val="000000"/>
                <w:spacing w:val="13"/>
                <w:shd w:val="solid" w:color="000000" w:fill="000000"/>
                <w:fitText w:val="334" w:id="-761538560"/>
                <w14:textFill>
                  <w14:solidFill>
                    <w14:srgbClr w14:val="000000">
                      <w14:alpha w14:val="100000"/>
                    </w14:srgbClr>
                  </w14:solidFill>
                </w14:textFill>
              </w:rPr>
              <w:t>|</w:t>
            </w:r>
            <w:r w:rsidRPr="008C4417">
              <w:t xml:space="preserve"> effective price</w:t>
            </w:r>
            <w:r w:rsidR="008621B6">
              <w:t xml:space="preserve"> (Pre-PBAC Response)</w:t>
            </w:r>
          </w:p>
        </w:tc>
        <w:tc>
          <w:tcPr>
            <w:tcW w:w="508" w:type="pct"/>
            <w:vAlign w:val="center"/>
          </w:tcPr>
          <w:p w14:paraId="499F4CE6" w14:textId="77777777" w:rsidR="00CE7338" w:rsidRPr="008C4417" w:rsidRDefault="00CE7338">
            <w:pPr>
              <w:pStyle w:val="TableText0"/>
              <w:rPr>
                <w:szCs w:val="20"/>
              </w:rPr>
            </w:pPr>
            <w:r w:rsidRPr="008C4417">
              <w:t>1</w:t>
            </w:r>
          </w:p>
        </w:tc>
        <w:tc>
          <w:tcPr>
            <w:tcW w:w="551" w:type="pct"/>
            <w:vAlign w:val="center"/>
          </w:tcPr>
          <w:p w14:paraId="7F55F183" w14:textId="77777777" w:rsidR="00CE7338" w:rsidRPr="008C4417" w:rsidRDefault="00CE7338">
            <w:pPr>
              <w:pStyle w:val="TableText0"/>
              <w:rPr>
                <w:szCs w:val="20"/>
              </w:rPr>
            </w:pPr>
            <w:r w:rsidRPr="008C4417">
              <w:t>1</w:t>
            </w:r>
          </w:p>
        </w:tc>
        <w:tc>
          <w:tcPr>
            <w:tcW w:w="392" w:type="pct"/>
            <w:vAlign w:val="center"/>
          </w:tcPr>
          <w:p w14:paraId="1F1F2641" w14:textId="77777777" w:rsidR="00CE7338" w:rsidRPr="008C4417" w:rsidRDefault="00CE7338">
            <w:pPr>
              <w:pStyle w:val="TableText0"/>
              <w:rPr>
                <w:szCs w:val="20"/>
              </w:rPr>
            </w:pPr>
            <w:r w:rsidRPr="008C4417">
              <w:t>5</w:t>
            </w:r>
          </w:p>
        </w:tc>
        <w:tc>
          <w:tcPr>
            <w:tcW w:w="916" w:type="pct"/>
            <w:vAlign w:val="center"/>
          </w:tcPr>
          <w:p w14:paraId="090B423D" w14:textId="77777777" w:rsidR="00CE7338" w:rsidRPr="008C4417" w:rsidRDefault="00CE7338">
            <w:pPr>
              <w:pStyle w:val="TableText0"/>
              <w:rPr>
                <w:szCs w:val="20"/>
              </w:rPr>
            </w:pPr>
            <w:r w:rsidRPr="008C4417">
              <w:rPr>
                <w:szCs w:val="20"/>
              </w:rPr>
              <w:t>Fintepla</w:t>
            </w:r>
          </w:p>
        </w:tc>
      </w:tr>
      <w:bookmarkEnd w:id="16"/>
    </w:tbl>
    <w:p w14:paraId="59F37057" w14:textId="77777777" w:rsidR="00CE7338" w:rsidRPr="00A063DD" w:rsidRDefault="00CE7338" w:rsidP="00CE733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6B5229" w:rsidRPr="008C4417" w14:paraId="35A866F9" w14:textId="77777777">
        <w:trPr>
          <w:cantSplit/>
          <w:trHeight w:val="20"/>
        </w:trPr>
        <w:tc>
          <w:tcPr>
            <w:tcW w:w="5000" w:type="pct"/>
          </w:tcPr>
          <w:p w14:paraId="6B299790" w14:textId="77777777" w:rsidR="00CE7338" w:rsidRPr="008C4417" w:rsidRDefault="00CE7338" w:rsidP="000777DE">
            <w:pPr>
              <w:pStyle w:val="TableText0"/>
              <w:keepNext w:val="0"/>
            </w:pPr>
            <w:r w:rsidRPr="008C4417">
              <w:rPr>
                <w:b/>
                <w:bCs w:val="0"/>
              </w:rPr>
              <w:t>Category / Program:</w:t>
            </w:r>
            <w:r w:rsidRPr="008C4417">
              <w:t xml:space="preserve"> General Schedule</w:t>
            </w:r>
          </w:p>
        </w:tc>
      </w:tr>
      <w:tr w:rsidR="006B5229" w:rsidRPr="008C4417" w14:paraId="7D8C47D9" w14:textId="77777777">
        <w:trPr>
          <w:cantSplit/>
          <w:trHeight w:val="20"/>
        </w:trPr>
        <w:tc>
          <w:tcPr>
            <w:tcW w:w="5000" w:type="pct"/>
          </w:tcPr>
          <w:p w14:paraId="18833B72" w14:textId="77777777" w:rsidR="00CE7338" w:rsidRPr="008C4417" w:rsidRDefault="00CE7338" w:rsidP="000777DE">
            <w:pPr>
              <w:pStyle w:val="TableText0"/>
              <w:keepNext w:val="0"/>
            </w:pPr>
            <w:r w:rsidRPr="008C4417">
              <w:rPr>
                <w:b/>
                <w:bCs w:val="0"/>
              </w:rPr>
              <w:t>Prescriber type:</w:t>
            </w:r>
            <w:r w:rsidRPr="008C4417">
              <w:t xml:space="preserve"> </w:t>
            </w:r>
            <w:r w:rsidRPr="008C4417">
              <w:fldChar w:fldCharType="begin" w:fldLock="1">
                <w:ffData>
                  <w:name w:val="Check1"/>
                  <w:enabled/>
                  <w:calcOnExit w:val="0"/>
                  <w:checkBox>
                    <w:sizeAuto/>
                    <w:default w:val="0"/>
                  </w:checkBox>
                </w:ffData>
              </w:fldChar>
            </w:r>
            <w:r w:rsidRPr="008C4417">
              <w:instrText xml:space="preserve"> FORMCHECKBOX </w:instrText>
            </w:r>
            <w:r w:rsidRPr="008C4417">
              <w:fldChar w:fldCharType="separate"/>
            </w:r>
            <w:r w:rsidRPr="008C4417">
              <w:fldChar w:fldCharType="end"/>
            </w:r>
            <w:r w:rsidRPr="008C4417">
              <w:t xml:space="preserve">Dental </w:t>
            </w:r>
            <w:r w:rsidRPr="008C4417">
              <w:fldChar w:fldCharType="begin" w:fldLock="1">
                <w:ffData>
                  <w:name w:val=""/>
                  <w:enabled/>
                  <w:calcOnExit w:val="0"/>
                  <w:checkBox>
                    <w:sizeAuto/>
                    <w:default w:val="1"/>
                  </w:checkBox>
                </w:ffData>
              </w:fldChar>
            </w:r>
            <w:r w:rsidRPr="008C4417">
              <w:instrText xml:space="preserve"> FORMCHECKBOX </w:instrText>
            </w:r>
            <w:r w:rsidRPr="008C4417">
              <w:fldChar w:fldCharType="separate"/>
            </w:r>
            <w:r w:rsidRPr="008C4417">
              <w:fldChar w:fldCharType="end"/>
            </w:r>
            <w:r w:rsidRPr="008C4417">
              <w:t xml:space="preserve">Medical Practitioners </w:t>
            </w:r>
            <w:r w:rsidRPr="008C4417">
              <w:fldChar w:fldCharType="begin" w:fldLock="1">
                <w:ffData>
                  <w:name w:val="Check3"/>
                  <w:enabled/>
                  <w:calcOnExit w:val="0"/>
                  <w:checkBox>
                    <w:sizeAuto/>
                    <w:default w:val="0"/>
                  </w:checkBox>
                </w:ffData>
              </w:fldChar>
            </w:r>
            <w:r w:rsidRPr="008C4417">
              <w:instrText xml:space="preserve"> FORMCHECKBOX </w:instrText>
            </w:r>
            <w:r w:rsidRPr="008C4417">
              <w:fldChar w:fldCharType="separate"/>
            </w:r>
            <w:r w:rsidRPr="008C4417">
              <w:fldChar w:fldCharType="end"/>
            </w:r>
            <w:r w:rsidRPr="008C4417">
              <w:t xml:space="preserve">Nurse practitioners </w:t>
            </w:r>
            <w:r w:rsidRPr="008C4417">
              <w:fldChar w:fldCharType="begin" w:fldLock="1">
                <w:ffData>
                  <w:name w:val=""/>
                  <w:enabled/>
                  <w:calcOnExit w:val="0"/>
                  <w:checkBox>
                    <w:sizeAuto/>
                    <w:default w:val="0"/>
                  </w:checkBox>
                </w:ffData>
              </w:fldChar>
            </w:r>
            <w:r w:rsidRPr="008C4417">
              <w:instrText xml:space="preserve"> FORMCHECKBOX </w:instrText>
            </w:r>
            <w:r w:rsidRPr="008C4417">
              <w:fldChar w:fldCharType="separate"/>
            </w:r>
            <w:r w:rsidRPr="008C4417">
              <w:fldChar w:fldCharType="end"/>
            </w:r>
            <w:r w:rsidRPr="008C4417">
              <w:t xml:space="preserve">Optometrists </w:t>
            </w:r>
            <w:r w:rsidRPr="008C4417">
              <w:fldChar w:fldCharType="begin" w:fldLock="1">
                <w:ffData>
                  <w:name w:val="Check5"/>
                  <w:enabled/>
                  <w:calcOnExit w:val="0"/>
                  <w:checkBox>
                    <w:sizeAuto/>
                    <w:default w:val="0"/>
                  </w:checkBox>
                </w:ffData>
              </w:fldChar>
            </w:r>
            <w:r w:rsidRPr="008C4417">
              <w:instrText xml:space="preserve"> FORMCHECKBOX </w:instrText>
            </w:r>
            <w:r w:rsidRPr="008C4417">
              <w:fldChar w:fldCharType="separate"/>
            </w:r>
            <w:r w:rsidRPr="008C4417">
              <w:fldChar w:fldCharType="end"/>
            </w:r>
          </w:p>
        </w:tc>
      </w:tr>
      <w:tr w:rsidR="006B5229" w:rsidRPr="008C4417" w14:paraId="55E1DDAD" w14:textId="77777777">
        <w:trPr>
          <w:cantSplit/>
          <w:trHeight w:val="20"/>
        </w:trPr>
        <w:tc>
          <w:tcPr>
            <w:tcW w:w="5000" w:type="pct"/>
          </w:tcPr>
          <w:p w14:paraId="09AD3BF5" w14:textId="77777777" w:rsidR="00CE7338" w:rsidRPr="008C4417" w:rsidRDefault="00CE7338" w:rsidP="000777DE">
            <w:pPr>
              <w:pStyle w:val="TableText0"/>
              <w:keepNext w:val="0"/>
            </w:pPr>
            <w:r w:rsidRPr="008C4417">
              <w:rPr>
                <w:b/>
                <w:bCs w:val="0"/>
              </w:rPr>
              <w:t>Restriction type:</w:t>
            </w:r>
            <w:r w:rsidRPr="008C4417">
              <w:t xml:space="preserve"> </w:t>
            </w:r>
            <w:r w:rsidRPr="008C4417">
              <w:fldChar w:fldCharType="begin" w:fldLock="1">
                <w:ffData>
                  <w:name w:val="Check3"/>
                  <w:enabled/>
                  <w:calcOnExit w:val="0"/>
                  <w:checkBox>
                    <w:sizeAuto/>
                    <w:default w:val="1"/>
                  </w:checkBox>
                </w:ffData>
              </w:fldChar>
            </w:r>
            <w:r w:rsidRPr="008C4417">
              <w:instrText xml:space="preserve"> FORMCHECKBOX </w:instrText>
            </w:r>
            <w:r w:rsidRPr="008C4417">
              <w:fldChar w:fldCharType="separate"/>
            </w:r>
            <w:r w:rsidRPr="008C4417">
              <w:fldChar w:fldCharType="end"/>
            </w:r>
            <w:r w:rsidRPr="008C4417">
              <w:t xml:space="preserve">Authority Required (telephone/online PBS Authorities system) </w:t>
            </w:r>
          </w:p>
        </w:tc>
      </w:tr>
      <w:tr w:rsidR="006B5229" w:rsidRPr="008C4417" w14:paraId="4AE44753" w14:textId="77777777">
        <w:trPr>
          <w:cantSplit/>
          <w:trHeight w:val="20"/>
        </w:trPr>
        <w:tc>
          <w:tcPr>
            <w:tcW w:w="5000" w:type="pct"/>
            <w:vAlign w:val="center"/>
          </w:tcPr>
          <w:p w14:paraId="55020E1D" w14:textId="77777777" w:rsidR="00CE7338" w:rsidRPr="008C4417" w:rsidRDefault="00CE7338" w:rsidP="000777DE">
            <w:pPr>
              <w:pStyle w:val="TableText0"/>
              <w:keepNext w:val="0"/>
            </w:pPr>
            <w:r w:rsidRPr="008C4417">
              <w:rPr>
                <w:b/>
                <w:bCs w:val="0"/>
              </w:rPr>
              <w:t>Severity:</w:t>
            </w:r>
            <w:r w:rsidRPr="008C4417">
              <w:t xml:space="preserve"> Severe</w:t>
            </w:r>
          </w:p>
        </w:tc>
      </w:tr>
      <w:tr w:rsidR="006B5229" w:rsidRPr="008C4417" w14:paraId="044675C9" w14:textId="77777777">
        <w:trPr>
          <w:cantSplit/>
          <w:trHeight w:val="20"/>
        </w:trPr>
        <w:tc>
          <w:tcPr>
            <w:tcW w:w="5000" w:type="pct"/>
            <w:vAlign w:val="center"/>
          </w:tcPr>
          <w:p w14:paraId="32911E5C" w14:textId="77777777" w:rsidR="00CE7338" w:rsidRPr="008C4417" w:rsidRDefault="00CE7338" w:rsidP="000777DE">
            <w:pPr>
              <w:pStyle w:val="TableText0"/>
              <w:keepNext w:val="0"/>
            </w:pPr>
            <w:r w:rsidRPr="008C4417">
              <w:rPr>
                <w:b/>
                <w:bCs w:val="0"/>
              </w:rPr>
              <w:t>Condition:</w:t>
            </w:r>
            <w:r w:rsidRPr="008C4417">
              <w:t xml:space="preserve"> Myoclonic epilepsy in infancy (Dravet Syndrome)</w:t>
            </w:r>
          </w:p>
        </w:tc>
      </w:tr>
      <w:tr w:rsidR="006B5229" w:rsidRPr="008C4417" w14:paraId="7D063DE7" w14:textId="77777777">
        <w:trPr>
          <w:cantSplit/>
          <w:trHeight w:val="20"/>
        </w:trPr>
        <w:tc>
          <w:tcPr>
            <w:tcW w:w="5000" w:type="pct"/>
            <w:vAlign w:val="center"/>
            <w:hideMark/>
          </w:tcPr>
          <w:p w14:paraId="1E2142A4" w14:textId="77777777" w:rsidR="00CE7338" w:rsidRPr="008C4417" w:rsidRDefault="00CE7338" w:rsidP="000777DE">
            <w:pPr>
              <w:pStyle w:val="TableText0"/>
              <w:keepNext w:val="0"/>
            </w:pPr>
            <w:r w:rsidRPr="008C4417">
              <w:rPr>
                <w:b/>
                <w:bCs w:val="0"/>
              </w:rPr>
              <w:t>Indication:</w:t>
            </w:r>
            <w:r w:rsidRPr="008C4417">
              <w:t xml:space="preserve"> Severe myoclonic epilepsy in infancy (Dravet syndrome)</w:t>
            </w:r>
          </w:p>
        </w:tc>
      </w:tr>
      <w:tr w:rsidR="006B5229" w:rsidRPr="008C4417" w14:paraId="55A99775" w14:textId="77777777">
        <w:trPr>
          <w:cantSplit/>
          <w:trHeight w:val="20"/>
        </w:trPr>
        <w:tc>
          <w:tcPr>
            <w:tcW w:w="5000" w:type="pct"/>
            <w:vAlign w:val="center"/>
            <w:hideMark/>
          </w:tcPr>
          <w:p w14:paraId="7381CD30" w14:textId="77777777" w:rsidR="00CE7338" w:rsidRPr="008C4417" w:rsidRDefault="00CE7338" w:rsidP="000777DE">
            <w:pPr>
              <w:pStyle w:val="TableText0"/>
              <w:keepNext w:val="0"/>
            </w:pPr>
            <w:r w:rsidRPr="008C4417">
              <w:rPr>
                <w:b/>
                <w:bCs w:val="0"/>
              </w:rPr>
              <w:t>Clinical criteria:</w:t>
            </w:r>
          </w:p>
        </w:tc>
      </w:tr>
      <w:tr w:rsidR="006B5229" w:rsidRPr="008C4417" w14:paraId="18FB9781" w14:textId="77777777">
        <w:trPr>
          <w:cantSplit/>
          <w:trHeight w:val="20"/>
        </w:trPr>
        <w:tc>
          <w:tcPr>
            <w:tcW w:w="5000" w:type="pct"/>
            <w:vAlign w:val="center"/>
          </w:tcPr>
          <w:p w14:paraId="6624486E" w14:textId="77777777" w:rsidR="00CE7338" w:rsidRPr="008C4417" w:rsidRDefault="00CE7338" w:rsidP="000777DE">
            <w:pPr>
              <w:pStyle w:val="TableText0"/>
              <w:keepNext w:val="0"/>
            </w:pPr>
            <w:r w:rsidRPr="008C4417">
              <w:rPr>
                <w:rStyle w:val="Small"/>
                <w:rFonts w:ascii="Arial Narrow" w:hAnsi="Arial Narrow"/>
              </w:rPr>
              <w:t>Patient must have (as an initiating patient)/have had (as a continuing patient, or as a patient receiving non-PBS-subsidised treatment with this drug for this condition prior to [PBS Listing Date]), generalised tonic-clonic seizures or generalised clonic seizures that are not adequately controlled with at least two other anti-epileptic drugs.</w:t>
            </w:r>
          </w:p>
        </w:tc>
      </w:tr>
      <w:tr w:rsidR="006B5229" w:rsidRPr="008C4417" w14:paraId="3C758C54" w14:textId="77777777">
        <w:trPr>
          <w:cantSplit/>
          <w:trHeight w:val="20"/>
        </w:trPr>
        <w:tc>
          <w:tcPr>
            <w:tcW w:w="5000" w:type="pct"/>
            <w:vAlign w:val="center"/>
            <w:hideMark/>
          </w:tcPr>
          <w:p w14:paraId="06EFE6CA" w14:textId="77777777" w:rsidR="00CE7338" w:rsidRPr="008C4417" w:rsidRDefault="00CE7338" w:rsidP="000777DE">
            <w:pPr>
              <w:pStyle w:val="TableText0"/>
              <w:keepNext w:val="0"/>
            </w:pPr>
            <w:r w:rsidRPr="008C4417">
              <w:rPr>
                <w:b/>
                <w:bCs w:val="0"/>
              </w:rPr>
              <w:t>AND</w:t>
            </w:r>
          </w:p>
        </w:tc>
      </w:tr>
      <w:tr w:rsidR="006B5229" w:rsidRPr="008C4417" w14:paraId="6EE40DA0" w14:textId="77777777">
        <w:trPr>
          <w:cantSplit/>
          <w:trHeight w:val="20"/>
        </w:trPr>
        <w:tc>
          <w:tcPr>
            <w:tcW w:w="5000" w:type="pct"/>
            <w:vAlign w:val="center"/>
            <w:hideMark/>
          </w:tcPr>
          <w:p w14:paraId="04954E28" w14:textId="77777777" w:rsidR="00CE7338" w:rsidRPr="008C4417" w:rsidRDefault="00CE7338" w:rsidP="000777DE">
            <w:pPr>
              <w:pStyle w:val="TableText0"/>
              <w:keepNext w:val="0"/>
              <w:rPr>
                <w:rStyle w:val="Small"/>
                <w:rFonts w:ascii="Arial Narrow" w:hAnsi="Arial Narrow"/>
              </w:rPr>
            </w:pPr>
            <w:r w:rsidRPr="008C4417">
              <w:rPr>
                <w:rStyle w:val="Small"/>
                <w:rFonts w:ascii="Arial Narrow" w:hAnsi="Arial Narrow"/>
              </w:rPr>
              <w:t>The treatment must be as adjunctive therapy to at least two other anti-epileptic drugs.</w:t>
            </w:r>
          </w:p>
        </w:tc>
      </w:tr>
      <w:tr w:rsidR="006B5229" w:rsidRPr="008C4417" w14:paraId="12E75652" w14:textId="77777777">
        <w:trPr>
          <w:cantSplit/>
          <w:trHeight w:val="20"/>
        </w:trPr>
        <w:tc>
          <w:tcPr>
            <w:tcW w:w="5000" w:type="pct"/>
            <w:vAlign w:val="center"/>
            <w:hideMark/>
          </w:tcPr>
          <w:p w14:paraId="3DEB9CB3" w14:textId="77777777" w:rsidR="00CE7338" w:rsidRPr="008C4417" w:rsidRDefault="00CE7338" w:rsidP="000777DE">
            <w:pPr>
              <w:pStyle w:val="TableText0"/>
              <w:keepNext w:val="0"/>
            </w:pPr>
            <w:r w:rsidRPr="008C4417">
              <w:rPr>
                <w:b/>
                <w:bCs w:val="0"/>
              </w:rPr>
              <w:t>Treatment criteria:</w:t>
            </w:r>
          </w:p>
        </w:tc>
      </w:tr>
      <w:tr w:rsidR="006B5229" w:rsidRPr="008C4417" w14:paraId="785D28E5" w14:textId="77777777">
        <w:trPr>
          <w:cantSplit/>
          <w:trHeight w:val="20"/>
        </w:trPr>
        <w:tc>
          <w:tcPr>
            <w:tcW w:w="5000" w:type="pct"/>
            <w:vAlign w:val="center"/>
            <w:hideMark/>
          </w:tcPr>
          <w:p w14:paraId="4FE752B7" w14:textId="77777777" w:rsidR="00CE7338" w:rsidRPr="008C4417" w:rsidRDefault="00CE7338" w:rsidP="000777DE">
            <w:pPr>
              <w:pStyle w:val="TableText0"/>
              <w:keepNext w:val="0"/>
            </w:pPr>
            <w:r w:rsidRPr="008C4417">
              <w:rPr>
                <w:rStyle w:val="Small"/>
                <w:rFonts w:ascii="Arial Narrow" w:hAnsi="Arial Narrow"/>
              </w:rPr>
              <w:t>Must be treated by a neurologist if treatment is being initiated; OR</w:t>
            </w:r>
          </w:p>
        </w:tc>
      </w:tr>
      <w:tr w:rsidR="006B5229" w:rsidRPr="008C4417" w14:paraId="1D58938C" w14:textId="77777777">
        <w:trPr>
          <w:cantSplit/>
          <w:trHeight w:val="20"/>
        </w:trPr>
        <w:tc>
          <w:tcPr>
            <w:tcW w:w="5000" w:type="pct"/>
            <w:vAlign w:val="center"/>
          </w:tcPr>
          <w:p w14:paraId="28F6C10B" w14:textId="77777777" w:rsidR="00CE7338" w:rsidRPr="008C4417" w:rsidRDefault="00CE7338" w:rsidP="000777DE">
            <w:pPr>
              <w:pStyle w:val="TableText0"/>
              <w:keepNext w:val="0"/>
              <w:rPr>
                <w:rStyle w:val="Small"/>
                <w:rFonts w:ascii="Arial Narrow" w:hAnsi="Arial Narrow"/>
              </w:rPr>
            </w:pPr>
            <w:r w:rsidRPr="008C4417">
              <w:rPr>
                <w:rStyle w:val="Small"/>
                <w:rFonts w:ascii="Arial Narrow" w:hAnsi="Arial Narrow"/>
              </w:rPr>
              <w:t>Must be treated by a neurologist if treatment is being continued or re-initiated; OR</w:t>
            </w:r>
          </w:p>
        </w:tc>
      </w:tr>
      <w:tr w:rsidR="006B5229" w:rsidRPr="008C4417" w14:paraId="13C06475" w14:textId="77777777">
        <w:trPr>
          <w:cantSplit/>
          <w:trHeight w:val="20"/>
        </w:trPr>
        <w:tc>
          <w:tcPr>
            <w:tcW w:w="5000" w:type="pct"/>
            <w:vAlign w:val="center"/>
          </w:tcPr>
          <w:p w14:paraId="6A211F73" w14:textId="77777777" w:rsidR="00CE7338" w:rsidRPr="008C4417" w:rsidRDefault="00CE7338" w:rsidP="000777DE">
            <w:pPr>
              <w:pStyle w:val="TableText0"/>
              <w:keepNext w:val="0"/>
            </w:pPr>
            <w:r w:rsidRPr="008C4417">
              <w:rPr>
                <w:rStyle w:val="Small"/>
                <w:rFonts w:ascii="Arial Narrow" w:hAnsi="Arial Narrow"/>
              </w:rPr>
              <w:t>Must be treated by a paediatrician in consultation with a neurologist if treatment is being continued; OR</w:t>
            </w:r>
          </w:p>
        </w:tc>
      </w:tr>
      <w:tr w:rsidR="006B5229" w:rsidRPr="008C4417" w14:paraId="1C9E21A8" w14:textId="77777777">
        <w:trPr>
          <w:cantSplit/>
          <w:trHeight w:val="20"/>
        </w:trPr>
        <w:tc>
          <w:tcPr>
            <w:tcW w:w="5000" w:type="pct"/>
            <w:vAlign w:val="center"/>
          </w:tcPr>
          <w:p w14:paraId="56DAA2A3" w14:textId="77777777" w:rsidR="00CE7338" w:rsidRPr="008C4417" w:rsidRDefault="00CE7338" w:rsidP="000777DE">
            <w:pPr>
              <w:pStyle w:val="TableText0"/>
              <w:keepNext w:val="0"/>
            </w:pPr>
            <w:r w:rsidRPr="008C4417">
              <w:rPr>
                <w:rStyle w:val="Small"/>
                <w:rFonts w:ascii="Arial Narrow" w:hAnsi="Arial Narrow"/>
              </w:rPr>
              <w:t>Must be treated by a general practitioner in consultation with a neurologist if treatment is being continued.</w:t>
            </w:r>
          </w:p>
        </w:tc>
      </w:tr>
      <w:tr w:rsidR="006B5229" w:rsidRPr="008C4417" w14:paraId="6E0925FD" w14:textId="77777777">
        <w:trPr>
          <w:cantSplit/>
          <w:trHeight w:val="20"/>
        </w:trPr>
        <w:tc>
          <w:tcPr>
            <w:tcW w:w="5000" w:type="pct"/>
            <w:vAlign w:val="center"/>
            <w:hideMark/>
          </w:tcPr>
          <w:p w14:paraId="797DE6B8" w14:textId="77777777" w:rsidR="00CE7338" w:rsidRPr="008C4417" w:rsidRDefault="00CE7338" w:rsidP="000777DE">
            <w:pPr>
              <w:pStyle w:val="TableText0"/>
              <w:keepNext w:val="0"/>
            </w:pPr>
            <w:r w:rsidRPr="008C4417">
              <w:rPr>
                <w:b/>
                <w:bCs w:val="0"/>
              </w:rPr>
              <w:t>Notes:</w:t>
            </w:r>
            <w:r w:rsidRPr="008C4417">
              <w:t xml:space="preserve"> </w:t>
            </w:r>
            <w:r w:rsidRPr="008C4417">
              <w:rPr>
                <w:rStyle w:val="Small"/>
                <w:rFonts w:ascii="Arial Narrow" w:hAnsi="Arial Narrow"/>
              </w:rPr>
              <w:t>Special Pricing Arrangements apply</w:t>
            </w:r>
          </w:p>
        </w:tc>
      </w:tr>
    </w:tbl>
    <w:p w14:paraId="4A838806" w14:textId="20D6359C" w:rsidR="00CE7338" w:rsidRPr="000777DE" w:rsidRDefault="00CE7338" w:rsidP="004A1198">
      <w:pPr>
        <w:pStyle w:val="3-BodyText"/>
        <w:spacing w:before="120"/>
      </w:pPr>
      <w:bookmarkStart w:id="17" w:name="_Ref183075230"/>
      <w:r w:rsidRPr="000777DE">
        <w:lastRenderedPageBreak/>
        <w:t>The submission proposed a Special Pricing Arrangement (SPA).</w:t>
      </w:r>
      <w:r w:rsidR="009D2847" w:rsidRPr="000777DE">
        <w:t xml:space="preserve"> The submission requested an effective </w:t>
      </w:r>
      <w:r w:rsidR="001406E0" w:rsidRPr="000777DE">
        <w:t>dispensed price for maximum quantity (</w:t>
      </w:r>
      <w:r w:rsidR="009D2847" w:rsidRPr="000777DE">
        <w:t>DPMQ</w:t>
      </w:r>
      <w:r w:rsidR="001406E0" w:rsidRPr="000777DE">
        <w:t>)</w:t>
      </w:r>
      <w:r w:rsidR="009D2847" w:rsidRPr="000777DE">
        <w:t xml:space="preserve"> of $</w:t>
      </w:r>
      <w:r w:rsidR="008114C4" w:rsidRPr="008114C4">
        <w:rPr>
          <w:color w:val="000000"/>
          <w:w w:val="61"/>
          <w:shd w:val="solid" w:color="000000" w:fill="000000"/>
          <w:fitText w:val="474" w:id="-761538559"/>
          <w14:textFill>
            <w14:solidFill>
              <w14:srgbClr w14:val="000000">
                <w14:alpha w14:val="100000"/>
              </w14:srgbClr>
            </w14:solidFill>
          </w14:textFill>
        </w:rPr>
        <w:t>|||  ||</w:t>
      </w:r>
      <w:r w:rsidR="008114C4" w:rsidRPr="008114C4">
        <w:rPr>
          <w:color w:val="000000"/>
          <w:spacing w:val="4"/>
          <w:w w:val="61"/>
          <w:shd w:val="solid" w:color="000000" w:fill="000000"/>
          <w:fitText w:val="474" w:id="-761538559"/>
          <w14:textFill>
            <w14:solidFill>
              <w14:srgbClr w14:val="000000">
                <w14:alpha w14:val="100000"/>
              </w14:srgbClr>
            </w14:solidFill>
          </w14:textFill>
        </w:rPr>
        <w:t>|</w:t>
      </w:r>
      <w:r w:rsidR="009D2847" w:rsidRPr="000777DE">
        <w:t xml:space="preserve"> which equates to an ex-manufacturer price of $</w:t>
      </w:r>
      <w:r w:rsidR="008114C4" w:rsidRPr="008114C4">
        <w:rPr>
          <w:color w:val="000000"/>
          <w:w w:val="61"/>
          <w:shd w:val="solid" w:color="000000" w:fill="000000"/>
          <w:fitText w:val="473" w:id="-761538558"/>
          <w14:textFill>
            <w14:solidFill>
              <w14:srgbClr w14:val="000000">
                <w14:alpha w14:val="100000"/>
              </w14:srgbClr>
            </w14:solidFill>
          </w14:textFill>
        </w:rPr>
        <w:t>|||  ||</w:t>
      </w:r>
      <w:r w:rsidR="008114C4" w:rsidRPr="008114C4">
        <w:rPr>
          <w:color w:val="000000"/>
          <w:spacing w:val="3"/>
          <w:w w:val="61"/>
          <w:shd w:val="solid" w:color="000000" w:fill="000000"/>
          <w:fitText w:val="473" w:id="-761538558"/>
          <w14:textFill>
            <w14:solidFill>
              <w14:srgbClr w14:val="000000">
                <w14:alpha w14:val="100000"/>
              </w14:srgbClr>
            </w14:solidFill>
          </w14:textFill>
        </w:rPr>
        <w:t>|</w:t>
      </w:r>
      <w:r w:rsidR="00C62E2D" w:rsidRPr="000777DE">
        <w:t xml:space="preserve">. The Pre-PBAC Response </w:t>
      </w:r>
      <w:r w:rsidR="0051339B" w:rsidRPr="000777DE">
        <w:t>provided a revised</w:t>
      </w:r>
      <w:r w:rsidR="001406E0" w:rsidRPr="000777DE">
        <w:t xml:space="preserve"> effective</w:t>
      </w:r>
      <w:r w:rsidR="0051339B" w:rsidRPr="000777DE">
        <w:t xml:space="preserve"> </w:t>
      </w:r>
      <w:r w:rsidR="001406E0" w:rsidRPr="000777DE">
        <w:t>approved ex-manufacturer price (</w:t>
      </w:r>
      <w:r w:rsidR="00E0481B" w:rsidRPr="000777DE">
        <w:t>AEMP</w:t>
      </w:r>
      <w:r w:rsidR="001406E0" w:rsidRPr="000777DE">
        <w:t>)</w:t>
      </w:r>
      <w:r w:rsidR="00E0481B" w:rsidRPr="000777DE">
        <w:t xml:space="preserve"> of $</w:t>
      </w:r>
      <w:r w:rsidR="008114C4" w:rsidRPr="008114C4">
        <w:rPr>
          <w:color w:val="000000"/>
          <w:w w:val="61"/>
          <w:shd w:val="solid" w:color="000000" w:fill="000000"/>
          <w:fitText w:val="473" w:id="-761538557"/>
          <w14:textFill>
            <w14:solidFill>
              <w14:srgbClr w14:val="000000">
                <w14:alpha w14:val="100000"/>
              </w14:srgbClr>
            </w14:solidFill>
          </w14:textFill>
        </w:rPr>
        <w:t>|||  ||</w:t>
      </w:r>
      <w:r w:rsidR="008114C4" w:rsidRPr="008114C4">
        <w:rPr>
          <w:color w:val="000000"/>
          <w:spacing w:val="3"/>
          <w:w w:val="61"/>
          <w:shd w:val="solid" w:color="000000" w:fill="000000"/>
          <w:fitText w:val="473" w:id="-761538557"/>
          <w14:textFill>
            <w14:solidFill>
              <w14:srgbClr w14:val="000000">
                <w14:alpha w14:val="100000"/>
              </w14:srgbClr>
            </w14:solidFill>
          </w14:textFill>
        </w:rPr>
        <w:t>|</w:t>
      </w:r>
      <w:r w:rsidR="002D6014" w:rsidRPr="000777DE">
        <w:t xml:space="preserve"> (DPMQ $</w:t>
      </w:r>
      <w:r w:rsidR="008114C4" w:rsidRPr="00360B1C">
        <w:rPr>
          <w:color w:val="000000"/>
          <w:w w:val="59"/>
          <w:shd w:val="solid" w:color="000000" w:fill="000000"/>
          <w:fitText w:val="460" w:id="-761538556"/>
          <w14:textFill>
            <w14:solidFill>
              <w14:srgbClr w14:val="000000">
                <w14:alpha w14:val="100000"/>
              </w14:srgbClr>
            </w14:solidFill>
          </w14:textFill>
        </w:rPr>
        <w:t>|||  ||</w:t>
      </w:r>
      <w:r w:rsidR="008114C4" w:rsidRPr="00360B1C">
        <w:rPr>
          <w:color w:val="000000"/>
          <w:spacing w:val="5"/>
          <w:w w:val="59"/>
          <w:shd w:val="solid" w:color="000000" w:fill="000000"/>
          <w:fitText w:val="460" w:id="-761538556"/>
          <w14:textFill>
            <w14:solidFill>
              <w14:srgbClr w14:val="000000">
                <w14:alpha w14:val="100000"/>
              </w14:srgbClr>
            </w14:solidFill>
          </w14:textFill>
        </w:rPr>
        <w:t>|</w:t>
      </w:r>
      <w:r w:rsidR="00E83E7D" w:rsidRPr="000777DE">
        <w:t>).</w:t>
      </w:r>
      <w:bookmarkEnd w:id="17"/>
    </w:p>
    <w:p w14:paraId="3306380E" w14:textId="799137FE" w:rsidR="00CE7338" w:rsidRPr="000777DE" w:rsidRDefault="17959EF6" w:rsidP="000777DE">
      <w:pPr>
        <w:pStyle w:val="3-BodyText"/>
      </w:pPr>
      <w:r w:rsidRPr="000777DE">
        <w:t>The submission proposed fenfluramine for PBS listing as a General Schedule item with an Authority Required (telephone/online) restriction</w:t>
      </w:r>
      <w:r w:rsidR="00A92394" w:rsidRPr="000777DE">
        <w:t xml:space="preserve">. </w:t>
      </w:r>
      <w:r w:rsidRPr="000777DE">
        <w:t>Th</w:t>
      </w:r>
      <w:r w:rsidR="21F6A935" w:rsidRPr="000777DE">
        <w:t>e</w:t>
      </w:r>
      <w:r w:rsidR="7B0EB33F" w:rsidRPr="000777DE">
        <w:t xml:space="preserve"> requested authority level was consistent with</w:t>
      </w:r>
      <w:r w:rsidRPr="000777DE">
        <w:t xml:space="preserve"> cannabidiol but </w:t>
      </w:r>
      <w:r w:rsidR="6F2C1490" w:rsidRPr="000777DE">
        <w:t>differ</w:t>
      </w:r>
      <w:r w:rsidR="00CC6314" w:rsidRPr="000777DE">
        <w:t>ed</w:t>
      </w:r>
      <w:r w:rsidRPr="000777DE">
        <w:t xml:space="preserve"> from stiripentol, which was PBS listed as Authority </w:t>
      </w:r>
      <w:r w:rsidR="00E8000E" w:rsidRPr="000777DE">
        <w:t>R</w:t>
      </w:r>
      <w:r w:rsidRPr="000777DE">
        <w:t>equired (Streamlined). The submission proposed an Authority Required restriction</w:t>
      </w:r>
      <w:r w:rsidR="00CC6314" w:rsidRPr="000777DE">
        <w:t xml:space="preserve"> to</w:t>
      </w:r>
      <w:r w:rsidRPr="000777DE">
        <w:t xml:space="preserve">: 1) limit the treatment to patients with generalised tonic-clonic seizures or generalised clonic seizures that are not adequately controlled with at least 2 other anti-epileptic drugs, 2) prevent off-label use in weight management in obese patients, and 3) ensure that prescribing physicians </w:t>
      </w:r>
      <w:r w:rsidR="005B7F75" w:rsidRPr="000777DE">
        <w:t>are aware</w:t>
      </w:r>
      <w:r w:rsidRPr="000777DE">
        <w:t xml:space="preserve"> of the need for periodic cardiac monitoring.</w:t>
      </w:r>
    </w:p>
    <w:p w14:paraId="440234DF" w14:textId="32EFF11C" w:rsidR="000B0BDC" w:rsidRPr="000777DE" w:rsidRDefault="000B0BDC" w:rsidP="000777DE">
      <w:pPr>
        <w:pStyle w:val="3-BodyText"/>
      </w:pPr>
      <w:r w:rsidRPr="000777DE">
        <w:t>The submission did not request PBS listing for Lennox-Gastaut Syndrome and stated that a separate PBAC application will be submitted for the indication.</w:t>
      </w:r>
    </w:p>
    <w:p w14:paraId="5FB35826" w14:textId="007747C8" w:rsidR="003B5272" w:rsidRPr="000777DE" w:rsidRDefault="00027956" w:rsidP="000777DE">
      <w:pPr>
        <w:pStyle w:val="3-BodyText"/>
      </w:pPr>
      <w:r w:rsidRPr="000777DE">
        <w:t>Due to the</w:t>
      </w:r>
      <w:r w:rsidR="008738BD" w:rsidRPr="000777DE">
        <w:t xml:space="preserve"> risk of </w:t>
      </w:r>
      <w:r w:rsidR="00405499" w:rsidRPr="000777DE">
        <w:t>valvopathy and/or pulmonary arterial hypertension</w:t>
      </w:r>
      <w:r w:rsidR="00EB5E15" w:rsidRPr="000777DE">
        <w:t xml:space="preserve"> associated with fenfluramine</w:t>
      </w:r>
      <w:r w:rsidR="00674EE5" w:rsidRPr="000777DE">
        <w:t>,</w:t>
      </w:r>
      <w:r w:rsidR="005E6C8D" w:rsidRPr="000777DE">
        <w:t xml:space="preserve"> cardiac </w:t>
      </w:r>
      <w:r w:rsidRPr="000777DE">
        <w:t xml:space="preserve">monitoring using echocardiogram is required. </w:t>
      </w:r>
      <w:r w:rsidR="00BE42FC" w:rsidRPr="000777DE">
        <w:t>A</w:t>
      </w:r>
      <w:r w:rsidR="00BA6D04" w:rsidRPr="000777DE">
        <w:t xml:space="preserve"> prescrib</w:t>
      </w:r>
      <w:r w:rsidR="00B01EF2" w:rsidRPr="000777DE">
        <w:t>er instruction</w:t>
      </w:r>
      <w:r w:rsidR="00BA6D04" w:rsidRPr="000777DE">
        <w:t xml:space="preserve"> </w:t>
      </w:r>
      <w:r w:rsidR="00BE42FC" w:rsidRPr="000777DE">
        <w:t>may be required</w:t>
      </w:r>
      <w:r w:rsidR="00880E30" w:rsidRPr="000777DE">
        <w:t xml:space="preserve"> </w:t>
      </w:r>
      <w:r w:rsidR="00D265E6" w:rsidRPr="000777DE">
        <w:t>recommend</w:t>
      </w:r>
      <w:r w:rsidR="00EB5E15" w:rsidRPr="000777DE">
        <w:t>ing</w:t>
      </w:r>
      <w:r w:rsidR="00D265E6" w:rsidRPr="000777DE">
        <w:t xml:space="preserve"> echocardiogram monitoring</w:t>
      </w:r>
      <w:r w:rsidR="00EB5E15" w:rsidRPr="000777DE">
        <w:t xml:space="preserve"> (aligned to the final Product Information</w:t>
      </w:r>
      <w:r w:rsidR="00424E50" w:rsidRPr="000777DE">
        <w:t xml:space="preserve"> [PI]</w:t>
      </w:r>
      <w:r w:rsidR="00EB5E15" w:rsidRPr="000777DE">
        <w:t>)</w:t>
      </w:r>
      <w:r w:rsidR="00D265E6" w:rsidRPr="000777DE">
        <w:t xml:space="preserve">. </w:t>
      </w:r>
      <w:r w:rsidR="00B31BEE" w:rsidRPr="000777DE">
        <w:t xml:space="preserve">The Pre-Sub-Committee Response (PSCR) argued the TGA Guidance was clear and well-understood by specialists who manage patients with Dravet Syndrome and such a requirement in the PBS listing was not necessary. </w:t>
      </w:r>
    </w:p>
    <w:p w14:paraId="4B9FF3E0" w14:textId="4DEC1F45" w:rsidR="00826325" w:rsidRPr="000777DE" w:rsidRDefault="00826325" w:rsidP="000777DE">
      <w:pPr>
        <w:pStyle w:val="3-BodyText"/>
      </w:pPr>
      <w:r w:rsidRPr="000777DE">
        <w:t>The clinical and treatment criteria included in the proposed restriction are consistent with the stiripentol and cannabidiol PBS listings</w:t>
      </w:r>
      <w:r w:rsidR="007A651B" w:rsidRPr="000777DE">
        <w:t>, except ‘or as a patient receiving non-PBS-subsidised treatment with this drug for this condition prior to [PBS Listing Date])’</w:t>
      </w:r>
      <w:r w:rsidR="005B7F75" w:rsidRPr="000777DE">
        <w:t xml:space="preserve"> which was included to allow patients receiving non-PBS treatment to transition to PBS subsidised treatment</w:t>
      </w:r>
      <w:r w:rsidRPr="000777DE">
        <w:t>.</w:t>
      </w:r>
    </w:p>
    <w:p w14:paraId="537D8452" w14:textId="77777777" w:rsidR="002A5AE6" w:rsidRPr="000777DE" w:rsidRDefault="000B0BDC" w:rsidP="000777DE">
      <w:pPr>
        <w:pStyle w:val="3-BodyText"/>
      </w:pPr>
      <w:r w:rsidRPr="000777DE">
        <w:t xml:space="preserve">The proposed listing did not restrict the population by age group. However, the results presented in the submission may not be generalisable to adults with Dravet Syndrome because the included </w:t>
      </w:r>
      <w:r w:rsidR="0011105A" w:rsidRPr="000777DE">
        <w:t xml:space="preserve">clinical </w:t>
      </w:r>
      <w:r w:rsidRPr="000777DE">
        <w:t xml:space="preserve">evidence was based on a population aged 2−18 years with Dravet Syndrome. </w:t>
      </w:r>
      <w:r w:rsidR="008672B0" w:rsidRPr="000777DE">
        <w:t>The ESC considered it was appropriate to not include an age restriction for fenfluramine</w:t>
      </w:r>
      <w:r w:rsidR="00132F66" w:rsidRPr="000777DE">
        <w:t xml:space="preserve"> to allow for flexibility in individual clinical decision-making</w:t>
      </w:r>
      <w:r w:rsidR="008672B0" w:rsidRPr="000777DE">
        <w:t>.</w:t>
      </w:r>
      <w:r w:rsidR="002A5AE6" w:rsidRPr="000777DE">
        <w:t xml:space="preserve"> </w:t>
      </w:r>
    </w:p>
    <w:p w14:paraId="7F741EFD" w14:textId="7B0969A4" w:rsidR="00B45F74" w:rsidRPr="000777DE" w:rsidRDefault="002A5AE6" w:rsidP="000777DE">
      <w:pPr>
        <w:pStyle w:val="3-BodyText"/>
      </w:pPr>
      <w:r w:rsidRPr="000777DE">
        <w:t xml:space="preserve">The ESC considered that fenfluramine, cannabidiol, and stiripentol could be used in combination or sequentially, depending on patient response and side effect profile, and that clinicians are likely try a range of treatment options to attempt to achieve the best possible disease control for patients and therefore it was reasonable to </w:t>
      </w:r>
      <w:r w:rsidR="00943239" w:rsidRPr="000777DE">
        <w:t xml:space="preserve">not preclude combination use of these therapies. The Pre-PBAC Response agreed use of treatments for Dravet Syndrome </w:t>
      </w:r>
      <w:r w:rsidR="00481644" w:rsidRPr="000777DE">
        <w:t>in such a manner would be consistent with international guidelines and local expert advice, however reiterated</w:t>
      </w:r>
      <w:r w:rsidR="00AA3356" w:rsidRPr="000777DE">
        <w:t xml:space="preserve"> there is very limited available evidence to support combination use of fenfluramine and cannabidiol.</w:t>
      </w:r>
    </w:p>
    <w:p w14:paraId="02DCB0DF" w14:textId="1B2A1AB6" w:rsidR="00B45F74" w:rsidRPr="001E62BC" w:rsidRDefault="00B45F74" w:rsidP="001E62BC">
      <w:pPr>
        <w:ind w:firstLine="709"/>
        <w:rPr>
          <w:rFonts w:asciiTheme="minorHAnsi" w:hAnsiTheme="minorHAnsi"/>
          <w:i/>
        </w:rPr>
      </w:pPr>
      <w:bookmarkStart w:id="18" w:name="_Hlk76375324"/>
      <w:r w:rsidRPr="00C33D30">
        <w:rPr>
          <w:rFonts w:asciiTheme="minorHAnsi" w:hAnsiTheme="minorHAnsi"/>
          <w:i/>
        </w:rPr>
        <w:lastRenderedPageBreak/>
        <w:t>For more detail on PBAC’s view, see section 7 PBAC outcome.</w:t>
      </w:r>
      <w:bookmarkEnd w:id="18"/>
    </w:p>
    <w:p w14:paraId="14CD2E68" w14:textId="792EC517" w:rsidR="00CE7338" w:rsidRPr="006B5229" w:rsidDel="00195452" w:rsidRDefault="00CE7338" w:rsidP="00CE7338">
      <w:pPr>
        <w:pStyle w:val="2-SectionHeading"/>
      </w:pPr>
      <w:bookmarkStart w:id="19" w:name="_Toc177562899"/>
      <w:r w:rsidRPr="006B5229" w:rsidDel="00195452">
        <w:t>Population and disease</w:t>
      </w:r>
      <w:bookmarkEnd w:id="19"/>
    </w:p>
    <w:p w14:paraId="1E79F718" w14:textId="1BDBA5C3" w:rsidR="00CE7338" w:rsidRPr="000777DE" w:rsidRDefault="00CE7338" w:rsidP="000777DE">
      <w:pPr>
        <w:pStyle w:val="3-BodyText"/>
      </w:pPr>
      <w:r w:rsidRPr="000777DE">
        <w:t xml:space="preserve">Dravet syndrome is a rare, progressive and life-limiting form of developmental and epileptic encephalopathy and is one of the most severe and difficult-to-treat forms of epilepsy. It is typically associated with de novo variants of the SCN1A gene, which codes for the alpha-1 subunit of the neuronal voltage-gated sodium channel responsible for initiating action potentials in neurons. A recent systematic review of </w:t>
      </w:r>
      <w:r w:rsidR="00640BA7" w:rsidRPr="000777DE">
        <w:t xml:space="preserve">21 </w:t>
      </w:r>
      <w:r w:rsidRPr="000777DE">
        <w:t>studies</w:t>
      </w:r>
      <w:r w:rsidR="00A00909" w:rsidRPr="000777DE">
        <w:t xml:space="preserve"> on Dravet Syndrome</w:t>
      </w:r>
      <w:r w:rsidR="00640BA7" w:rsidRPr="000777DE">
        <w:t xml:space="preserve"> </w:t>
      </w:r>
      <w:r w:rsidRPr="000777DE">
        <w:t>reported an incidence rate of 2.17 to 6.5 per 100,000 persons and a prevalence rate of 1.2 to 6.5 per 100,000 persons</w:t>
      </w:r>
      <w:r w:rsidR="00A00909" w:rsidRPr="000777DE">
        <w:t xml:space="preserve"> (Sullivan </w:t>
      </w:r>
      <w:r w:rsidR="009F6BAE" w:rsidRPr="000777DE">
        <w:t>2024)</w:t>
      </w:r>
      <w:r w:rsidRPr="000777DE">
        <w:t>.</w:t>
      </w:r>
      <w:r w:rsidRPr="000777DE">
        <w:rPr>
          <w:rStyle w:val="FootnoteReference"/>
          <w:vertAlign w:val="baseline"/>
        </w:rPr>
        <w:footnoteReference w:id="3"/>
      </w:r>
    </w:p>
    <w:p w14:paraId="01C55F44" w14:textId="1AEB9395" w:rsidR="001F67B0" w:rsidRPr="000777DE" w:rsidRDefault="00CE7338" w:rsidP="000777DE">
      <w:pPr>
        <w:pStyle w:val="3-BodyText"/>
      </w:pPr>
      <w:r w:rsidRPr="000777DE">
        <w:t>The first symptoms of Dravet Syndrome typically present between 5 and 8 months of age, as prolonged, febrile and/or afebrile seizures. These seizures are frequently generali</w:t>
      </w:r>
      <w:r w:rsidR="0051615C" w:rsidRPr="000777DE">
        <w:t>s</w:t>
      </w:r>
      <w:r w:rsidRPr="000777DE">
        <w:t>ed clonic (causing loss of consciousness and violent muscle contractions) or hemiclonic</w:t>
      </w:r>
      <w:r w:rsidR="00AE166B" w:rsidRPr="000777DE">
        <w:t xml:space="preserve"> (</w:t>
      </w:r>
      <w:r w:rsidR="005E4F10" w:rsidRPr="000777DE">
        <w:t>unilateral</w:t>
      </w:r>
      <w:r w:rsidR="00AE166B" w:rsidRPr="000777DE">
        <w:t xml:space="preserve"> seizure with convulsive movements affecting only one side of the body)</w:t>
      </w:r>
      <w:r w:rsidRPr="000777DE">
        <w:t>.</w:t>
      </w:r>
      <w:r w:rsidR="00AE166B" w:rsidRPr="000777DE">
        <w:t xml:space="preserve"> </w:t>
      </w:r>
      <w:r w:rsidR="009F630C" w:rsidRPr="000777DE">
        <w:t xml:space="preserve">In contrast, tonic seizures cause the stiffening of muscles. </w:t>
      </w:r>
      <w:r w:rsidR="00AE166B" w:rsidRPr="000777DE">
        <w:t>The most common initial seizure type is tonic-clonic, and the second most common is hemiclonic</w:t>
      </w:r>
      <w:r w:rsidR="00E60C99" w:rsidRPr="000777DE">
        <w:t xml:space="preserve"> (Li 2021)</w:t>
      </w:r>
      <w:r w:rsidR="00AE166B" w:rsidRPr="000777DE">
        <w:t>.</w:t>
      </w:r>
      <w:r w:rsidR="00AE166B" w:rsidRPr="000777DE">
        <w:rPr>
          <w:rStyle w:val="FootnoteReference"/>
          <w:vertAlign w:val="baseline"/>
        </w:rPr>
        <w:footnoteReference w:id="4"/>
      </w:r>
      <w:r w:rsidRPr="000777DE">
        <w:t xml:space="preserve"> Non-seizure symptoms, including neurodevelopmental delays, typically emerge soon after seizures begin. All seizure and non-seizure symptoms progress and persist into adulthood. </w:t>
      </w:r>
      <w:r w:rsidR="00621F70" w:rsidRPr="000777DE">
        <w:t>The average age at diagnosis ranges from 1.6 to 9.2 years (Sullivan 2024).</w:t>
      </w:r>
      <w:r w:rsidR="00621F70" w:rsidRPr="000777DE">
        <w:rPr>
          <w:rStyle w:val="FootnoteReference"/>
          <w:vertAlign w:val="baseline"/>
        </w:rPr>
        <w:footnoteReference w:id="5"/>
      </w:r>
      <w:r w:rsidR="00621F70" w:rsidRPr="000777DE">
        <w:t xml:space="preserve"> </w:t>
      </w:r>
      <w:r w:rsidR="007A651B" w:rsidRPr="000777DE">
        <w:t xml:space="preserve">The diagnosis </w:t>
      </w:r>
      <w:r w:rsidR="00E9652F" w:rsidRPr="000777DE">
        <w:t xml:space="preserve">is </w:t>
      </w:r>
      <w:r w:rsidR="007A651B" w:rsidRPr="000777DE">
        <w:t xml:space="preserve">usually made by observation, occurs within one year of the first seizure in about 88% of infants, but is </w:t>
      </w:r>
      <w:r w:rsidR="00171635" w:rsidRPr="000777DE">
        <w:t xml:space="preserve">commonly </w:t>
      </w:r>
      <w:r w:rsidR="007A651B" w:rsidRPr="000777DE">
        <w:t>delayed in adults (Lagae 2018).</w:t>
      </w:r>
      <w:r w:rsidR="007A651B" w:rsidRPr="000777DE">
        <w:rPr>
          <w:rStyle w:val="FootnoteReference"/>
          <w:vertAlign w:val="baseline"/>
        </w:rPr>
        <w:footnoteReference w:id="6"/>
      </w:r>
      <w:r w:rsidR="007A651B" w:rsidRPr="000777DE">
        <w:t xml:space="preserve"> </w:t>
      </w:r>
    </w:p>
    <w:p w14:paraId="480906BF" w14:textId="28DE795C" w:rsidR="00CE7338" w:rsidRPr="000777DE" w:rsidRDefault="00CE7338" w:rsidP="000777DE">
      <w:pPr>
        <w:pStyle w:val="3-BodyText"/>
      </w:pPr>
      <w:r w:rsidRPr="000777DE">
        <w:t>Due to high seizure frequency, Dravet Syndrome is associated with higher mortality rates – up to 13 times higher than the general population and the general epilepsy population.</w:t>
      </w:r>
      <w:r w:rsidR="005E4F10" w:rsidRPr="000777DE">
        <w:t xml:space="preserve"> </w:t>
      </w:r>
      <w:r w:rsidR="00A870DA" w:rsidRPr="000777DE">
        <w:t>M</w:t>
      </w:r>
      <w:r w:rsidRPr="000777DE">
        <w:t xml:space="preserve">ortality </w:t>
      </w:r>
      <w:r w:rsidR="003E7B10" w:rsidRPr="000777DE">
        <w:t xml:space="preserve">in Dravet Syndrome population </w:t>
      </w:r>
      <w:r w:rsidR="00F860AF" w:rsidRPr="000777DE">
        <w:t>was</w:t>
      </w:r>
      <w:r w:rsidR="003E7B10" w:rsidRPr="000777DE">
        <w:t xml:space="preserve"> estimated around 15.8 per 1000 person-years </w:t>
      </w:r>
      <w:r w:rsidRPr="000777DE">
        <w:t>and</w:t>
      </w:r>
      <w:r w:rsidR="00402CE7" w:rsidRPr="000777DE">
        <w:t xml:space="preserve"> </w:t>
      </w:r>
      <w:r w:rsidR="00B26C03" w:rsidRPr="000777DE">
        <w:t xml:space="preserve">the </w:t>
      </w:r>
      <w:r w:rsidRPr="000777DE">
        <w:t xml:space="preserve">median age at death </w:t>
      </w:r>
      <w:r w:rsidR="00F860AF" w:rsidRPr="000777DE">
        <w:t>was</w:t>
      </w:r>
      <w:r w:rsidR="00402CE7" w:rsidRPr="000777DE">
        <w:t xml:space="preserve"> </w:t>
      </w:r>
      <w:r w:rsidRPr="000777DE">
        <w:t xml:space="preserve">between 4.7 </w:t>
      </w:r>
      <w:r w:rsidR="004A037C" w:rsidRPr="000777DE">
        <w:t xml:space="preserve">and </w:t>
      </w:r>
      <w:r w:rsidRPr="000777DE">
        <w:t>7 years</w:t>
      </w:r>
      <w:r w:rsidR="00BB3E7F" w:rsidRPr="000777DE">
        <w:t xml:space="preserve"> </w:t>
      </w:r>
      <w:r w:rsidR="003E140B" w:rsidRPr="000777DE">
        <w:t>(Sullivan 2024)</w:t>
      </w:r>
      <w:r w:rsidRPr="000777DE">
        <w:t>.</w:t>
      </w:r>
      <w:r w:rsidR="00667042" w:rsidRPr="000777DE">
        <w:t xml:space="preserve"> These estimates </w:t>
      </w:r>
      <w:r w:rsidR="00F860AF" w:rsidRPr="000777DE">
        <w:t>were</w:t>
      </w:r>
      <w:r w:rsidR="00667042" w:rsidRPr="000777DE">
        <w:t xml:space="preserve"> based on data from 67 studies in Dravet Syndrome populations, of which one reported a standardised incidence of mortality and only 4 reported the median age at death. These studies found</w:t>
      </w:r>
      <w:r w:rsidR="002A6AA2" w:rsidRPr="000777DE">
        <w:t xml:space="preserve"> </w:t>
      </w:r>
      <w:r w:rsidR="006D4FE3" w:rsidRPr="000777DE">
        <w:t xml:space="preserve">that </w:t>
      </w:r>
      <w:r w:rsidR="002A6AA2" w:rsidRPr="000777DE">
        <w:t>few</w:t>
      </w:r>
      <w:r w:rsidR="00FC15DC" w:rsidRPr="000777DE">
        <w:t xml:space="preserve"> patients had died during the follow-up period</w:t>
      </w:r>
      <w:r w:rsidR="006D4FE3" w:rsidRPr="000777DE">
        <w:t>, with an incidence of</w:t>
      </w:r>
      <w:r w:rsidR="00FC15DC" w:rsidRPr="000777DE">
        <w:t xml:space="preserve"> </w:t>
      </w:r>
      <w:r w:rsidR="002A6AA2" w:rsidRPr="000777DE">
        <w:t>mortality</w:t>
      </w:r>
      <w:r w:rsidR="006D4FE3" w:rsidRPr="000777DE">
        <w:t xml:space="preserve"> </w:t>
      </w:r>
      <w:r w:rsidR="002A6AA2" w:rsidRPr="000777DE">
        <w:t xml:space="preserve">between </w:t>
      </w:r>
      <w:r w:rsidR="00B5050C" w:rsidRPr="000777DE">
        <w:t>4</w:t>
      </w:r>
      <w:r w:rsidR="002B376A" w:rsidRPr="000777DE">
        <w:t>−</w:t>
      </w:r>
      <w:r w:rsidR="00B5050C" w:rsidRPr="000777DE">
        <w:t>21</w:t>
      </w:r>
      <w:r w:rsidR="002A6AA2" w:rsidRPr="000777DE">
        <w:t>%</w:t>
      </w:r>
      <w:r w:rsidR="003E7B10" w:rsidRPr="000777DE">
        <w:t xml:space="preserve"> over 2 to 26 years of study follow-up</w:t>
      </w:r>
      <w:r w:rsidR="002A6AA2" w:rsidRPr="000777DE">
        <w:t xml:space="preserve">. </w:t>
      </w:r>
      <w:r w:rsidR="00667042" w:rsidRPr="000777DE">
        <w:t xml:space="preserve">Further, </w:t>
      </w:r>
      <w:r w:rsidR="006D4FE3" w:rsidRPr="000777DE">
        <w:t>one</w:t>
      </w:r>
      <w:r w:rsidR="005E4F10" w:rsidRPr="000777DE">
        <w:t xml:space="preserve"> Japanese survey of 623 individuals with </w:t>
      </w:r>
      <w:r w:rsidR="005E4F10" w:rsidRPr="000777DE">
        <w:lastRenderedPageBreak/>
        <w:t>Dravet Syndrome found prevalence of sudden death reached a first peak at 1</w:t>
      </w:r>
      <w:r w:rsidR="008A1D03" w:rsidRPr="000777DE">
        <w:t>−</w:t>
      </w:r>
      <w:r w:rsidR="005E4F10" w:rsidRPr="000777DE">
        <w:t>3 years of age and a second peak at ≥18 years of age (Sakauchi 2011)</w:t>
      </w:r>
      <w:r w:rsidR="005F12B1" w:rsidRPr="000777DE">
        <w:t>.</w:t>
      </w:r>
      <w:r w:rsidR="005E4F10" w:rsidRPr="000777DE">
        <w:rPr>
          <w:rStyle w:val="FootnoteReference"/>
          <w:vertAlign w:val="baseline"/>
        </w:rPr>
        <w:footnoteReference w:id="7"/>
      </w:r>
    </w:p>
    <w:p w14:paraId="1D549B9D" w14:textId="653A7DB7" w:rsidR="00CE7338" w:rsidRPr="000777DE" w:rsidRDefault="00CE7338" w:rsidP="000777DE">
      <w:pPr>
        <w:pStyle w:val="3-BodyText"/>
      </w:pPr>
      <w:r w:rsidRPr="000777DE">
        <w:t xml:space="preserve">Given the high symptom burden of Dravet Syndrome, it has a major impact on the health-related quality of life (HRQoL) of patients, caregivers, and the whole family. Children with Dravet Syndrome experience poorer overall HRQoL compared to healthy children or those with other epilepsy syndromes. Given the </w:t>
      </w:r>
      <w:r w:rsidR="006619DF" w:rsidRPr="000777DE">
        <w:t xml:space="preserve">young age of </w:t>
      </w:r>
      <w:r w:rsidRPr="000777DE">
        <w:t>onset, the parent/carer's quality of life is also severely impacted.</w:t>
      </w:r>
    </w:p>
    <w:p w14:paraId="51E2A1C9" w14:textId="6DCE5274" w:rsidR="00CE7338" w:rsidRPr="000777DE" w:rsidRDefault="00CE7338" w:rsidP="000777DE">
      <w:pPr>
        <w:pStyle w:val="3-BodyText"/>
      </w:pPr>
      <w:r w:rsidRPr="000777DE">
        <w:t xml:space="preserve">The submission proposed the addition of fenfluramine as a third or later-line treatment option, substituting mainly cannabidiol and to a lesser extent stiripentol. This positioning of fenfluramine in the treatment algorithm was in line with that of cannabidiol and was reasonable (para. 11.1, cannabidiol, </w:t>
      </w:r>
      <w:r w:rsidR="00783C94" w:rsidRPr="000777DE">
        <w:t>Public Summary Document [</w:t>
      </w:r>
      <w:r w:rsidRPr="000777DE">
        <w:t>PSD</w:t>
      </w:r>
      <w:r w:rsidR="00783C94" w:rsidRPr="000777DE">
        <w:t>]</w:t>
      </w:r>
      <w:r w:rsidRPr="000777DE">
        <w:t>, July 2020 PBAC meeting). However, the proposed treatment algorithm did not align with the International Consensus Statement</w:t>
      </w:r>
      <w:r w:rsidRPr="000777DE">
        <w:rPr>
          <w:rStyle w:val="FootnoteReference"/>
          <w:vertAlign w:val="baseline"/>
        </w:rPr>
        <w:footnoteReference w:id="8"/>
      </w:r>
      <w:r w:rsidRPr="000777DE">
        <w:t xml:space="preserve"> or the NICE guidelines</w:t>
      </w:r>
      <w:r w:rsidRPr="000777DE">
        <w:rPr>
          <w:rStyle w:val="FootnoteReference"/>
          <w:vertAlign w:val="baseline"/>
        </w:rPr>
        <w:footnoteReference w:id="9"/>
      </w:r>
      <w:r w:rsidRPr="000777DE">
        <w:t xml:space="preserve"> both positioning fenfluramine as a second-line add-on therapy in the treatment algorithm for patients for whom clobazam or clobazam-containing regimens were not a desirable option.</w:t>
      </w:r>
    </w:p>
    <w:p w14:paraId="7E658E5B" w14:textId="3326BC4E" w:rsidR="00CE7338" w:rsidRPr="000777DE" w:rsidRDefault="17959EF6" w:rsidP="000777DE">
      <w:pPr>
        <w:pStyle w:val="3-BodyText"/>
      </w:pPr>
      <w:r w:rsidRPr="000777DE">
        <w:t>The key difference between the current and the proposed algorithm was the addition of fenfluramine when seizure control was not achieved after first- or second-line therapies. In the current algorithm</w:t>
      </w:r>
      <w:r w:rsidR="00A128DA" w:rsidRPr="000777DE">
        <w:t xml:space="preserve"> based on their PBS listing structure</w:t>
      </w:r>
      <w:r w:rsidRPr="000777DE">
        <w:t xml:space="preserve">, </w:t>
      </w:r>
      <w:r w:rsidR="00780914" w:rsidRPr="000777DE">
        <w:t xml:space="preserve">only </w:t>
      </w:r>
      <w:r w:rsidRPr="000777DE">
        <w:t>cannabidiol or stiripentol could be considered as the third</w:t>
      </w:r>
      <w:r w:rsidR="00780914" w:rsidRPr="000777DE">
        <w:t>-</w:t>
      </w:r>
      <w:r w:rsidRPr="000777DE">
        <w:t>line</w:t>
      </w:r>
      <w:r w:rsidR="00780914" w:rsidRPr="000777DE">
        <w:t xml:space="preserve"> treatment. </w:t>
      </w:r>
      <w:r w:rsidR="00DF5BF6" w:rsidRPr="000777DE">
        <w:t>W</w:t>
      </w:r>
      <w:r w:rsidRPr="000777DE">
        <w:t>hile in the proposed algorithm fenfluramine would also be considered, with or without concomitant treatment with stiripentol. In these circumstances, the submission anticipated that fenfluramine would replace rather than displace cannabidiol and stiripentol and would have a limited impact on either first/second or later-line treatment pathways. Th</w:t>
      </w:r>
      <w:r w:rsidR="00CA24D5" w:rsidRPr="000777DE">
        <w:t>e evaluation considered that th</w:t>
      </w:r>
      <w:r w:rsidRPr="000777DE">
        <w:t xml:space="preserve">is assumption may not be reasonable for later-line treatments. </w:t>
      </w:r>
      <w:r w:rsidR="00F860AF" w:rsidRPr="000777DE">
        <w:t>T</w:t>
      </w:r>
      <w:r w:rsidRPr="000777DE">
        <w:t xml:space="preserve">reatment for Dravet Syndrome </w:t>
      </w:r>
      <w:r w:rsidR="001E474F" w:rsidRPr="000777DE">
        <w:t xml:space="preserve">is </w:t>
      </w:r>
      <w:r w:rsidRPr="000777DE">
        <w:t xml:space="preserve">often additive, which </w:t>
      </w:r>
      <w:r w:rsidR="001E474F" w:rsidRPr="000777DE">
        <w:t xml:space="preserve">means </w:t>
      </w:r>
      <w:r w:rsidRPr="000777DE">
        <w:t>that fenfluramine, cannabidiol, and stiripentol may be used in combination or sequentially, depending on patient response and side effect profile.</w:t>
      </w:r>
      <w:r w:rsidR="00CC6359" w:rsidRPr="000777DE">
        <w:t xml:space="preserve"> The PSCR argued that given the limited evidence available for combination use of fenfluramine and cannabidiol, such use would not occur frequently in practice.  The ESC agreed with the evaluation and considered that </w:t>
      </w:r>
      <w:r w:rsidR="00206D43" w:rsidRPr="000777DE">
        <w:t xml:space="preserve">clinicians would likely </w:t>
      </w:r>
      <w:r w:rsidR="00716753" w:rsidRPr="000777DE">
        <w:t xml:space="preserve">try a range of treatment options, including combination treatment, to attempt to achieve the best possible disease control for patients. </w:t>
      </w:r>
    </w:p>
    <w:p w14:paraId="1913404F" w14:textId="1CB7F84B" w:rsidR="00CE7338" w:rsidRPr="000777DE" w:rsidRDefault="00CE7338" w:rsidP="000777DE">
      <w:pPr>
        <w:pStyle w:val="3-BodyText"/>
      </w:pPr>
      <w:r w:rsidRPr="000777DE">
        <w:t xml:space="preserve">Positioning fenfluramine as third-line therapy for the treatment of Dravet Syndrome was consistent with the restriction proposed in the submission, the economic </w:t>
      </w:r>
      <w:r w:rsidRPr="000777DE">
        <w:lastRenderedPageBreak/>
        <w:t>evaluation presented, and</w:t>
      </w:r>
      <w:r w:rsidR="00A42D7C" w:rsidRPr="000777DE">
        <w:t xml:space="preserve"> the</w:t>
      </w:r>
      <w:r w:rsidRPr="000777DE">
        <w:t xml:space="preserve"> estimated use and costs. Section 3 of the submission did not assess the cost-effectiveness of fenfluramine (without concomitant stiripentol) compared with stiripentol. </w:t>
      </w:r>
    </w:p>
    <w:p w14:paraId="1296C4EF" w14:textId="504CADFF" w:rsidR="00CE7338" w:rsidRPr="000777DE" w:rsidRDefault="00CE7338" w:rsidP="000777DE">
      <w:pPr>
        <w:pStyle w:val="3-BodyText"/>
      </w:pPr>
      <w:r w:rsidRPr="000777DE">
        <w:t>Fenfluramine has a dual mechanism of action: 1) It acts as an agonist at specific serotonin (5-HT) receptors which enhances GABAergic neurotransmission. 2) It also inhibits excitatory glutamatergic signalling by mediating the interaction of the sigma-1 receptor with the N-methyl-D-aspartate receptor.</w:t>
      </w:r>
      <w:r w:rsidR="00B45F74" w:rsidRPr="000777DE">
        <w:t xml:space="preserve"> </w:t>
      </w:r>
    </w:p>
    <w:p w14:paraId="626B00E6" w14:textId="2FDBBDBB" w:rsidR="00B45F74" w:rsidRPr="001E62BC" w:rsidDel="00195452" w:rsidRDefault="00B45F74" w:rsidP="001E62BC">
      <w:pPr>
        <w:ind w:firstLine="709"/>
        <w:rPr>
          <w:rFonts w:asciiTheme="minorHAnsi" w:hAnsiTheme="minorHAnsi"/>
          <w:i/>
        </w:rPr>
      </w:pPr>
      <w:r w:rsidRPr="00C33D30">
        <w:rPr>
          <w:rFonts w:asciiTheme="minorHAnsi" w:hAnsiTheme="minorHAnsi"/>
          <w:i/>
        </w:rPr>
        <w:t>For more detail on PBAC’s view, see section 7 PBAC outcome.</w:t>
      </w:r>
    </w:p>
    <w:p w14:paraId="3D0DBB13" w14:textId="77777777" w:rsidR="00CE7338" w:rsidRPr="006B5229" w:rsidRDefault="00CE7338" w:rsidP="00CE7338">
      <w:pPr>
        <w:pStyle w:val="2-SectionHeading"/>
      </w:pPr>
      <w:bookmarkStart w:id="20" w:name="_Toc177562900"/>
      <w:r w:rsidRPr="006B5229">
        <w:t>Comparator</w:t>
      </w:r>
      <w:bookmarkEnd w:id="20"/>
    </w:p>
    <w:p w14:paraId="52CE8EDC" w14:textId="5B2DE59A" w:rsidR="00CE7338" w:rsidRPr="000777DE" w:rsidRDefault="00CE7338" w:rsidP="000777DE">
      <w:pPr>
        <w:pStyle w:val="3-BodyText"/>
      </w:pPr>
      <w:r w:rsidRPr="000777DE">
        <w:t>The submission nominated cannabidiol as the main comparator. The submission provided the following arguments to support this nomination: cannabidiol was the most frequently prescribed PBS-listed therapy for treatment-refractory</w:t>
      </w:r>
      <w:r w:rsidR="001E62BC" w:rsidRPr="000777DE">
        <w:t xml:space="preserve"> </w:t>
      </w:r>
      <w:r w:rsidRPr="000777DE">
        <w:t xml:space="preserve">Dravet Syndrome, and local clinical feedback strongly suggested that fenfluramine was most likely to replace cannabidiol in Australian clinical practice. </w:t>
      </w:r>
    </w:p>
    <w:p w14:paraId="4ED94395" w14:textId="1B8766DA" w:rsidR="001E62BC" w:rsidRPr="000777DE" w:rsidRDefault="005F4968" w:rsidP="000777DE">
      <w:pPr>
        <w:pStyle w:val="3-BodyText"/>
      </w:pPr>
      <w:r w:rsidRPr="000777DE">
        <w:t>F</w:t>
      </w:r>
      <w:r w:rsidR="00346533" w:rsidRPr="000777DE">
        <w:t xml:space="preserve">enfluramine is </w:t>
      </w:r>
      <w:r w:rsidR="003A3A95" w:rsidRPr="000777DE">
        <w:t xml:space="preserve">also </w:t>
      </w:r>
      <w:r w:rsidR="00346533" w:rsidRPr="000777DE">
        <w:t>likely to replace or displace stiripentol in some circumstances in clinical practice, and therefore should also be considered a comparator.</w:t>
      </w:r>
      <w:bookmarkStart w:id="21" w:name="_Ref177387034"/>
      <w:r w:rsidR="00144497" w:rsidRPr="000777DE">
        <w:t xml:space="preserve"> </w:t>
      </w:r>
      <w:r w:rsidR="001B5CEB" w:rsidRPr="000777DE">
        <w:t xml:space="preserve">The submission acknowledged that stiripentol was currently listed on the PBS for the treatment of refractory Dravet Syndrome. While stiripentol was not considered a primary comparator, the submission provided additional analyses using stiripentol as a comparator. </w:t>
      </w:r>
      <w:bookmarkStart w:id="22" w:name="_Ref174475192"/>
      <w:r w:rsidR="001B5CEB" w:rsidRPr="000777DE">
        <w:t xml:space="preserve">The submission claimed that transitivity issues between the respective sets of placebo-controlled trials for fenfluramine and stiripentol resulted in unreliable comparisons that would be uninformative for decision-making purposes. </w:t>
      </w:r>
      <w:bookmarkEnd w:id="22"/>
      <w:r w:rsidR="001B5CEB" w:rsidRPr="000777DE">
        <w:t>However, the ESC considered stiripentol to be a relevant comparator as it can and would (in some instances) be replaced by fenfluramine, and further considered that exchangeability issues between the clinical trials was not an adequate reason to exclude it</w:t>
      </w:r>
      <w:r w:rsidR="00A36AAD" w:rsidRPr="000777DE">
        <w:t xml:space="preserve"> as a comparator</w:t>
      </w:r>
      <w:r w:rsidR="001B5CEB" w:rsidRPr="000777DE">
        <w:t xml:space="preserve">. </w:t>
      </w:r>
      <w:bookmarkEnd w:id="21"/>
      <w:r w:rsidR="000B6A07" w:rsidRPr="000777DE">
        <w:t xml:space="preserve">The Pre-PBAC Response </w:t>
      </w:r>
      <w:r w:rsidR="00034E74" w:rsidRPr="000777DE">
        <w:t xml:space="preserve">maintained that the appropriate main comparator for the submission </w:t>
      </w:r>
      <w:r w:rsidR="00977715" w:rsidRPr="000777DE">
        <w:t>was</w:t>
      </w:r>
      <w:r w:rsidR="00034E74" w:rsidRPr="000777DE">
        <w:t xml:space="preserve"> cannabidiol. However, </w:t>
      </w:r>
      <w:r w:rsidR="00EF47BF" w:rsidRPr="000777DE">
        <w:t>noted that</w:t>
      </w:r>
      <w:r w:rsidR="00034E74" w:rsidRPr="000777DE">
        <w:t xml:space="preserve"> in a real-world Australian setting, stiripentol </w:t>
      </w:r>
      <w:r w:rsidR="00E27811" w:rsidRPr="000777DE">
        <w:t>may</w:t>
      </w:r>
      <w:r w:rsidR="00034E74" w:rsidRPr="000777DE">
        <w:t xml:space="preserve"> be considered an alternative secondary comparator for fenfluramine.</w:t>
      </w:r>
      <w:r w:rsidR="00390933" w:rsidRPr="000777DE">
        <w:t xml:space="preserve"> </w:t>
      </w:r>
    </w:p>
    <w:p w14:paraId="49255FA4" w14:textId="00134807" w:rsidR="00B45F74" w:rsidRPr="00966871" w:rsidRDefault="00B45F74" w:rsidP="00966871">
      <w:pPr>
        <w:ind w:firstLine="709"/>
        <w:rPr>
          <w:rFonts w:asciiTheme="minorHAnsi" w:hAnsiTheme="minorHAnsi"/>
          <w:i/>
        </w:rPr>
      </w:pPr>
      <w:r w:rsidRPr="00C33D30">
        <w:rPr>
          <w:rFonts w:asciiTheme="minorHAnsi" w:hAnsiTheme="minorHAnsi"/>
          <w:i/>
        </w:rPr>
        <w:t>For more detail on PBAC’s view, see section 7 PBAC outcome.</w:t>
      </w:r>
    </w:p>
    <w:p w14:paraId="3E85CBD4" w14:textId="77777777" w:rsidR="00CE7338" w:rsidRPr="006B5229" w:rsidRDefault="00CE7338" w:rsidP="00CE7338">
      <w:pPr>
        <w:pStyle w:val="2-SectionHeading"/>
      </w:pPr>
      <w:bookmarkStart w:id="23" w:name="_Toc177562901"/>
      <w:r w:rsidRPr="006B5229">
        <w:t>Consideration of the evidence</w:t>
      </w:r>
      <w:bookmarkEnd w:id="23"/>
    </w:p>
    <w:p w14:paraId="3932FBD5" w14:textId="77777777" w:rsidR="00B45F74" w:rsidRPr="006E1229" w:rsidRDefault="00B45F74" w:rsidP="00F44E35">
      <w:pPr>
        <w:pStyle w:val="3-SubsectionHeading"/>
        <w:outlineLvl w:val="1"/>
        <w:rPr>
          <w:lang w:eastAsia="en-AU"/>
        </w:rPr>
      </w:pPr>
      <w:bookmarkStart w:id="24" w:name="_Hlk76375935"/>
      <w:bookmarkStart w:id="25" w:name="_Toc177562902"/>
      <w:r w:rsidRPr="006E1229">
        <w:rPr>
          <w:lang w:eastAsia="en-AU"/>
        </w:rPr>
        <w:t>Sponsor hearing</w:t>
      </w:r>
    </w:p>
    <w:p w14:paraId="03DF34B4" w14:textId="6D58A78F" w:rsidR="00F44E35" w:rsidRPr="000F17E7" w:rsidRDefault="00F44E35" w:rsidP="000777DE">
      <w:pPr>
        <w:pStyle w:val="3-BodyText"/>
      </w:pPr>
      <w:r w:rsidRPr="000F17E7">
        <w:t xml:space="preserve">The Sponsor requested a hearing for this item. The clinician discussed their experience of using fenfluramine for Dravet Syndrome and described the transformative effects of treatment, including a substantially reduced seizure burden and other benefits including improved mobility, cognition and learning ability. The </w:t>
      </w:r>
      <w:r w:rsidR="00DB3136">
        <w:t>c</w:t>
      </w:r>
      <w:r w:rsidRPr="000F17E7">
        <w:t xml:space="preserve">linician also discussed the comparative effectiveness and safety of fenfluramine to other therapies for Dravet Syndrome, including cannabidiol and stiripentol, and outlined that patients treated </w:t>
      </w:r>
      <w:r w:rsidRPr="000F17E7">
        <w:lastRenderedPageBreak/>
        <w:t xml:space="preserve">with fenfluramine are more likely to achieve a 50% reduction in convulsive seizure frequency than cannabidiol, and that stiripentol is associated with a range of cognitive side effects that are not experienced with fenfluramine. </w:t>
      </w:r>
    </w:p>
    <w:p w14:paraId="64B9D4C9" w14:textId="0521FC78" w:rsidR="00B45F74" w:rsidRPr="006E1229" w:rsidRDefault="00B45F74" w:rsidP="00F44E35">
      <w:pPr>
        <w:pStyle w:val="3-SubsectionHeading"/>
        <w:outlineLvl w:val="1"/>
        <w:rPr>
          <w:lang w:eastAsia="en-AU"/>
        </w:rPr>
      </w:pPr>
      <w:r w:rsidRPr="006E1229">
        <w:rPr>
          <w:lang w:eastAsia="en-AU"/>
        </w:rPr>
        <w:t>Consumer comments</w:t>
      </w:r>
    </w:p>
    <w:p w14:paraId="53E3787C" w14:textId="7802632F" w:rsidR="000F17E7" w:rsidRPr="000F17E7" w:rsidRDefault="000F17E7" w:rsidP="000777DE">
      <w:pPr>
        <w:pStyle w:val="3-BodyText"/>
      </w:pPr>
      <w:bookmarkStart w:id="26" w:name="_Hlk76382618"/>
      <w:r w:rsidRPr="000F17E7">
        <w:t xml:space="preserve">The PBAC noted and welcomed the input from health professionals (7), individuals, parents, family members and caregivers of patients (21), consumer organisations (1) and specialist medical organisations (2) via the Consumer Comments facility on the PBS website. </w:t>
      </w:r>
    </w:p>
    <w:p w14:paraId="74D452F6" w14:textId="0A865735" w:rsidR="000F17E7" w:rsidRPr="000F17E7" w:rsidRDefault="000F17E7" w:rsidP="000777DE">
      <w:pPr>
        <w:pStyle w:val="3-BodyText"/>
      </w:pPr>
      <w:r w:rsidRPr="000F17E7">
        <w:t xml:space="preserve">The PBAC noted the input from health professionals that described fenfluramine as having </w:t>
      </w:r>
      <w:r w:rsidR="0077743B">
        <w:t>high-quality</w:t>
      </w:r>
      <w:r w:rsidR="0077743B" w:rsidRPr="000F17E7">
        <w:t xml:space="preserve"> </w:t>
      </w:r>
      <w:r w:rsidRPr="000F17E7">
        <w:t>evidence for reducing seizures in Dravet Syndrome and being more effective than other available treatment options</w:t>
      </w:r>
      <w:r w:rsidR="00F136BF">
        <w:t xml:space="preserve">. The health professionals considered that </w:t>
      </w:r>
      <w:r w:rsidRPr="000F17E7">
        <w:t xml:space="preserve">better seizure control </w:t>
      </w:r>
      <w:r w:rsidR="00524E9E">
        <w:t>wa</w:t>
      </w:r>
      <w:r w:rsidRPr="000F17E7">
        <w:t xml:space="preserve">s likely to have additional benefits including a reduced risk of sudden unexpected death in epilepsy (SUDEP) and the ability to reduce or cease other anti-epileptic drugs that have significant side effects. The Committee also noted the input from health professionals acknowledged the need for ongoing cardiovascular monitoring for patients while being treated with fenfluramine, and the potential for drug interactions with other agents that act on the serotonin pathway that must be managed. </w:t>
      </w:r>
    </w:p>
    <w:p w14:paraId="09D6DA09" w14:textId="4BB9EEEF" w:rsidR="000F17E7" w:rsidRPr="000F17E7" w:rsidRDefault="000F17E7" w:rsidP="000777DE">
      <w:pPr>
        <w:pStyle w:val="3-BodyText"/>
      </w:pPr>
      <w:r w:rsidRPr="000F17E7">
        <w:t>The PBAC welcomed the experiences shared by individuals, parents, family members and caregivers discussing both life with Dravet Syndrome and treatment with fenfluramine and noted consistent themes expressed including the transformative effects of treatment, including improved seizure control, improved language and cognitive development, improved physical function and motor skills. The Committee also recognised the input highlighted how fenfluramine treatment had allowed children impacted by Dravet Syndrome to be able to go outside and have a life similar to other children, as sensitivity to sun and warmer temperatures in terms of triggering seizures had diminished.</w:t>
      </w:r>
    </w:p>
    <w:p w14:paraId="06A2F50D" w14:textId="2831474B" w:rsidR="000F17E7" w:rsidRPr="000F17E7" w:rsidRDefault="000F17E7" w:rsidP="000777DE">
      <w:pPr>
        <w:pStyle w:val="3-BodyText"/>
      </w:pPr>
      <w:r w:rsidRPr="000F17E7">
        <w:t xml:space="preserve">The PBAC noted the input from the consumer group Epilepsy Action Australia supporting the listing of fenfluramine, and discussed the results of an anonymous patient survey that highlighted that patients and their caregivers were aware of fenfluramine and its positive clinical trial results, but were concerned about access to treatment and the prohibitive cost of treatment without PBS listing. The group also highlighted the annual cost without PBS listing or another funding mechanism </w:t>
      </w:r>
      <w:r w:rsidR="00995A02">
        <w:t>ranging between</w:t>
      </w:r>
      <w:r w:rsidRPr="000F17E7">
        <w:t xml:space="preserve"> $</w:t>
      </w:r>
      <w:r w:rsidR="008114C4" w:rsidRPr="008114C4">
        <w:rPr>
          <w:color w:val="000000"/>
          <w:w w:val="61"/>
          <w:shd w:val="solid" w:color="000000" w:fill="000000"/>
          <w:fitText w:val="473" w:id="-761538555"/>
          <w14:textFill>
            <w14:solidFill>
              <w14:srgbClr w14:val="000000">
                <w14:alpha w14:val="100000"/>
              </w14:srgbClr>
            </w14:solidFill>
          </w14:textFill>
        </w:rPr>
        <w:t>|||  ||</w:t>
      </w:r>
      <w:r w:rsidR="008114C4" w:rsidRPr="008114C4">
        <w:rPr>
          <w:color w:val="000000"/>
          <w:spacing w:val="3"/>
          <w:w w:val="61"/>
          <w:shd w:val="solid" w:color="000000" w:fill="000000"/>
          <w:fitText w:val="473" w:id="-761538555"/>
          <w14:textFill>
            <w14:solidFill>
              <w14:srgbClr w14:val="000000">
                <w14:alpha w14:val="100000"/>
              </w14:srgbClr>
            </w14:solidFill>
          </w14:textFill>
        </w:rPr>
        <w:t>|</w:t>
      </w:r>
      <w:r w:rsidRPr="000F17E7">
        <w:t xml:space="preserve"> for an infant on a low dose, to over $</w:t>
      </w:r>
      <w:r w:rsidR="008114C4" w:rsidRPr="00360B1C">
        <w:rPr>
          <w:color w:val="000000"/>
          <w:w w:val="61"/>
          <w:shd w:val="solid" w:color="000000" w:fill="000000"/>
          <w:fitText w:val="473" w:id="-761538554"/>
          <w14:textFill>
            <w14:solidFill>
              <w14:srgbClr w14:val="000000">
                <w14:alpha w14:val="100000"/>
              </w14:srgbClr>
            </w14:solidFill>
          </w14:textFill>
        </w:rPr>
        <w:t>|||  ||</w:t>
      </w:r>
      <w:r w:rsidR="008114C4" w:rsidRPr="00360B1C">
        <w:rPr>
          <w:color w:val="000000"/>
          <w:spacing w:val="3"/>
          <w:w w:val="61"/>
          <w:shd w:val="solid" w:color="000000" w:fill="000000"/>
          <w:fitText w:val="473" w:id="-761538554"/>
          <w14:textFill>
            <w14:solidFill>
              <w14:srgbClr w14:val="000000">
                <w14:alpha w14:val="100000"/>
              </w14:srgbClr>
            </w14:solidFill>
          </w14:textFill>
        </w:rPr>
        <w:t>|</w:t>
      </w:r>
      <w:r w:rsidRPr="000F17E7">
        <w:t xml:space="preserve"> for an adult on the maximum recommended dose.</w:t>
      </w:r>
    </w:p>
    <w:p w14:paraId="48250CF8" w14:textId="0B848EC5" w:rsidR="00B45F74" w:rsidRPr="00836F75" w:rsidRDefault="000F17E7" w:rsidP="000777DE">
      <w:pPr>
        <w:pStyle w:val="3-BodyText"/>
      </w:pPr>
      <w:r w:rsidRPr="000F17E7">
        <w:t xml:space="preserve">The PBAC acknowledged the input from the National Paediatric Medicines Forum (NPMF) and the Epilepsy Society of Australia, which both supported the listing of fenfluramine. The NMPF input included an evaluation of the available evidence for fenfluramine for Dravet Syndrome, with the organisation stating that they believe the PBS listing would be immensely </w:t>
      </w:r>
      <w:r w:rsidR="00F61466" w:rsidRPr="000F17E7">
        <w:t xml:space="preserve"> </w:t>
      </w:r>
      <w:r w:rsidRPr="000F17E7">
        <w:t xml:space="preserve">beneficial to all relevant paediatric patients. The input from the Epilepsy Society outlined that there remains a significant unmet need for </w:t>
      </w:r>
      <w:r w:rsidRPr="000F17E7">
        <w:lastRenderedPageBreak/>
        <w:t xml:space="preserve">additional effective treatment options for Dravet Syndrome, and fenfluramine has demonstrated efficacy, safety and tolerability in three randomised controlled trials, with identified improvements in convulsive seizures, quality of life and cognitive function. The input also noted the known historical risk of cardiac valvular disease and pulmonary hypertension associated with fenfluramine when used at higher doses than in the Dravet Syndrome trials, and noted that to the Society's knowledge, only one patient has had a suspected cardiac complication identified during </w:t>
      </w:r>
      <w:r w:rsidR="00BF6819">
        <w:t xml:space="preserve">a </w:t>
      </w:r>
      <w:r w:rsidRPr="000F17E7">
        <w:t xml:space="preserve">detailed follow-up and highlighted that patients currently on treatment in Australia have a well-organised approach to cardiac screening during treatment. </w:t>
      </w:r>
    </w:p>
    <w:bookmarkEnd w:id="24"/>
    <w:bookmarkEnd w:id="26"/>
    <w:p w14:paraId="2DE95D7B" w14:textId="2C9116D1" w:rsidR="00CE7338" w:rsidRPr="006B5229" w:rsidRDefault="00CE7338" w:rsidP="00CE7338">
      <w:pPr>
        <w:pStyle w:val="4-SubsectionHeading"/>
      </w:pPr>
      <w:r w:rsidRPr="006B5229">
        <w:t>Clinical trials</w:t>
      </w:r>
      <w:bookmarkEnd w:id="25"/>
    </w:p>
    <w:p w14:paraId="6CB40CE0" w14:textId="77777777" w:rsidR="00CE7338" w:rsidRPr="000777DE" w:rsidRDefault="00CE7338" w:rsidP="000777DE">
      <w:pPr>
        <w:pStyle w:val="3-BodyText"/>
      </w:pPr>
      <w:bookmarkStart w:id="27" w:name="_Ref104803956"/>
      <w:r w:rsidRPr="000777DE">
        <w:t>No head-to-head trials comparing fenfluramine (any dose) with cannabidiol (any dose) were identified. Therefore, the submission conducted a series of pairwise, frequentist indirect treatment comparisons</w:t>
      </w:r>
      <w:r w:rsidRPr="000777DE" w:rsidDel="00C03087">
        <w:t xml:space="preserve"> </w:t>
      </w:r>
      <w:r w:rsidRPr="000777DE">
        <w:t>using meta-analysed outcomes for fenfluramine and cannabidiol in comparison to placebo.</w:t>
      </w:r>
    </w:p>
    <w:p w14:paraId="525EDB5E" w14:textId="77777777" w:rsidR="00CE7338" w:rsidRPr="000777DE" w:rsidRDefault="00CE7338" w:rsidP="000777DE">
      <w:pPr>
        <w:pStyle w:val="3-BodyText"/>
      </w:pPr>
      <w:r w:rsidRPr="000777DE">
        <w:t xml:space="preserve">The submission was based on 3 randomised controlled trials that compared fenfluramine (as adjunctive therapy) to placebo in participants with Dravet Syndrome: </w:t>
      </w:r>
    </w:p>
    <w:p w14:paraId="1C1297DE" w14:textId="1E52C571" w:rsidR="00CE7338" w:rsidRPr="00550BF0" w:rsidRDefault="17959EF6" w:rsidP="000777DE">
      <w:pPr>
        <w:pStyle w:val="ListParagraph"/>
        <w:ind w:left="1134"/>
      </w:pPr>
      <w:r w:rsidRPr="00550BF0">
        <w:t>Study 1</w:t>
      </w:r>
      <w:r w:rsidR="3F74545D" w:rsidRPr="00550BF0">
        <w:t xml:space="preserve"> [N=119]</w:t>
      </w:r>
      <w:r w:rsidRPr="00550BF0">
        <w:t xml:space="preserve"> compared fenfluramine 0.7 mg/kg/day (max 26 mg/day) plus standard care, and fenfluramine 0.2 mg/kg/day plus standard care, to placebo </w:t>
      </w:r>
      <w:r w:rsidRPr="00550BF0">
        <w:rPr>
          <w:snapToGrid/>
        </w:rPr>
        <w:t>plus standard care.</w:t>
      </w:r>
      <w:r w:rsidRPr="00550BF0">
        <w:t xml:space="preserve"> </w:t>
      </w:r>
      <w:r w:rsidRPr="00550BF0">
        <w:rPr>
          <w:snapToGrid/>
        </w:rPr>
        <w:t xml:space="preserve">The participants in this study did not receive </w:t>
      </w:r>
      <w:r w:rsidRPr="00550BF0">
        <w:t xml:space="preserve">concomitant stiripentol. </w:t>
      </w:r>
    </w:p>
    <w:p w14:paraId="1058D6A6" w14:textId="38C85BAA" w:rsidR="00CE7338" w:rsidRPr="00550BF0" w:rsidRDefault="17959EF6" w:rsidP="000777DE">
      <w:pPr>
        <w:pStyle w:val="ListParagraph"/>
        <w:ind w:left="1134"/>
      </w:pPr>
      <w:r w:rsidRPr="00550BF0">
        <w:t>Study 3</w:t>
      </w:r>
      <w:r w:rsidR="6B885566" w:rsidRPr="00550BF0">
        <w:t xml:space="preserve"> [N=143]</w:t>
      </w:r>
      <w:r w:rsidRPr="00550BF0">
        <w:t xml:space="preserve"> compared fenfluramine 0.7 mg/kg/day (max 26 mg/day) plus standard care, and fenfluramine 0.2 mg/kg/day plus standard care, to placebo </w:t>
      </w:r>
      <w:r w:rsidRPr="00550BF0">
        <w:rPr>
          <w:snapToGrid/>
        </w:rPr>
        <w:t>plus standard care.</w:t>
      </w:r>
      <w:r w:rsidRPr="00550BF0">
        <w:t xml:space="preserve"> </w:t>
      </w:r>
      <w:r w:rsidRPr="00550BF0">
        <w:rPr>
          <w:snapToGrid/>
        </w:rPr>
        <w:t xml:space="preserve">The participants in this study did not receive </w:t>
      </w:r>
      <w:r w:rsidRPr="00550BF0">
        <w:t xml:space="preserve">concomitant stiripentol. </w:t>
      </w:r>
    </w:p>
    <w:p w14:paraId="08E7EF82" w14:textId="36F1D52C" w:rsidR="00CE7338" w:rsidRPr="00550BF0" w:rsidRDefault="17959EF6" w:rsidP="000777DE">
      <w:pPr>
        <w:pStyle w:val="ListParagraph"/>
        <w:ind w:left="1134"/>
      </w:pPr>
      <w:r w:rsidRPr="00550BF0" w:rsidDel="00BB1A4A">
        <w:t>Study 2</w:t>
      </w:r>
      <w:r w:rsidR="6A636197" w:rsidRPr="00550BF0" w:rsidDel="00BB1A4A">
        <w:t xml:space="preserve"> [N=87]</w:t>
      </w:r>
      <w:r w:rsidRPr="00550BF0" w:rsidDel="00BB1A4A">
        <w:t xml:space="preserve"> compared fenfluramine 0.4 mg/kg/day (max 17 mg/day) plus standard care, to placebo </w:t>
      </w:r>
      <w:r w:rsidRPr="00550BF0" w:rsidDel="00BB1A4A">
        <w:rPr>
          <w:snapToGrid/>
        </w:rPr>
        <w:t xml:space="preserve">plus standard care. All the participants in this study received </w:t>
      </w:r>
      <w:r w:rsidRPr="00550BF0" w:rsidDel="00BB1A4A">
        <w:t>concomitant stiripentol</w:t>
      </w:r>
      <w:r w:rsidRPr="00550BF0">
        <w:t xml:space="preserve">. </w:t>
      </w:r>
    </w:p>
    <w:p w14:paraId="728D5B69" w14:textId="51D918A7" w:rsidR="00A06360" w:rsidRPr="00550BF0" w:rsidRDefault="003C5675" w:rsidP="000777DE">
      <w:pPr>
        <w:pStyle w:val="ListParagraph"/>
        <w:ind w:left="1134"/>
      </w:pPr>
      <w:r w:rsidRPr="00550BF0">
        <w:t xml:space="preserve">The indirect comparisons in the submission excluded participants in the fenfluramine 0.2 mg/kg/day (without stiripentol) treatment arm as this was not a recommended maintenance dose in Australia. </w:t>
      </w:r>
    </w:p>
    <w:p w14:paraId="233E61DD" w14:textId="77777777" w:rsidR="00CE7338" w:rsidRPr="00550BF0" w:rsidRDefault="00CE7338" w:rsidP="00CE7338">
      <w:pPr>
        <w:pStyle w:val="3-BodyText"/>
      </w:pPr>
      <w:r w:rsidRPr="00550BF0">
        <w:t xml:space="preserve">The submission also presented 2 randomised controlled trials that compared cannabidiol (as adjunctive therapy) to placebo in participants with Dravet Syndrome: </w:t>
      </w:r>
    </w:p>
    <w:p w14:paraId="2B3D14C2" w14:textId="67001BC3" w:rsidR="00CE7338" w:rsidRPr="00550BF0" w:rsidRDefault="17959EF6" w:rsidP="000777DE">
      <w:pPr>
        <w:pStyle w:val="ListParagraph"/>
        <w:ind w:left="1134"/>
      </w:pPr>
      <w:r w:rsidRPr="00550BF0">
        <w:t>The GWPCARE1 Part B trial</w:t>
      </w:r>
      <w:r w:rsidR="7682EEF6" w:rsidRPr="00550BF0">
        <w:t xml:space="preserve"> [N=120]</w:t>
      </w:r>
      <w:r w:rsidRPr="00550BF0">
        <w:t xml:space="preserve"> compared cannabidiol 20 mg/kg/day </w:t>
      </w:r>
      <w:r w:rsidRPr="00550BF0">
        <w:rPr>
          <w:snapToGrid/>
        </w:rPr>
        <w:t xml:space="preserve">(plus standard care) </w:t>
      </w:r>
      <w:r w:rsidRPr="00550BF0">
        <w:t xml:space="preserve">to placebo </w:t>
      </w:r>
      <w:r w:rsidRPr="00550BF0">
        <w:rPr>
          <w:snapToGrid/>
        </w:rPr>
        <w:t xml:space="preserve">(plus standard care) </w:t>
      </w:r>
    </w:p>
    <w:p w14:paraId="6152162A" w14:textId="35A27EB8" w:rsidR="00CE7338" w:rsidRPr="00550BF0" w:rsidRDefault="17959EF6" w:rsidP="000777DE">
      <w:pPr>
        <w:pStyle w:val="ListParagraph"/>
        <w:ind w:left="1134"/>
      </w:pPr>
      <w:r w:rsidRPr="00550BF0">
        <w:t>The GWPCARE2 trial</w:t>
      </w:r>
      <w:r w:rsidR="47F11978" w:rsidRPr="00550BF0">
        <w:t xml:space="preserve"> [N=198]</w:t>
      </w:r>
      <w:r w:rsidRPr="00550BF0">
        <w:t xml:space="preserve"> compared cannabidiol 10 mg/kg/day and 20</w:t>
      </w:r>
      <w:r w:rsidR="00D65D56">
        <w:t> </w:t>
      </w:r>
      <w:r w:rsidRPr="00550BF0">
        <w:t xml:space="preserve">mg/kg/day </w:t>
      </w:r>
      <w:r w:rsidRPr="00550BF0">
        <w:rPr>
          <w:snapToGrid/>
        </w:rPr>
        <w:t xml:space="preserve">(plus standard care) </w:t>
      </w:r>
      <w:r w:rsidRPr="00550BF0">
        <w:t xml:space="preserve">to placebo </w:t>
      </w:r>
      <w:r w:rsidRPr="00550BF0">
        <w:rPr>
          <w:snapToGrid/>
        </w:rPr>
        <w:t xml:space="preserve">(plus standard care). </w:t>
      </w:r>
    </w:p>
    <w:p w14:paraId="2529323C" w14:textId="77777777" w:rsidR="00CE7338" w:rsidRPr="00550BF0" w:rsidRDefault="00CE7338" w:rsidP="00CE7338">
      <w:pPr>
        <w:pStyle w:val="3-BodyText"/>
      </w:pPr>
      <w:r w:rsidRPr="00550BF0">
        <w:t xml:space="preserve">Additionally, the submission identified 2 open-label extension studies, one for each therapy: </w:t>
      </w:r>
    </w:p>
    <w:p w14:paraId="3878EDA1" w14:textId="38FB0140" w:rsidR="00CE7338" w:rsidRPr="00550BF0" w:rsidRDefault="00CE7338" w:rsidP="000777DE">
      <w:pPr>
        <w:pStyle w:val="ListParagraph"/>
        <w:numPr>
          <w:ilvl w:val="0"/>
          <w:numId w:val="12"/>
        </w:numPr>
        <w:ind w:left="1134"/>
      </w:pPr>
      <w:r w:rsidRPr="00550BF0">
        <w:lastRenderedPageBreak/>
        <w:t xml:space="preserve">Study 1503 </w:t>
      </w:r>
      <w:r w:rsidR="003360EF" w:rsidRPr="00550BF0">
        <w:t>[</w:t>
      </w:r>
      <w:r w:rsidR="003360EF" w:rsidRPr="00550BF0">
        <w:rPr>
          <w:szCs w:val="18"/>
        </w:rPr>
        <w:t xml:space="preserve">N=375] </w:t>
      </w:r>
      <w:r w:rsidRPr="00550BF0">
        <w:rPr>
          <w:szCs w:val="18"/>
        </w:rPr>
        <w:t>enrolled participants from Study 1, Study 3 and Study 2, along with a subgroup of de novo participants (i.e. participants who were not part of the randomised controlled trial period of Study 1, 3 or 2). All the participants in this study received fenfluramine, while a few participants also received stiripentol.</w:t>
      </w:r>
      <w:r w:rsidRPr="00550BF0">
        <w:t xml:space="preserve"> </w:t>
      </w:r>
    </w:p>
    <w:p w14:paraId="12411E6B" w14:textId="0F72A0B3" w:rsidR="00CE7338" w:rsidRPr="00550BF0" w:rsidRDefault="00CE7338" w:rsidP="000777DE">
      <w:pPr>
        <w:pStyle w:val="ListParagraph"/>
        <w:ind w:left="1134"/>
      </w:pPr>
      <w:r w:rsidRPr="00550BF0">
        <w:t xml:space="preserve">The GWPCARE5 </w:t>
      </w:r>
      <w:r w:rsidR="009B3856" w:rsidRPr="00550BF0">
        <w:t>[</w:t>
      </w:r>
      <w:r w:rsidR="009B3856" w:rsidRPr="00550BF0">
        <w:rPr>
          <w:szCs w:val="18"/>
        </w:rPr>
        <w:t xml:space="preserve">N=315] </w:t>
      </w:r>
      <w:r w:rsidRPr="00550BF0">
        <w:t>open-label extension study provided long-term data on participants enrolled in the GWPCARE1 and GWPCARE2, where the average dose of cannabidiol was more than 20 mg/kg/day.</w:t>
      </w:r>
    </w:p>
    <w:p w14:paraId="6738BC0C" w14:textId="438208F6" w:rsidR="00CE7338" w:rsidRPr="00550BF0" w:rsidRDefault="00CE7338" w:rsidP="00CE7338">
      <w:pPr>
        <w:pStyle w:val="3-BodyText"/>
      </w:pPr>
      <w:r w:rsidRPr="00550BF0">
        <w:t>The submission described 2 randomised controlled trials comparing stiripentol to placebo:</w:t>
      </w:r>
    </w:p>
    <w:p w14:paraId="0692F5A6" w14:textId="20C74526" w:rsidR="00CE7338" w:rsidRPr="00550BF0" w:rsidRDefault="17959EF6" w:rsidP="000777DE">
      <w:pPr>
        <w:pStyle w:val="ListParagraph"/>
        <w:ind w:left="1134"/>
      </w:pPr>
      <w:r w:rsidRPr="00550BF0">
        <w:t>The STICLO-France trial</w:t>
      </w:r>
      <w:r w:rsidR="34EA5FCA" w:rsidRPr="00550BF0">
        <w:t xml:space="preserve"> [N=41]</w:t>
      </w:r>
      <w:r w:rsidRPr="00550BF0">
        <w:t xml:space="preserve"> compared stiripentol 50 mg/kg/day (plus standard care) to placebo (plus standard care)</w:t>
      </w:r>
      <w:r w:rsidR="12AEED13" w:rsidRPr="00550BF0">
        <w:t>.</w:t>
      </w:r>
    </w:p>
    <w:p w14:paraId="4EE69A40" w14:textId="0692364A" w:rsidR="00CE7338" w:rsidRPr="00550BF0" w:rsidRDefault="17959EF6" w:rsidP="000777DE">
      <w:pPr>
        <w:pStyle w:val="ListParagraph"/>
        <w:ind w:left="1134"/>
      </w:pPr>
      <w:r w:rsidRPr="00550BF0">
        <w:t>The STICLO-Italy trial</w:t>
      </w:r>
      <w:r w:rsidR="52BFF573" w:rsidRPr="00550BF0">
        <w:t xml:space="preserve"> [N=23]</w:t>
      </w:r>
      <w:r w:rsidRPr="00550BF0">
        <w:t xml:space="preserve"> compared stiripentol 50 mg/kg/day (plus standard care) to placebo (plus standard care)</w:t>
      </w:r>
      <w:r w:rsidR="0EF2A384" w:rsidRPr="00550BF0">
        <w:t>.</w:t>
      </w:r>
    </w:p>
    <w:p w14:paraId="208899C9" w14:textId="169A0BC8" w:rsidR="003A64FC" w:rsidRPr="00550BF0" w:rsidRDefault="00DA2775" w:rsidP="003A64FC">
      <w:pPr>
        <w:pStyle w:val="3-BodyText"/>
      </w:pPr>
      <w:r w:rsidRPr="00550BF0">
        <w:t>Standard care</w:t>
      </w:r>
      <w:r w:rsidR="003A64FC" w:rsidRPr="00550BF0">
        <w:t xml:space="preserve"> in the fenfluramine and cannabidiol trials </w:t>
      </w:r>
      <w:r w:rsidRPr="00550BF0">
        <w:t xml:space="preserve">comprised </w:t>
      </w:r>
      <w:r w:rsidR="0005015E">
        <w:t xml:space="preserve">of </w:t>
      </w:r>
      <w:r w:rsidR="003A64FC" w:rsidRPr="00550BF0">
        <w:t xml:space="preserve">existing </w:t>
      </w:r>
      <w:r w:rsidR="00DB3F4E" w:rsidRPr="00550BF0">
        <w:t>AEDs</w:t>
      </w:r>
      <w:r w:rsidR="003A64FC" w:rsidRPr="00550BF0">
        <w:t xml:space="preserve"> or non-pharmacologic treatments.</w:t>
      </w:r>
      <w:r w:rsidRPr="00550BF0">
        <w:t xml:space="preserve"> Standard care in the stiripentol trials comprised </w:t>
      </w:r>
      <w:r w:rsidR="00D15B17">
        <w:t xml:space="preserve">of </w:t>
      </w:r>
      <w:r w:rsidRPr="00550BF0">
        <w:t>valproate and clobazam.</w:t>
      </w:r>
    </w:p>
    <w:p w14:paraId="7FB864E2" w14:textId="1C0AD13D" w:rsidR="00CE7338" w:rsidRPr="00550BF0" w:rsidRDefault="00CE7338" w:rsidP="00CE7338">
      <w:pPr>
        <w:pStyle w:val="3-BodyText"/>
        <w:spacing w:line="259" w:lineRule="auto"/>
      </w:pPr>
      <w:r w:rsidRPr="00550BF0">
        <w:t>The submission also identified 12 systematic reviews and meta-analyses— 7 network meta-analyses presented comparative efficacy and safety of fenfluramine, cannabidiol and stiripentol, 2 meta-analyses compared the efficacy of fenfluramine vs placebo, and 3 meta-analyses compared the efficacy of cannabidiol vs placebo.</w:t>
      </w:r>
    </w:p>
    <w:p w14:paraId="05DC7E13" w14:textId="0B6B586D" w:rsidR="00712F4B" w:rsidRPr="00550BF0" w:rsidRDefault="00712F4B" w:rsidP="00CE7338">
      <w:pPr>
        <w:pStyle w:val="3-BodyText"/>
        <w:spacing w:line="259" w:lineRule="auto"/>
      </w:pPr>
      <w:r w:rsidRPr="00550BF0">
        <w:t>The PBAC has previously considered the cannabidiol trials GWPCARE1, GWPCARE2, and GWPCARE5 (para. 6.8, cannabidiol, PSD, July 2020 PBAC Meeting) and the stiripentol trials STICLO-France and STICLO-Italy (para. 6.4, stiripentol, PSD, March</w:t>
      </w:r>
      <w:r w:rsidR="00D65D56">
        <w:t> </w:t>
      </w:r>
      <w:r w:rsidRPr="00550BF0">
        <w:t>2020 PBAC Meeting).</w:t>
      </w:r>
    </w:p>
    <w:p w14:paraId="600337EC" w14:textId="6E7464EA" w:rsidR="00CE7338" w:rsidRPr="00550BF0" w:rsidRDefault="00CE7338" w:rsidP="00CE7338">
      <w:pPr>
        <w:pStyle w:val="3-BodyText"/>
        <w:spacing w:line="259" w:lineRule="auto"/>
      </w:pPr>
      <w:r w:rsidRPr="00550BF0">
        <w:t xml:space="preserve">Details of the trials and studies presented in the submission are provided in </w:t>
      </w:r>
      <w:r w:rsidR="0034078A" w:rsidRPr="00550BF0">
        <w:fldChar w:fldCharType="begin" w:fldLock="1"/>
      </w:r>
      <w:r w:rsidR="0034078A" w:rsidRPr="00550BF0">
        <w:instrText xml:space="preserve"> REF _Ref174721831 \h </w:instrText>
      </w:r>
      <w:r w:rsidR="006A25BF" w:rsidRPr="00550BF0">
        <w:instrText xml:space="preserve"> \* MERGEFORMAT </w:instrText>
      </w:r>
      <w:r w:rsidR="0034078A" w:rsidRPr="00550BF0">
        <w:fldChar w:fldCharType="separate"/>
      </w:r>
      <w:r w:rsidR="00D72887" w:rsidRPr="006A25BF">
        <w:t xml:space="preserve">Table </w:t>
      </w:r>
      <w:r w:rsidR="00D72887">
        <w:rPr>
          <w:noProof/>
        </w:rPr>
        <w:t>2</w:t>
      </w:r>
      <w:r w:rsidR="0034078A" w:rsidRPr="00550BF0">
        <w:fldChar w:fldCharType="end"/>
      </w:r>
      <w:r w:rsidRPr="00550BF0">
        <w:t xml:space="preserve">. </w:t>
      </w:r>
    </w:p>
    <w:p w14:paraId="76854275" w14:textId="4F10E707" w:rsidR="00CE7338" w:rsidRPr="006A25BF" w:rsidRDefault="00CE7338" w:rsidP="00D65D56">
      <w:pPr>
        <w:pStyle w:val="TableFigureHeading"/>
        <w:rPr>
          <w:rStyle w:val="CommentReference"/>
          <w:b/>
          <w:szCs w:val="24"/>
        </w:rPr>
      </w:pPr>
      <w:bookmarkStart w:id="28" w:name="_Ref174721831"/>
      <w:bookmarkEnd w:id="27"/>
      <w:r w:rsidRPr="006A25BF">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2</w:t>
      </w:r>
      <w:r w:rsidR="00D72887">
        <w:rPr>
          <w:noProof/>
        </w:rPr>
        <w:fldChar w:fldCharType="end"/>
      </w:r>
      <w:bookmarkEnd w:id="28"/>
      <w:r w:rsidRPr="006A25BF">
        <w:t>:</w:t>
      </w:r>
      <w:r w:rsidRPr="006A25BF">
        <w:rPr>
          <w:rStyle w:val="CommentReference"/>
          <w:b/>
          <w:szCs w:val="24"/>
        </w:rPr>
        <w:t xml:space="preserve"> Trials,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9"/>
        <w:gridCol w:w="5489"/>
        <w:gridCol w:w="2359"/>
      </w:tblGrid>
      <w:tr w:rsidR="006B5229" w:rsidRPr="006A25BF" w14:paraId="380DCB97" w14:textId="77777777" w:rsidTr="005C5842">
        <w:trPr>
          <w:tblHeader/>
        </w:trPr>
        <w:tc>
          <w:tcPr>
            <w:tcW w:w="648" w:type="pct"/>
            <w:shd w:val="clear" w:color="auto" w:fill="auto"/>
            <w:vAlign w:val="center"/>
          </w:tcPr>
          <w:p w14:paraId="715367A8" w14:textId="77777777" w:rsidR="00CE7338" w:rsidRPr="006A25BF" w:rsidRDefault="00CE7338" w:rsidP="00D65D56">
            <w:pPr>
              <w:pStyle w:val="In-tableHeading"/>
              <w:rPr>
                <w:lang w:val="en-AU"/>
              </w:rPr>
            </w:pPr>
            <w:r w:rsidRPr="006A25BF">
              <w:rPr>
                <w:lang w:val="en-AU"/>
              </w:rPr>
              <w:t>Trial ID</w:t>
            </w:r>
          </w:p>
        </w:tc>
        <w:tc>
          <w:tcPr>
            <w:tcW w:w="3044" w:type="pct"/>
            <w:shd w:val="clear" w:color="auto" w:fill="auto"/>
            <w:vAlign w:val="center"/>
          </w:tcPr>
          <w:p w14:paraId="27BC7A44" w14:textId="77777777" w:rsidR="00CE7338" w:rsidRPr="006A25BF" w:rsidRDefault="00CE7338" w:rsidP="00D65D56">
            <w:pPr>
              <w:pStyle w:val="In-tableHeading"/>
              <w:rPr>
                <w:lang w:val="en-AU"/>
              </w:rPr>
            </w:pPr>
            <w:r w:rsidRPr="006A25BF">
              <w:rPr>
                <w:lang w:val="en-AU"/>
              </w:rPr>
              <w:t>Publication title</w:t>
            </w:r>
          </w:p>
        </w:tc>
        <w:tc>
          <w:tcPr>
            <w:tcW w:w="1308" w:type="pct"/>
            <w:shd w:val="clear" w:color="auto" w:fill="auto"/>
            <w:vAlign w:val="center"/>
          </w:tcPr>
          <w:p w14:paraId="04AB3B47" w14:textId="77777777" w:rsidR="00CE7338" w:rsidRPr="006A25BF" w:rsidRDefault="00CE7338" w:rsidP="00D65D56">
            <w:pPr>
              <w:pStyle w:val="In-tableHeading"/>
              <w:rPr>
                <w:lang w:val="en-AU"/>
              </w:rPr>
            </w:pPr>
            <w:r w:rsidRPr="006A25BF">
              <w:rPr>
                <w:lang w:val="en-AU"/>
              </w:rPr>
              <w:t>Publication citation</w:t>
            </w:r>
          </w:p>
        </w:tc>
      </w:tr>
      <w:tr w:rsidR="006B5229" w:rsidRPr="006A25BF" w14:paraId="60088849" w14:textId="77777777" w:rsidTr="005C5842">
        <w:tc>
          <w:tcPr>
            <w:tcW w:w="5000" w:type="pct"/>
            <w:gridSpan w:val="3"/>
            <w:shd w:val="clear" w:color="auto" w:fill="auto"/>
            <w:vAlign w:val="center"/>
          </w:tcPr>
          <w:p w14:paraId="04482D8F" w14:textId="77777777" w:rsidR="00CE7338" w:rsidRPr="006A25BF" w:rsidRDefault="00CE7338" w:rsidP="00D65D56">
            <w:pPr>
              <w:pStyle w:val="In-tableHeading"/>
              <w:widowControl w:val="0"/>
              <w:rPr>
                <w:lang w:val="en-AU"/>
              </w:rPr>
            </w:pPr>
            <w:r w:rsidRPr="006A25BF">
              <w:rPr>
                <w:lang w:val="en-AU"/>
              </w:rPr>
              <w:t xml:space="preserve">Fenfluramine trials </w:t>
            </w:r>
          </w:p>
        </w:tc>
      </w:tr>
      <w:tr w:rsidR="00CB6A17" w:rsidRPr="006A25BF" w14:paraId="46F93577" w14:textId="77777777" w:rsidTr="005C5842">
        <w:trPr>
          <w:trHeight w:val="640"/>
        </w:trPr>
        <w:tc>
          <w:tcPr>
            <w:tcW w:w="648" w:type="pct"/>
            <w:vMerge w:val="restart"/>
            <w:tcBorders>
              <w:top w:val="nil"/>
            </w:tcBorders>
            <w:shd w:val="clear" w:color="auto" w:fill="auto"/>
            <w:vAlign w:val="center"/>
          </w:tcPr>
          <w:p w14:paraId="42614158" w14:textId="77777777" w:rsidR="00CB6A17" w:rsidRPr="006A25BF" w:rsidRDefault="00CB6A17" w:rsidP="00D65D56">
            <w:pPr>
              <w:pStyle w:val="TableText0"/>
              <w:widowControl w:val="0"/>
            </w:pPr>
            <w:r w:rsidRPr="006A25BF">
              <w:t>Study 1</w:t>
            </w:r>
          </w:p>
          <w:p w14:paraId="2814AB3B" w14:textId="77777777" w:rsidR="00CB6A17" w:rsidRPr="006A25BF" w:rsidRDefault="00CB6A17" w:rsidP="00D65D56">
            <w:pPr>
              <w:pStyle w:val="TableText0"/>
              <w:widowControl w:val="0"/>
            </w:pPr>
            <w:r w:rsidRPr="006A25BF">
              <w:t>ZX008-1501/1502</w:t>
            </w:r>
          </w:p>
          <w:p w14:paraId="3BF9BD3E" w14:textId="77777777" w:rsidR="00CB6A17" w:rsidRPr="006A25BF" w:rsidRDefault="00CB6A17" w:rsidP="00D65D56">
            <w:pPr>
              <w:pStyle w:val="TableText0"/>
              <w:widowControl w:val="0"/>
            </w:pPr>
            <w:r w:rsidRPr="006A25BF">
              <w:t>NCT02682927</w:t>
            </w:r>
          </w:p>
          <w:p w14:paraId="76DDBFF3" w14:textId="77777777" w:rsidR="00CB6A17" w:rsidRPr="006A25BF" w:rsidRDefault="00CB6A17" w:rsidP="00D65D56">
            <w:pPr>
              <w:pStyle w:val="TableText0"/>
              <w:widowControl w:val="0"/>
            </w:pPr>
            <w:r w:rsidRPr="006A25BF">
              <w:t>NCT02826863</w:t>
            </w:r>
          </w:p>
          <w:p w14:paraId="3419B19B" w14:textId="77777777" w:rsidR="00CB6A17" w:rsidRPr="006A25BF" w:rsidRDefault="00CB6A17" w:rsidP="00D65D56">
            <w:pPr>
              <w:pStyle w:val="TableText0"/>
              <w:widowControl w:val="0"/>
            </w:pPr>
            <w:r w:rsidRPr="006A25BF">
              <w:t>EUCTR2015-004167-37</w:t>
            </w:r>
          </w:p>
        </w:tc>
        <w:tc>
          <w:tcPr>
            <w:tcW w:w="3044" w:type="pct"/>
            <w:tcBorders>
              <w:top w:val="nil"/>
              <w:bottom w:val="nil"/>
            </w:tcBorders>
            <w:shd w:val="clear" w:color="auto" w:fill="auto"/>
            <w:vAlign w:val="center"/>
          </w:tcPr>
          <w:p w14:paraId="58BF698A" w14:textId="49A69079" w:rsidR="00CB6A17" w:rsidRPr="006A25BF" w:rsidRDefault="00CB6A17" w:rsidP="00D65D56">
            <w:pPr>
              <w:pStyle w:val="TableText0"/>
              <w:widowControl w:val="0"/>
              <w:rPr>
                <w:szCs w:val="18"/>
              </w:rPr>
            </w:pPr>
            <w:r w:rsidRPr="006A25BF">
              <w:rPr>
                <w:szCs w:val="18"/>
              </w:rPr>
              <w:t>A Multicentre, Randomised, Double-blind, Parallel Group, Placebo-controlled Trial of Two Fixed Doses of ZX008 (Fenfluramine Hydrochloride) Oral Solution as an Adjunctive Therapy in Children and Young Adults with Dravet Syndrome.</w:t>
            </w:r>
          </w:p>
        </w:tc>
        <w:tc>
          <w:tcPr>
            <w:tcW w:w="1308" w:type="pct"/>
            <w:tcBorders>
              <w:top w:val="nil"/>
              <w:bottom w:val="nil"/>
            </w:tcBorders>
            <w:shd w:val="clear" w:color="auto" w:fill="auto"/>
          </w:tcPr>
          <w:p w14:paraId="4240B1FE" w14:textId="77777777" w:rsidR="00CB6A17" w:rsidRPr="006A25BF" w:rsidRDefault="00CB6A17" w:rsidP="00D65D56">
            <w:pPr>
              <w:pStyle w:val="TableText0"/>
              <w:widowControl w:val="0"/>
              <w:rPr>
                <w:szCs w:val="18"/>
              </w:rPr>
            </w:pPr>
            <w:r w:rsidRPr="006A25BF">
              <w:rPr>
                <w:szCs w:val="18"/>
              </w:rPr>
              <w:t>Zogenix Clinical Study Report 28 August 2019</w:t>
            </w:r>
          </w:p>
        </w:tc>
      </w:tr>
      <w:tr w:rsidR="00CB6A17" w:rsidRPr="006A25BF" w14:paraId="6F447641" w14:textId="77777777" w:rsidTr="005C5842">
        <w:trPr>
          <w:trHeight w:val="415"/>
        </w:trPr>
        <w:tc>
          <w:tcPr>
            <w:tcW w:w="648" w:type="pct"/>
            <w:vMerge/>
            <w:tcBorders>
              <w:bottom w:val="nil"/>
            </w:tcBorders>
            <w:shd w:val="clear" w:color="auto" w:fill="auto"/>
            <w:vAlign w:val="center"/>
          </w:tcPr>
          <w:p w14:paraId="6184E80D" w14:textId="77777777" w:rsidR="00CB6A17" w:rsidRPr="006A25BF" w:rsidRDefault="00CB6A17" w:rsidP="00D65D56">
            <w:pPr>
              <w:pStyle w:val="TableText0"/>
              <w:widowControl w:val="0"/>
            </w:pPr>
          </w:p>
        </w:tc>
        <w:tc>
          <w:tcPr>
            <w:tcW w:w="3044" w:type="pct"/>
            <w:tcBorders>
              <w:top w:val="nil"/>
              <w:bottom w:val="nil"/>
            </w:tcBorders>
            <w:shd w:val="clear" w:color="auto" w:fill="auto"/>
            <w:vAlign w:val="center"/>
          </w:tcPr>
          <w:p w14:paraId="42C7220D" w14:textId="77777777" w:rsidR="00CB6A17" w:rsidRPr="006A25BF" w:rsidRDefault="00CB6A17" w:rsidP="00D65D56">
            <w:pPr>
              <w:pStyle w:val="TableText0"/>
              <w:widowControl w:val="0"/>
              <w:rPr>
                <w:szCs w:val="18"/>
              </w:rPr>
            </w:pPr>
            <w:r w:rsidRPr="006A25BF">
              <w:rPr>
                <w:szCs w:val="18"/>
              </w:rPr>
              <w:t>Lagae L, Sullivan J, Knupp K, Laux L, Polster T, Nikanorova M, et al. Fenfluramine hydrochloride for the treatment of seizures in Dravet syndrome: a randomised, double-blind, placebo-controlled trial.</w:t>
            </w:r>
          </w:p>
        </w:tc>
        <w:tc>
          <w:tcPr>
            <w:tcW w:w="1308" w:type="pct"/>
            <w:tcBorders>
              <w:top w:val="nil"/>
              <w:bottom w:val="nil"/>
            </w:tcBorders>
            <w:shd w:val="clear" w:color="auto" w:fill="auto"/>
          </w:tcPr>
          <w:p w14:paraId="6C7212B4" w14:textId="77777777" w:rsidR="00CB6A17" w:rsidRPr="006A25BF" w:rsidRDefault="00CB6A17" w:rsidP="00D65D56">
            <w:pPr>
              <w:pStyle w:val="TableText0"/>
              <w:widowControl w:val="0"/>
              <w:rPr>
                <w:szCs w:val="18"/>
              </w:rPr>
            </w:pPr>
            <w:r w:rsidRPr="006A25BF">
              <w:rPr>
                <w:szCs w:val="18"/>
              </w:rPr>
              <w:t>Lancet. 2019;394(10216):2243-54.</w:t>
            </w:r>
          </w:p>
        </w:tc>
      </w:tr>
      <w:tr w:rsidR="00CB6A17" w:rsidRPr="006A25BF" w14:paraId="6C900AF2" w14:textId="77777777" w:rsidTr="005C5842">
        <w:trPr>
          <w:trHeight w:val="565"/>
        </w:trPr>
        <w:tc>
          <w:tcPr>
            <w:tcW w:w="648" w:type="pct"/>
            <w:vMerge w:val="restart"/>
            <w:shd w:val="clear" w:color="auto" w:fill="auto"/>
            <w:vAlign w:val="center"/>
          </w:tcPr>
          <w:p w14:paraId="01CCE8C4" w14:textId="2D0E71A1" w:rsidR="00CB6A17" w:rsidRPr="006A25BF" w:rsidRDefault="00CB6A17">
            <w:pPr>
              <w:pStyle w:val="TableText0"/>
              <w:widowControl w:val="0"/>
            </w:pPr>
            <w:r w:rsidRPr="006A25BF">
              <w:t>Study 3ZX008-1501/1502</w:t>
            </w:r>
          </w:p>
          <w:p w14:paraId="2D0A6612" w14:textId="77777777" w:rsidR="00CB6A17" w:rsidRPr="006A25BF" w:rsidRDefault="00CB6A17">
            <w:pPr>
              <w:pStyle w:val="TableText0"/>
              <w:widowControl w:val="0"/>
            </w:pPr>
            <w:r w:rsidRPr="006A25BF">
              <w:t>NCT02682927</w:t>
            </w:r>
          </w:p>
          <w:p w14:paraId="02FA833B" w14:textId="77777777" w:rsidR="00CB6A17" w:rsidRPr="006A25BF" w:rsidRDefault="00CB6A17">
            <w:pPr>
              <w:pStyle w:val="TableText0"/>
              <w:widowControl w:val="0"/>
            </w:pPr>
            <w:r w:rsidRPr="006A25BF">
              <w:t>NCT02826863</w:t>
            </w:r>
          </w:p>
          <w:p w14:paraId="413C56A0" w14:textId="5F892BE0" w:rsidR="00CB6A17" w:rsidRPr="006A25BF" w:rsidRDefault="00CB6A17" w:rsidP="00253F67">
            <w:pPr>
              <w:pStyle w:val="TableText0"/>
              <w:widowControl w:val="0"/>
            </w:pPr>
            <w:r w:rsidRPr="006A25BF">
              <w:t>EUCTR2015-004167-37</w:t>
            </w:r>
          </w:p>
        </w:tc>
        <w:tc>
          <w:tcPr>
            <w:tcW w:w="3044" w:type="pct"/>
            <w:tcBorders>
              <w:bottom w:val="nil"/>
            </w:tcBorders>
            <w:shd w:val="clear" w:color="auto" w:fill="auto"/>
            <w:vAlign w:val="center"/>
          </w:tcPr>
          <w:p w14:paraId="42D4133D" w14:textId="77777777" w:rsidR="00CB6A17" w:rsidRPr="006A25BF" w:rsidRDefault="00CB6A17">
            <w:pPr>
              <w:pStyle w:val="TableText0"/>
              <w:keepNext w:val="0"/>
              <w:widowControl w:val="0"/>
            </w:pPr>
            <w:r w:rsidRPr="006A25BF">
              <w:rPr>
                <w:szCs w:val="18"/>
              </w:rPr>
              <w:t>A Multicentre, Randomised, Double-blind, Parallel Group, Placebo-controlled Trial of Two Fixed Doses of ZX008 (Fenfluramine Hydrochloride) Oral Solution as an Adjunctive Therapy in Children and Young Adults with Dravet Syndrome.</w:t>
            </w:r>
          </w:p>
        </w:tc>
        <w:tc>
          <w:tcPr>
            <w:tcW w:w="1308" w:type="pct"/>
            <w:tcBorders>
              <w:bottom w:val="nil"/>
            </w:tcBorders>
            <w:shd w:val="clear" w:color="auto" w:fill="auto"/>
          </w:tcPr>
          <w:p w14:paraId="5CF2E034" w14:textId="77777777" w:rsidR="00CB6A17" w:rsidRPr="006A25BF" w:rsidRDefault="00CB6A17" w:rsidP="00CB6A17">
            <w:pPr>
              <w:pStyle w:val="TableText0"/>
              <w:keepNext w:val="0"/>
              <w:widowControl w:val="0"/>
            </w:pPr>
            <w:r w:rsidRPr="006A25BF">
              <w:rPr>
                <w:szCs w:val="18"/>
              </w:rPr>
              <w:t>Zogenix Clinical Study Report 12 November 2021</w:t>
            </w:r>
          </w:p>
        </w:tc>
      </w:tr>
      <w:tr w:rsidR="00CB6A17" w:rsidRPr="006A25BF" w14:paraId="28D270A4" w14:textId="77777777" w:rsidTr="005C5842">
        <w:trPr>
          <w:trHeight w:val="635"/>
        </w:trPr>
        <w:tc>
          <w:tcPr>
            <w:tcW w:w="648" w:type="pct"/>
            <w:vMerge/>
            <w:tcBorders>
              <w:bottom w:val="single" w:sz="4" w:space="0" w:color="auto"/>
            </w:tcBorders>
            <w:shd w:val="clear" w:color="auto" w:fill="auto"/>
            <w:vAlign w:val="center"/>
          </w:tcPr>
          <w:p w14:paraId="451E85C1" w14:textId="7AB4B692" w:rsidR="00CB6A17" w:rsidRPr="006A25BF" w:rsidRDefault="00CB6A17">
            <w:pPr>
              <w:pStyle w:val="TableText0"/>
              <w:keepNext w:val="0"/>
              <w:widowControl w:val="0"/>
            </w:pPr>
          </w:p>
        </w:tc>
        <w:tc>
          <w:tcPr>
            <w:tcW w:w="3044" w:type="pct"/>
            <w:tcBorders>
              <w:top w:val="nil"/>
              <w:bottom w:val="single" w:sz="4" w:space="0" w:color="auto"/>
            </w:tcBorders>
            <w:shd w:val="clear" w:color="auto" w:fill="auto"/>
            <w:vAlign w:val="center"/>
          </w:tcPr>
          <w:p w14:paraId="3EFE1574" w14:textId="7422AF3E" w:rsidR="00CB6A17" w:rsidRPr="00F443D0" w:rsidRDefault="00E37D2D">
            <w:pPr>
              <w:pStyle w:val="TableText0"/>
              <w:keepNext w:val="0"/>
              <w:widowControl w:val="0"/>
              <w:rPr>
                <w:szCs w:val="18"/>
              </w:rPr>
            </w:pPr>
            <w:r w:rsidRPr="00F443D0">
              <w:rPr>
                <w:szCs w:val="18"/>
              </w:rPr>
              <w:t>Sullivan J, Lagae L, Cross J.H</w:t>
            </w:r>
            <w:r w:rsidR="00CB6A17" w:rsidRPr="00F443D0">
              <w:rPr>
                <w:szCs w:val="18"/>
              </w:rPr>
              <w:t xml:space="preserve"> et al. </w:t>
            </w:r>
            <w:r w:rsidRPr="00F443D0">
              <w:rPr>
                <w:szCs w:val="18"/>
              </w:rPr>
              <w:t>Fenfluramine in the treatment of Dravet syndrome: Results of a third randomized, placebo-controlled clinical trial.</w:t>
            </w:r>
          </w:p>
        </w:tc>
        <w:tc>
          <w:tcPr>
            <w:tcW w:w="1308" w:type="pct"/>
            <w:tcBorders>
              <w:top w:val="nil"/>
              <w:bottom w:val="single" w:sz="4" w:space="0" w:color="auto"/>
            </w:tcBorders>
            <w:shd w:val="clear" w:color="auto" w:fill="auto"/>
          </w:tcPr>
          <w:p w14:paraId="3489E2E6" w14:textId="25E8DC23" w:rsidR="00CB6A17" w:rsidRPr="00F443D0" w:rsidRDefault="00E37D2D" w:rsidP="00CB6A17">
            <w:pPr>
              <w:pStyle w:val="TableText0"/>
              <w:keepNext w:val="0"/>
              <w:widowControl w:val="0"/>
            </w:pPr>
            <w:r w:rsidRPr="00F443D0">
              <w:rPr>
                <w:szCs w:val="18"/>
              </w:rPr>
              <w:t>Epilepsia, 64(10), 2653–2666.</w:t>
            </w:r>
          </w:p>
        </w:tc>
      </w:tr>
      <w:tr w:rsidR="00CB6A17" w:rsidRPr="006A25BF" w14:paraId="0EB910B8" w14:textId="77777777" w:rsidTr="005C5842">
        <w:trPr>
          <w:trHeight w:val="1048"/>
        </w:trPr>
        <w:tc>
          <w:tcPr>
            <w:tcW w:w="648" w:type="pct"/>
            <w:vMerge w:val="restart"/>
            <w:shd w:val="clear" w:color="auto" w:fill="auto"/>
            <w:vAlign w:val="center"/>
          </w:tcPr>
          <w:p w14:paraId="2C380A50" w14:textId="77777777" w:rsidR="00CB6A17" w:rsidRPr="006A25BF" w:rsidRDefault="00CB6A17">
            <w:pPr>
              <w:pStyle w:val="TableText0"/>
              <w:keepNext w:val="0"/>
              <w:widowControl w:val="0"/>
            </w:pPr>
            <w:r w:rsidRPr="006A25BF">
              <w:t>Study 2</w:t>
            </w:r>
          </w:p>
          <w:p w14:paraId="7CF06485" w14:textId="77777777" w:rsidR="00CB6A17" w:rsidRPr="006A25BF" w:rsidRDefault="00CB6A17">
            <w:pPr>
              <w:pStyle w:val="TableText0"/>
              <w:widowControl w:val="0"/>
            </w:pPr>
            <w:r w:rsidRPr="006A25BF">
              <w:t>ZX008-1504</w:t>
            </w:r>
          </w:p>
          <w:p w14:paraId="2D4D2AC5" w14:textId="77777777" w:rsidR="00CB6A17" w:rsidRPr="006A25BF" w:rsidRDefault="00CB6A17">
            <w:pPr>
              <w:pStyle w:val="TableText0"/>
              <w:widowControl w:val="0"/>
            </w:pPr>
            <w:r w:rsidRPr="006A25BF">
              <w:t>NCT02926898</w:t>
            </w:r>
          </w:p>
          <w:p w14:paraId="046E8323" w14:textId="77777777" w:rsidR="00CB6A17" w:rsidRPr="006A25BF" w:rsidRDefault="00CB6A17">
            <w:pPr>
              <w:pStyle w:val="TableText0"/>
              <w:keepNext w:val="0"/>
              <w:widowControl w:val="0"/>
            </w:pPr>
            <w:r w:rsidRPr="006A25BF">
              <w:t>EUCTR2016-000474-38</w:t>
            </w:r>
          </w:p>
        </w:tc>
        <w:tc>
          <w:tcPr>
            <w:tcW w:w="3044" w:type="pct"/>
            <w:tcBorders>
              <w:bottom w:val="nil"/>
            </w:tcBorders>
            <w:shd w:val="clear" w:color="auto" w:fill="auto"/>
            <w:vAlign w:val="center"/>
          </w:tcPr>
          <w:p w14:paraId="1EA998B4" w14:textId="77777777" w:rsidR="00CB6A17" w:rsidRPr="006A25BF" w:rsidRDefault="00CB6A17">
            <w:pPr>
              <w:pStyle w:val="TableText0"/>
              <w:keepNext w:val="0"/>
              <w:widowControl w:val="0"/>
            </w:pPr>
            <w:r w:rsidRPr="006A25BF">
              <w:t>A Multicentre, Randomised, Double-blind, Parallel Group, Placebo-controlled Evaluation of the Efficacy, Safety, and Tolerability of ZX008 (Fenfluramine Hydrochloride) Oral Solution, as Adjunctive Antiepileptic Therapy to Stiripentol Treatment in Children and Young Adults with Dravet Syndrome</w:t>
            </w:r>
          </w:p>
        </w:tc>
        <w:tc>
          <w:tcPr>
            <w:tcW w:w="1308" w:type="pct"/>
            <w:tcBorders>
              <w:bottom w:val="nil"/>
            </w:tcBorders>
            <w:shd w:val="clear" w:color="auto" w:fill="auto"/>
          </w:tcPr>
          <w:p w14:paraId="6B53F3B3" w14:textId="77777777" w:rsidR="00CB6A17" w:rsidRPr="006A25BF" w:rsidRDefault="00CB6A17" w:rsidP="00CB6A17">
            <w:pPr>
              <w:pStyle w:val="TableText0"/>
              <w:keepNext w:val="0"/>
              <w:widowControl w:val="0"/>
            </w:pPr>
            <w:r w:rsidRPr="006A25BF">
              <w:rPr>
                <w:szCs w:val="18"/>
              </w:rPr>
              <w:t>Zogenix Clinical Study Report 21 December 2018</w:t>
            </w:r>
          </w:p>
        </w:tc>
      </w:tr>
      <w:tr w:rsidR="00CB6A17" w:rsidRPr="006A25BF" w14:paraId="421B5DBF" w14:textId="77777777" w:rsidTr="005C5842">
        <w:tc>
          <w:tcPr>
            <w:tcW w:w="648" w:type="pct"/>
            <w:vMerge/>
            <w:tcBorders>
              <w:bottom w:val="nil"/>
            </w:tcBorders>
            <w:shd w:val="clear" w:color="auto" w:fill="auto"/>
            <w:vAlign w:val="center"/>
          </w:tcPr>
          <w:p w14:paraId="6CC30B87" w14:textId="77777777" w:rsidR="00CB6A17" w:rsidRPr="006A25BF" w:rsidRDefault="00CB6A17">
            <w:pPr>
              <w:pStyle w:val="TableText0"/>
              <w:keepNext w:val="0"/>
              <w:widowControl w:val="0"/>
            </w:pPr>
          </w:p>
        </w:tc>
        <w:tc>
          <w:tcPr>
            <w:tcW w:w="3044" w:type="pct"/>
            <w:tcBorders>
              <w:top w:val="nil"/>
              <w:bottom w:val="nil"/>
            </w:tcBorders>
            <w:shd w:val="clear" w:color="auto" w:fill="auto"/>
            <w:vAlign w:val="center"/>
          </w:tcPr>
          <w:p w14:paraId="119E2C16" w14:textId="77777777" w:rsidR="00CB6A17" w:rsidRPr="006A25BF" w:rsidRDefault="00CB6A17">
            <w:pPr>
              <w:pStyle w:val="TableText0"/>
              <w:keepNext w:val="0"/>
              <w:widowControl w:val="0"/>
              <w:rPr>
                <w:szCs w:val="18"/>
              </w:rPr>
            </w:pPr>
            <w:r w:rsidRPr="006A25BF">
              <w:t xml:space="preserve">Nabbout R, Mistry A, Zuberi S, Villeneuve N, Gil-Nagel A, Sanchez-Carpintero R, et al. Fenfluramine for Treatment-Resistant Seizures in Patients With Dravet Syndrome Receiving Stiripentol-Inclusive Regimens: A Randomized Clinical Trial. </w:t>
            </w:r>
          </w:p>
        </w:tc>
        <w:tc>
          <w:tcPr>
            <w:tcW w:w="1308" w:type="pct"/>
            <w:tcBorders>
              <w:top w:val="nil"/>
              <w:bottom w:val="nil"/>
            </w:tcBorders>
            <w:shd w:val="clear" w:color="auto" w:fill="auto"/>
          </w:tcPr>
          <w:p w14:paraId="7C0E0D26" w14:textId="77777777" w:rsidR="00CB6A17" w:rsidRPr="006A25BF" w:rsidRDefault="00CB6A17" w:rsidP="00CB6A17">
            <w:pPr>
              <w:pStyle w:val="TableText0"/>
              <w:keepNext w:val="0"/>
              <w:widowControl w:val="0"/>
            </w:pPr>
            <w:r w:rsidRPr="006A25BF">
              <w:t>JAMA Neurol. 2020;77(3):300-8.</w:t>
            </w:r>
          </w:p>
        </w:tc>
      </w:tr>
      <w:tr w:rsidR="006B5229" w:rsidRPr="006A25BF" w14:paraId="4BEF03E2" w14:textId="77777777" w:rsidTr="005C5842">
        <w:tc>
          <w:tcPr>
            <w:tcW w:w="648" w:type="pct"/>
            <w:tcBorders>
              <w:top w:val="single" w:sz="4" w:space="0" w:color="auto"/>
              <w:bottom w:val="nil"/>
            </w:tcBorders>
            <w:shd w:val="clear" w:color="auto" w:fill="auto"/>
          </w:tcPr>
          <w:p w14:paraId="2EE83471" w14:textId="77777777" w:rsidR="00CE7338" w:rsidRPr="006A25BF" w:rsidRDefault="00CE7338" w:rsidP="00CB6A17">
            <w:pPr>
              <w:pStyle w:val="TableText0"/>
              <w:keepNext w:val="0"/>
              <w:widowControl w:val="0"/>
            </w:pPr>
            <w:r w:rsidRPr="006A25BF">
              <w:t>Study 1503</w:t>
            </w:r>
          </w:p>
        </w:tc>
        <w:tc>
          <w:tcPr>
            <w:tcW w:w="3044" w:type="pct"/>
            <w:tcBorders>
              <w:top w:val="single" w:sz="4" w:space="0" w:color="auto"/>
              <w:bottom w:val="nil"/>
            </w:tcBorders>
            <w:shd w:val="clear" w:color="auto" w:fill="auto"/>
          </w:tcPr>
          <w:p w14:paraId="1D30948A" w14:textId="77777777" w:rsidR="00CE7338" w:rsidRPr="006A25BF" w:rsidRDefault="00CE7338" w:rsidP="00CB6A17">
            <w:pPr>
              <w:pStyle w:val="TableText0"/>
              <w:keepNext w:val="0"/>
              <w:widowControl w:val="0"/>
              <w:rPr>
                <w:szCs w:val="18"/>
              </w:rPr>
            </w:pPr>
            <w:r w:rsidRPr="006A25BF">
              <w:rPr>
                <w:szCs w:val="18"/>
              </w:rPr>
              <w:t xml:space="preserve">An Open-Label Extension Trial to Assess the Long-Term Safety of ZX008 (Fenfluramine Hydrochloride) Oral Solution as an Adjunctive Therapy in Children and Young Adults with Dravet Syndrome: </w:t>
            </w:r>
          </w:p>
          <w:p w14:paraId="6BBF4287" w14:textId="77777777" w:rsidR="00CE7338" w:rsidRPr="006A25BF" w:rsidRDefault="00CE7338" w:rsidP="005D47F1">
            <w:pPr>
              <w:pStyle w:val="TableText0"/>
              <w:keepNext w:val="0"/>
              <w:widowControl w:val="0"/>
              <w:numPr>
                <w:ilvl w:val="0"/>
                <w:numId w:val="5"/>
              </w:numPr>
              <w:rPr>
                <w:szCs w:val="18"/>
              </w:rPr>
            </w:pPr>
            <w:r w:rsidRPr="006A25BF">
              <w:rPr>
                <w:szCs w:val="18"/>
              </w:rPr>
              <w:t>Interim report: Dec 2018 (March 2018 data cut)</w:t>
            </w:r>
          </w:p>
          <w:p w14:paraId="2368316D" w14:textId="77777777" w:rsidR="00CE7338" w:rsidRPr="006A25BF" w:rsidRDefault="00CE7338" w:rsidP="005D47F1">
            <w:pPr>
              <w:pStyle w:val="TableText0"/>
              <w:keepNext w:val="0"/>
              <w:widowControl w:val="0"/>
              <w:numPr>
                <w:ilvl w:val="0"/>
                <w:numId w:val="5"/>
              </w:numPr>
              <w:rPr>
                <w:szCs w:val="18"/>
              </w:rPr>
            </w:pPr>
            <w:r w:rsidRPr="006A25BF">
              <w:rPr>
                <w:szCs w:val="18"/>
              </w:rPr>
              <w:t>Main report: July 2023 (Jan 2023 data cut).</w:t>
            </w:r>
          </w:p>
        </w:tc>
        <w:tc>
          <w:tcPr>
            <w:tcW w:w="1308" w:type="pct"/>
            <w:tcBorders>
              <w:top w:val="single" w:sz="4" w:space="0" w:color="auto"/>
              <w:bottom w:val="nil"/>
            </w:tcBorders>
            <w:shd w:val="clear" w:color="auto" w:fill="auto"/>
          </w:tcPr>
          <w:p w14:paraId="0EEFC5EB" w14:textId="77777777" w:rsidR="00CE7338" w:rsidRPr="006A25BF" w:rsidRDefault="00CE7338" w:rsidP="00CB6A17">
            <w:pPr>
              <w:pStyle w:val="TableText0"/>
              <w:keepNext w:val="0"/>
              <w:widowControl w:val="0"/>
              <w:rPr>
                <w:szCs w:val="18"/>
              </w:rPr>
            </w:pPr>
            <w:r w:rsidRPr="006A25BF">
              <w:rPr>
                <w:szCs w:val="18"/>
              </w:rPr>
              <w:t>Zogenix Clinical Study Report</w:t>
            </w:r>
          </w:p>
          <w:p w14:paraId="1F8883A4" w14:textId="77777777" w:rsidR="00CE7338" w:rsidRPr="006A25BF" w:rsidRDefault="00CE7338" w:rsidP="005D47F1">
            <w:pPr>
              <w:pStyle w:val="TableText0"/>
              <w:keepNext w:val="0"/>
              <w:widowControl w:val="0"/>
              <w:numPr>
                <w:ilvl w:val="0"/>
                <w:numId w:val="5"/>
              </w:numPr>
              <w:rPr>
                <w:szCs w:val="18"/>
              </w:rPr>
            </w:pPr>
            <w:r w:rsidRPr="006A25BF">
              <w:rPr>
                <w:szCs w:val="18"/>
              </w:rPr>
              <w:t>December 2018</w:t>
            </w:r>
          </w:p>
          <w:p w14:paraId="532EF80E" w14:textId="77777777" w:rsidR="00CE7338" w:rsidRPr="006A25BF" w:rsidRDefault="00CE7338" w:rsidP="005D47F1">
            <w:pPr>
              <w:pStyle w:val="TableText0"/>
              <w:keepNext w:val="0"/>
              <w:widowControl w:val="0"/>
              <w:numPr>
                <w:ilvl w:val="0"/>
                <w:numId w:val="5"/>
              </w:numPr>
              <w:rPr>
                <w:szCs w:val="18"/>
              </w:rPr>
            </w:pPr>
            <w:r w:rsidRPr="006A25BF">
              <w:rPr>
                <w:szCs w:val="18"/>
              </w:rPr>
              <w:t>July 2023</w:t>
            </w:r>
          </w:p>
        </w:tc>
      </w:tr>
      <w:tr w:rsidR="005C5842" w:rsidRPr="006A25BF" w14:paraId="3A388D49" w14:textId="77777777" w:rsidTr="005C5842">
        <w:trPr>
          <w:trHeight w:val="449"/>
        </w:trPr>
        <w:tc>
          <w:tcPr>
            <w:tcW w:w="648" w:type="pct"/>
            <w:vMerge w:val="restart"/>
            <w:tcBorders>
              <w:top w:val="nil"/>
            </w:tcBorders>
            <w:shd w:val="clear" w:color="auto" w:fill="auto"/>
          </w:tcPr>
          <w:p w14:paraId="2B74C3ED" w14:textId="77777777" w:rsidR="005C5842" w:rsidRPr="006A25BF" w:rsidRDefault="005C5842" w:rsidP="005C5842">
            <w:pPr>
              <w:pStyle w:val="TableText0"/>
              <w:widowControl w:val="0"/>
            </w:pPr>
            <w:r w:rsidRPr="006A25BF">
              <w:t>ZX008-1503</w:t>
            </w:r>
          </w:p>
          <w:p w14:paraId="398D383C" w14:textId="77777777" w:rsidR="005C5842" w:rsidRPr="006A25BF" w:rsidRDefault="005C5842" w:rsidP="005C5842">
            <w:pPr>
              <w:pStyle w:val="TableText0"/>
              <w:keepNext w:val="0"/>
              <w:widowControl w:val="0"/>
            </w:pPr>
            <w:r w:rsidRPr="006A25BF">
              <w:t>NCT02823145; EUCTR2016-002804-14</w:t>
            </w:r>
          </w:p>
        </w:tc>
        <w:tc>
          <w:tcPr>
            <w:tcW w:w="3044" w:type="pct"/>
            <w:tcBorders>
              <w:top w:val="nil"/>
              <w:bottom w:val="nil"/>
            </w:tcBorders>
            <w:shd w:val="clear" w:color="auto" w:fill="auto"/>
            <w:vAlign w:val="center"/>
          </w:tcPr>
          <w:p w14:paraId="79B3272A" w14:textId="77777777" w:rsidR="005C5842" w:rsidRPr="006A25BF" w:rsidRDefault="005C5842">
            <w:pPr>
              <w:pStyle w:val="TableText0"/>
              <w:keepNext w:val="0"/>
              <w:widowControl w:val="0"/>
              <w:rPr>
                <w:szCs w:val="18"/>
              </w:rPr>
            </w:pPr>
            <w:r w:rsidRPr="006A25BF">
              <w:rPr>
                <w:szCs w:val="18"/>
              </w:rPr>
              <w:t>Agarwal A, Farfel GM, Gammaitoni AR, Wong PC, Pinto FJ, Galer BS. Long-term cardiovascular safety of fenfluramine in patients with Dravet syndrome treated for up to 3 years: Findings from serial echocardiographic assessments.</w:t>
            </w:r>
          </w:p>
        </w:tc>
        <w:tc>
          <w:tcPr>
            <w:tcW w:w="1308" w:type="pct"/>
            <w:tcBorders>
              <w:top w:val="nil"/>
              <w:bottom w:val="nil"/>
            </w:tcBorders>
            <w:shd w:val="clear" w:color="auto" w:fill="auto"/>
          </w:tcPr>
          <w:p w14:paraId="68F28080" w14:textId="77777777" w:rsidR="005C5842" w:rsidRPr="006A25BF" w:rsidRDefault="005C5842" w:rsidP="005C5842">
            <w:pPr>
              <w:pStyle w:val="TableText0"/>
              <w:keepNext w:val="0"/>
              <w:widowControl w:val="0"/>
              <w:rPr>
                <w:szCs w:val="18"/>
              </w:rPr>
            </w:pPr>
            <w:r w:rsidRPr="006A25BF">
              <w:rPr>
                <w:szCs w:val="18"/>
              </w:rPr>
              <w:t>Eur J Paediatr Neurol. 2022;39:35-9.</w:t>
            </w:r>
          </w:p>
        </w:tc>
      </w:tr>
      <w:tr w:rsidR="005C5842" w:rsidRPr="006A25BF" w14:paraId="7B2E2513" w14:textId="77777777" w:rsidTr="005C5842">
        <w:trPr>
          <w:trHeight w:val="99"/>
        </w:trPr>
        <w:tc>
          <w:tcPr>
            <w:tcW w:w="648" w:type="pct"/>
            <w:vMerge/>
            <w:shd w:val="clear" w:color="auto" w:fill="auto"/>
            <w:vAlign w:val="center"/>
          </w:tcPr>
          <w:p w14:paraId="2690FABE" w14:textId="77777777" w:rsidR="005C5842" w:rsidRPr="006A25BF" w:rsidRDefault="005C5842">
            <w:pPr>
              <w:pStyle w:val="TableText0"/>
              <w:keepNext w:val="0"/>
              <w:widowControl w:val="0"/>
            </w:pPr>
          </w:p>
        </w:tc>
        <w:tc>
          <w:tcPr>
            <w:tcW w:w="3044" w:type="pct"/>
            <w:tcBorders>
              <w:top w:val="nil"/>
              <w:bottom w:val="nil"/>
            </w:tcBorders>
            <w:shd w:val="clear" w:color="auto" w:fill="auto"/>
            <w:vAlign w:val="center"/>
          </w:tcPr>
          <w:p w14:paraId="22F020F8" w14:textId="77777777" w:rsidR="005C5842" w:rsidRPr="006A25BF" w:rsidRDefault="005C5842">
            <w:pPr>
              <w:pStyle w:val="TableText0"/>
              <w:keepNext w:val="0"/>
              <w:widowControl w:val="0"/>
              <w:rPr>
                <w:szCs w:val="18"/>
              </w:rPr>
            </w:pPr>
            <w:r w:rsidRPr="006A25BF">
              <w:rPr>
                <w:szCs w:val="18"/>
              </w:rPr>
              <w:t>Lai WW, Galer BS, Wong PC, Farfel G, Pringsheim M, Keane MG, et al. Cardiovascular safety of fenfluramine in the treatment of Dravet syndrome: Analysis of an ongoing long-term open-label safety extension study.</w:t>
            </w:r>
          </w:p>
        </w:tc>
        <w:tc>
          <w:tcPr>
            <w:tcW w:w="1308" w:type="pct"/>
            <w:tcBorders>
              <w:top w:val="nil"/>
              <w:bottom w:val="nil"/>
            </w:tcBorders>
            <w:shd w:val="clear" w:color="auto" w:fill="auto"/>
          </w:tcPr>
          <w:p w14:paraId="712D8AAE" w14:textId="77777777" w:rsidR="005C5842" w:rsidRPr="006A25BF" w:rsidRDefault="005C5842" w:rsidP="005C5842">
            <w:pPr>
              <w:pStyle w:val="TableText0"/>
              <w:keepNext w:val="0"/>
              <w:widowControl w:val="0"/>
              <w:rPr>
                <w:szCs w:val="18"/>
              </w:rPr>
            </w:pPr>
            <w:r w:rsidRPr="006A25BF">
              <w:rPr>
                <w:szCs w:val="18"/>
              </w:rPr>
              <w:t>Epilepsia. 2020;61(11):2386-95</w:t>
            </w:r>
          </w:p>
        </w:tc>
      </w:tr>
      <w:tr w:rsidR="005C5842" w:rsidRPr="006A25BF" w14:paraId="6766E3E3" w14:textId="77777777" w:rsidTr="005C5842">
        <w:trPr>
          <w:trHeight w:val="820"/>
        </w:trPr>
        <w:tc>
          <w:tcPr>
            <w:tcW w:w="648" w:type="pct"/>
            <w:vMerge/>
            <w:tcBorders>
              <w:bottom w:val="single" w:sz="4" w:space="0" w:color="auto"/>
            </w:tcBorders>
            <w:shd w:val="clear" w:color="auto" w:fill="auto"/>
            <w:vAlign w:val="center"/>
          </w:tcPr>
          <w:p w14:paraId="34515173" w14:textId="77777777" w:rsidR="005C5842" w:rsidRPr="006A25BF" w:rsidRDefault="005C5842">
            <w:pPr>
              <w:pStyle w:val="TableText0"/>
              <w:keepNext w:val="0"/>
              <w:widowControl w:val="0"/>
            </w:pPr>
          </w:p>
        </w:tc>
        <w:tc>
          <w:tcPr>
            <w:tcW w:w="3044" w:type="pct"/>
            <w:tcBorders>
              <w:top w:val="nil"/>
              <w:bottom w:val="single" w:sz="4" w:space="0" w:color="auto"/>
            </w:tcBorders>
            <w:shd w:val="clear" w:color="auto" w:fill="auto"/>
            <w:vAlign w:val="center"/>
          </w:tcPr>
          <w:p w14:paraId="2EAE72E2" w14:textId="77777777" w:rsidR="005C5842" w:rsidRPr="006A25BF" w:rsidRDefault="005C5842">
            <w:pPr>
              <w:pStyle w:val="TableText0"/>
              <w:keepNext w:val="0"/>
              <w:widowControl w:val="0"/>
              <w:rPr>
                <w:szCs w:val="18"/>
              </w:rPr>
            </w:pPr>
            <w:r w:rsidRPr="006A25BF">
              <w:rPr>
                <w:szCs w:val="18"/>
              </w:rPr>
              <w:t xml:space="preserve">Sullivan J, Scheffer IE, Lagae L, Nabbout R, Pringsheim M, Talwar D, et al. Fenfluramine HCl (Fintepla®) provides long-term clinically meaningful reduction in seizure frequency: Analysis of an ongoing open-label extension study. </w:t>
            </w:r>
          </w:p>
        </w:tc>
        <w:tc>
          <w:tcPr>
            <w:tcW w:w="1308" w:type="pct"/>
            <w:tcBorders>
              <w:top w:val="nil"/>
              <w:bottom w:val="single" w:sz="4" w:space="0" w:color="auto"/>
            </w:tcBorders>
            <w:shd w:val="clear" w:color="auto" w:fill="auto"/>
          </w:tcPr>
          <w:p w14:paraId="757A143A" w14:textId="77777777" w:rsidR="005C5842" w:rsidRPr="006A25BF" w:rsidRDefault="005C5842" w:rsidP="005C5842">
            <w:pPr>
              <w:pStyle w:val="TableText0"/>
              <w:keepNext w:val="0"/>
              <w:widowControl w:val="0"/>
              <w:rPr>
                <w:szCs w:val="18"/>
              </w:rPr>
            </w:pPr>
            <w:r w:rsidRPr="006A25BF">
              <w:rPr>
                <w:szCs w:val="18"/>
              </w:rPr>
              <w:t>Epilepsia. 2020;61(11):2396-404.</w:t>
            </w:r>
          </w:p>
        </w:tc>
      </w:tr>
      <w:tr w:rsidR="00712F4B" w:rsidRPr="006A25BF" w14:paraId="55609942" w14:textId="77777777" w:rsidTr="00253F67">
        <w:trPr>
          <w:trHeight w:val="618"/>
        </w:trPr>
        <w:tc>
          <w:tcPr>
            <w:tcW w:w="648" w:type="pct"/>
            <w:vMerge w:val="restart"/>
            <w:tcBorders>
              <w:top w:val="single" w:sz="4" w:space="0" w:color="auto"/>
            </w:tcBorders>
            <w:shd w:val="clear" w:color="auto" w:fill="auto"/>
          </w:tcPr>
          <w:p w14:paraId="71416E2D" w14:textId="2EBE1AF3" w:rsidR="00712F4B" w:rsidRPr="006A25BF" w:rsidRDefault="00712F4B" w:rsidP="00712F4B">
            <w:pPr>
              <w:pStyle w:val="TableText0"/>
              <w:widowControl w:val="0"/>
            </w:pPr>
            <w:r w:rsidRPr="006A25BF">
              <w:t>Post-hoc, subgroup and pooled analyses</w:t>
            </w:r>
          </w:p>
        </w:tc>
        <w:tc>
          <w:tcPr>
            <w:tcW w:w="3044" w:type="pct"/>
            <w:tcBorders>
              <w:top w:val="single" w:sz="4" w:space="0" w:color="auto"/>
              <w:bottom w:val="nil"/>
            </w:tcBorders>
            <w:shd w:val="clear" w:color="auto" w:fill="auto"/>
          </w:tcPr>
          <w:p w14:paraId="762CB812" w14:textId="77777777" w:rsidR="00712F4B" w:rsidRPr="006A25BF" w:rsidRDefault="00712F4B" w:rsidP="00712F4B">
            <w:pPr>
              <w:pStyle w:val="TableText0"/>
              <w:keepNext w:val="0"/>
              <w:widowControl w:val="0"/>
              <w:rPr>
                <w:szCs w:val="18"/>
              </w:rPr>
            </w:pPr>
            <w:r w:rsidRPr="006A25BF">
              <w:rPr>
                <w:szCs w:val="18"/>
              </w:rPr>
              <w:t xml:space="preserve">Bishop KI, Isquith PK, Gioia GA, Knupp KG, Scheffer IE, Nabbout R, et al. Fenfluramine treatment is associated with improvement in everyday executive function in preschool-aged children (&lt;5 years) with Dravet syndrome: a critical period for early neurodevelopment. </w:t>
            </w:r>
          </w:p>
        </w:tc>
        <w:tc>
          <w:tcPr>
            <w:tcW w:w="1308" w:type="pct"/>
            <w:tcBorders>
              <w:top w:val="single" w:sz="4" w:space="0" w:color="auto"/>
              <w:bottom w:val="nil"/>
            </w:tcBorders>
            <w:shd w:val="clear" w:color="auto" w:fill="auto"/>
          </w:tcPr>
          <w:p w14:paraId="2C9E70F8" w14:textId="77777777" w:rsidR="00712F4B" w:rsidRPr="006A25BF" w:rsidRDefault="00712F4B" w:rsidP="00712F4B">
            <w:pPr>
              <w:pStyle w:val="TableText0"/>
              <w:keepNext w:val="0"/>
              <w:widowControl w:val="0"/>
              <w:rPr>
                <w:szCs w:val="18"/>
              </w:rPr>
            </w:pPr>
            <w:r w:rsidRPr="006A25BF">
              <w:rPr>
                <w:szCs w:val="18"/>
              </w:rPr>
              <w:t>Epilepsy &amp; behavior. 2023; 138:108994.</w:t>
            </w:r>
          </w:p>
        </w:tc>
      </w:tr>
      <w:tr w:rsidR="00712F4B" w:rsidRPr="006A25BF" w14:paraId="6263BE53" w14:textId="77777777" w:rsidTr="00253F67">
        <w:tc>
          <w:tcPr>
            <w:tcW w:w="648" w:type="pct"/>
            <w:vMerge/>
            <w:shd w:val="clear" w:color="auto" w:fill="auto"/>
          </w:tcPr>
          <w:p w14:paraId="75E45788" w14:textId="1DA06E8F" w:rsidR="00712F4B" w:rsidRPr="006A25BF" w:rsidRDefault="00712F4B" w:rsidP="00712F4B">
            <w:pPr>
              <w:pStyle w:val="TableText0"/>
              <w:keepNext w:val="0"/>
              <w:widowControl w:val="0"/>
            </w:pPr>
          </w:p>
        </w:tc>
        <w:tc>
          <w:tcPr>
            <w:tcW w:w="3044" w:type="pct"/>
            <w:tcBorders>
              <w:top w:val="nil"/>
              <w:bottom w:val="nil"/>
            </w:tcBorders>
            <w:shd w:val="clear" w:color="auto" w:fill="auto"/>
          </w:tcPr>
          <w:p w14:paraId="53FF0573" w14:textId="77777777" w:rsidR="00712F4B" w:rsidRPr="006A25BF" w:rsidRDefault="00712F4B" w:rsidP="00712F4B">
            <w:pPr>
              <w:pStyle w:val="TableText0"/>
              <w:keepNext w:val="0"/>
              <w:widowControl w:val="0"/>
              <w:rPr>
                <w:szCs w:val="18"/>
              </w:rPr>
            </w:pPr>
            <w:r w:rsidRPr="006A25BF">
              <w:rPr>
                <w:szCs w:val="18"/>
              </w:rPr>
              <w:t xml:space="preserve">Sullivan J, Perry MS, Wheless JW, Galer B, Gammaitoni A. Fenfluramine responder analyses and numbers needed to treat: translating epilepsy trial data into clinical practice. </w:t>
            </w:r>
          </w:p>
        </w:tc>
        <w:tc>
          <w:tcPr>
            <w:tcW w:w="1308" w:type="pct"/>
            <w:tcBorders>
              <w:top w:val="nil"/>
              <w:bottom w:val="nil"/>
            </w:tcBorders>
            <w:shd w:val="clear" w:color="auto" w:fill="auto"/>
          </w:tcPr>
          <w:p w14:paraId="7980EF28" w14:textId="77777777" w:rsidR="00712F4B" w:rsidRPr="006A25BF" w:rsidRDefault="00712F4B" w:rsidP="00712F4B">
            <w:pPr>
              <w:pStyle w:val="TableText0"/>
              <w:keepNext w:val="0"/>
              <w:widowControl w:val="0"/>
              <w:rPr>
                <w:szCs w:val="18"/>
              </w:rPr>
            </w:pPr>
            <w:r w:rsidRPr="006A25BF">
              <w:rPr>
                <w:szCs w:val="18"/>
              </w:rPr>
              <w:t>European journal of paediatric neurology: EJPN. 2021;31:10</w:t>
            </w:r>
            <w:r w:rsidRPr="006A25BF">
              <w:rPr>
                <w:rFonts w:ascii="Cambria Math" w:hAnsi="Cambria Math" w:cs="Cambria Math"/>
                <w:szCs w:val="18"/>
              </w:rPr>
              <w:t>‐</w:t>
            </w:r>
            <w:r w:rsidRPr="006A25BF">
              <w:rPr>
                <w:szCs w:val="18"/>
              </w:rPr>
              <w:t>4.</w:t>
            </w:r>
          </w:p>
        </w:tc>
      </w:tr>
      <w:tr w:rsidR="00712F4B" w:rsidRPr="006A25BF" w14:paraId="1DFB489D" w14:textId="77777777" w:rsidTr="00253F67">
        <w:trPr>
          <w:trHeight w:val="626"/>
        </w:trPr>
        <w:tc>
          <w:tcPr>
            <w:tcW w:w="648" w:type="pct"/>
            <w:vMerge/>
            <w:tcBorders>
              <w:bottom w:val="single" w:sz="4" w:space="0" w:color="auto"/>
            </w:tcBorders>
            <w:shd w:val="clear" w:color="auto" w:fill="auto"/>
          </w:tcPr>
          <w:p w14:paraId="27896C77" w14:textId="77777777" w:rsidR="00712F4B" w:rsidRPr="006A25BF" w:rsidRDefault="00712F4B" w:rsidP="00712F4B">
            <w:pPr>
              <w:pStyle w:val="TableText0"/>
              <w:keepNext w:val="0"/>
              <w:widowControl w:val="0"/>
            </w:pPr>
          </w:p>
        </w:tc>
        <w:tc>
          <w:tcPr>
            <w:tcW w:w="3044" w:type="pct"/>
            <w:tcBorders>
              <w:top w:val="nil"/>
              <w:bottom w:val="single" w:sz="4" w:space="0" w:color="auto"/>
            </w:tcBorders>
            <w:shd w:val="clear" w:color="auto" w:fill="auto"/>
          </w:tcPr>
          <w:p w14:paraId="5E12E3CD" w14:textId="77777777" w:rsidR="00712F4B" w:rsidRPr="006A25BF" w:rsidRDefault="00712F4B" w:rsidP="00712F4B">
            <w:pPr>
              <w:pStyle w:val="TableText0"/>
              <w:keepNext w:val="0"/>
              <w:widowControl w:val="0"/>
              <w:rPr>
                <w:szCs w:val="18"/>
              </w:rPr>
            </w:pPr>
            <w:r w:rsidRPr="006A25BF">
              <w:rPr>
                <w:szCs w:val="18"/>
              </w:rPr>
              <w:t xml:space="preserve">Sullivan J, Specchio N, Devinsky O, Auvin S, Perry MS, Strzelczyk A, et al. Fenfluramine significantly reduces day-to-day seizure burden by increasing number of seizure-free days and time between seizures in patients with Dravet syndrome: A time-to-event analysis. </w:t>
            </w:r>
          </w:p>
        </w:tc>
        <w:tc>
          <w:tcPr>
            <w:tcW w:w="1308" w:type="pct"/>
            <w:tcBorders>
              <w:top w:val="nil"/>
              <w:bottom w:val="single" w:sz="4" w:space="0" w:color="auto"/>
            </w:tcBorders>
            <w:shd w:val="clear" w:color="auto" w:fill="auto"/>
          </w:tcPr>
          <w:p w14:paraId="15BA0FC2" w14:textId="77777777" w:rsidR="00712F4B" w:rsidRPr="006A25BF" w:rsidRDefault="00712F4B" w:rsidP="00712F4B">
            <w:pPr>
              <w:pStyle w:val="TableText0"/>
              <w:keepNext w:val="0"/>
              <w:widowControl w:val="0"/>
              <w:rPr>
                <w:szCs w:val="18"/>
              </w:rPr>
            </w:pPr>
            <w:r w:rsidRPr="006A25BF">
              <w:rPr>
                <w:szCs w:val="18"/>
              </w:rPr>
              <w:t>Epilepsia. 2022;63(1):130-8.</w:t>
            </w:r>
          </w:p>
        </w:tc>
      </w:tr>
      <w:tr w:rsidR="006B5229" w:rsidRPr="006A25BF" w14:paraId="22A8DB9A" w14:textId="77777777" w:rsidTr="005C5842">
        <w:tc>
          <w:tcPr>
            <w:tcW w:w="5000" w:type="pct"/>
            <w:gridSpan w:val="3"/>
            <w:shd w:val="clear" w:color="auto" w:fill="auto"/>
            <w:vAlign w:val="center"/>
          </w:tcPr>
          <w:p w14:paraId="4C1D7F48" w14:textId="77777777" w:rsidR="00CE7338" w:rsidRPr="006A25BF" w:rsidRDefault="00CE7338" w:rsidP="00D65D56">
            <w:pPr>
              <w:pStyle w:val="In-tableHeading"/>
              <w:widowControl w:val="0"/>
              <w:rPr>
                <w:lang w:val="en-AU"/>
              </w:rPr>
            </w:pPr>
            <w:r w:rsidRPr="006A25BF">
              <w:rPr>
                <w:lang w:val="en-AU"/>
              </w:rPr>
              <w:lastRenderedPageBreak/>
              <w:t xml:space="preserve">Cannabidiol trials </w:t>
            </w:r>
          </w:p>
        </w:tc>
      </w:tr>
      <w:tr w:rsidR="00712F4B" w:rsidRPr="006A25BF" w14:paraId="3A56B85B" w14:textId="77777777" w:rsidTr="00712F4B">
        <w:trPr>
          <w:cantSplit/>
        </w:trPr>
        <w:tc>
          <w:tcPr>
            <w:tcW w:w="648" w:type="pct"/>
            <w:vMerge w:val="restart"/>
            <w:tcBorders>
              <w:top w:val="single" w:sz="4" w:space="0" w:color="auto"/>
            </w:tcBorders>
            <w:shd w:val="clear" w:color="auto" w:fill="auto"/>
          </w:tcPr>
          <w:p w14:paraId="4E82918B" w14:textId="77777777" w:rsidR="00712F4B" w:rsidRPr="006A25BF" w:rsidRDefault="00712F4B" w:rsidP="00712F4B">
            <w:pPr>
              <w:pStyle w:val="TableText0"/>
              <w:keepNext w:val="0"/>
              <w:widowControl w:val="0"/>
            </w:pPr>
            <w:r w:rsidRPr="006A25BF">
              <w:t>GWPCARE1</w:t>
            </w:r>
          </w:p>
          <w:p w14:paraId="02164E4D" w14:textId="77777777" w:rsidR="00712F4B" w:rsidRPr="006A25BF" w:rsidRDefault="00712F4B" w:rsidP="00712F4B">
            <w:pPr>
              <w:pStyle w:val="TableText0"/>
              <w:widowControl w:val="0"/>
            </w:pPr>
            <w:r w:rsidRPr="006A25BF">
              <w:t>NCT02091375 (Part B)</w:t>
            </w:r>
          </w:p>
          <w:p w14:paraId="2CC69A6B" w14:textId="77777777" w:rsidR="00712F4B" w:rsidRPr="006A25BF" w:rsidRDefault="00712F4B" w:rsidP="00712F4B">
            <w:pPr>
              <w:pStyle w:val="TableText0"/>
              <w:widowControl w:val="0"/>
            </w:pPr>
            <w:r w:rsidRPr="006A25BF">
              <w:t>NCT02091206 (Part A)</w:t>
            </w:r>
          </w:p>
          <w:p w14:paraId="42FD72BE" w14:textId="5A1EC86C" w:rsidR="00712F4B" w:rsidRPr="006A25BF" w:rsidRDefault="00712F4B" w:rsidP="00712F4B">
            <w:pPr>
              <w:pStyle w:val="TableText0"/>
              <w:widowControl w:val="0"/>
            </w:pPr>
            <w:r w:rsidRPr="006A25BF">
              <w:t>EUCTR2014-002941-23</w:t>
            </w:r>
          </w:p>
        </w:tc>
        <w:tc>
          <w:tcPr>
            <w:tcW w:w="3044" w:type="pct"/>
            <w:vMerge w:val="restart"/>
            <w:tcBorders>
              <w:top w:val="single" w:sz="4" w:space="0" w:color="auto"/>
            </w:tcBorders>
            <w:shd w:val="clear" w:color="auto" w:fill="auto"/>
          </w:tcPr>
          <w:p w14:paraId="40F6C919" w14:textId="77777777" w:rsidR="00712F4B" w:rsidRPr="006A25BF" w:rsidRDefault="00712F4B" w:rsidP="00712F4B">
            <w:pPr>
              <w:pStyle w:val="TableText0"/>
              <w:keepNext w:val="0"/>
              <w:widowControl w:val="0"/>
              <w:rPr>
                <w:szCs w:val="18"/>
              </w:rPr>
            </w:pPr>
            <w:r w:rsidRPr="006A25BF">
              <w:rPr>
                <w:szCs w:val="18"/>
              </w:rPr>
              <w:t>Devinsky O, Cross JH, Laux L, Marsh E, Miller I, Nabbout R, et al. Trial of Cannabidiol for Drug-Resistant Seizures in the Dravet Syndrome.</w:t>
            </w:r>
          </w:p>
          <w:p w14:paraId="1027CE06" w14:textId="568D8FFC" w:rsidR="00712F4B" w:rsidRPr="006A25BF" w:rsidRDefault="00712F4B" w:rsidP="00712F4B">
            <w:pPr>
              <w:pStyle w:val="TableText0"/>
              <w:widowControl w:val="0"/>
              <w:rPr>
                <w:szCs w:val="18"/>
              </w:rPr>
            </w:pPr>
            <w:r w:rsidRPr="006A25BF">
              <w:rPr>
                <w:szCs w:val="18"/>
              </w:rPr>
              <w:t>Devinsky O, Patel AD, Thiele EA, Wong MH, Appleton R, Harden CL, et al. Randomized, dose-ranging safety trial of cannabidiol in Dravet syndrome.</w:t>
            </w:r>
          </w:p>
        </w:tc>
        <w:tc>
          <w:tcPr>
            <w:tcW w:w="1308" w:type="pct"/>
            <w:tcBorders>
              <w:top w:val="single" w:sz="4" w:space="0" w:color="auto"/>
              <w:bottom w:val="nil"/>
            </w:tcBorders>
            <w:shd w:val="clear" w:color="auto" w:fill="auto"/>
          </w:tcPr>
          <w:p w14:paraId="62177E57" w14:textId="77777777" w:rsidR="00712F4B" w:rsidRPr="006A25BF" w:rsidRDefault="00712F4B" w:rsidP="00712F4B">
            <w:pPr>
              <w:pStyle w:val="TableText0"/>
              <w:keepNext w:val="0"/>
              <w:widowControl w:val="0"/>
              <w:rPr>
                <w:szCs w:val="18"/>
              </w:rPr>
            </w:pPr>
            <w:r w:rsidRPr="006A25BF">
              <w:rPr>
                <w:szCs w:val="18"/>
              </w:rPr>
              <w:t>N Engl J Med. 2017;376(21):2011-20</w:t>
            </w:r>
          </w:p>
        </w:tc>
      </w:tr>
      <w:tr w:rsidR="00712F4B" w:rsidRPr="006A25BF" w14:paraId="4397FD02" w14:textId="77777777" w:rsidTr="00712F4B">
        <w:tc>
          <w:tcPr>
            <w:tcW w:w="648" w:type="pct"/>
            <w:vMerge/>
            <w:tcBorders>
              <w:bottom w:val="single" w:sz="4" w:space="0" w:color="auto"/>
            </w:tcBorders>
            <w:shd w:val="clear" w:color="auto" w:fill="auto"/>
          </w:tcPr>
          <w:p w14:paraId="3F87F32D" w14:textId="42CD0696" w:rsidR="00712F4B" w:rsidRPr="006A25BF" w:rsidRDefault="00712F4B" w:rsidP="00712F4B">
            <w:pPr>
              <w:pStyle w:val="TableText0"/>
              <w:keepNext w:val="0"/>
              <w:widowControl w:val="0"/>
            </w:pPr>
          </w:p>
        </w:tc>
        <w:tc>
          <w:tcPr>
            <w:tcW w:w="3044" w:type="pct"/>
            <w:vMerge/>
            <w:tcBorders>
              <w:bottom w:val="single" w:sz="4" w:space="0" w:color="auto"/>
            </w:tcBorders>
            <w:shd w:val="clear" w:color="auto" w:fill="auto"/>
          </w:tcPr>
          <w:p w14:paraId="5D88ED46" w14:textId="57D27C48" w:rsidR="00712F4B" w:rsidRPr="006A25BF" w:rsidRDefault="00712F4B" w:rsidP="00712F4B">
            <w:pPr>
              <w:pStyle w:val="TableText0"/>
              <w:keepNext w:val="0"/>
              <w:widowControl w:val="0"/>
              <w:rPr>
                <w:szCs w:val="18"/>
              </w:rPr>
            </w:pPr>
          </w:p>
        </w:tc>
        <w:tc>
          <w:tcPr>
            <w:tcW w:w="1308" w:type="pct"/>
            <w:tcBorders>
              <w:top w:val="nil"/>
              <w:bottom w:val="single" w:sz="4" w:space="0" w:color="auto"/>
            </w:tcBorders>
            <w:shd w:val="clear" w:color="auto" w:fill="auto"/>
          </w:tcPr>
          <w:p w14:paraId="69036DCB" w14:textId="77777777" w:rsidR="00712F4B" w:rsidRPr="006A25BF" w:rsidRDefault="00712F4B" w:rsidP="00712F4B">
            <w:pPr>
              <w:pStyle w:val="TableText0"/>
              <w:keepNext w:val="0"/>
              <w:widowControl w:val="0"/>
              <w:rPr>
                <w:szCs w:val="18"/>
              </w:rPr>
            </w:pPr>
            <w:r w:rsidRPr="006A25BF">
              <w:rPr>
                <w:szCs w:val="18"/>
              </w:rPr>
              <w:t>Neurology. 2018;90(14):e1204-e11.</w:t>
            </w:r>
          </w:p>
        </w:tc>
      </w:tr>
      <w:tr w:rsidR="006B5229" w:rsidRPr="006A25BF" w14:paraId="65E53762" w14:textId="77777777" w:rsidTr="00712F4B">
        <w:tc>
          <w:tcPr>
            <w:tcW w:w="648" w:type="pct"/>
            <w:tcBorders>
              <w:top w:val="single" w:sz="4" w:space="0" w:color="auto"/>
              <w:bottom w:val="single" w:sz="4" w:space="0" w:color="auto"/>
            </w:tcBorders>
            <w:shd w:val="clear" w:color="auto" w:fill="auto"/>
            <w:vAlign w:val="center"/>
          </w:tcPr>
          <w:p w14:paraId="38D1FDA9" w14:textId="77777777" w:rsidR="00CE7338" w:rsidRPr="006A25BF" w:rsidRDefault="00CE7338">
            <w:pPr>
              <w:pStyle w:val="TableText0"/>
              <w:keepNext w:val="0"/>
              <w:widowControl w:val="0"/>
            </w:pPr>
            <w:r w:rsidRPr="006A25BF">
              <w:t>GWPCARE2</w:t>
            </w:r>
          </w:p>
          <w:p w14:paraId="6AFCFE41" w14:textId="77777777" w:rsidR="00CE7338" w:rsidRPr="006A25BF" w:rsidRDefault="00CE7338">
            <w:pPr>
              <w:pStyle w:val="TableText0"/>
              <w:widowControl w:val="0"/>
            </w:pPr>
            <w:r w:rsidRPr="006A25BF">
              <w:t>NCT02224703</w:t>
            </w:r>
          </w:p>
          <w:p w14:paraId="06B2F6DB" w14:textId="77777777" w:rsidR="00CE7338" w:rsidRPr="006A25BF" w:rsidRDefault="00CE7338">
            <w:pPr>
              <w:pStyle w:val="TableText0"/>
              <w:keepNext w:val="0"/>
              <w:widowControl w:val="0"/>
            </w:pPr>
            <w:r w:rsidRPr="006A25BF">
              <w:t>EUCTR2014-002939-34</w:t>
            </w:r>
          </w:p>
        </w:tc>
        <w:tc>
          <w:tcPr>
            <w:tcW w:w="3044" w:type="pct"/>
            <w:tcBorders>
              <w:top w:val="single" w:sz="4" w:space="0" w:color="auto"/>
              <w:bottom w:val="single" w:sz="4" w:space="0" w:color="auto"/>
            </w:tcBorders>
            <w:shd w:val="clear" w:color="auto" w:fill="auto"/>
            <w:vAlign w:val="center"/>
          </w:tcPr>
          <w:p w14:paraId="1AB4F120" w14:textId="77777777" w:rsidR="00CE7338" w:rsidRPr="006A25BF" w:rsidRDefault="00CE7338">
            <w:pPr>
              <w:pStyle w:val="TableText0"/>
              <w:keepNext w:val="0"/>
              <w:widowControl w:val="0"/>
            </w:pPr>
            <w:r w:rsidRPr="006A25BF">
              <w:t xml:space="preserve">Miller I, Scheffer IE, Gunning B, Sanchez-Carpintero R, Gil-Nagel A, Perry MS, et al. Dose-Ranging Effect of Adjunctive Oral Cannabidiol vs Placebo on Convulsive Seizure Frequency in Dravet Syndrome: a Randomized Clinical Trial. </w:t>
            </w:r>
          </w:p>
        </w:tc>
        <w:tc>
          <w:tcPr>
            <w:tcW w:w="1308" w:type="pct"/>
            <w:tcBorders>
              <w:top w:val="single" w:sz="4" w:space="0" w:color="auto"/>
              <w:bottom w:val="single" w:sz="4" w:space="0" w:color="auto"/>
            </w:tcBorders>
            <w:shd w:val="clear" w:color="auto" w:fill="auto"/>
          </w:tcPr>
          <w:p w14:paraId="2A9309A1" w14:textId="77777777" w:rsidR="00CE7338" w:rsidRPr="006A25BF" w:rsidRDefault="00CE7338" w:rsidP="00712F4B">
            <w:pPr>
              <w:pStyle w:val="TableText0"/>
              <w:keepNext w:val="0"/>
              <w:widowControl w:val="0"/>
            </w:pPr>
            <w:r w:rsidRPr="006A25BF">
              <w:t>JAMA neurology. 2020;77(5):613</w:t>
            </w:r>
            <w:r w:rsidRPr="006A25BF">
              <w:rPr>
                <w:rFonts w:ascii="Cambria Math" w:hAnsi="Cambria Math" w:cs="Cambria Math"/>
              </w:rPr>
              <w:t>‐</w:t>
            </w:r>
            <w:r w:rsidRPr="006A25BF">
              <w:t>21.</w:t>
            </w:r>
          </w:p>
        </w:tc>
      </w:tr>
      <w:tr w:rsidR="00712F4B" w:rsidRPr="006A25BF" w14:paraId="42B6E714" w14:textId="77777777" w:rsidTr="00712F4B">
        <w:tc>
          <w:tcPr>
            <w:tcW w:w="648" w:type="pct"/>
            <w:vMerge w:val="restart"/>
            <w:tcBorders>
              <w:top w:val="single" w:sz="4" w:space="0" w:color="auto"/>
            </w:tcBorders>
            <w:shd w:val="clear" w:color="auto" w:fill="auto"/>
            <w:vAlign w:val="center"/>
          </w:tcPr>
          <w:p w14:paraId="258A98E6" w14:textId="77777777" w:rsidR="00712F4B" w:rsidRPr="006A25BF" w:rsidRDefault="00712F4B">
            <w:pPr>
              <w:pStyle w:val="TableText0"/>
              <w:keepNext w:val="0"/>
              <w:widowControl w:val="0"/>
            </w:pPr>
            <w:r w:rsidRPr="006A25BF">
              <w:t>GWPCARE5</w:t>
            </w:r>
          </w:p>
          <w:p w14:paraId="5118716A" w14:textId="77777777" w:rsidR="00712F4B" w:rsidRPr="006A25BF" w:rsidRDefault="00712F4B">
            <w:pPr>
              <w:pStyle w:val="TableText0"/>
              <w:widowControl w:val="0"/>
            </w:pPr>
            <w:r w:rsidRPr="006A25BF">
              <w:t>NCT02224573</w:t>
            </w:r>
          </w:p>
          <w:p w14:paraId="31C3E2C0" w14:textId="77777777" w:rsidR="00712F4B" w:rsidRPr="006A25BF" w:rsidRDefault="00712F4B">
            <w:pPr>
              <w:pStyle w:val="TableText0"/>
              <w:keepNext w:val="0"/>
              <w:widowControl w:val="0"/>
            </w:pPr>
            <w:r w:rsidRPr="006A25BF">
              <w:t>EUCTR2014-001834-27</w:t>
            </w:r>
          </w:p>
        </w:tc>
        <w:tc>
          <w:tcPr>
            <w:tcW w:w="3044" w:type="pct"/>
            <w:tcBorders>
              <w:top w:val="single" w:sz="4" w:space="0" w:color="auto"/>
              <w:bottom w:val="nil"/>
            </w:tcBorders>
            <w:shd w:val="clear" w:color="auto" w:fill="auto"/>
            <w:vAlign w:val="center"/>
          </w:tcPr>
          <w:p w14:paraId="42DEA12A" w14:textId="77777777" w:rsidR="00712F4B" w:rsidRPr="006A25BF" w:rsidRDefault="00712F4B">
            <w:pPr>
              <w:pStyle w:val="TableText0"/>
              <w:keepNext w:val="0"/>
              <w:widowControl w:val="0"/>
            </w:pPr>
            <w:r w:rsidRPr="006A25BF">
              <w:t xml:space="preserve">Devinsky O, Nabbout R, Miller I, Laux L, Zolnowska M, Wright S, et al. Long-term cannabidiol treatment in patients with Dravet syndrome: An open-label extension trial. </w:t>
            </w:r>
          </w:p>
        </w:tc>
        <w:tc>
          <w:tcPr>
            <w:tcW w:w="1308" w:type="pct"/>
            <w:tcBorders>
              <w:top w:val="single" w:sz="4" w:space="0" w:color="auto"/>
              <w:bottom w:val="nil"/>
            </w:tcBorders>
            <w:shd w:val="clear" w:color="auto" w:fill="auto"/>
          </w:tcPr>
          <w:p w14:paraId="71D991AF" w14:textId="77777777" w:rsidR="00712F4B" w:rsidRPr="006A25BF" w:rsidRDefault="00712F4B" w:rsidP="00712F4B">
            <w:pPr>
              <w:pStyle w:val="TableText0"/>
              <w:keepNext w:val="0"/>
              <w:widowControl w:val="0"/>
            </w:pPr>
            <w:r w:rsidRPr="006A25BF">
              <w:t>Epilepsia. 2019;60(2):294-302.</w:t>
            </w:r>
          </w:p>
        </w:tc>
      </w:tr>
      <w:tr w:rsidR="00712F4B" w:rsidRPr="006A25BF" w14:paraId="30B63596" w14:textId="77777777" w:rsidTr="00253F67">
        <w:tc>
          <w:tcPr>
            <w:tcW w:w="648" w:type="pct"/>
            <w:vMerge/>
            <w:tcBorders>
              <w:bottom w:val="single" w:sz="4" w:space="0" w:color="auto"/>
            </w:tcBorders>
            <w:shd w:val="clear" w:color="auto" w:fill="auto"/>
            <w:vAlign w:val="center"/>
          </w:tcPr>
          <w:p w14:paraId="7DCBB185" w14:textId="77777777" w:rsidR="00712F4B" w:rsidRPr="006A25BF" w:rsidRDefault="00712F4B">
            <w:pPr>
              <w:pStyle w:val="TableText0"/>
              <w:keepNext w:val="0"/>
              <w:widowControl w:val="0"/>
            </w:pPr>
          </w:p>
        </w:tc>
        <w:tc>
          <w:tcPr>
            <w:tcW w:w="3044" w:type="pct"/>
            <w:tcBorders>
              <w:top w:val="nil"/>
              <w:bottom w:val="single" w:sz="4" w:space="0" w:color="auto"/>
            </w:tcBorders>
            <w:shd w:val="clear" w:color="auto" w:fill="auto"/>
            <w:vAlign w:val="center"/>
          </w:tcPr>
          <w:p w14:paraId="0A66318F" w14:textId="77777777" w:rsidR="00712F4B" w:rsidRPr="006A25BF" w:rsidRDefault="00712F4B">
            <w:pPr>
              <w:pStyle w:val="TableText0"/>
              <w:keepNext w:val="0"/>
              <w:widowControl w:val="0"/>
              <w:rPr>
                <w:szCs w:val="18"/>
              </w:rPr>
            </w:pPr>
            <w:r w:rsidRPr="006A25BF">
              <w:rPr>
                <w:szCs w:val="18"/>
              </w:rPr>
              <w:t xml:space="preserve">Scheffer IE, Halford JJ, Miller I, Nabbout R, Sanchez-Carpintero R, Shiloh-Malawsky Y, et al. Add-on cannabidiol in patients with Dravet syndrome: Results of a long-term open-label extension trial. </w:t>
            </w:r>
          </w:p>
        </w:tc>
        <w:tc>
          <w:tcPr>
            <w:tcW w:w="1308" w:type="pct"/>
            <w:tcBorders>
              <w:top w:val="nil"/>
              <w:bottom w:val="single" w:sz="4" w:space="0" w:color="auto"/>
            </w:tcBorders>
            <w:shd w:val="clear" w:color="auto" w:fill="auto"/>
            <w:vAlign w:val="center"/>
          </w:tcPr>
          <w:p w14:paraId="0D87E058" w14:textId="77777777" w:rsidR="00712F4B" w:rsidRPr="006A25BF" w:rsidRDefault="00712F4B">
            <w:pPr>
              <w:pStyle w:val="TableText0"/>
              <w:keepNext w:val="0"/>
              <w:widowControl w:val="0"/>
              <w:rPr>
                <w:szCs w:val="18"/>
              </w:rPr>
            </w:pPr>
            <w:r w:rsidRPr="006A25BF">
              <w:rPr>
                <w:szCs w:val="18"/>
              </w:rPr>
              <w:t>Epilepsia. 2021;62(10):2505-17.</w:t>
            </w:r>
          </w:p>
        </w:tc>
      </w:tr>
      <w:tr w:rsidR="006B5229" w:rsidRPr="006A25BF" w14:paraId="7FE6259B" w14:textId="77777777" w:rsidTr="005C5842">
        <w:tc>
          <w:tcPr>
            <w:tcW w:w="5000" w:type="pct"/>
            <w:gridSpan w:val="3"/>
            <w:tcBorders>
              <w:bottom w:val="single" w:sz="4" w:space="0" w:color="auto"/>
            </w:tcBorders>
            <w:shd w:val="clear" w:color="auto" w:fill="auto"/>
            <w:vAlign w:val="center"/>
          </w:tcPr>
          <w:p w14:paraId="59327603" w14:textId="77777777" w:rsidR="00CE7338" w:rsidRPr="006A25BF" w:rsidRDefault="00CE7338">
            <w:pPr>
              <w:pStyle w:val="In-tableHeading"/>
              <w:widowControl w:val="0"/>
              <w:rPr>
                <w:lang w:val="en-AU"/>
              </w:rPr>
            </w:pPr>
            <w:r w:rsidRPr="006A25BF">
              <w:rPr>
                <w:lang w:val="en-AU"/>
              </w:rPr>
              <w:t xml:space="preserve">Stiripentol trials </w:t>
            </w:r>
          </w:p>
        </w:tc>
      </w:tr>
      <w:tr w:rsidR="006B5229" w:rsidRPr="006A25BF" w14:paraId="62EDCBB1" w14:textId="77777777" w:rsidTr="005C5842">
        <w:tc>
          <w:tcPr>
            <w:tcW w:w="648" w:type="pct"/>
            <w:tcBorders>
              <w:top w:val="single" w:sz="4" w:space="0" w:color="auto"/>
              <w:bottom w:val="single" w:sz="4" w:space="0" w:color="auto"/>
            </w:tcBorders>
            <w:shd w:val="clear" w:color="auto" w:fill="auto"/>
            <w:vAlign w:val="center"/>
          </w:tcPr>
          <w:p w14:paraId="3B3DA751" w14:textId="77777777" w:rsidR="00CE7338" w:rsidRPr="006A25BF" w:rsidRDefault="00CE7338">
            <w:pPr>
              <w:pStyle w:val="TableText0"/>
              <w:keepNext w:val="0"/>
              <w:widowControl w:val="0"/>
            </w:pPr>
            <w:r w:rsidRPr="006A25BF">
              <w:t>STICLO France</w:t>
            </w:r>
          </w:p>
        </w:tc>
        <w:tc>
          <w:tcPr>
            <w:tcW w:w="3044" w:type="pct"/>
            <w:tcBorders>
              <w:top w:val="single" w:sz="4" w:space="0" w:color="auto"/>
              <w:bottom w:val="single" w:sz="4" w:space="0" w:color="auto"/>
            </w:tcBorders>
            <w:shd w:val="clear" w:color="auto" w:fill="auto"/>
            <w:vAlign w:val="center"/>
          </w:tcPr>
          <w:p w14:paraId="47489994" w14:textId="77777777" w:rsidR="00CE7338" w:rsidRPr="006A25BF" w:rsidRDefault="00CE7338">
            <w:pPr>
              <w:pStyle w:val="TableText0"/>
              <w:keepNext w:val="0"/>
              <w:widowControl w:val="0"/>
              <w:rPr>
                <w:szCs w:val="18"/>
              </w:rPr>
            </w:pPr>
            <w:r w:rsidRPr="006A25BF">
              <w:rPr>
                <w:szCs w:val="18"/>
              </w:rPr>
              <w:t>Chiron C, Marchand MC, Tran A, Rey E, d'Athis P, Vincent J, Dulac O, Pons G. Stiripentol in severe myoclonic epilepsy in infancy: a randomised placebo-controlled syndrome-dedicated trial. STICLO study group.</w:t>
            </w:r>
          </w:p>
        </w:tc>
        <w:tc>
          <w:tcPr>
            <w:tcW w:w="1308" w:type="pct"/>
            <w:tcBorders>
              <w:top w:val="single" w:sz="4" w:space="0" w:color="auto"/>
              <w:bottom w:val="single" w:sz="4" w:space="0" w:color="auto"/>
            </w:tcBorders>
            <w:shd w:val="clear" w:color="auto" w:fill="auto"/>
            <w:vAlign w:val="center"/>
          </w:tcPr>
          <w:p w14:paraId="4738A3B9" w14:textId="77777777" w:rsidR="00CE7338" w:rsidRPr="006A25BF" w:rsidRDefault="00CE7338">
            <w:pPr>
              <w:pStyle w:val="TableText0"/>
              <w:keepNext w:val="0"/>
              <w:widowControl w:val="0"/>
              <w:rPr>
                <w:szCs w:val="18"/>
              </w:rPr>
            </w:pPr>
            <w:r w:rsidRPr="006A25BF">
              <w:rPr>
                <w:szCs w:val="18"/>
              </w:rPr>
              <w:t>Lancet. 2000 Nov 11;356(9242):1638-42</w:t>
            </w:r>
          </w:p>
        </w:tc>
      </w:tr>
      <w:tr w:rsidR="006B5229" w:rsidRPr="006A25BF" w14:paraId="0A13989E" w14:textId="77777777" w:rsidTr="005C5842">
        <w:tc>
          <w:tcPr>
            <w:tcW w:w="648" w:type="pct"/>
            <w:tcBorders>
              <w:top w:val="single" w:sz="4" w:space="0" w:color="auto"/>
              <w:bottom w:val="single" w:sz="4" w:space="0" w:color="auto"/>
            </w:tcBorders>
            <w:shd w:val="clear" w:color="auto" w:fill="auto"/>
            <w:vAlign w:val="center"/>
          </w:tcPr>
          <w:p w14:paraId="57AC3D2F" w14:textId="77777777" w:rsidR="00CE7338" w:rsidRPr="006A25BF" w:rsidRDefault="00CE7338">
            <w:pPr>
              <w:pStyle w:val="TableText0"/>
              <w:keepNext w:val="0"/>
              <w:widowControl w:val="0"/>
            </w:pPr>
            <w:r w:rsidRPr="006A25BF">
              <w:t>STICLO Italy</w:t>
            </w:r>
          </w:p>
        </w:tc>
        <w:tc>
          <w:tcPr>
            <w:tcW w:w="3044" w:type="pct"/>
            <w:tcBorders>
              <w:top w:val="single" w:sz="4" w:space="0" w:color="auto"/>
              <w:bottom w:val="single" w:sz="4" w:space="0" w:color="auto"/>
            </w:tcBorders>
            <w:shd w:val="clear" w:color="auto" w:fill="auto"/>
            <w:vAlign w:val="center"/>
          </w:tcPr>
          <w:p w14:paraId="05B425E5" w14:textId="77777777" w:rsidR="00CE7338" w:rsidRPr="006A25BF" w:rsidRDefault="00CE7338">
            <w:pPr>
              <w:pStyle w:val="TableText0"/>
              <w:keepNext w:val="0"/>
              <w:widowControl w:val="0"/>
              <w:rPr>
                <w:szCs w:val="18"/>
              </w:rPr>
            </w:pPr>
            <w:r w:rsidRPr="006A25BF">
              <w:rPr>
                <w:szCs w:val="18"/>
              </w:rPr>
              <w:t>Guerrini R, Tonnelier S, d'Athis P, Rey E, Vincent J, Pon G, Dalla Bemardina B, Ferrari AR, Veggiotti P, Veneselli E, Pascottol E, Vigevano F. Stiripentol in severe myoclonic epilepsy in infancy (SMEI): a placebo-controlled Italian trial.</w:t>
            </w:r>
          </w:p>
        </w:tc>
        <w:tc>
          <w:tcPr>
            <w:tcW w:w="1308" w:type="pct"/>
            <w:tcBorders>
              <w:top w:val="single" w:sz="4" w:space="0" w:color="auto"/>
              <w:bottom w:val="single" w:sz="4" w:space="0" w:color="auto"/>
            </w:tcBorders>
            <w:shd w:val="clear" w:color="auto" w:fill="auto"/>
            <w:vAlign w:val="center"/>
          </w:tcPr>
          <w:p w14:paraId="6B1E724B" w14:textId="77777777" w:rsidR="00CE7338" w:rsidRPr="006A25BF" w:rsidRDefault="00CE7338">
            <w:pPr>
              <w:pStyle w:val="TableText0"/>
              <w:keepNext w:val="0"/>
              <w:widowControl w:val="0"/>
              <w:rPr>
                <w:szCs w:val="18"/>
              </w:rPr>
            </w:pPr>
            <w:r w:rsidRPr="006A25BF">
              <w:rPr>
                <w:szCs w:val="18"/>
              </w:rPr>
              <w:t>Epilepsia 2002; 43(8):155</w:t>
            </w:r>
          </w:p>
        </w:tc>
      </w:tr>
      <w:tr w:rsidR="00712F4B" w:rsidRPr="006A25BF" w14:paraId="158505BB" w14:textId="77777777" w:rsidTr="00712F4B">
        <w:trPr>
          <w:trHeight w:val="151"/>
        </w:trPr>
        <w:tc>
          <w:tcPr>
            <w:tcW w:w="648" w:type="pct"/>
            <w:vMerge w:val="restart"/>
            <w:tcBorders>
              <w:top w:val="single" w:sz="4" w:space="0" w:color="auto"/>
            </w:tcBorders>
            <w:shd w:val="clear" w:color="auto" w:fill="auto"/>
          </w:tcPr>
          <w:p w14:paraId="2CD29222" w14:textId="77777777" w:rsidR="00712F4B" w:rsidRPr="006A25BF" w:rsidRDefault="00712F4B" w:rsidP="00712F4B">
            <w:pPr>
              <w:pStyle w:val="TableText0"/>
              <w:keepNext w:val="0"/>
              <w:widowControl w:val="0"/>
            </w:pPr>
            <w:r w:rsidRPr="006A25BF">
              <w:t>Post-hoc, subgroup &amp; pooled analyses</w:t>
            </w:r>
          </w:p>
        </w:tc>
        <w:tc>
          <w:tcPr>
            <w:tcW w:w="3044" w:type="pct"/>
            <w:tcBorders>
              <w:top w:val="single" w:sz="4" w:space="0" w:color="auto"/>
              <w:bottom w:val="nil"/>
            </w:tcBorders>
            <w:shd w:val="clear" w:color="auto" w:fill="auto"/>
          </w:tcPr>
          <w:p w14:paraId="253CE6B0" w14:textId="77777777" w:rsidR="00712F4B" w:rsidRPr="006A25BF" w:rsidRDefault="00712F4B" w:rsidP="00712F4B">
            <w:pPr>
              <w:pStyle w:val="TableText0"/>
              <w:keepNext w:val="0"/>
              <w:widowControl w:val="0"/>
              <w:rPr>
                <w:szCs w:val="18"/>
              </w:rPr>
            </w:pPr>
            <w:r w:rsidRPr="006A25BF">
              <w:rPr>
                <w:szCs w:val="18"/>
              </w:rPr>
              <w:t xml:space="preserve">Guerrini R, Chancharme L et al. Additional Results from Two Randomized, Placebo-Controlled Trials of Stiripentol in Dravet Syndrome Highlight a Rapid Antiseizure Efficacy with Longer Seizure-Free Periods. </w:t>
            </w:r>
          </w:p>
        </w:tc>
        <w:tc>
          <w:tcPr>
            <w:tcW w:w="1308" w:type="pct"/>
            <w:tcBorders>
              <w:top w:val="single" w:sz="4" w:space="0" w:color="auto"/>
              <w:bottom w:val="nil"/>
            </w:tcBorders>
            <w:shd w:val="clear" w:color="auto" w:fill="auto"/>
          </w:tcPr>
          <w:p w14:paraId="2C6ABA97" w14:textId="77777777" w:rsidR="00712F4B" w:rsidRPr="006A25BF" w:rsidRDefault="00712F4B" w:rsidP="00712F4B">
            <w:pPr>
              <w:pStyle w:val="TableText0"/>
              <w:keepNext w:val="0"/>
              <w:widowControl w:val="0"/>
              <w:rPr>
                <w:szCs w:val="18"/>
              </w:rPr>
            </w:pPr>
            <w:r w:rsidRPr="006A25BF">
              <w:rPr>
                <w:szCs w:val="18"/>
              </w:rPr>
              <w:t>Neurol Ther. 2024.</w:t>
            </w:r>
          </w:p>
        </w:tc>
      </w:tr>
      <w:tr w:rsidR="00712F4B" w:rsidRPr="006A25BF" w14:paraId="70E10CB3" w14:textId="77777777" w:rsidTr="00712F4B">
        <w:trPr>
          <w:trHeight w:val="303"/>
        </w:trPr>
        <w:tc>
          <w:tcPr>
            <w:tcW w:w="648" w:type="pct"/>
            <w:vMerge/>
            <w:tcBorders>
              <w:bottom w:val="single" w:sz="4" w:space="0" w:color="auto"/>
            </w:tcBorders>
            <w:shd w:val="clear" w:color="auto" w:fill="auto"/>
          </w:tcPr>
          <w:p w14:paraId="2B39865D" w14:textId="77777777" w:rsidR="00712F4B" w:rsidRPr="006A25BF" w:rsidRDefault="00712F4B" w:rsidP="00712F4B">
            <w:pPr>
              <w:pStyle w:val="TableText0"/>
              <w:keepNext w:val="0"/>
              <w:widowControl w:val="0"/>
            </w:pPr>
          </w:p>
        </w:tc>
        <w:tc>
          <w:tcPr>
            <w:tcW w:w="3044" w:type="pct"/>
            <w:tcBorders>
              <w:top w:val="nil"/>
              <w:bottom w:val="single" w:sz="4" w:space="0" w:color="auto"/>
            </w:tcBorders>
            <w:shd w:val="clear" w:color="auto" w:fill="auto"/>
          </w:tcPr>
          <w:p w14:paraId="58E476CC" w14:textId="77777777" w:rsidR="00712F4B" w:rsidRPr="006A25BF" w:rsidRDefault="00712F4B" w:rsidP="00712F4B">
            <w:pPr>
              <w:pStyle w:val="TableText0"/>
              <w:keepNext w:val="0"/>
              <w:widowControl w:val="0"/>
              <w:rPr>
                <w:szCs w:val="18"/>
              </w:rPr>
            </w:pPr>
            <w:r w:rsidRPr="006A25BF">
              <w:rPr>
                <w:szCs w:val="18"/>
              </w:rPr>
              <w:t>Cross JH, Chiron C et al. ≥75% Seizure Reduction with Stiripentol: Data from the Pivotal Trials.</w:t>
            </w:r>
          </w:p>
        </w:tc>
        <w:tc>
          <w:tcPr>
            <w:tcW w:w="1308" w:type="pct"/>
            <w:tcBorders>
              <w:top w:val="nil"/>
              <w:bottom w:val="single" w:sz="4" w:space="0" w:color="auto"/>
            </w:tcBorders>
            <w:shd w:val="clear" w:color="auto" w:fill="auto"/>
          </w:tcPr>
          <w:p w14:paraId="4FAE6838" w14:textId="4579B972" w:rsidR="00712F4B" w:rsidRPr="006A25BF" w:rsidRDefault="00712F4B" w:rsidP="00712F4B">
            <w:pPr>
              <w:pStyle w:val="TableText0"/>
              <w:keepNext w:val="0"/>
              <w:widowControl w:val="0"/>
              <w:rPr>
                <w:szCs w:val="18"/>
              </w:rPr>
            </w:pPr>
            <w:r w:rsidRPr="006A25BF">
              <w:rPr>
                <w:szCs w:val="18"/>
              </w:rPr>
              <w:t>Devel Med and Child Neur. 2023; 65:32-3.</w:t>
            </w:r>
          </w:p>
        </w:tc>
      </w:tr>
      <w:tr w:rsidR="006B5229" w:rsidRPr="006A25BF" w14:paraId="1A121757" w14:textId="77777777" w:rsidTr="005C5842">
        <w:tc>
          <w:tcPr>
            <w:tcW w:w="5000" w:type="pct"/>
            <w:gridSpan w:val="3"/>
            <w:tcBorders>
              <w:bottom w:val="single" w:sz="4" w:space="0" w:color="auto"/>
            </w:tcBorders>
            <w:shd w:val="clear" w:color="auto" w:fill="auto"/>
            <w:vAlign w:val="center"/>
          </w:tcPr>
          <w:p w14:paraId="04B11F80" w14:textId="6E829FFB" w:rsidR="00CE7338" w:rsidRPr="006A25BF" w:rsidRDefault="00CE7338">
            <w:pPr>
              <w:pStyle w:val="In-tableHeading"/>
              <w:keepNext w:val="0"/>
              <w:widowControl w:val="0"/>
              <w:rPr>
                <w:lang w:val="en-AU"/>
              </w:rPr>
            </w:pPr>
            <w:r w:rsidRPr="006A25BF">
              <w:rPr>
                <w:lang w:val="en-AU"/>
              </w:rPr>
              <w:t>Systematic reviews and meta-analyses</w:t>
            </w:r>
          </w:p>
        </w:tc>
      </w:tr>
      <w:tr w:rsidR="006B5229" w:rsidRPr="006A25BF" w14:paraId="160FF587" w14:textId="77777777" w:rsidTr="005C5842">
        <w:trPr>
          <w:trHeight w:val="543"/>
        </w:trPr>
        <w:tc>
          <w:tcPr>
            <w:tcW w:w="648" w:type="pct"/>
            <w:tcBorders>
              <w:top w:val="single" w:sz="4" w:space="0" w:color="auto"/>
              <w:bottom w:val="single" w:sz="4" w:space="0" w:color="auto"/>
            </w:tcBorders>
            <w:shd w:val="clear" w:color="auto" w:fill="auto"/>
          </w:tcPr>
          <w:p w14:paraId="1B2FDE1D" w14:textId="77777777" w:rsidR="00CE7338" w:rsidRPr="006A25BF" w:rsidRDefault="00CE7338">
            <w:pPr>
              <w:pStyle w:val="TableText0"/>
              <w:keepNext w:val="0"/>
              <w:widowControl w:val="0"/>
            </w:pPr>
            <w:r w:rsidRPr="006A25BF">
              <w:t>Comparative network meta-analysis</w:t>
            </w:r>
          </w:p>
        </w:tc>
        <w:tc>
          <w:tcPr>
            <w:tcW w:w="3044" w:type="pct"/>
            <w:tcBorders>
              <w:top w:val="single" w:sz="4" w:space="0" w:color="auto"/>
              <w:bottom w:val="single" w:sz="4" w:space="0" w:color="auto"/>
            </w:tcBorders>
            <w:shd w:val="clear" w:color="auto" w:fill="auto"/>
          </w:tcPr>
          <w:p w14:paraId="1668CC8A" w14:textId="77777777" w:rsidR="00CE7338" w:rsidRPr="006A25BF" w:rsidRDefault="00CE7338">
            <w:pPr>
              <w:pStyle w:val="TableText0"/>
              <w:keepNext w:val="0"/>
              <w:widowControl w:val="0"/>
              <w:rPr>
                <w:szCs w:val="18"/>
              </w:rPr>
            </w:pPr>
            <w:r w:rsidRPr="006A25BF">
              <w:t xml:space="preserve">Lattanzi S, Trinka E et al. Pharmacotherapy for Dravet Syndrome: A Systematic Review and Network Meta-Analysis of Randomized Controlled Trials.  </w:t>
            </w:r>
          </w:p>
        </w:tc>
        <w:tc>
          <w:tcPr>
            <w:tcW w:w="1308" w:type="pct"/>
            <w:tcBorders>
              <w:top w:val="single" w:sz="4" w:space="0" w:color="auto"/>
              <w:bottom w:val="single" w:sz="4" w:space="0" w:color="auto"/>
            </w:tcBorders>
            <w:shd w:val="clear" w:color="auto" w:fill="auto"/>
            <w:vAlign w:val="center"/>
          </w:tcPr>
          <w:p w14:paraId="4D7B80FB" w14:textId="77777777" w:rsidR="00CE7338" w:rsidRPr="006A25BF" w:rsidRDefault="00CE7338">
            <w:pPr>
              <w:pStyle w:val="TableText0"/>
              <w:keepNext w:val="0"/>
              <w:widowControl w:val="0"/>
              <w:rPr>
                <w:szCs w:val="18"/>
              </w:rPr>
            </w:pPr>
            <w:r w:rsidRPr="006A25BF">
              <w:t>Drugs.2023; 83 (15):1409-1424.</w:t>
            </w:r>
          </w:p>
        </w:tc>
      </w:tr>
      <w:tr w:rsidR="006B5229" w:rsidRPr="006A25BF" w14:paraId="4BE86544" w14:textId="77777777" w:rsidTr="005C5842">
        <w:trPr>
          <w:trHeight w:val="543"/>
        </w:trPr>
        <w:tc>
          <w:tcPr>
            <w:tcW w:w="648" w:type="pct"/>
            <w:tcBorders>
              <w:top w:val="single" w:sz="4" w:space="0" w:color="auto"/>
              <w:bottom w:val="single" w:sz="4" w:space="0" w:color="auto"/>
            </w:tcBorders>
            <w:shd w:val="clear" w:color="auto" w:fill="auto"/>
          </w:tcPr>
          <w:p w14:paraId="578C9974" w14:textId="77777777" w:rsidR="00CE7338" w:rsidRPr="006A25BF" w:rsidRDefault="00CE7338">
            <w:pPr>
              <w:pStyle w:val="TableText0"/>
              <w:keepNext w:val="0"/>
              <w:widowControl w:val="0"/>
            </w:pPr>
            <w:r w:rsidRPr="006A25BF">
              <w:t>Comparative network meta-analysis</w:t>
            </w:r>
          </w:p>
        </w:tc>
        <w:tc>
          <w:tcPr>
            <w:tcW w:w="3044" w:type="pct"/>
            <w:tcBorders>
              <w:top w:val="single" w:sz="4" w:space="0" w:color="auto"/>
              <w:bottom w:val="single" w:sz="4" w:space="0" w:color="auto"/>
            </w:tcBorders>
            <w:shd w:val="clear" w:color="auto" w:fill="auto"/>
          </w:tcPr>
          <w:p w14:paraId="47E7DE77" w14:textId="77777777" w:rsidR="00CE7338" w:rsidRPr="006A25BF" w:rsidRDefault="00CE7338">
            <w:pPr>
              <w:pStyle w:val="TableText0"/>
              <w:keepNext w:val="0"/>
              <w:widowControl w:val="0"/>
              <w:rPr>
                <w:szCs w:val="18"/>
              </w:rPr>
            </w:pPr>
            <w:r w:rsidRPr="006A25BF">
              <w:t xml:space="preserve">Guerrini R, Chiron C. et al. Comparative efficacy and safety of stiripentol, cannabidiol and fenfluramine as first-line add-on therapies for seizures in Dravet syndrome: a network meta-analysis.  </w:t>
            </w:r>
          </w:p>
        </w:tc>
        <w:tc>
          <w:tcPr>
            <w:tcW w:w="1308" w:type="pct"/>
            <w:tcBorders>
              <w:top w:val="single" w:sz="4" w:space="0" w:color="auto"/>
              <w:bottom w:val="single" w:sz="4" w:space="0" w:color="auto"/>
            </w:tcBorders>
            <w:shd w:val="clear" w:color="auto" w:fill="auto"/>
            <w:vAlign w:val="center"/>
          </w:tcPr>
          <w:p w14:paraId="254E6794" w14:textId="77777777" w:rsidR="00CE7338" w:rsidRPr="006A25BF" w:rsidRDefault="00CE7338">
            <w:pPr>
              <w:pStyle w:val="TableText0"/>
              <w:keepNext w:val="0"/>
              <w:widowControl w:val="0"/>
              <w:rPr>
                <w:szCs w:val="18"/>
              </w:rPr>
            </w:pPr>
            <w:r w:rsidRPr="006A25BF">
              <w:t xml:space="preserve">Epilepsia open. 2024; 9(2):689-703.  </w:t>
            </w:r>
          </w:p>
        </w:tc>
      </w:tr>
    </w:tbl>
    <w:p w14:paraId="639EC563" w14:textId="1D3DCB61" w:rsidR="00CE7338" w:rsidRPr="006A25BF" w:rsidRDefault="00CE7338" w:rsidP="000777DE">
      <w:pPr>
        <w:pStyle w:val="TableFigureFooter"/>
        <w:jc w:val="left"/>
      </w:pPr>
      <w:r w:rsidRPr="006A25BF">
        <w:t>Source: Table 2-2, p42; Table 2-3 p43; Appendix 1 of the submissio</w:t>
      </w:r>
      <w:r w:rsidR="00B41B16" w:rsidRPr="006A25BF">
        <w:t>n</w:t>
      </w:r>
    </w:p>
    <w:p w14:paraId="5D074380" w14:textId="556F50EA" w:rsidR="00CE7338" w:rsidRPr="006A25BF" w:rsidRDefault="00CE7338" w:rsidP="00CE7338">
      <w:pPr>
        <w:pStyle w:val="3-BodyText"/>
        <w:spacing w:line="259" w:lineRule="auto"/>
      </w:pPr>
      <w:bookmarkStart w:id="29" w:name="_Ref104804098"/>
      <w:r w:rsidRPr="006A25BF">
        <w:t xml:space="preserve">The key features of the placebo-controlled randomised trials are summarised in </w:t>
      </w:r>
      <w:r w:rsidR="0034078A" w:rsidRPr="006A25BF">
        <w:fldChar w:fldCharType="begin" w:fldLock="1"/>
      </w:r>
      <w:r w:rsidR="0034078A" w:rsidRPr="006A25BF">
        <w:instrText xml:space="preserve"> REF _Ref174475245 \h </w:instrText>
      </w:r>
      <w:r w:rsidR="006A25BF" w:rsidRPr="006A25BF">
        <w:instrText xml:space="preserve"> \* MERGEFORMAT </w:instrText>
      </w:r>
      <w:r w:rsidR="0034078A" w:rsidRPr="006A25BF">
        <w:fldChar w:fldCharType="separate"/>
      </w:r>
      <w:r w:rsidR="00D72887" w:rsidRPr="006A25BF">
        <w:t xml:space="preserve">Table </w:t>
      </w:r>
      <w:r w:rsidR="00D72887">
        <w:rPr>
          <w:noProof/>
        </w:rPr>
        <w:t>3</w:t>
      </w:r>
      <w:r w:rsidR="0034078A" w:rsidRPr="006A25BF">
        <w:fldChar w:fldCharType="end"/>
      </w:r>
      <w:r w:rsidR="0034078A" w:rsidRPr="006A25BF">
        <w:t>.</w:t>
      </w:r>
      <w:r w:rsidRPr="006A25BF" w:rsidDel="005E77C5">
        <w:fldChar w:fldCharType="begin" w:fldLock="1"/>
      </w:r>
      <w:r w:rsidRPr="006A25BF" w:rsidDel="005E77C5">
        <w:fldChar w:fldCharType="separate"/>
      </w:r>
      <w:r w:rsidRPr="006A25BF" w:rsidDel="005E77C5">
        <w:t>Table</w:t>
      </w:r>
      <w:r w:rsidRPr="006A25BF">
        <w:t> </w:t>
      </w:r>
      <w:r w:rsidRPr="006A25BF" w:rsidDel="005E77C5">
        <w:rPr>
          <w:noProof/>
        </w:rPr>
        <w:t>3</w:t>
      </w:r>
      <w:r w:rsidRPr="006A25BF" w:rsidDel="005E77C5">
        <w:fldChar w:fldCharType="end"/>
      </w:r>
    </w:p>
    <w:p w14:paraId="7AB56BD9" w14:textId="776976E1" w:rsidR="00CE7338" w:rsidRPr="006A25BF" w:rsidRDefault="00CE7338" w:rsidP="005E494E">
      <w:pPr>
        <w:pStyle w:val="In-tableHeading"/>
      </w:pPr>
      <w:bookmarkStart w:id="30" w:name="_Ref174475245"/>
      <w:bookmarkEnd w:id="29"/>
      <w:r w:rsidRPr="006A25BF">
        <w:lastRenderedPageBreak/>
        <w:t xml:space="preserve">Table </w:t>
      </w:r>
      <w:r w:rsidRPr="006A25BF">
        <w:fldChar w:fldCharType="begin" w:fldLock="1"/>
      </w:r>
      <w:r w:rsidRPr="006A25BF">
        <w:instrText xml:space="preserve"> SEQ Table \* ARABIC </w:instrText>
      </w:r>
      <w:r w:rsidRPr="006A25BF">
        <w:fldChar w:fldCharType="separate"/>
      </w:r>
      <w:r w:rsidR="00D72887">
        <w:rPr>
          <w:noProof/>
        </w:rPr>
        <w:t>3</w:t>
      </w:r>
      <w:r w:rsidRPr="006A25BF">
        <w:fldChar w:fldCharType="end"/>
      </w:r>
      <w:bookmarkEnd w:id="30"/>
      <w:r w:rsidRPr="006A25BF">
        <w:t>: Key features of the included evidence in the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6"/>
        <w:gridCol w:w="330"/>
        <w:gridCol w:w="1789"/>
        <w:gridCol w:w="420"/>
        <w:gridCol w:w="2839"/>
        <w:gridCol w:w="1702"/>
        <w:gridCol w:w="941"/>
      </w:tblGrid>
      <w:tr w:rsidR="00EC52FA" w:rsidRPr="006A25BF" w14:paraId="307ACA88" w14:textId="77777777" w:rsidTr="00636519">
        <w:trPr>
          <w:trHeight w:val="20"/>
          <w:tblHeader/>
        </w:trPr>
        <w:tc>
          <w:tcPr>
            <w:tcW w:w="552" w:type="pct"/>
            <w:shd w:val="clear" w:color="auto" w:fill="auto"/>
          </w:tcPr>
          <w:p w14:paraId="1CF768AF" w14:textId="77777777" w:rsidR="00CE7338" w:rsidRPr="006A25BF" w:rsidRDefault="00CE7338" w:rsidP="005E494E">
            <w:pPr>
              <w:pStyle w:val="In-tableHeading"/>
              <w:widowControl w:val="0"/>
              <w:rPr>
                <w:lang w:val="en-AU" w:eastAsia="en-US"/>
              </w:rPr>
            </w:pPr>
            <w:r w:rsidRPr="006A25BF">
              <w:rPr>
                <w:lang w:val="en-AU" w:eastAsia="en-US"/>
              </w:rPr>
              <w:t>Trial</w:t>
            </w:r>
          </w:p>
        </w:tc>
        <w:tc>
          <w:tcPr>
            <w:tcW w:w="183" w:type="pct"/>
            <w:shd w:val="clear" w:color="auto" w:fill="auto"/>
          </w:tcPr>
          <w:p w14:paraId="5A77B6FF" w14:textId="77777777" w:rsidR="00CE7338" w:rsidRPr="006A25BF" w:rsidRDefault="00CE7338" w:rsidP="005E494E">
            <w:pPr>
              <w:pStyle w:val="In-tableHeading"/>
              <w:widowControl w:val="0"/>
              <w:rPr>
                <w:lang w:val="en-AU" w:eastAsia="en-US"/>
              </w:rPr>
            </w:pPr>
            <w:r w:rsidRPr="006A25BF">
              <w:rPr>
                <w:lang w:val="en-AU" w:eastAsia="en-US"/>
              </w:rPr>
              <w:t>N</w:t>
            </w:r>
          </w:p>
        </w:tc>
        <w:tc>
          <w:tcPr>
            <w:tcW w:w="992" w:type="pct"/>
            <w:shd w:val="clear" w:color="auto" w:fill="auto"/>
          </w:tcPr>
          <w:p w14:paraId="3DB44208" w14:textId="77777777" w:rsidR="00CE7338" w:rsidRPr="006A25BF" w:rsidRDefault="00CE7338" w:rsidP="005E494E">
            <w:pPr>
              <w:pStyle w:val="In-tableHeading"/>
              <w:widowControl w:val="0"/>
              <w:rPr>
                <w:lang w:val="en-AU" w:eastAsia="en-US"/>
              </w:rPr>
            </w:pPr>
            <w:r w:rsidRPr="006A25BF">
              <w:rPr>
                <w:lang w:val="en-AU" w:eastAsia="en-US"/>
              </w:rPr>
              <w:t>Design/duration/ intervention dose</w:t>
            </w:r>
          </w:p>
        </w:tc>
        <w:tc>
          <w:tcPr>
            <w:tcW w:w="233" w:type="pct"/>
            <w:shd w:val="clear" w:color="auto" w:fill="auto"/>
          </w:tcPr>
          <w:p w14:paraId="47560E3D" w14:textId="77777777" w:rsidR="00CE7338" w:rsidRPr="006A25BF" w:rsidRDefault="00CE7338" w:rsidP="005E494E">
            <w:pPr>
              <w:pStyle w:val="In-tableHeading"/>
              <w:widowControl w:val="0"/>
              <w:rPr>
                <w:lang w:val="en-AU" w:eastAsia="en-US"/>
              </w:rPr>
            </w:pPr>
            <w:r w:rsidRPr="006A25BF">
              <w:rPr>
                <w:lang w:val="en-AU" w:eastAsia="en-US"/>
              </w:rPr>
              <w:t>Bias</w:t>
            </w:r>
          </w:p>
        </w:tc>
        <w:tc>
          <w:tcPr>
            <w:tcW w:w="1574" w:type="pct"/>
            <w:shd w:val="clear" w:color="auto" w:fill="auto"/>
          </w:tcPr>
          <w:p w14:paraId="4B6D1220" w14:textId="77777777" w:rsidR="00CE7338" w:rsidRPr="006A25BF" w:rsidRDefault="00CE7338" w:rsidP="005E494E">
            <w:pPr>
              <w:pStyle w:val="In-tableHeading"/>
              <w:widowControl w:val="0"/>
              <w:rPr>
                <w:lang w:val="en-AU" w:eastAsia="en-US"/>
              </w:rPr>
            </w:pPr>
            <w:r w:rsidRPr="006A25BF">
              <w:rPr>
                <w:lang w:val="en-AU" w:eastAsia="en-US"/>
              </w:rPr>
              <w:t>Population</w:t>
            </w:r>
          </w:p>
        </w:tc>
        <w:tc>
          <w:tcPr>
            <w:tcW w:w="944" w:type="pct"/>
            <w:shd w:val="clear" w:color="auto" w:fill="auto"/>
          </w:tcPr>
          <w:p w14:paraId="325D38E8" w14:textId="1505B372" w:rsidR="00CE7338" w:rsidRPr="006A25BF" w:rsidRDefault="00076371" w:rsidP="005E494E">
            <w:pPr>
              <w:pStyle w:val="In-tableHeading"/>
              <w:widowControl w:val="0"/>
              <w:rPr>
                <w:lang w:val="en-AU" w:eastAsia="en-US"/>
              </w:rPr>
            </w:pPr>
            <w:r w:rsidRPr="006A25BF">
              <w:rPr>
                <w:lang w:val="en-AU" w:eastAsia="en-US"/>
              </w:rPr>
              <w:t>Key o</w:t>
            </w:r>
            <w:r w:rsidR="00CE7338" w:rsidRPr="006A25BF">
              <w:rPr>
                <w:lang w:val="en-AU" w:eastAsia="en-US"/>
              </w:rPr>
              <w:t>utcomes</w:t>
            </w:r>
            <w:r w:rsidR="001265F9" w:rsidRPr="006A25BF">
              <w:rPr>
                <w:vertAlign w:val="superscript"/>
                <w:lang w:val="en-AU" w:eastAsia="en-US"/>
              </w:rPr>
              <w:t>a</w:t>
            </w:r>
          </w:p>
        </w:tc>
        <w:tc>
          <w:tcPr>
            <w:tcW w:w="522" w:type="pct"/>
            <w:shd w:val="clear" w:color="auto" w:fill="auto"/>
          </w:tcPr>
          <w:p w14:paraId="3D5CE99C" w14:textId="7885A787" w:rsidR="00CE7338" w:rsidRPr="006A25BF" w:rsidRDefault="008F1F4E" w:rsidP="005E494E">
            <w:pPr>
              <w:pStyle w:val="In-tableHeading"/>
              <w:widowControl w:val="0"/>
              <w:rPr>
                <w:lang w:val="en-AU" w:eastAsia="en-US"/>
              </w:rPr>
            </w:pPr>
            <w:r w:rsidRPr="006A25BF">
              <w:rPr>
                <w:lang w:val="en-AU"/>
              </w:rPr>
              <w:t>O</w:t>
            </w:r>
            <w:r w:rsidR="001A3613" w:rsidRPr="006A25BF">
              <w:rPr>
                <w:lang w:val="en-AU"/>
              </w:rPr>
              <w:t>utcome u</w:t>
            </w:r>
            <w:r w:rsidR="00CE7338" w:rsidRPr="006A25BF">
              <w:rPr>
                <w:lang w:val="en-AU"/>
              </w:rPr>
              <w:t>se</w:t>
            </w:r>
            <w:r w:rsidR="001A3613" w:rsidRPr="006A25BF">
              <w:rPr>
                <w:lang w:val="en-AU"/>
              </w:rPr>
              <w:t>d</w:t>
            </w:r>
            <w:r w:rsidR="00CE7338" w:rsidRPr="006A25BF">
              <w:rPr>
                <w:lang w:val="en-AU"/>
              </w:rPr>
              <w:t xml:space="preserve"> in modelled evaluation</w:t>
            </w:r>
          </w:p>
        </w:tc>
      </w:tr>
      <w:tr w:rsidR="006B5229" w:rsidRPr="006A25BF" w14:paraId="08B33876" w14:textId="77777777" w:rsidTr="00636519">
        <w:trPr>
          <w:trHeight w:val="20"/>
        </w:trPr>
        <w:tc>
          <w:tcPr>
            <w:tcW w:w="4478" w:type="pct"/>
            <w:gridSpan w:val="6"/>
            <w:shd w:val="clear" w:color="auto" w:fill="auto"/>
          </w:tcPr>
          <w:p w14:paraId="71B89A78" w14:textId="77777777" w:rsidR="00CE7338" w:rsidRPr="006A25BF" w:rsidRDefault="00CE7338" w:rsidP="005E494E">
            <w:pPr>
              <w:keepNext/>
              <w:widowControl w:val="0"/>
              <w:jc w:val="left"/>
              <w:rPr>
                <w:rFonts w:ascii="Arial Narrow" w:eastAsiaTheme="minorHAnsi" w:hAnsi="Arial Narrow" w:cstheme="minorBidi"/>
                <w:b/>
                <w:bCs/>
                <w:sz w:val="20"/>
                <w:szCs w:val="22"/>
                <w:lang w:eastAsia="en-US"/>
              </w:rPr>
            </w:pPr>
            <w:r w:rsidRPr="006A25BF">
              <w:rPr>
                <w:rFonts w:ascii="Arial Narrow" w:eastAsiaTheme="minorHAnsi" w:hAnsi="Arial Narrow" w:cstheme="minorBidi"/>
                <w:b/>
                <w:bCs/>
                <w:sz w:val="20"/>
                <w:szCs w:val="22"/>
                <w:lang w:eastAsia="en-US"/>
              </w:rPr>
              <w:t>Fenfluramine vs. placebo</w:t>
            </w:r>
          </w:p>
        </w:tc>
        <w:tc>
          <w:tcPr>
            <w:tcW w:w="522" w:type="pct"/>
            <w:shd w:val="clear" w:color="auto" w:fill="auto"/>
          </w:tcPr>
          <w:p w14:paraId="520AF058" w14:textId="77777777" w:rsidR="00CE7338" w:rsidRPr="006A25BF" w:rsidRDefault="00CE7338" w:rsidP="005E494E">
            <w:pPr>
              <w:keepNext/>
              <w:widowControl w:val="0"/>
              <w:jc w:val="left"/>
              <w:rPr>
                <w:rFonts w:ascii="Arial Narrow" w:eastAsiaTheme="minorHAnsi" w:hAnsi="Arial Narrow" w:cstheme="minorBidi"/>
                <w:b/>
                <w:bCs/>
                <w:sz w:val="20"/>
                <w:szCs w:val="22"/>
                <w:lang w:eastAsia="en-US"/>
              </w:rPr>
            </w:pPr>
          </w:p>
        </w:tc>
      </w:tr>
      <w:tr w:rsidR="00971F59" w:rsidRPr="006A25BF" w14:paraId="060203F8" w14:textId="77777777" w:rsidTr="00636519">
        <w:trPr>
          <w:trHeight w:val="20"/>
        </w:trPr>
        <w:tc>
          <w:tcPr>
            <w:tcW w:w="552" w:type="pct"/>
            <w:vMerge w:val="restart"/>
            <w:shd w:val="clear" w:color="auto" w:fill="auto"/>
            <w:vAlign w:val="center"/>
          </w:tcPr>
          <w:p w14:paraId="5E89CE33" w14:textId="77777777" w:rsidR="00971F59" w:rsidRPr="006A25BF" w:rsidRDefault="00971F59" w:rsidP="005E494E">
            <w:pPr>
              <w:keepNext/>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Study 1</w:t>
            </w:r>
          </w:p>
        </w:tc>
        <w:tc>
          <w:tcPr>
            <w:tcW w:w="183" w:type="pct"/>
            <w:vMerge w:val="restart"/>
            <w:shd w:val="clear" w:color="auto" w:fill="auto"/>
            <w:vAlign w:val="center"/>
          </w:tcPr>
          <w:p w14:paraId="67B8515E" w14:textId="77777777" w:rsidR="00971F59" w:rsidRPr="006A25BF" w:rsidRDefault="00971F59" w:rsidP="005E494E">
            <w:pPr>
              <w:keepNext/>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119</w:t>
            </w:r>
          </w:p>
        </w:tc>
        <w:tc>
          <w:tcPr>
            <w:tcW w:w="992" w:type="pct"/>
            <w:vMerge w:val="restart"/>
            <w:shd w:val="clear" w:color="auto" w:fill="auto"/>
            <w:vAlign w:val="center"/>
          </w:tcPr>
          <w:p w14:paraId="251670FF" w14:textId="3AA5EBCD" w:rsidR="00971F59" w:rsidRPr="006A25BF" w:rsidRDefault="00971F59" w:rsidP="005E494E">
            <w:pPr>
              <w:keepNext/>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R, DB, PC, 14 weeks.</w:t>
            </w:r>
            <w:r w:rsidR="001265F9" w:rsidRPr="006A25BF">
              <w:rPr>
                <w:rFonts w:ascii="Arial Narrow" w:eastAsiaTheme="minorHAnsi" w:hAnsi="Arial Narrow" w:cstheme="minorBidi"/>
                <w:sz w:val="20"/>
                <w:szCs w:val="22"/>
                <w:vertAlign w:val="superscript"/>
                <w:lang w:eastAsia="en-US"/>
              </w:rPr>
              <w:t>b</w:t>
            </w:r>
          </w:p>
          <w:p w14:paraId="68F9A50D" w14:textId="77777777" w:rsidR="00971F59" w:rsidRPr="006A25BF" w:rsidRDefault="00971F59" w:rsidP="005E494E">
            <w:pPr>
              <w:keepNext/>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Titration to either 0.2 mg/kg/day or 0.7 mg/kg/day FFA (-STP).</w:t>
            </w:r>
          </w:p>
        </w:tc>
        <w:tc>
          <w:tcPr>
            <w:tcW w:w="233" w:type="pct"/>
            <w:vMerge w:val="restart"/>
            <w:shd w:val="clear" w:color="auto" w:fill="auto"/>
            <w:vAlign w:val="center"/>
          </w:tcPr>
          <w:p w14:paraId="4C3DC953" w14:textId="77777777" w:rsidR="00971F59" w:rsidRPr="006A25BF" w:rsidRDefault="00971F59" w:rsidP="005E494E">
            <w:pPr>
              <w:keepNext/>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Low</w:t>
            </w:r>
          </w:p>
        </w:tc>
        <w:tc>
          <w:tcPr>
            <w:tcW w:w="1574" w:type="pct"/>
            <w:vMerge w:val="restart"/>
            <w:shd w:val="clear" w:color="auto" w:fill="auto"/>
            <w:vAlign w:val="center"/>
          </w:tcPr>
          <w:p w14:paraId="79615AAD" w14:textId="77777777" w:rsidR="00971F59" w:rsidRPr="006A25BF" w:rsidRDefault="00971F59" w:rsidP="005E494E">
            <w:pPr>
              <w:keepNext/>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Age 2-18 years.</w:t>
            </w:r>
          </w:p>
          <w:p w14:paraId="26E0A3C6" w14:textId="0A53E9D3" w:rsidR="00971F59" w:rsidRPr="006A25BF" w:rsidRDefault="00971F59" w:rsidP="005E494E">
            <w:pPr>
              <w:keepNext/>
              <w:widowControl w:val="0"/>
              <w:jc w:val="left"/>
              <w:rPr>
                <w:rFonts w:ascii="Arial Narrow" w:eastAsiaTheme="minorHAnsi" w:hAnsi="Arial Narrow" w:cstheme="minorBidi"/>
                <w:sz w:val="20"/>
                <w:szCs w:val="22"/>
                <w:vertAlign w:val="superscript"/>
                <w:lang w:eastAsia="en-US"/>
              </w:rPr>
            </w:pPr>
            <w:r w:rsidRPr="006A25BF">
              <w:rPr>
                <w:rFonts w:ascii="Arial Narrow" w:eastAsiaTheme="minorHAnsi" w:hAnsi="Arial Narrow" w:cstheme="minorBidi"/>
                <w:sz w:val="20"/>
                <w:szCs w:val="22"/>
                <w:lang w:eastAsia="en-US"/>
              </w:rPr>
              <w:t>≥4 convulsive seizures (tonic, tonic-atonic, tonic-clonic, or clonic) at baseline.</w:t>
            </w:r>
            <w:r w:rsidR="001265F9" w:rsidRPr="006A25BF">
              <w:rPr>
                <w:rFonts w:ascii="Arial Narrow" w:eastAsiaTheme="minorHAnsi" w:hAnsi="Arial Narrow" w:cstheme="minorBidi"/>
                <w:sz w:val="20"/>
                <w:szCs w:val="22"/>
                <w:vertAlign w:val="superscript"/>
                <w:lang w:eastAsia="en-US"/>
              </w:rPr>
              <w:t xml:space="preserve">c </w:t>
            </w:r>
          </w:p>
          <w:p w14:paraId="12F79F66" w14:textId="16BB1962" w:rsidR="00971F59" w:rsidRPr="006A25BF" w:rsidRDefault="00971F59" w:rsidP="005E494E">
            <w:pPr>
              <w:keepNext/>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 xml:space="preserve">Did not receive STP in 21 days before screening. </w:t>
            </w:r>
          </w:p>
        </w:tc>
        <w:tc>
          <w:tcPr>
            <w:tcW w:w="944" w:type="pct"/>
            <w:shd w:val="clear" w:color="auto" w:fill="auto"/>
            <w:vAlign w:val="center"/>
          </w:tcPr>
          <w:p w14:paraId="40AAD5EF" w14:textId="503DE8AB" w:rsidR="00971F59" w:rsidRPr="006A25BF" w:rsidRDefault="00971F59" w:rsidP="005E494E">
            <w:pPr>
              <w:keepNext/>
              <w:widowControl w:val="0"/>
              <w:jc w:val="left"/>
              <w:rPr>
                <w:rFonts w:ascii="Arial Narrow" w:eastAsiaTheme="minorHAnsi" w:hAnsi="Arial Narrow" w:cstheme="minorBidi"/>
                <w:sz w:val="20"/>
                <w:szCs w:val="22"/>
                <w:lang w:eastAsia="en-US"/>
              </w:rPr>
            </w:pPr>
            <w:r w:rsidRPr="006A25BF">
              <w:rPr>
                <w:rFonts w:ascii="Arial Narrow" w:hAnsi="Arial Narrow"/>
                <w:sz w:val="20"/>
                <w:szCs w:val="20"/>
              </w:rPr>
              <w:t>Percentage change from baseline in CSF</w:t>
            </w:r>
          </w:p>
        </w:tc>
        <w:tc>
          <w:tcPr>
            <w:tcW w:w="522" w:type="pct"/>
            <w:shd w:val="clear" w:color="auto" w:fill="auto"/>
            <w:vAlign w:val="center"/>
          </w:tcPr>
          <w:p w14:paraId="74DE0F68" w14:textId="6F8E293B" w:rsidR="00971F59" w:rsidRPr="006A25BF" w:rsidRDefault="00971F59" w:rsidP="005E494E">
            <w:pPr>
              <w:pStyle w:val="TableText0"/>
            </w:pPr>
            <w:r w:rsidRPr="006A25BF" w:rsidDel="00363B21">
              <w:t>No</w:t>
            </w:r>
          </w:p>
        </w:tc>
      </w:tr>
      <w:tr w:rsidR="00971F59" w:rsidRPr="006A25BF" w14:paraId="1C54F1AF" w14:textId="77777777" w:rsidTr="00636519">
        <w:trPr>
          <w:trHeight w:val="20"/>
        </w:trPr>
        <w:tc>
          <w:tcPr>
            <w:tcW w:w="552" w:type="pct"/>
            <w:vMerge/>
            <w:shd w:val="clear" w:color="auto" w:fill="auto"/>
            <w:vAlign w:val="center"/>
          </w:tcPr>
          <w:p w14:paraId="61548BAF" w14:textId="77777777" w:rsidR="00971F59" w:rsidRPr="006A25BF" w:rsidRDefault="00971F59" w:rsidP="005E494E">
            <w:pPr>
              <w:keepNext/>
              <w:widowControl w:val="0"/>
              <w:jc w:val="left"/>
              <w:rPr>
                <w:rFonts w:ascii="Arial Narrow" w:eastAsiaTheme="minorHAnsi" w:hAnsi="Arial Narrow" w:cstheme="minorBidi"/>
                <w:sz w:val="20"/>
                <w:szCs w:val="22"/>
                <w:lang w:eastAsia="en-US"/>
              </w:rPr>
            </w:pPr>
          </w:p>
        </w:tc>
        <w:tc>
          <w:tcPr>
            <w:tcW w:w="183" w:type="pct"/>
            <w:vMerge/>
            <w:shd w:val="clear" w:color="auto" w:fill="auto"/>
            <w:vAlign w:val="center"/>
          </w:tcPr>
          <w:p w14:paraId="037FB004" w14:textId="77777777" w:rsidR="00971F59" w:rsidRPr="006A25BF" w:rsidRDefault="00971F59" w:rsidP="005E494E">
            <w:pPr>
              <w:keepNext/>
              <w:widowControl w:val="0"/>
              <w:jc w:val="left"/>
              <w:rPr>
                <w:rFonts w:ascii="Arial Narrow" w:eastAsiaTheme="minorHAnsi" w:hAnsi="Arial Narrow" w:cstheme="minorBidi"/>
                <w:sz w:val="20"/>
                <w:szCs w:val="22"/>
                <w:lang w:eastAsia="en-US"/>
              </w:rPr>
            </w:pPr>
          </w:p>
        </w:tc>
        <w:tc>
          <w:tcPr>
            <w:tcW w:w="992" w:type="pct"/>
            <w:vMerge/>
            <w:shd w:val="clear" w:color="auto" w:fill="auto"/>
            <w:vAlign w:val="center"/>
          </w:tcPr>
          <w:p w14:paraId="54902B18" w14:textId="77777777" w:rsidR="00971F59" w:rsidRPr="006A25BF" w:rsidRDefault="00971F59" w:rsidP="005E494E">
            <w:pPr>
              <w:keepNext/>
              <w:widowControl w:val="0"/>
              <w:jc w:val="left"/>
              <w:rPr>
                <w:rFonts w:ascii="Arial Narrow" w:eastAsiaTheme="minorHAnsi" w:hAnsi="Arial Narrow" w:cstheme="minorBidi"/>
                <w:sz w:val="20"/>
                <w:szCs w:val="22"/>
                <w:lang w:eastAsia="en-US"/>
              </w:rPr>
            </w:pPr>
          </w:p>
        </w:tc>
        <w:tc>
          <w:tcPr>
            <w:tcW w:w="233" w:type="pct"/>
            <w:vMerge/>
            <w:shd w:val="clear" w:color="auto" w:fill="auto"/>
            <w:vAlign w:val="center"/>
          </w:tcPr>
          <w:p w14:paraId="39D226EA" w14:textId="77777777" w:rsidR="00971F59" w:rsidRPr="006A25BF" w:rsidRDefault="00971F59" w:rsidP="005E494E">
            <w:pPr>
              <w:keepNext/>
              <w:widowControl w:val="0"/>
              <w:jc w:val="left"/>
              <w:rPr>
                <w:rFonts w:ascii="Arial Narrow" w:eastAsiaTheme="minorHAnsi" w:hAnsi="Arial Narrow" w:cstheme="minorBidi"/>
                <w:sz w:val="20"/>
                <w:szCs w:val="22"/>
                <w:lang w:eastAsia="en-US"/>
              </w:rPr>
            </w:pPr>
          </w:p>
        </w:tc>
        <w:tc>
          <w:tcPr>
            <w:tcW w:w="1574" w:type="pct"/>
            <w:vMerge/>
            <w:shd w:val="clear" w:color="auto" w:fill="auto"/>
            <w:vAlign w:val="center"/>
          </w:tcPr>
          <w:p w14:paraId="4E2BA7C3" w14:textId="77777777" w:rsidR="00971F59" w:rsidRPr="006A25BF" w:rsidRDefault="00971F59" w:rsidP="005E494E">
            <w:pPr>
              <w:keepNext/>
              <w:widowControl w:val="0"/>
              <w:jc w:val="left"/>
              <w:rPr>
                <w:rFonts w:ascii="Arial Narrow" w:eastAsiaTheme="minorHAnsi" w:hAnsi="Arial Narrow" w:cstheme="minorBidi"/>
                <w:sz w:val="20"/>
                <w:szCs w:val="22"/>
                <w:lang w:eastAsia="en-US"/>
              </w:rPr>
            </w:pPr>
          </w:p>
        </w:tc>
        <w:tc>
          <w:tcPr>
            <w:tcW w:w="944" w:type="pct"/>
            <w:shd w:val="clear" w:color="auto" w:fill="auto"/>
            <w:vAlign w:val="center"/>
          </w:tcPr>
          <w:p w14:paraId="7BCFCBFD" w14:textId="4531C719" w:rsidR="00971F59" w:rsidRPr="006A25BF" w:rsidRDefault="00971F59" w:rsidP="005E494E">
            <w:pPr>
              <w:keepNext/>
              <w:widowControl w:val="0"/>
              <w:jc w:val="left"/>
              <w:rPr>
                <w:rFonts w:ascii="Arial Narrow" w:hAnsi="Arial Narrow"/>
                <w:sz w:val="20"/>
                <w:szCs w:val="20"/>
              </w:rPr>
            </w:pPr>
            <w:r w:rsidRPr="006A25BF">
              <w:rPr>
                <w:rFonts w:ascii="Arial Narrow" w:hAnsi="Arial Narrow"/>
                <w:sz w:val="20"/>
                <w:szCs w:val="20"/>
              </w:rPr>
              <w:t>Responder analyses</w:t>
            </w:r>
            <w:r w:rsidR="00CD77AF" w:rsidRPr="006A25BF">
              <w:rPr>
                <w:rFonts w:ascii="Arial Narrow" w:hAnsi="Arial Narrow"/>
                <w:sz w:val="20"/>
                <w:szCs w:val="20"/>
              </w:rPr>
              <w:t xml:space="preserve"> </w:t>
            </w:r>
            <w:r w:rsidR="001265F9" w:rsidRPr="006A25BF">
              <w:rPr>
                <w:rFonts w:ascii="Arial Narrow" w:hAnsi="Arial Narrow"/>
                <w:sz w:val="20"/>
                <w:szCs w:val="20"/>
                <w:vertAlign w:val="superscript"/>
              </w:rPr>
              <w:t>e</w:t>
            </w:r>
          </w:p>
        </w:tc>
        <w:tc>
          <w:tcPr>
            <w:tcW w:w="522" w:type="pct"/>
            <w:shd w:val="clear" w:color="auto" w:fill="auto"/>
            <w:vAlign w:val="center"/>
          </w:tcPr>
          <w:p w14:paraId="6DD1952E" w14:textId="4F5D026F" w:rsidR="00971F59" w:rsidRPr="006A25BF" w:rsidRDefault="00363B21" w:rsidP="005E494E">
            <w:pPr>
              <w:pStyle w:val="TableText0"/>
            </w:pPr>
            <w:r w:rsidRPr="006A25BF">
              <w:t>No</w:t>
            </w:r>
          </w:p>
        </w:tc>
      </w:tr>
      <w:tr w:rsidR="00EC52FA" w:rsidRPr="006A25BF" w14:paraId="3D1C0B84" w14:textId="77777777" w:rsidTr="00636519">
        <w:trPr>
          <w:trHeight w:val="20"/>
        </w:trPr>
        <w:tc>
          <w:tcPr>
            <w:tcW w:w="552" w:type="pct"/>
            <w:vMerge w:val="restart"/>
            <w:shd w:val="clear" w:color="auto" w:fill="auto"/>
            <w:vAlign w:val="center"/>
          </w:tcPr>
          <w:p w14:paraId="165EE5E3" w14:textId="77777777"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Study 3</w:t>
            </w:r>
          </w:p>
        </w:tc>
        <w:tc>
          <w:tcPr>
            <w:tcW w:w="183" w:type="pct"/>
            <w:vMerge w:val="restart"/>
            <w:shd w:val="clear" w:color="auto" w:fill="auto"/>
            <w:vAlign w:val="center"/>
          </w:tcPr>
          <w:p w14:paraId="51A5F00F" w14:textId="77777777"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143</w:t>
            </w:r>
          </w:p>
        </w:tc>
        <w:tc>
          <w:tcPr>
            <w:tcW w:w="992" w:type="pct"/>
            <w:vMerge w:val="restart"/>
            <w:shd w:val="clear" w:color="auto" w:fill="auto"/>
            <w:vAlign w:val="center"/>
          </w:tcPr>
          <w:p w14:paraId="65F74AEF" w14:textId="77777777"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R, DB, PC, 14 weeks.</w:t>
            </w:r>
          </w:p>
          <w:p w14:paraId="5B02AAB5" w14:textId="7213B79E"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Titration to either 0.2 mg/kg/day or 0.7 mg/kg/day FFA (-STP).</w:t>
            </w:r>
            <w:r w:rsidR="001265F9" w:rsidRPr="006A25BF">
              <w:rPr>
                <w:rFonts w:ascii="Arial Narrow" w:eastAsiaTheme="minorHAnsi" w:hAnsi="Arial Narrow" w:cstheme="minorBidi"/>
                <w:sz w:val="20"/>
                <w:szCs w:val="22"/>
                <w:vertAlign w:val="superscript"/>
                <w:lang w:eastAsia="en-US"/>
              </w:rPr>
              <w:t>b</w:t>
            </w:r>
          </w:p>
        </w:tc>
        <w:tc>
          <w:tcPr>
            <w:tcW w:w="233" w:type="pct"/>
            <w:vMerge w:val="restart"/>
            <w:shd w:val="clear" w:color="auto" w:fill="auto"/>
            <w:vAlign w:val="center"/>
          </w:tcPr>
          <w:p w14:paraId="105BD393" w14:textId="77777777"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Low</w:t>
            </w:r>
          </w:p>
        </w:tc>
        <w:tc>
          <w:tcPr>
            <w:tcW w:w="1574" w:type="pct"/>
            <w:vMerge w:val="restart"/>
            <w:shd w:val="clear" w:color="auto" w:fill="auto"/>
            <w:vAlign w:val="center"/>
          </w:tcPr>
          <w:p w14:paraId="2DD05E82" w14:textId="77777777"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Age 2-18 years.</w:t>
            </w:r>
          </w:p>
          <w:p w14:paraId="2DC66C3B" w14:textId="79781DE2" w:rsidR="00EC52FA" w:rsidRPr="006A25BF" w:rsidRDefault="00EC52FA" w:rsidP="00BC2351">
            <w:pPr>
              <w:widowControl w:val="0"/>
              <w:jc w:val="left"/>
              <w:rPr>
                <w:rFonts w:ascii="Arial Narrow" w:eastAsiaTheme="minorHAnsi" w:hAnsi="Arial Narrow" w:cstheme="minorBidi"/>
                <w:sz w:val="20"/>
                <w:szCs w:val="22"/>
                <w:vertAlign w:val="superscript"/>
                <w:lang w:eastAsia="en-US"/>
              </w:rPr>
            </w:pPr>
            <w:r w:rsidRPr="006A25BF">
              <w:rPr>
                <w:rFonts w:ascii="Arial Narrow" w:eastAsiaTheme="minorHAnsi" w:hAnsi="Arial Narrow" w:cstheme="minorBidi"/>
                <w:sz w:val="20"/>
                <w:szCs w:val="22"/>
                <w:lang w:eastAsia="en-US"/>
              </w:rPr>
              <w:t>≥4 convulsive seizures (tonic, tonic-atonic, tonic-clonic, or clonic) at baseline.</w:t>
            </w:r>
            <w:r w:rsidR="001265F9" w:rsidRPr="006A25BF">
              <w:rPr>
                <w:rFonts w:ascii="Arial Narrow" w:eastAsiaTheme="minorHAnsi" w:hAnsi="Arial Narrow" w:cstheme="minorBidi"/>
                <w:sz w:val="20"/>
                <w:szCs w:val="22"/>
                <w:vertAlign w:val="superscript"/>
                <w:lang w:eastAsia="en-US"/>
              </w:rPr>
              <w:t xml:space="preserve">c </w:t>
            </w:r>
          </w:p>
          <w:p w14:paraId="3032E675" w14:textId="77777777"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Did not receive STP in 21 days before screening.</w:t>
            </w:r>
          </w:p>
        </w:tc>
        <w:tc>
          <w:tcPr>
            <w:tcW w:w="944" w:type="pct"/>
            <w:shd w:val="clear" w:color="auto" w:fill="auto"/>
            <w:vAlign w:val="center"/>
          </w:tcPr>
          <w:p w14:paraId="2BBFD3DF" w14:textId="101F601D" w:rsidR="00EC52FA" w:rsidRPr="006A25BF" w:rsidRDefault="00EC52FA" w:rsidP="00BC2351">
            <w:pPr>
              <w:widowControl w:val="0"/>
              <w:jc w:val="left"/>
              <w:rPr>
                <w:rFonts w:ascii="Arial Narrow" w:hAnsi="Arial Narrow"/>
                <w:sz w:val="20"/>
                <w:szCs w:val="20"/>
              </w:rPr>
            </w:pPr>
            <w:r w:rsidRPr="006A25BF">
              <w:rPr>
                <w:rFonts w:ascii="Arial Narrow" w:hAnsi="Arial Narrow"/>
                <w:sz w:val="20"/>
                <w:szCs w:val="20"/>
              </w:rPr>
              <w:t>Percentage change from baseline in CSF</w:t>
            </w:r>
          </w:p>
        </w:tc>
        <w:tc>
          <w:tcPr>
            <w:tcW w:w="522" w:type="pct"/>
            <w:shd w:val="clear" w:color="auto" w:fill="auto"/>
            <w:vAlign w:val="center"/>
          </w:tcPr>
          <w:p w14:paraId="792FE2C8" w14:textId="3670B263" w:rsidR="00EC52FA" w:rsidRPr="006A25BF" w:rsidRDefault="00EC52FA" w:rsidP="00BC2351">
            <w:pPr>
              <w:pStyle w:val="TableText0"/>
            </w:pPr>
            <w:r w:rsidRPr="006A25BF" w:rsidDel="00A23930">
              <w:t>No</w:t>
            </w:r>
          </w:p>
        </w:tc>
      </w:tr>
      <w:tr w:rsidR="00EC52FA" w:rsidRPr="006A25BF" w14:paraId="1A54E1BE" w14:textId="77777777" w:rsidTr="00636519">
        <w:trPr>
          <w:trHeight w:val="20"/>
        </w:trPr>
        <w:tc>
          <w:tcPr>
            <w:tcW w:w="552" w:type="pct"/>
            <w:vMerge/>
            <w:shd w:val="clear" w:color="auto" w:fill="auto"/>
            <w:vAlign w:val="center"/>
          </w:tcPr>
          <w:p w14:paraId="1735EF7C" w14:textId="77777777" w:rsidR="00EC52FA" w:rsidRPr="006A25BF" w:rsidRDefault="00EC52FA" w:rsidP="00BC2351">
            <w:pPr>
              <w:widowControl w:val="0"/>
              <w:jc w:val="left"/>
              <w:rPr>
                <w:rFonts w:ascii="Arial Narrow" w:eastAsiaTheme="minorHAnsi" w:hAnsi="Arial Narrow" w:cstheme="minorBidi"/>
                <w:sz w:val="20"/>
                <w:szCs w:val="22"/>
                <w:lang w:eastAsia="en-US"/>
              </w:rPr>
            </w:pPr>
          </w:p>
        </w:tc>
        <w:tc>
          <w:tcPr>
            <w:tcW w:w="183" w:type="pct"/>
            <w:vMerge/>
            <w:shd w:val="clear" w:color="auto" w:fill="auto"/>
            <w:vAlign w:val="center"/>
          </w:tcPr>
          <w:p w14:paraId="0B31183B" w14:textId="77777777" w:rsidR="00EC52FA" w:rsidRPr="006A25BF" w:rsidRDefault="00EC52FA" w:rsidP="00BC2351">
            <w:pPr>
              <w:widowControl w:val="0"/>
              <w:jc w:val="left"/>
              <w:rPr>
                <w:rFonts w:ascii="Arial Narrow" w:eastAsiaTheme="minorHAnsi" w:hAnsi="Arial Narrow" w:cstheme="minorBidi"/>
                <w:sz w:val="20"/>
                <w:szCs w:val="22"/>
                <w:lang w:eastAsia="en-US"/>
              </w:rPr>
            </w:pPr>
          </w:p>
        </w:tc>
        <w:tc>
          <w:tcPr>
            <w:tcW w:w="992" w:type="pct"/>
            <w:vMerge/>
            <w:shd w:val="clear" w:color="auto" w:fill="auto"/>
            <w:vAlign w:val="center"/>
          </w:tcPr>
          <w:p w14:paraId="757B3B0A" w14:textId="77777777" w:rsidR="00EC52FA" w:rsidRPr="006A25BF" w:rsidRDefault="00EC52FA" w:rsidP="00BC2351">
            <w:pPr>
              <w:widowControl w:val="0"/>
              <w:jc w:val="left"/>
              <w:rPr>
                <w:rFonts w:ascii="Arial Narrow" w:eastAsiaTheme="minorHAnsi" w:hAnsi="Arial Narrow" w:cstheme="minorBidi"/>
                <w:sz w:val="20"/>
                <w:szCs w:val="22"/>
                <w:lang w:eastAsia="en-US"/>
              </w:rPr>
            </w:pPr>
          </w:p>
        </w:tc>
        <w:tc>
          <w:tcPr>
            <w:tcW w:w="233" w:type="pct"/>
            <w:vMerge/>
            <w:shd w:val="clear" w:color="auto" w:fill="auto"/>
            <w:vAlign w:val="center"/>
          </w:tcPr>
          <w:p w14:paraId="1394E3E6" w14:textId="77777777" w:rsidR="00EC52FA" w:rsidRPr="006A25BF" w:rsidRDefault="00EC52FA" w:rsidP="00BC2351">
            <w:pPr>
              <w:widowControl w:val="0"/>
              <w:jc w:val="left"/>
              <w:rPr>
                <w:rFonts w:ascii="Arial Narrow" w:eastAsiaTheme="minorHAnsi" w:hAnsi="Arial Narrow" w:cstheme="minorBidi"/>
                <w:sz w:val="20"/>
                <w:szCs w:val="22"/>
                <w:lang w:eastAsia="en-US"/>
              </w:rPr>
            </w:pPr>
          </w:p>
        </w:tc>
        <w:tc>
          <w:tcPr>
            <w:tcW w:w="1574" w:type="pct"/>
            <w:vMerge/>
            <w:shd w:val="clear" w:color="auto" w:fill="auto"/>
            <w:vAlign w:val="center"/>
          </w:tcPr>
          <w:p w14:paraId="51F7AC5F" w14:textId="77777777" w:rsidR="00EC52FA" w:rsidRPr="006A25BF" w:rsidRDefault="00EC52FA" w:rsidP="00BC2351">
            <w:pPr>
              <w:widowControl w:val="0"/>
              <w:jc w:val="left"/>
              <w:rPr>
                <w:rFonts w:ascii="Arial Narrow" w:eastAsiaTheme="minorHAnsi" w:hAnsi="Arial Narrow" w:cstheme="minorBidi"/>
                <w:sz w:val="20"/>
                <w:szCs w:val="22"/>
                <w:lang w:eastAsia="en-US"/>
              </w:rPr>
            </w:pPr>
          </w:p>
        </w:tc>
        <w:tc>
          <w:tcPr>
            <w:tcW w:w="944" w:type="pct"/>
            <w:shd w:val="clear" w:color="auto" w:fill="auto"/>
            <w:vAlign w:val="center"/>
          </w:tcPr>
          <w:p w14:paraId="259C8CBC" w14:textId="520153C2" w:rsidR="00EC52FA" w:rsidRPr="006A25BF" w:rsidRDefault="00EC52FA" w:rsidP="00BC2351">
            <w:pPr>
              <w:widowControl w:val="0"/>
              <w:jc w:val="left"/>
              <w:rPr>
                <w:rFonts w:ascii="Arial Narrow" w:hAnsi="Arial Narrow"/>
                <w:sz w:val="20"/>
                <w:szCs w:val="20"/>
              </w:rPr>
            </w:pPr>
            <w:r w:rsidRPr="006A25BF">
              <w:rPr>
                <w:rFonts w:ascii="Arial Narrow" w:hAnsi="Arial Narrow"/>
                <w:sz w:val="20"/>
                <w:szCs w:val="20"/>
              </w:rPr>
              <w:t>Responder analyses</w:t>
            </w:r>
            <w:r w:rsidR="00CD77AF" w:rsidRPr="006A25BF">
              <w:rPr>
                <w:rFonts w:ascii="Arial Narrow" w:hAnsi="Arial Narrow"/>
                <w:sz w:val="20"/>
                <w:szCs w:val="20"/>
              </w:rPr>
              <w:t xml:space="preserve"> </w:t>
            </w:r>
            <w:r w:rsidR="001265F9" w:rsidRPr="006A25BF">
              <w:rPr>
                <w:rFonts w:ascii="Arial Narrow" w:hAnsi="Arial Narrow"/>
                <w:sz w:val="20"/>
                <w:szCs w:val="20"/>
                <w:vertAlign w:val="superscript"/>
              </w:rPr>
              <w:t>e</w:t>
            </w:r>
          </w:p>
        </w:tc>
        <w:tc>
          <w:tcPr>
            <w:tcW w:w="522" w:type="pct"/>
            <w:shd w:val="clear" w:color="auto" w:fill="auto"/>
            <w:vAlign w:val="center"/>
          </w:tcPr>
          <w:p w14:paraId="01CFC212" w14:textId="02AF892C" w:rsidR="00EC52FA" w:rsidRPr="006A25BF" w:rsidRDefault="00EC52FA" w:rsidP="00BC2351">
            <w:pPr>
              <w:pStyle w:val="TableText0"/>
            </w:pPr>
            <w:r w:rsidRPr="006A25BF">
              <w:t>No</w:t>
            </w:r>
          </w:p>
        </w:tc>
      </w:tr>
      <w:tr w:rsidR="00561906" w:rsidRPr="006A25BF" w14:paraId="7E45595E" w14:textId="77777777" w:rsidTr="00636519">
        <w:trPr>
          <w:trHeight w:val="20"/>
        </w:trPr>
        <w:tc>
          <w:tcPr>
            <w:tcW w:w="552" w:type="pct"/>
            <w:vMerge w:val="restart"/>
            <w:shd w:val="clear" w:color="auto" w:fill="auto"/>
            <w:vAlign w:val="center"/>
          </w:tcPr>
          <w:p w14:paraId="77F2A057" w14:textId="77777777"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Study 2</w:t>
            </w:r>
          </w:p>
        </w:tc>
        <w:tc>
          <w:tcPr>
            <w:tcW w:w="183" w:type="pct"/>
            <w:vMerge w:val="restart"/>
            <w:shd w:val="clear" w:color="auto" w:fill="auto"/>
            <w:vAlign w:val="center"/>
          </w:tcPr>
          <w:p w14:paraId="31FE1E32" w14:textId="77777777"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87</w:t>
            </w:r>
          </w:p>
        </w:tc>
        <w:tc>
          <w:tcPr>
            <w:tcW w:w="992" w:type="pct"/>
            <w:vMerge w:val="restart"/>
            <w:shd w:val="clear" w:color="auto" w:fill="auto"/>
            <w:vAlign w:val="center"/>
          </w:tcPr>
          <w:p w14:paraId="7CD92FEA" w14:textId="77777777"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R, DB, PC, 14 weeks.</w:t>
            </w:r>
          </w:p>
          <w:p w14:paraId="33101659" w14:textId="6C8E697B"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Titration 0.4 mg/kg/day FFA (+STP).</w:t>
            </w:r>
            <w:r w:rsidR="001265F9" w:rsidRPr="006A25BF">
              <w:rPr>
                <w:rFonts w:ascii="Arial Narrow" w:eastAsiaTheme="minorHAnsi" w:hAnsi="Arial Narrow" w:cstheme="minorBidi"/>
                <w:sz w:val="20"/>
                <w:szCs w:val="22"/>
                <w:vertAlign w:val="superscript"/>
                <w:lang w:eastAsia="en-US"/>
              </w:rPr>
              <w:t>b</w:t>
            </w:r>
            <w:r w:rsidR="001265F9" w:rsidRPr="006A25BF">
              <w:rPr>
                <w:rFonts w:ascii="Arial Narrow" w:eastAsiaTheme="minorHAnsi" w:hAnsi="Arial Narrow" w:cstheme="minorBidi"/>
                <w:sz w:val="20"/>
                <w:szCs w:val="22"/>
                <w:lang w:eastAsia="en-US"/>
              </w:rPr>
              <w:t xml:space="preserve"> </w:t>
            </w:r>
          </w:p>
        </w:tc>
        <w:tc>
          <w:tcPr>
            <w:tcW w:w="233" w:type="pct"/>
            <w:vMerge w:val="restart"/>
            <w:shd w:val="clear" w:color="auto" w:fill="auto"/>
            <w:vAlign w:val="center"/>
          </w:tcPr>
          <w:p w14:paraId="0B36355E" w14:textId="2E1EB754"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Low</w:t>
            </w:r>
          </w:p>
        </w:tc>
        <w:tc>
          <w:tcPr>
            <w:tcW w:w="1574" w:type="pct"/>
            <w:vMerge w:val="restart"/>
            <w:shd w:val="clear" w:color="auto" w:fill="auto"/>
            <w:vAlign w:val="center"/>
          </w:tcPr>
          <w:p w14:paraId="39AA133E" w14:textId="77777777"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Age 2-18 years.</w:t>
            </w:r>
          </w:p>
          <w:p w14:paraId="4CB0FEED" w14:textId="2E71868D" w:rsidR="00EC52FA" w:rsidRPr="006A25BF" w:rsidRDefault="00EC52FA" w:rsidP="00BC2351">
            <w:pPr>
              <w:widowControl w:val="0"/>
              <w:jc w:val="left"/>
              <w:rPr>
                <w:rFonts w:ascii="Arial Narrow" w:eastAsiaTheme="minorHAnsi" w:hAnsi="Arial Narrow" w:cstheme="minorBidi"/>
                <w:sz w:val="20"/>
                <w:szCs w:val="22"/>
                <w:vertAlign w:val="superscript"/>
                <w:lang w:eastAsia="en-US"/>
              </w:rPr>
            </w:pPr>
            <w:r w:rsidRPr="006A25BF">
              <w:rPr>
                <w:rFonts w:ascii="Arial Narrow" w:eastAsiaTheme="minorHAnsi" w:hAnsi="Arial Narrow" w:cstheme="minorBidi"/>
                <w:sz w:val="20"/>
                <w:szCs w:val="22"/>
                <w:lang w:eastAsia="en-US"/>
              </w:rPr>
              <w:t>≥4 convulsive seizures (tonic-clonic, tonic or clonic) at baseline.</w:t>
            </w:r>
            <w:r w:rsidR="001265F9" w:rsidRPr="006A25BF">
              <w:rPr>
                <w:rFonts w:ascii="Arial Narrow" w:eastAsiaTheme="minorHAnsi" w:hAnsi="Arial Narrow" w:cstheme="minorBidi"/>
                <w:sz w:val="20"/>
                <w:szCs w:val="22"/>
                <w:vertAlign w:val="superscript"/>
                <w:lang w:eastAsia="en-US"/>
              </w:rPr>
              <w:t xml:space="preserve">c </w:t>
            </w:r>
          </w:p>
          <w:p w14:paraId="3D3095ED" w14:textId="485EC4A8" w:rsidR="00EC52FA" w:rsidRPr="006A25BF" w:rsidRDefault="00EC52F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Receiving STP</w:t>
            </w:r>
            <w:r w:rsidR="00662CCD" w:rsidRPr="006A25BF">
              <w:rPr>
                <w:rFonts w:ascii="Arial Narrow" w:eastAsiaTheme="minorHAnsi" w:hAnsi="Arial Narrow" w:cstheme="minorBidi"/>
                <w:sz w:val="20"/>
                <w:szCs w:val="22"/>
                <w:lang w:eastAsia="en-US"/>
              </w:rPr>
              <w:t xml:space="preserve"> </w:t>
            </w:r>
            <w:r w:rsidRPr="006A25BF">
              <w:rPr>
                <w:rFonts w:ascii="Arial Narrow" w:eastAsiaTheme="minorHAnsi" w:hAnsi="Arial Narrow" w:cstheme="minorBidi"/>
                <w:sz w:val="20"/>
                <w:szCs w:val="22"/>
                <w:lang w:eastAsia="en-US"/>
              </w:rPr>
              <w:t>+ clobazam and/or valproate at baseline.</w:t>
            </w:r>
            <w:r w:rsidR="001265F9" w:rsidRPr="006A25BF">
              <w:rPr>
                <w:rFonts w:ascii="Arial Narrow" w:eastAsiaTheme="minorHAnsi" w:hAnsi="Arial Narrow" w:cstheme="minorBidi"/>
                <w:sz w:val="20"/>
                <w:szCs w:val="22"/>
                <w:vertAlign w:val="superscript"/>
                <w:lang w:eastAsia="en-US"/>
              </w:rPr>
              <w:t>d</w:t>
            </w:r>
          </w:p>
        </w:tc>
        <w:tc>
          <w:tcPr>
            <w:tcW w:w="944" w:type="pct"/>
            <w:shd w:val="clear" w:color="auto" w:fill="auto"/>
            <w:vAlign w:val="center"/>
          </w:tcPr>
          <w:p w14:paraId="0BF4780C" w14:textId="253E1CD5" w:rsidR="00EC52FA" w:rsidRPr="006A25BF" w:rsidRDefault="00EC52FA" w:rsidP="00BC2351">
            <w:pPr>
              <w:widowControl w:val="0"/>
              <w:jc w:val="left"/>
              <w:rPr>
                <w:rFonts w:ascii="Arial Narrow" w:hAnsi="Arial Narrow"/>
                <w:sz w:val="20"/>
                <w:szCs w:val="20"/>
              </w:rPr>
            </w:pPr>
            <w:r w:rsidRPr="006A25BF">
              <w:rPr>
                <w:rFonts w:ascii="Arial Narrow" w:hAnsi="Arial Narrow"/>
                <w:sz w:val="20"/>
                <w:szCs w:val="20"/>
              </w:rPr>
              <w:t>Percentage change from baseline in CSF</w:t>
            </w:r>
          </w:p>
        </w:tc>
        <w:tc>
          <w:tcPr>
            <w:tcW w:w="522" w:type="pct"/>
            <w:shd w:val="clear" w:color="auto" w:fill="auto"/>
            <w:vAlign w:val="center"/>
          </w:tcPr>
          <w:p w14:paraId="3CAE1AC2" w14:textId="1BECE42F" w:rsidR="00EC52FA" w:rsidRPr="006A25BF" w:rsidRDefault="00EC52FA" w:rsidP="00BC2351">
            <w:pPr>
              <w:pStyle w:val="TableText0"/>
            </w:pPr>
            <w:r w:rsidRPr="006A25BF">
              <w:t>Yes</w:t>
            </w:r>
          </w:p>
        </w:tc>
      </w:tr>
      <w:tr w:rsidR="00561906" w:rsidRPr="006A25BF" w14:paraId="1B31F2D0" w14:textId="77777777" w:rsidTr="00636519">
        <w:trPr>
          <w:trHeight w:val="20"/>
        </w:trPr>
        <w:tc>
          <w:tcPr>
            <w:tcW w:w="552" w:type="pct"/>
            <w:vMerge/>
            <w:shd w:val="clear" w:color="auto" w:fill="auto"/>
            <w:vAlign w:val="center"/>
          </w:tcPr>
          <w:p w14:paraId="67F4A1C3" w14:textId="77777777" w:rsidR="00EC52FA" w:rsidRPr="006A25BF" w:rsidRDefault="00EC52FA" w:rsidP="00BC2351">
            <w:pPr>
              <w:widowControl w:val="0"/>
              <w:jc w:val="left"/>
              <w:rPr>
                <w:rFonts w:ascii="Arial Narrow" w:eastAsiaTheme="minorHAnsi" w:hAnsi="Arial Narrow" w:cstheme="minorBidi"/>
                <w:sz w:val="20"/>
                <w:szCs w:val="22"/>
                <w:lang w:eastAsia="en-US"/>
              </w:rPr>
            </w:pPr>
          </w:p>
        </w:tc>
        <w:tc>
          <w:tcPr>
            <w:tcW w:w="183" w:type="pct"/>
            <w:vMerge/>
            <w:shd w:val="clear" w:color="auto" w:fill="auto"/>
            <w:vAlign w:val="center"/>
          </w:tcPr>
          <w:p w14:paraId="2EEEAFF9" w14:textId="77777777" w:rsidR="00EC52FA" w:rsidRPr="006A25BF" w:rsidRDefault="00EC52FA" w:rsidP="00BC2351">
            <w:pPr>
              <w:widowControl w:val="0"/>
              <w:jc w:val="left"/>
              <w:rPr>
                <w:rFonts w:ascii="Arial Narrow" w:eastAsiaTheme="minorHAnsi" w:hAnsi="Arial Narrow" w:cstheme="minorBidi"/>
                <w:sz w:val="20"/>
                <w:szCs w:val="22"/>
                <w:lang w:eastAsia="en-US"/>
              </w:rPr>
            </w:pPr>
          </w:p>
        </w:tc>
        <w:tc>
          <w:tcPr>
            <w:tcW w:w="992" w:type="pct"/>
            <w:vMerge/>
            <w:shd w:val="clear" w:color="auto" w:fill="auto"/>
            <w:vAlign w:val="center"/>
          </w:tcPr>
          <w:p w14:paraId="15E1C025" w14:textId="77777777" w:rsidR="00EC52FA" w:rsidRPr="006A25BF" w:rsidRDefault="00EC52FA" w:rsidP="00BC2351">
            <w:pPr>
              <w:widowControl w:val="0"/>
              <w:jc w:val="left"/>
              <w:rPr>
                <w:rFonts w:ascii="Arial Narrow" w:eastAsiaTheme="minorHAnsi" w:hAnsi="Arial Narrow" w:cstheme="minorBidi"/>
                <w:sz w:val="20"/>
                <w:szCs w:val="22"/>
                <w:lang w:eastAsia="en-US"/>
              </w:rPr>
            </w:pPr>
          </w:p>
        </w:tc>
        <w:tc>
          <w:tcPr>
            <w:tcW w:w="233" w:type="pct"/>
            <w:vMerge/>
            <w:shd w:val="clear" w:color="auto" w:fill="auto"/>
            <w:vAlign w:val="center"/>
          </w:tcPr>
          <w:p w14:paraId="1095195F" w14:textId="77777777" w:rsidR="00EC52FA" w:rsidRPr="006A25BF" w:rsidRDefault="00EC52FA" w:rsidP="00BC2351">
            <w:pPr>
              <w:widowControl w:val="0"/>
              <w:jc w:val="left"/>
              <w:rPr>
                <w:rFonts w:ascii="Arial Narrow" w:eastAsiaTheme="minorHAnsi" w:hAnsi="Arial Narrow" w:cstheme="minorBidi"/>
                <w:sz w:val="20"/>
                <w:szCs w:val="22"/>
                <w:lang w:eastAsia="en-US"/>
              </w:rPr>
            </w:pPr>
          </w:p>
        </w:tc>
        <w:tc>
          <w:tcPr>
            <w:tcW w:w="1574" w:type="pct"/>
            <w:vMerge/>
            <w:shd w:val="clear" w:color="auto" w:fill="auto"/>
            <w:vAlign w:val="center"/>
          </w:tcPr>
          <w:p w14:paraId="42FB0164" w14:textId="77777777" w:rsidR="00EC52FA" w:rsidRPr="006A25BF" w:rsidRDefault="00EC52FA" w:rsidP="00BC2351">
            <w:pPr>
              <w:widowControl w:val="0"/>
              <w:jc w:val="left"/>
              <w:rPr>
                <w:rFonts w:ascii="Arial Narrow" w:eastAsiaTheme="minorHAnsi" w:hAnsi="Arial Narrow" w:cstheme="minorBidi"/>
                <w:sz w:val="20"/>
                <w:szCs w:val="22"/>
                <w:lang w:eastAsia="en-US"/>
              </w:rPr>
            </w:pPr>
          </w:p>
        </w:tc>
        <w:tc>
          <w:tcPr>
            <w:tcW w:w="944" w:type="pct"/>
            <w:shd w:val="clear" w:color="auto" w:fill="auto"/>
            <w:vAlign w:val="center"/>
          </w:tcPr>
          <w:p w14:paraId="327135CA" w14:textId="544F7148" w:rsidR="00EC52FA" w:rsidRPr="006A25BF" w:rsidRDefault="00EC52FA" w:rsidP="00BC2351">
            <w:pPr>
              <w:widowControl w:val="0"/>
              <w:jc w:val="left"/>
              <w:rPr>
                <w:rFonts w:ascii="Arial Narrow" w:hAnsi="Arial Narrow"/>
                <w:sz w:val="20"/>
                <w:szCs w:val="20"/>
              </w:rPr>
            </w:pPr>
            <w:r w:rsidRPr="006A25BF">
              <w:rPr>
                <w:rFonts w:ascii="Arial Narrow" w:hAnsi="Arial Narrow"/>
                <w:sz w:val="20"/>
                <w:szCs w:val="20"/>
              </w:rPr>
              <w:t>Responder analyses</w:t>
            </w:r>
            <w:r w:rsidR="00CD77AF" w:rsidRPr="006A25BF">
              <w:rPr>
                <w:rFonts w:ascii="Arial Narrow" w:hAnsi="Arial Narrow"/>
                <w:sz w:val="20"/>
                <w:szCs w:val="20"/>
              </w:rPr>
              <w:t xml:space="preserve"> </w:t>
            </w:r>
            <w:r w:rsidR="001265F9" w:rsidRPr="006A25BF">
              <w:rPr>
                <w:rFonts w:ascii="Arial Narrow" w:hAnsi="Arial Narrow"/>
                <w:sz w:val="20"/>
                <w:szCs w:val="20"/>
                <w:vertAlign w:val="superscript"/>
              </w:rPr>
              <w:t>e</w:t>
            </w:r>
          </w:p>
        </w:tc>
        <w:tc>
          <w:tcPr>
            <w:tcW w:w="522" w:type="pct"/>
            <w:shd w:val="clear" w:color="auto" w:fill="auto"/>
            <w:vAlign w:val="center"/>
          </w:tcPr>
          <w:p w14:paraId="3C2965C4" w14:textId="33A24FF3" w:rsidR="00EC52FA" w:rsidRPr="006A25BF" w:rsidRDefault="00EC52FA" w:rsidP="00BC2351">
            <w:pPr>
              <w:pStyle w:val="TableText0"/>
            </w:pPr>
            <w:r w:rsidRPr="006A25BF">
              <w:t>No</w:t>
            </w:r>
          </w:p>
        </w:tc>
      </w:tr>
      <w:tr w:rsidR="006B5229" w:rsidRPr="006A25BF" w14:paraId="2DF683F7" w14:textId="77777777" w:rsidTr="00636519">
        <w:trPr>
          <w:trHeight w:val="20"/>
        </w:trPr>
        <w:tc>
          <w:tcPr>
            <w:tcW w:w="552" w:type="pct"/>
            <w:shd w:val="clear" w:color="auto" w:fill="auto"/>
            <w:vAlign w:val="center"/>
          </w:tcPr>
          <w:p w14:paraId="458263A2"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Meta-analysis</w:t>
            </w:r>
          </w:p>
        </w:tc>
        <w:tc>
          <w:tcPr>
            <w:tcW w:w="183" w:type="pct"/>
            <w:shd w:val="clear" w:color="auto" w:fill="auto"/>
            <w:vAlign w:val="center"/>
          </w:tcPr>
          <w:p w14:paraId="36351AB0"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176</w:t>
            </w:r>
          </w:p>
        </w:tc>
        <w:tc>
          <w:tcPr>
            <w:tcW w:w="2799" w:type="pct"/>
            <w:gridSpan w:val="3"/>
            <w:shd w:val="clear" w:color="auto" w:fill="auto"/>
            <w:vAlign w:val="center"/>
          </w:tcPr>
          <w:p w14:paraId="2E4DADCD" w14:textId="77777777" w:rsidR="00CE7338" w:rsidRPr="006A25BF" w:rsidRDefault="00CE7338" w:rsidP="00BC2351">
            <w:pPr>
              <w:pStyle w:val="TableText0"/>
              <w:keepNext w:val="0"/>
              <w:rPr>
                <w:lang w:eastAsia="en-US"/>
              </w:rPr>
            </w:pPr>
            <w:r w:rsidRPr="006A25BF">
              <w:rPr>
                <w:lang w:eastAsia="en-US"/>
              </w:rPr>
              <w:t>Meta-analysis of FFA 0.7 mg/kg/day (-STP) arms in Study 1 and Study 3 for pooled least square mean difference from baseline vs. placebo.</w:t>
            </w:r>
          </w:p>
        </w:tc>
        <w:tc>
          <w:tcPr>
            <w:tcW w:w="944" w:type="pct"/>
            <w:shd w:val="clear" w:color="auto" w:fill="auto"/>
            <w:vAlign w:val="center"/>
          </w:tcPr>
          <w:p w14:paraId="75115F78" w14:textId="77777777" w:rsidR="00CE7338" w:rsidRPr="006A25BF" w:rsidRDefault="00CE7338" w:rsidP="00BC2351">
            <w:pPr>
              <w:widowControl w:val="0"/>
              <w:jc w:val="left"/>
              <w:rPr>
                <w:rFonts w:ascii="Arial Narrow" w:hAnsi="Arial Narrow"/>
                <w:sz w:val="20"/>
                <w:szCs w:val="20"/>
              </w:rPr>
            </w:pPr>
            <w:r w:rsidRPr="006A25BF">
              <w:rPr>
                <w:rFonts w:ascii="Arial Narrow" w:hAnsi="Arial Narrow"/>
                <w:sz w:val="20"/>
                <w:szCs w:val="20"/>
              </w:rPr>
              <w:t>Percentage change from baseline in CSF</w:t>
            </w:r>
          </w:p>
        </w:tc>
        <w:tc>
          <w:tcPr>
            <w:tcW w:w="522" w:type="pct"/>
            <w:shd w:val="clear" w:color="auto" w:fill="auto"/>
            <w:vAlign w:val="center"/>
          </w:tcPr>
          <w:p w14:paraId="3688822B" w14:textId="4E664C47" w:rsidR="00CE7338" w:rsidRPr="006A25BF" w:rsidRDefault="00CE7338" w:rsidP="00BC2351">
            <w:pPr>
              <w:pStyle w:val="TableText0"/>
            </w:pPr>
            <w:r w:rsidRPr="006A25BF">
              <w:t>Yes</w:t>
            </w:r>
          </w:p>
        </w:tc>
      </w:tr>
      <w:tr w:rsidR="006B5229" w:rsidRPr="006A25BF" w14:paraId="3604EDAE" w14:textId="77777777" w:rsidTr="00636519">
        <w:trPr>
          <w:trHeight w:val="20"/>
        </w:trPr>
        <w:tc>
          <w:tcPr>
            <w:tcW w:w="552" w:type="pct"/>
            <w:shd w:val="clear" w:color="auto" w:fill="auto"/>
            <w:vAlign w:val="center"/>
          </w:tcPr>
          <w:p w14:paraId="65315420"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Meta-analysis</w:t>
            </w:r>
          </w:p>
        </w:tc>
        <w:tc>
          <w:tcPr>
            <w:tcW w:w="183" w:type="pct"/>
            <w:shd w:val="clear" w:color="auto" w:fill="auto"/>
            <w:vAlign w:val="center"/>
          </w:tcPr>
          <w:p w14:paraId="30752EB6"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176</w:t>
            </w:r>
          </w:p>
        </w:tc>
        <w:tc>
          <w:tcPr>
            <w:tcW w:w="2799" w:type="pct"/>
            <w:gridSpan w:val="3"/>
            <w:shd w:val="clear" w:color="auto" w:fill="auto"/>
            <w:vAlign w:val="center"/>
          </w:tcPr>
          <w:p w14:paraId="1A8DC2DA"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Meta-analysis of FFA 0.7 mg/kg/day (-STP) arms in Study 1 and Study 3 for pooled odds ratio, risk ratio and risk difference for the proportion of participants with ≥50%, ≥25%, and ≥75%, reduction in monthly CSF from baseline.</w:t>
            </w:r>
          </w:p>
        </w:tc>
        <w:tc>
          <w:tcPr>
            <w:tcW w:w="944" w:type="pct"/>
            <w:shd w:val="clear" w:color="auto" w:fill="auto"/>
            <w:vAlign w:val="center"/>
          </w:tcPr>
          <w:p w14:paraId="4B78EAA7" w14:textId="69FA90D3" w:rsidR="00CE7338" w:rsidRPr="006A25BF" w:rsidRDefault="00CE7338" w:rsidP="00BC2351">
            <w:pPr>
              <w:widowControl w:val="0"/>
              <w:jc w:val="left"/>
              <w:rPr>
                <w:rFonts w:ascii="Arial Narrow" w:hAnsi="Arial Narrow"/>
                <w:sz w:val="20"/>
                <w:szCs w:val="20"/>
              </w:rPr>
            </w:pPr>
            <w:r w:rsidRPr="006A25BF">
              <w:rPr>
                <w:rFonts w:ascii="Arial Narrow" w:hAnsi="Arial Narrow"/>
                <w:sz w:val="20"/>
                <w:szCs w:val="20"/>
              </w:rPr>
              <w:t>Responder analyses</w:t>
            </w:r>
            <w:r w:rsidR="001265F9" w:rsidRPr="006A25BF">
              <w:rPr>
                <w:rFonts w:ascii="Arial Narrow" w:hAnsi="Arial Narrow"/>
                <w:sz w:val="20"/>
                <w:szCs w:val="20"/>
                <w:vertAlign w:val="superscript"/>
              </w:rPr>
              <w:t xml:space="preserve"> e</w:t>
            </w:r>
          </w:p>
        </w:tc>
        <w:tc>
          <w:tcPr>
            <w:tcW w:w="522" w:type="pct"/>
            <w:shd w:val="clear" w:color="auto" w:fill="auto"/>
            <w:vAlign w:val="center"/>
          </w:tcPr>
          <w:p w14:paraId="78CEF11D" w14:textId="77777777" w:rsidR="00CE7338" w:rsidRPr="006A25BF" w:rsidRDefault="00CE7338" w:rsidP="00BC2351">
            <w:pPr>
              <w:pStyle w:val="TableText0"/>
            </w:pPr>
            <w:r w:rsidRPr="006A25BF">
              <w:t>No</w:t>
            </w:r>
          </w:p>
        </w:tc>
      </w:tr>
      <w:tr w:rsidR="006B5229" w:rsidRPr="006A25BF" w14:paraId="1F772F8D" w14:textId="77777777" w:rsidTr="00636519">
        <w:trPr>
          <w:trHeight w:val="20"/>
        </w:trPr>
        <w:tc>
          <w:tcPr>
            <w:tcW w:w="5000" w:type="pct"/>
            <w:gridSpan w:val="7"/>
            <w:shd w:val="clear" w:color="auto" w:fill="auto"/>
            <w:vAlign w:val="center"/>
          </w:tcPr>
          <w:p w14:paraId="761F07B2" w14:textId="77777777" w:rsidR="00CE7338" w:rsidRPr="006A25BF" w:rsidRDefault="00CE7338" w:rsidP="00BC2351">
            <w:pPr>
              <w:keepNext/>
              <w:widowControl w:val="0"/>
              <w:jc w:val="left"/>
              <w:rPr>
                <w:rFonts w:ascii="Arial Narrow" w:eastAsiaTheme="minorHAnsi" w:hAnsi="Arial Narrow" w:cstheme="minorBidi"/>
                <w:b/>
                <w:bCs/>
                <w:sz w:val="20"/>
                <w:szCs w:val="22"/>
                <w:lang w:eastAsia="en-US"/>
              </w:rPr>
            </w:pPr>
            <w:r w:rsidRPr="006A25BF">
              <w:rPr>
                <w:rFonts w:ascii="Arial Narrow" w:eastAsiaTheme="minorHAnsi" w:hAnsi="Arial Narrow" w:cstheme="minorBidi"/>
                <w:b/>
                <w:bCs/>
                <w:sz w:val="20"/>
                <w:szCs w:val="22"/>
                <w:lang w:eastAsia="en-US"/>
              </w:rPr>
              <w:t>Cannabidiol vs. placebo</w:t>
            </w:r>
          </w:p>
        </w:tc>
      </w:tr>
      <w:tr w:rsidR="00E0503A" w:rsidRPr="006A25BF" w14:paraId="06E92CF6" w14:textId="77777777" w:rsidTr="00636519">
        <w:trPr>
          <w:cantSplit/>
          <w:trHeight w:val="20"/>
        </w:trPr>
        <w:tc>
          <w:tcPr>
            <w:tcW w:w="552" w:type="pct"/>
            <w:vMerge w:val="restart"/>
            <w:shd w:val="clear" w:color="auto" w:fill="auto"/>
            <w:vAlign w:val="center"/>
          </w:tcPr>
          <w:p w14:paraId="3A67FFAD" w14:textId="77777777" w:rsidR="00E0503A" w:rsidRPr="006A25BF" w:rsidRDefault="00E0503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 xml:space="preserve">GWPCARE1 </w:t>
            </w:r>
          </w:p>
        </w:tc>
        <w:tc>
          <w:tcPr>
            <w:tcW w:w="183" w:type="pct"/>
            <w:vMerge w:val="restart"/>
            <w:shd w:val="clear" w:color="auto" w:fill="auto"/>
            <w:vAlign w:val="center"/>
          </w:tcPr>
          <w:p w14:paraId="42C86651" w14:textId="77777777" w:rsidR="00E0503A" w:rsidRPr="006A25BF" w:rsidRDefault="00E0503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120</w:t>
            </w:r>
          </w:p>
        </w:tc>
        <w:tc>
          <w:tcPr>
            <w:tcW w:w="992" w:type="pct"/>
            <w:vMerge w:val="restart"/>
            <w:shd w:val="clear" w:color="auto" w:fill="auto"/>
            <w:vAlign w:val="center"/>
          </w:tcPr>
          <w:p w14:paraId="1D09FC6E" w14:textId="77777777" w:rsidR="00E0503A" w:rsidRPr="006A25BF" w:rsidRDefault="00E0503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R, DB, PC, 14 weeks.</w:t>
            </w:r>
          </w:p>
          <w:p w14:paraId="2325DAFC" w14:textId="2344113B" w:rsidR="00E0503A" w:rsidRPr="006A25BF" w:rsidRDefault="00E0503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Titration to 20 mg/kg/day CBD (+/-STP).</w:t>
            </w:r>
            <w:r w:rsidR="00253B7F" w:rsidRPr="006A25BF">
              <w:rPr>
                <w:rFonts w:ascii="Arial Narrow" w:eastAsiaTheme="minorHAnsi" w:hAnsi="Arial Narrow" w:cstheme="minorBidi"/>
                <w:sz w:val="20"/>
                <w:szCs w:val="22"/>
                <w:vertAlign w:val="superscript"/>
                <w:lang w:eastAsia="en-US"/>
              </w:rPr>
              <w:t>f</w:t>
            </w:r>
          </w:p>
        </w:tc>
        <w:tc>
          <w:tcPr>
            <w:tcW w:w="233" w:type="pct"/>
            <w:vMerge w:val="restart"/>
            <w:shd w:val="clear" w:color="auto" w:fill="auto"/>
            <w:vAlign w:val="center"/>
          </w:tcPr>
          <w:p w14:paraId="7E4EB2E9" w14:textId="77777777" w:rsidR="00E0503A" w:rsidRPr="006A25BF" w:rsidRDefault="00E0503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Low</w:t>
            </w:r>
          </w:p>
        </w:tc>
        <w:tc>
          <w:tcPr>
            <w:tcW w:w="1574" w:type="pct"/>
            <w:vMerge w:val="restart"/>
            <w:shd w:val="clear" w:color="auto" w:fill="auto"/>
            <w:vAlign w:val="center"/>
          </w:tcPr>
          <w:p w14:paraId="2C328BC8" w14:textId="77777777" w:rsidR="00E0503A" w:rsidRPr="006A25BF" w:rsidRDefault="00E0503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Age 2-18 years.</w:t>
            </w:r>
          </w:p>
          <w:p w14:paraId="2A294A4E" w14:textId="5A8AA615" w:rsidR="00E0503A" w:rsidRPr="006A25BF" w:rsidRDefault="00E0503A" w:rsidP="00BC2351">
            <w:pPr>
              <w:widowControl w:val="0"/>
              <w:jc w:val="left"/>
              <w:rPr>
                <w:rFonts w:ascii="Arial Narrow" w:eastAsiaTheme="minorHAnsi" w:hAnsi="Arial Narrow" w:cstheme="minorBidi"/>
                <w:sz w:val="20"/>
                <w:szCs w:val="22"/>
                <w:vertAlign w:val="superscript"/>
                <w:lang w:eastAsia="en-US"/>
              </w:rPr>
            </w:pPr>
            <w:r w:rsidRPr="006A25BF">
              <w:rPr>
                <w:rFonts w:ascii="Arial Narrow" w:eastAsiaTheme="minorHAnsi" w:hAnsi="Arial Narrow" w:cstheme="minorBidi"/>
                <w:sz w:val="20"/>
                <w:szCs w:val="22"/>
                <w:lang w:eastAsia="en-US"/>
              </w:rPr>
              <w:t>≥4 convulsive seizures (tonic, clonic, tonic-clonic, or atonic) at baseline.</w:t>
            </w:r>
            <w:r w:rsidR="00253B7F" w:rsidRPr="006A25BF">
              <w:rPr>
                <w:rFonts w:ascii="Arial Narrow" w:eastAsiaTheme="minorHAnsi" w:hAnsi="Arial Narrow" w:cstheme="minorBidi"/>
                <w:sz w:val="20"/>
                <w:szCs w:val="22"/>
                <w:vertAlign w:val="superscript"/>
                <w:lang w:eastAsia="en-US"/>
              </w:rPr>
              <w:t>g</w:t>
            </w:r>
          </w:p>
          <w:p w14:paraId="0D14533A" w14:textId="77777777" w:rsidR="00E0503A" w:rsidRPr="006A25BF" w:rsidRDefault="00E0503A"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Did not receive cannabis-based drugs in 3m before screening.</w:t>
            </w:r>
          </w:p>
        </w:tc>
        <w:tc>
          <w:tcPr>
            <w:tcW w:w="944" w:type="pct"/>
            <w:shd w:val="clear" w:color="auto" w:fill="auto"/>
            <w:vAlign w:val="center"/>
          </w:tcPr>
          <w:p w14:paraId="5FC99715" w14:textId="14126A8B" w:rsidR="00E0503A" w:rsidRPr="006A25BF" w:rsidRDefault="00E0503A" w:rsidP="00BC2351">
            <w:pPr>
              <w:widowControl w:val="0"/>
              <w:jc w:val="left"/>
              <w:rPr>
                <w:rFonts w:ascii="Arial Narrow" w:eastAsiaTheme="minorHAnsi" w:hAnsi="Arial Narrow" w:cstheme="minorBidi"/>
                <w:sz w:val="20"/>
                <w:szCs w:val="22"/>
                <w:lang w:eastAsia="en-US"/>
              </w:rPr>
            </w:pPr>
            <w:r w:rsidRPr="006A25BF">
              <w:rPr>
                <w:rFonts w:ascii="Arial Narrow" w:hAnsi="Arial Narrow"/>
                <w:sz w:val="20"/>
                <w:szCs w:val="20"/>
              </w:rPr>
              <w:t>Percentage change from baseline in CSF</w:t>
            </w:r>
          </w:p>
        </w:tc>
        <w:tc>
          <w:tcPr>
            <w:tcW w:w="522" w:type="pct"/>
            <w:shd w:val="clear" w:color="auto" w:fill="auto"/>
            <w:vAlign w:val="center"/>
          </w:tcPr>
          <w:p w14:paraId="53B5F79D" w14:textId="77777777" w:rsidR="00E0503A" w:rsidRPr="006A25BF" w:rsidRDefault="00E0503A" w:rsidP="00BC2351">
            <w:pPr>
              <w:pStyle w:val="TableText0"/>
            </w:pPr>
            <w:r w:rsidRPr="006A25BF">
              <w:t>No</w:t>
            </w:r>
          </w:p>
        </w:tc>
      </w:tr>
      <w:tr w:rsidR="00E0503A" w:rsidRPr="006A25BF" w14:paraId="746D2CE5" w14:textId="77777777" w:rsidTr="00636519">
        <w:trPr>
          <w:cantSplit/>
          <w:trHeight w:val="20"/>
        </w:trPr>
        <w:tc>
          <w:tcPr>
            <w:tcW w:w="552" w:type="pct"/>
            <w:vMerge/>
            <w:shd w:val="clear" w:color="auto" w:fill="auto"/>
            <w:vAlign w:val="center"/>
          </w:tcPr>
          <w:p w14:paraId="2CDC1B80" w14:textId="77777777" w:rsidR="00E0503A" w:rsidRPr="006A25BF" w:rsidRDefault="00E0503A" w:rsidP="00BC2351">
            <w:pPr>
              <w:widowControl w:val="0"/>
              <w:jc w:val="left"/>
              <w:rPr>
                <w:rFonts w:ascii="Arial Narrow" w:eastAsiaTheme="minorHAnsi" w:hAnsi="Arial Narrow" w:cstheme="minorBidi"/>
                <w:sz w:val="20"/>
                <w:szCs w:val="22"/>
                <w:lang w:eastAsia="en-US"/>
              </w:rPr>
            </w:pPr>
          </w:p>
        </w:tc>
        <w:tc>
          <w:tcPr>
            <w:tcW w:w="183" w:type="pct"/>
            <w:vMerge/>
            <w:shd w:val="clear" w:color="auto" w:fill="auto"/>
            <w:vAlign w:val="center"/>
          </w:tcPr>
          <w:p w14:paraId="1317CE33" w14:textId="77777777" w:rsidR="00E0503A" w:rsidRPr="006A25BF" w:rsidRDefault="00E0503A" w:rsidP="00BC2351">
            <w:pPr>
              <w:widowControl w:val="0"/>
              <w:jc w:val="left"/>
              <w:rPr>
                <w:rFonts w:ascii="Arial Narrow" w:eastAsiaTheme="minorHAnsi" w:hAnsi="Arial Narrow" w:cstheme="minorBidi"/>
                <w:sz w:val="20"/>
                <w:szCs w:val="22"/>
                <w:lang w:eastAsia="en-US"/>
              </w:rPr>
            </w:pPr>
          </w:p>
        </w:tc>
        <w:tc>
          <w:tcPr>
            <w:tcW w:w="992" w:type="pct"/>
            <w:vMerge/>
            <w:shd w:val="clear" w:color="auto" w:fill="auto"/>
            <w:vAlign w:val="center"/>
          </w:tcPr>
          <w:p w14:paraId="134E460F" w14:textId="77777777" w:rsidR="00E0503A" w:rsidRPr="006A25BF" w:rsidRDefault="00E0503A" w:rsidP="00BC2351">
            <w:pPr>
              <w:widowControl w:val="0"/>
              <w:jc w:val="left"/>
              <w:rPr>
                <w:rFonts w:ascii="Arial Narrow" w:eastAsiaTheme="minorHAnsi" w:hAnsi="Arial Narrow" w:cstheme="minorBidi"/>
                <w:sz w:val="20"/>
                <w:szCs w:val="22"/>
                <w:lang w:eastAsia="en-US"/>
              </w:rPr>
            </w:pPr>
          </w:p>
        </w:tc>
        <w:tc>
          <w:tcPr>
            <w:tcW w:w="233" w:type="pct"/>
            <w:vMerge/>
            <w:shd w:val="clear" w:color="auto" w:fill="auto"/>
            <w:vAlign w:val="center"/>
          </w:tcPr>
          <w:p w14:paraId="3CE26486" w14:textId="77777777" w:rsidR="00E0503A" w:rsidRPr="006A25BF" w:rsidRDefault="00E0503A" w:rsidP="00BC2351">
            <w:pPr>
              <w:widowControl w:val="0"/>
              <w:jc w:val="left"/>
              <w:rPr>
                <w:rFonts w:ascii="Arial Narrow" w:eastAsiaTheme="minorHAnsi" w:hAnsi="Arial Narrow" w:cstheme="minorBidi"/>
                <w:sz w:val="20"/>
                <w:szCs w:val="22"/>
                <w:lang w:eastAsia="en-US"/>
              </w:rPr>
            </w:pPr>
          </w:p>
        </w:tc>
        <w:tc>
          <w:tcPr>
            <w:tcW w:w="1574" w:type="pct"/>
            <w:vMerge/>
            <w:shd w:val="clear" w:color="auto" w:fill="auto"/>
            <w:vAlign w:val="center"/>
          </w:tcPr>
          <w:p w14:paraId="54372F90" w14:textId="77777777" w:rsidR="00E0503A" w:rsidRPr="006A25BF" w:rsidRDefault="00E0503A" w:rsidP="00BC2351">
            <w:pPr>
              <w:widowControl w:val="0"/>
              <w:jc w:val="left"/>
              <w:rPr>
                <w:rFonts w:ascii="Arial Narrow" w:eastAsiaTheme="minorHAnsi" w:hAnsi="Arial Narrow" w:cstheme="minorBidi"/>
                <w:sz w:val="20"/>
                <w:szCs w:val="22"/>
                <w:lang w:eastAsia="en-US"/>
              </w:rPr>
            </w:pPr>
          </w:p>
        </w:tc>
        <w:tc>
          <w:tcPr>
            <w:tcW w:w="944" w:type="pct"/>
            <w:shd w:val="clear" w:color="auto" w:fill="auto"/>
            <w:vAlign w:val="center"/>
          </w:tcPr>
          <w:p w14:paraId="64287AB5" w14:textId="75B8C10B" w:rsidR="00E0503A" w:rsidRPr="006A25BF" w:rsidRDefault="00E0503A" w:rsidP="00BC2351">
            <w:pPr>
              <w:widowControl w:val="0"/>
              <w:jc w:val="left"/>
              <w:rPr>
                <w:rFonts w:ascii="Arial Narrow" w:hAnsi="Arial Narrow"/>
                <w:sz w:val="20"/>
                <w:szCs w:val="20"/>
              </w:rPr>
            </w:pPr>
            <w:r w:rsidRPr="006A25BF">
              <w:rPr>
                <w:rFonts w:ascii="Arial Narrow" w:hAnsi="Arial Narrow"/>
                <w:sz w:val="20"/>
                <w:szCs w:val="20"/>
              </w:rPr>
              <w:t>Responder analyses.</w:t>
            </w:r>
            <w:r w:rsidR="001265F9" w:rsidRPr="006A25BF">
              <w:rPr>
                <w:rFonts w:ascii="Arial Narrow" w:hAnsi="Arial Narrow"/>
                <w:sz w:val="20"/>
                <w:szCs w:val="20"/>
                <w:vertAlign w:val="superscript"/>
              </w:rPr>
              <w:t xml:space="preserve"> e</w:t>
            </w:r>
          </w:p>
        </w:tc>
        <w:tc>
          <w:tcPr>
            <w:tcW w:w="522" w:type="pct"/>
            <w:shd w:val="clear" w:color="auto" w:fill="auto"/>
            <w:vAlign w:val="center"/>
          </w:tcPr>
          <w:p w14:paraId="7FF851F5" w14:textId="62F664A0" w:rsidR="00E0503A" w:rsidRPr="006A25BF" w:rsidRDefault="00E0503A" w:rsidP="00BC2351">
            <w:pPr>
              <w:pStyle w:val="TableText0"/>
            </w:pPr>
            <w:r w:rsidRPr="006A25BF">
              <w:t>No</w:t>
            </w:r>
          </w:p>
        </w:tc>
      </w:tr>
      <w:tr w:rsidR="00E0503A" w:rsidRPr="006A25BF" w14:paraId="0A48780A" w14:textId="77777777" w:rsidTr="00636519">
        <w:trPr>
          <w:trHeight w:val="20"/>
        </w:trPr>
        <w:tc>
          <w:tcPr>
            <w:tcW w:w="552" w:type="pct"/>
            <w:vMerge w:val="restart"/>
            <w:shd w:val="clear" w:color="auto" w:fill="auto"/>
            <w:vAlign w:val="center"/>
          </w:tcPr>
          <w:p w14:paraId="3A6E9490" w14:textId="77777777" w:rsidR="00E0503A" w:rsidRPr="006A25BF" w:rsidRDefault="00E0503A" w:rsidP="00636519">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GWPCARE2</w:t>
            </w:r>
          </w:p>
        </w:tc>
        <w:tc>
          <w:tcPr>
            <w:tcW w:w="183" w:type="pct"/>
            <w:vMerge w:val="restart"/>
            <w:shd w:val="clear" w:color="auto" w:fill="auto"/>
            <w:vAlign w:val="center"/>
          </w:tcPr>
          <w:p w14:paraId="3F461ED2" w14:textId="77777777" w:rsidR="00E0503A" w:rsidRPr="006A25BF" w:rsidRDefault="00E0503A" w:rsidP="00636519">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198</w:t>
            </w:r>
          </w:p>
        </w:tc>
        <w:tc>
          <w:tcPr>
            <w:tcW w:w="992" w:type="pct"/>
            <w:vMerge w:val="restart"/>
            <w:shd w:val="clear" w:color="auto" w:fill="auto"/>
            <w:vAlign w:val="center"/>
          </w:tcPr>
          <w:p w14:paraId="00193536" w14:textId="77777777" w:rsidR="00E0503A" w:rsidRPr="006A25BF" w:rsidRDefault="00E0503A" w:rsidP="00636519">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R, DB, PC, 14 weeks</w:t>
            </w:r>
          </w:p>
          <w:p w14:paraId="621B00B4" w14:textId="4C92DFDE" w:rsidR="00E0503A" w:rsidRPr="006A25BF" w:rsidRDefault="00E0503A" w:rsidP="00636519">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Titration to either 10 or 20 mg/kg/day cannabidiol (+/-STP).</w:t>
            </w:r>
            <w:r w:rsidR="00253B7F" w:rsidRPr="006A25BF">
              <w:rPr>
                <w:rFonts w:ascii="Arial Narrow" w:eastAsiaTheme="minorHAnsi" w:hAnsi="Arial Narrow" w:cstheme="minorBidi"/>
                <w:sz w:val="20"/>
                <w:szCs w:val="22"/>
                <w:vertAlign w:val="superscript"/>
                <w:lang w:eastAsia="en-US"/>
              </w:rPr>
              <w:t>f</w:t>
            </w:r>
          </w:p>
        </w:tc>
        <w:tc>
          <w:tcPr>
            <w:tcW w:w="233" w:type="pct"/>
            <w:vMerge w:val="restart"/>
            <w:shd w:val="clear" w:color="auto" w:fill="auto"/>
            <w:vAlign w:val="center"/>
          </w:tcPr>
          <w:p w14:paraId="40F6DA0D" w14:textId="77777777" w:rsidR="00E0503A" w:rsidRPr="006A25BF" w:rsidRDefault="00E0503A" w:rsidP="00636519">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Low</w:t>
            </w:r>
          </w:p>
        </w:tc>
        <w:tc>
          <w:tcPr>
            <w:tcW w:w="1574" w:type="pct"/>
            <w:vMerge w:val="restart"/>
            <w:shd w:val="clear" w:color="auto" w:fill="auto"/>
            <w:vAlign w:val="center"/>
          </w:tcPr>
          <w:p w14:paraId="5917F1F9" w14:textId="77777777" w:rsidR="00E0503A" w:rsidRPr="006A25BF" w:rsidRDefault="00E0503A" w:rsidP="00636519">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Age 2-18 years.</w:t>
            </w:r>
          </w:p>
          <w:p w14:paraId="06AAC1B7" w14:textId="39A33319" w:rsidR="00E0503A" w:rsidRPr="006A25BF" w:rsidRDefault="00E0503A" w:rsidP="00636519">
            <w:pPr>
              <w:widowControl w:val="0"/>
              <w:jc w:val="left"/>
              <w:rPr>
                <w:rFonts w:ascii="Arial Narrow" w:eastAsiaTheme="minorHAnsi" w:hAnsi="Arial Narrow" w:cstheme="minorBidi"/>
                <w:sz w:val="20"/>
                <w:szCs w:val="22"/>
                <w:vertAlign w:val="superscript"/>
                <w:lang w:eastAsia="en-US"/>
              </w:rPr>
            </w:pPr>
            <w:r w:rsidRPr="006A25BF">
              <w:rPr>
                <w:rFonts w:ascii="Arial Narrow" w:eastAsiaTheme="minorHAnsi" w:hAnsi="Arial Narrow" w:cstheme="minorBidi"/>
                <w:sz w:val="20"/>
                <w:szCs w:val="22"/>
                <w:lang w:eastAsia="en-US"/>
              </w:rPr>
              <w:t>≥4 convulsive seizures (tonic, clonic, tonic-clonic, or atonic) at baseline.</w:t>
            </w:r>
            <w:r w:rsidR="00253B7F" w:rsidRPr="006A25BF">
              <w:rPr>
                <w:rFonts w:ascii="Arial Narrow" w:eastAsiaTheme="minorHAnsi" w:hAnsi="Arial Narrow" w:cstheme="minorBidi"/>
                <w:sz w:val="20"/>
                <w:szCs w:val="22"/>
                <w:vertAlign w:val="superscript"/>
                <w:lang w:eastAsia="en-US"/>
              </w:rPr>
              <w:t>g</w:t>
            </w:r>
          </w:p>
          <w:p w14:paraId="5FD63E4E" w14:textId="77777777" w:rsidR="00E0503A" w:rsidRPr="006A25BF" w:rsidRDefault="00E0503A" w:rsidP="00636519">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Did not receive cannabis-based drugs in 3m before screening.</w:t>
            </w:r>
          </w:p>
        </w:tc>
        <w:tc>
          <w:tcPr>
            <w:tcW w:w="944" w:type="pct"/>
            <w:shd w:val="clear" w:color="auto" w:fill="auto"/>
            <w:vAlign w:val="center"/>
          </w:tcPr>
          <w:p w14:paraId="39211259" w14:textId="659B2AB1" w:rsidR="00E0503A" w:rsidRPr="006A25BF" w:rsidRDefault="00E0503A" w:rsidP="00636519">
            <w:pPr>
              <w:widowControl w:val="0"/>
              <w:jc w:val="left"/>
              <w:rPr>
                <w:rFonts w:ascii="Arial Narrow" w:eastAsiaTheme="minorHAnsi" w:hAnsi="Arial Narrow" w:cstheme="minorBidi"/>
                <w:sz w:val="20"/>
                <w:szCs w:val="22"/>
                <w:lang w:eastAsia="en-US"/>
              </w:rPr>
            </w:pPr>
            <w:r w:rsidRPr="006A25BF">
              <w:rPr>
                <w:rFonts w:ascii="Arial Narrow" w:hAnsi="Arial Narrow"/>
                <w:sz w:val="20"/>
                <w:szCs w:val="20"/>
              </w:rPr>
              <w:t>Percentage change from baseline in CSF</w:t>
            </w:r>
          </w:p>
        </w:tc>
        <w:tc>
          <w:tcPr>
            <w:tcW w:w="522" w:type="pct"/>
            <w:shd w:val="clear" w:color="auto" w:fill="auto"/>
            <w:vAlign w:val="center"/>
          </w:tcPr>
          <w:p w14:paraId="44C9BC45" w14:textId="77777777" w:rsidR="00E0503A" w:rsidRPr="006A25BF" w:rsidRDefault="00E0503A" w:rsidP="00636519">
            <w:pPr>
              <w:pStyle w:val="TableText0"/>
              <w:rPr>
                <w:rFonts w:eastAsiaTheme="minorHAnsi" w:cstheme="minorBidi"/>
                <w:szCs w:val="22"/>
                <w:lang w:eastAsia="en-US"/>
              </w:rPr>
            </w:pPr>
            <w:r w:rsidRPr="006A25BF">
              <w:t>No</w:t>
            </w:r>
          </w:p>
        </w:tc>
      </w:tr>
      <w:tr w:rsidR="00E0503A" w:rsidRPr="006A25BF" w14:paraId="5B4B33AE" w14:textId="77777777" w:rsidTr="00636519">
        <w:trPr>
          <w:trHeight w:val="20"/>
        </w:trPr>
        <w:tc>
          <w:tcPr>
            <w:tcW w:w="552" w:type="pct"/>
            <w:vMerge/>
            <w:shd w:val="clear" w:color="auto" w:fill="auto"/>
            <w:vAlign w:val="center"/>
          </w:tcPr>
          <w:p w14:paraId="6487E9E4" w14:textId="77777777" w:rsidR="00E0503A" w:rsidRPr="006A25BF" w:rsidRDefault="00E0503A" w:rsidP="00636519">
            <w:pPr>
              <w:widowControl w:val="0"/>
              <w:jc w:val="left"/>
              <w:rPr>
                <w:rFonts w:ascii="Arial Narrow" w:eastAsiaTheme="minorHAnsi" w:hAnsi="Arial Narrow" w:cstheme="minorBidi"/>
                <w:sz w:val="20"/>
                <w:szCs w:val="22"/>
                <w:lang w:eastAsia="en-US"/>
              </w:rPr>
            </w:pPr>
          </w:p>
        </w:tc>
        <w:tc>
          <w:tcPr>
            <w:tcW w:w="183" w:type="pct"/>
            <w:vMerge/>
            <w:shd w:val="clear" w:color="auto" w:fill="auto"/>
            <w:vAlign w:val="center"/>
          </w:tcPr>
          <w:p w14:paraId="4D24A997" w14:textId="77777777" w:rsidR="00E0503A" w:rsidRPr="006A25BF" w:rsidRDefault="00E0503A" w:rsidP="00636519">
            <w:pPr>
              <w:widowControl w:val="0"/>
              <w:jc w:val="left"/>
              <w:rPr>
                <w:rFonts w:ascii="Arial Narrow" w:eastAsiaTheme="minorHAnsi" w:hAnsi="Arial Narrow" w:cstheme="minorBidi"/>
                <w:sz w:val="20"/>
                <w:szCs w:val="22"/>
                <w:lang w:eastAsia="en-US"/>
              </w:rPr>
            </w:pPr>
          </w:p>
        </w:tc>
        <w:tc>
          <w:tcPr>
            <w:tcW w:w="992" w:type="pct"/>
            <w:vMerge/>
            <w:shd w:val="clear" w:color="auto" w:fill="auto"/>
            <w:vAlign w:val="center"/>
          </w:tcPr>
          <w:p w14:paraId="128AF6ED" w14:textId="77777777" w:rsidR="00E0503A" w:rsidRPr="006A25BF" w:rsidRDefault="00E0503A" w:rsidP="00636519">
            <w:pPr>
              <w:widowControl w:val="0"/>
              <w:jc w:val="left"/>
              <w:rPr>
                <w:rFonts w:ascii="Arial Narrow" w:eastAsiaTheme="minorHAnsi" w:hAnsi="Arial Narrow" w:cstheme="minorBidi"/>
                <w:sz w:val="20"/>
                <w:szCs w:val="22"/>
                <w:lang w:eastAsia="en-US"/>
              </w:rPr>
            </w:pPr>
          </w:p>
        </w:tc>
        <w:tc>
          <w:tcPr>
            <w:tcW w:w="233" w:type="pct"/>
            <w:vMerge/>
            <w:shd w:val="clear" w:color="auto" w:fill="auto"/>
            <w:vAlign w:val="center"/>
          </w:tcPr>
          <w:p w14:paraId="782F993E" w14:textId="77777777" w:rsidR="00E0503A" w:rsidRPr="006A25BF" w:rsidRDefault="00E0503A" w:rsidP="00636519">
            <w:pPr>
              <w:widowControl w:val="0"/>
              <w:jc w:val="left"/>
              <w:rPr>
                <w:rFonts w:ascii="Arial Narrow" w:eastAsiaTheme="minorHAnsi" w:hAnsi="Arial Narrow" w:cstheme="minorBidi"/>
                <w:sz w:val="20"/>
                <w:szCs w:val="22"/>
                <w:lang w:eastAsia="en-US"/>
              </w:rPr>
            </w:pPr>
          </w:p>
        </w:tc>
        <w:tc>
          <w:tcPr>
            <w:tcW w:w="1574" w:type="pct"/>
            <w:vMerge/>
            <w:shd w:val="clear" w:color="auto" w:fill="auto"/>
            <w:vAlign w:val="center"/>
          </w:tcPr>
          <w:p w14:paraId="5516D3BC" w14:textId="77777777" w:rsidR="00E0503A" w:rsidRPr="006A25BF" w:rsidRDefault="00E0503A" w:rsidP="00636519">
            <w:pPr>
              <w:widowControl w:val="0"/>
              <w:jc w:val="left"/>
              <w:rPr>
                <w:rFonts w:ascii="Arial Narrow" w:eastAsiaTheme="minorHAnsi" w:hAnsi="Arial Narrow" w:cstheme="minorBidi"/>
                <w:sz w:val="20"/>
                <w:szCs w:val="22"/>
                <w:lang w:eastAsia="en-US"/>
              </w:rPr>
            </w:pPr>
          </w:p>
        </w:tc>
        <w:tc>
          <w:tcPr>
            <w:tcW w:w="944" w:type="pct"/>
            <w:shd w:val="clear" w:color="auto" w:fill="auto"/>
            <w:vAlign w:val="center"/>
          </w:tcPr>
          <w:p w14:paraId="67C5C902" w14:textId="36853EB6" w:rsidR="00E0503A" w:rsidRPr="006A25BF" w:rsidRDefault="00E0503A" w:rsidP="00636519">
            <w:pPr>
              <w:widowControl w:val="0"/>
              <w:jc w:val="left"/>
              <w:rPr>
                <w:rFonts w:ascii="Arial Narrow" w:hAnsi="Arial Narrow"/>
                <w:sz w:val="20"/>
                <w:szCs w:val="20"/>
              </w:rPr>
            </w:pPr>
            <w:r w:rsidRPr="006A25BF">
              <w:rPr>
                <w:rFonts w:ascii="Arial Narrow" w:hAnsi="Arial Narrow"/>
                <w:sz w:val="20"/>
                <w:szCs w:val="20"/>
              </w:rPr>
              <w:t>Responder analyses.</w:t>
            </w:r>
            <w:r w:rsidR="001265F9" w:rsidRPr="006A25BF">
              <w:rPr>
                <w:rFonts w:ascii="Arial Narrow" w:hAnsi="Arial Narrow"/>
                <w:sz w:val="20"/>
                <w:szCs w:val="20"/>
                <w:vertAlign w:val="superscript"/>
              </w:rPr>
              <w:t xml:space="preserve"> e</w:t>
            </w:r>
          </w:p>
        </w:tc>
        <w:tc>
          <w:tcPr>
            <w:tcW w:w="522" w:type="pct"/>
            <w:shd w:val="clear" w:color="auto" w:fill="auto"/>
            <w:vAlign w:val="center"/>
          </w:tcPr>
          <w:p w14:paraId="29BD3947" w14:textId="225E2B1D" w:rsidR="00E0503A" w:rsidRPr="006A25BF" w:rsidRDefault="00E0503A" w:rsidP="00636519">
            <w:pPr>
              <w:pStyle w:val="TableText0"/>
            </w:pPr>
            <w:r w:rsidRPr="006A25BF">
              <w:t>No</w:t>
            </w:r>
          </w:p>
        </w:tc>
      </w:tr>
      <w:tr w:rsidR="006B5229" w:rsidRPr="006A25BF" w14:paraId="16A6F0DD" w14:textId="77777777" w:rsidTr="00636519">
        <w:trPr>
          <w:trHeight w:val="20"/>
        </w:trPr>
        <w:tc>
          <w:tcPr>
            <w:tcW w:w="552" w:type="pct"/>
            <w:shd w:val="clear" w:color="auto" w:fill="auto"/>
            <w:vAlign w:val="center"/>
          </w:tcPr>
          <w:p w14:paraId="1931CA5D"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Meta-analysis</w:t>
            </w:r>
          </w:p>
        </w:tc>
        <w:tc>
          <w:tcPr>
            <w:tcW w:w="183" w:type="pct"/>
            <w:shd w:val="clear" w:color="auto" w:fill="auto"/>
            <w:vAlign w:val="center"/>
          </w:tcPr>
          <w:p w14:paraId="262D0424"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263</w:t>
            </w:r>
          </w:p>
        </w:tc>
        <w:tc>
          <w:tcPr>
            <w:tcW w:w="2799" w:type="pct"/>
            <w:gridSpan w:val="3"/>
            <w:shd w:val="clear" w:color="auto" w:fill="auto"/>
            <w:vAlign w:val="center"/>
          </w:tcPr>
          <w:p w14:paraId="28048EF4" w14:textId="344F301E"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 xml:space="preserve">Meta-analysis of CBD 20 mg/kg/day (±STP) arms in </w:t>
            </w:r>
            <w:r w:rsidR="00CE7CE5" w:rsidRPr="006A25BF">
              <w:rPr>
                <w:rFonts w:ascii="Arial Narrow" w:eastAsiaTheme="minorHAnsi" w:hAnsi="Arial Narrow" w:cstheme="minorBidi"/>
                <w:sz w:val="20"/>
                <w:szCs w:val="22"/>
                <w:lang w:eastAsia="en-US"/>
              </w:rPr>
              <w:t>GWP</w:t>
            </w:r>
            <w:r w:rsidRPr="006A25BF">
              <w:rPr>
                <w:rFonts w:ascii="Arial Narrow" w:eastAsiaTheme="minorHAnsi" w:hAnsi="Arial Narrow" w:cstheme="minorBidi"/>
                <w:sz w:val="20"/>
                <w:szCs w:val="22"/>
                <w:lang w:eastAsia="en-US"/>
              </w:rPr>
              <w:t xml:space="preserve">CARE1 and </w:t>
            </w:r>
            <w:r w:rsidR="00CE7CE5" w:rsidRPr="006A25BF">
              <w:rPr>
                <w:rFonts w:ascii="Arial Narrow" w:eastAsiaTheme="minorHAnsi" w:hAnsi="Arial Narrow" w:cstheme="minorBidi"/>
                <w:sz w:val="20"/>
                <w:szCs w:val="22"/>
                <w:lang w:eastAsia="en-US"/>
              </w:rPr>
              <w:t>GWP</w:t>
            </w:r>
            <w:r w:rsidRPr="006A25BF">
              <w:rPr>
                <w:rFonts w:ascii="Arial Narrow" w:eastAsiaTheme="minorHAnsi" w:hAnsi="Arial Narrow" w:cstheme="minorBidi"/>
                <w:sz w:val="20"/>
                <w:szCs w:val="22"/>
                <w:lang w:eastAsia="en-US"/>
              </w:rPr>
              <w:t>CARE2.</w:t>
            </w:r>
          </w:p>
        </w:tc>
        <w:tc>
          <w:tcPr>
            <w:tcW w:w="944" w:type="pct"/>
            <w:shd w:val="clear" w:color="auto" w:fill="auto"/>
            <w:vAlign w:val="center"/>
          </w:tcPr>
          <w:p w14:paraId="51ECF11E" w14:textId="29B0F344" w:rsidR="00CE7338" w:rsidRPr="006A25BF" w:rsidRDefault="00CE7338" w:rsidP="00BC2351">
            <w:pPr>
              <w:widowControl w:val="0"/>
              <w:jc w:val="left"/>
              <w:rPr>
                <w:rFonts w:ascii="Arial Narrow" w:hAnsi="Arial Narrow"/>
                <w:sz w:val="20"/>
                <w:szCs w:val="20"/>
              </w:rPr>
            </w:pPr>
            <w:r w:rsidRPr="006A25BF">
              <w:rPr>
                <w:rFonts w:ascii="Arial Narrow" w:hAnsi="Arial Narrow"/>
                <w:sz w:val="20"/>
                <w:szCs w:val="20"/>
              </w:rPr>
              <w:t>Percentage change from baseline in CSF</w:t>
            </w:r>
            <w:r w:rsidR="00387917" w:rsidRPr="006A25BF">
              <w:rPr>
                <w:rFonts w:ascii="Arial Narrow" w:hAnsi="Arial Narrow"/>
                <w:sz w:val="20"/>
                <w:szCs w:val="20"/>
              </w:rPr>
              <w:t>.</w:t>
            </w:r>
          </w:p>
        </w:tc>
        <w:tc>
          <w:tcPr>
            <w:tcW w:w="522" w:type="pct"/>
            <w:shd w:val="clear" w:color="auto" w:fill="auto"/>
            <w:vAlign w:val="center"/>
          </w:tcPr>
          <w:p w14:paraId="09EAFADF" w14:textId="77777777" w:rsidR="00CE7338" w:rsidRPr="006A25BF" w:rsidRDefault="00CE7338" w:rsidP="00BC2351">
            <w:pPr>
              <w:pStyle w:val="TableText0"/>
            </w:pPr>
            <w:r w:rsidRPr="006A25BF">
              <w:t>Yes</w:t>
            </w:r>
          </w:p>
        </w:tc>
      </w:tr>
      <w:tr w:rsidR="006B5229" w:rsidRPr="006A25BF" w14:paraId="79DED54C" w14:textId="77777777" w:rsidTr="00636519">
        <w:trPr>
          <w:trHeight w:val="20"/>
        </w:trPr>
        <w:tc>
          <w:tcPr>
            <w:tcW w:w="552" w:type="pct"/>
            <w:shd w:val="clear" w:color="auto" w:fill="auto"/>
            <w:vAlign w:val="center"/>
          </w:tcPr>
          <w:p w14:paraId="1D731C70"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Meta-analysis</w:t>
            </w:r>
          </w:p>
        </w:tc>
        <w:tc>
          <w:tcPr>
            <w:tcW w:w="183" w:type="pct"/>
            <w:shd w:val="clear" w:color="auto" w:fill="auto"/>
            <w:vAlign w:val="center"/>
          </w:tcPr>
          <w:p w14:paraId="6416B978"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263</w:t>
            </w:r>
          </w:p>
        </w:tc>
        <w:tc>
          <w:tcPr>
            <w:tcW w:w="2799" w:type="pct"/>
            <w:gridSpan w:val="3"/>
            <w:shd w:val="clear" w:color="auto" w:fill="auto"/>
            <w:vAlign w:val="center"/>
          </w:tcPr>
          <w:p w14:paraId="56D6270E" w14:textId="3FC22552"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 xml:space="preserve">Meta-analysis of CBD 20 mg/kg/day (±STP) arms in </w:t>
            </w:r>
            <w:r w:rsidR="00CE7CE5" w:rsidRPr="006A25BF">
              <w:rPr>
                <w:rFonts w:ascii="Arial Narrow" w:eastAsiaTheme="minorHAnsi" w:hAnsi="Arial Narrow" w:cstheme="minorBidi"/>
                <w:sz w:val="20"/>
                <w:szCs w:val="22"/>
                <w:lang w:eastAsia="en-US"/>
              </w:rPr>
              <w:t>GWP</w:t>
            </w:r>
            <w:r w:rsidRPr="006A25BF">
              <w:rPr>
                <w:rFonts w:ascii="Arial Narrow" w:eastAsiaTheme="minorHAnsi" w:hAnsi="Arial Narrow" w:cstheme="minorBidi"/>
                <w:sz w:val="20"/>
                <w:szCs w:val="22"/>
                <w:lang w:eastAsia="en-US"/>
              </w:rPr>
              <w:t xml:space="preserve">CARE1 and </w:t>
            </w:r>
            <w:r w:rsidR="00CE7CE5" w:rsidRPr="006A25BF">
              <w:rPr>
                <w:rFonts w:ascii="Arial Narrow" w:eastAsiaTheme="minorHAnsi" w:hAnsi="Arial Narrow" w:cstheme="minorBidi"/>
                <w:sz w:val="20"/>
                <w:szCs w:val="22"/>
                <w:lang w:eastAsia="en-US"/>
              </w:rPr>
              <w:t>GWP</w:t>
            </w:r>
            <w:r w:rsidRPr="006A25BF">
              <w:rPr>
                <w:rFonts w:ascii="Arial Narrow" w:eastAsiaTheme="minorHAnsi" w:hAnsi="Arial Narrow" w:cstheme="minorBidi"/>
                <w:sz w:val="20"/>
                <w:szCs w:val="22"/>
                <w:lang w:eastAsia="en-US"/>
              </w:rPr>
              <w:t>CARE2 for pooled odds ratio, risk ratio and risk difference for the proportion of participants with ≥50%, ≥25%, and ≥75%, reduction in monthly CSF from baseline.</w:t>
            </w:r>
          </w:p>
        </w:tc>
        <w:tc>
          <w:tcPr>
            <w:tcW w:w="944" w:type="pct"/>
            <w:shd w:val="clear" w:color="auto" w:fill="auto"/>
            <w:vAlign w:val="center"/>
          </w:tcPr>
          <w:p w14:paraId="70A52497" w14:textId="689BFCA5" w:rsidR="00CE7338" w:rsidRPr="006A25BF" w:rsidRDefault="00CE7338" w:rsidP="00BC2351">
            <w:pPr>
              <w:widowControl w:val="0"/>
              <w:jc w:val="left"/>
              <w:rPr>
                <w:rFonts w:ascii="Arial Narrow" w:hAnsi="Arial Narrow"/>
                <w:sz w:val="20"/>
                <w:szCs w:val="20"/>
              </w:rPr>
            </w:pPr>
            <w:r w:rsidRPr="006A25BF">
              <w:rPr>
                <w:rFonts w:ascii="Arial Narrow" w:hAnsi="Arial Narrow"/>
                <w:sz w:val="20"/>
                <w:szCs w:val="20"/>
              </w:rPr>
              <w:t>Responder analyses.</w:t>
            </w:r>
            <w:r w:rsidR="00820523" w:rsidRPr="006A25BF">
              <w:rPr>
                <w:rFonts w:ascii="Arial Narrow" w:hAnsi="Arial Narrow"/>
                <w:sz w:val="20"/>
                <w:szCs w:val="20"/>
                <w:vertAlign w:val="superscript"/>
              </w:rPr>
              <w:t xml:space="preserve"> e</w:t>
            </w:r>
          </w:p>
        </w:tc>
        <w:tc>
          <w:tcPr>
            <w:tcW w:w="522" w:type="pct"/>
            <w:shd w:val="clear" w:color="auto" w:fill="auto"/>
            <w:vAlign w:val="center"/>
          </w:tcPr>
          <w:p w14:paraId="0A79B343" w14:textId="77777777" w:rsidR="00CE7338" w:rsidRPr="006A25BF" w:rsidRDefault="00CE7338" w:rsidP="00BC2351">
            <w:pPr>
              <w:pStyle w:val="TableText0"/>
            </w:pPr>
            <w:r w:rsidRPr="006A25BF">
              <w:t>No</w:t>
            </w:r>
          </w:p>
        </w:tc>
      </w:tr>
      <w:tr w:rsidR="006B5229" w:rsidRPr="006A25BF" w14:paraId="2E7D6212" w14:textId="77777777" w:rsidTr="00636519">
        <w:trPr>
          <w:trHeight w:val="20"/>
        </w:trPr>
        <w:tc>
          <w:tcPr>
            <w:tcW w:w="5000" w:type="pct"/>
            <w:gridSpan w:val="7"/>
            <w:shd w:val="clear" w:color="auto" w:fill="auto"/>
            <w:vAlign w:val="center"/>
          </w:tcPr>
          <w:p w14:paraId="74A9BB25" w14:textId="77777777" w:rsidR="00CE7338" w:rsidRPr="006A25BF" w:rsidRDefault="00CE7338" w:rsidP="00BC2351">
            <w:pPr>
              <w:widowControl w:val="0"/>
              <w:jc w:val="left"/>
              <w:rPr>
                <w:rFonts w:ascii="Arial Narrow" w:eastAsiaTheme="minorHAnsi" w:hAnsi="Arial Narrow" w:cstheme="minorBidi"/>
                <w:b/>
                <w:bCs/>
                <w:sz w:val="20"/>
                <w:szCs w:val="22"/>
                <w:lang w:eastAsia="en-US"/>
              </w:rPr>
            </w:pPr>
            <w:r w:rsidRPr="006A25BF">
              <w:rPr>
                <w:rFonts w:ascii="Arial Narrow" w:eastAsiaTheme="minorHAnsi" w:hAnsi="Arial Narrow" w:cstheme="minorBidi"/>
                <w:b/>
                <w:bCs/>
                <w:sz w:val="20"/>
                <w:szCs w:val="22"/>
                <w:lang w:eastAsia="en-US"/>
              </w:rPr>
              <w:t>Stiripentol vs. placebo</w:t>
            </w:r>
          </w:p>
        </w:tc>
      </w:tr>
      <w:tr w:rsidR="00EC52FA" w:rsidRPr="006A25BF" w14:paraId="26D843BD" w14:textId="77777777" w:rsidTr="00636519">
        <w:trPr>
          <w:trHeight w:val="20"/>
        </w:trPr>
        <w:tc>
          <w:tcPr>
            <w:tcW w:w="552" w:type="pct"/>
            <w:shd w:val="clear" w:color="auto" w:fill="auto"/>
            <w:vAlign w:val="center"/>
          </w:tcPr>
          <w:p w14:paraId="1B28081C"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 xml:space="preserve">STICLO-France </w:t>
            </w:r>
          </w:p>
        </w:tc>
        <w:tc>
          <w:tcPr>
            <w:tcW w:w="183" w:type="pct"/>
            <w:shd w:val="clear" w:color="auto" w:fill="auto"/>
            <w:vAlign w:val="center"/>
          </w:tcPr>
          <w:p w14:paraId="69CBDD28" w14:textId="77777777" w:rsidR="00CE7338" w:rsidRPr="006A25BF" w:rsidRDefault="00CE7338" w:rsidP="00C81057">
            <w:pPr>
              <w:widowControl w:val="0"/>
              <w:jc w:val="center"/>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42</w:t>
            </w:r>
          </w:p>
        </w:tc>
        <w:tc>
          <w:tcPr>
            <w:tcW w:w="992" w:type="pct"/>
            <w:vMerge w:val="restart"/>
            <w:shd w:val="clear" w:color="auto" w:fill="auto"/>
            <w:vAlign w:val="center"/>
          </w:tcPr>
          <w:p w14:paraId="4CF03035"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R, DB, PC, 8 weeks.</w:t>
            </w:r>
          </w:p>
          <w:p w14:paraId="35763194"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50 mg/kg/day STP.</w:t>
            </w:r>
          </w:p>
        </w:tc>
        <w:tc>
          <w:tcPr>
            <w:tcW w:w="233" w:type="pct"/>
            <w:vMerge w:val="restart"/>
            <w:shd w:val="clear" w:color="auto" w:fill="auto"/>
            <w:vAlign w:val="center"/>
          </w:tcPr>
          <w:p w14:paraId="1258C9D1"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Low</w:t>
            </w:r>
          </w:p>
        </w:tc>
        <w:tc>
          <w:tcPr>
            <w:tcW w:w="1574" w:type="pct"/>
            <w:vMerge w:val="restart"/>
            <w:shd w:val="clear" w:color="auto" w:fill="auto"/>
            <w:vAlign w:val="center"/>
          </w:tcPr>
          <w:p w14:paraId="7343229A"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Age 3-18 years.</w:t>
            </w:r>
          </w:p>
          <w:p w14:paraId="71935951" w14:textId="77777777" w:rsidR="00CE7338" w:rsidRPr="006A25BF" w:rsidRDefault="00CE733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≥4 convulsive seizures (clonic or tonic-clonic) per month.</w:t>
            </w:r>
          </w:p>
        </w:tc>
        <w:tc>
          <w:tcPr>
            <w:tcW w:w="944" w:type="pct"/>
            <w:shd w:val="clear" w:color="auto" w:fill="auto"/>
            <w:vAlign w:val="center"/>
          </w:tcPr>
          <w:p w14:paraId="3CD65D81" w14:textId="7BCF2CBD" w:rsidR="00CE7338" w:rsidRPr="006A25BF" w:rsidRDefault="00387917" w:rsidP="00BC2351">
            <w:pPr>
              <w:widowControl w:val="0"/>
              <w:jc w:val="left"/>
              <w:rPr>
                <w:rFonts w:ascii="Arial Narrow" w:eastAsiaTheme="minorHAnsi" w:hAnsi="Arial Narrow" w:cstheme="minorBidi"/>
                <w:sz w:val="20"/>
                <w:szCs w:val="22"/>
                <w:lang w:eastAsia="en-US"/>
              </w:rPr>
            </w:pPr>
            <w:r w:rsidRPr="006A25BF">
              <w:rPr>
                <w:rFonts w:ascii="Arial Narrow" w:hAnsi="Arial Narrow"/>
                <w:sz w:val="20"/>
                <w:szCs w:val="20"/>
              </w:rPr>
              <w:t>Percentage change from baseline in CSF</w:t>
            </w:r>
            <w:r w:rsidRPr="006A25BF" w:rsidDel="00873D79">
              <w:rPr>
                <w:rFonts w:ascii="Arial Narrow" w:eastAsiaTheme="minorHAnsi" w:hAnsi="Arial Narrow" w:cstheme="minorBidi"/>
                <w:sz w:val="20"/>
                <w:szCs w:val="22"/>
                <w:lang w:eastAsia="en-US"/>
              </w:rPr>
              <w:t xml:space="preserve"> </w:t>
            </w:r>
          </w:p>
        </w:tc>
        <w:tc>
          <w:tcPr>
            <w:tcW w:w="522" w:type="pct"/>
            <w:shd w:val="clear" w:color="auto" w:fill="auto"/>
            <w:vAlign w:val="center"/>
          </w:tcPr>
          <w:p w14:paraId="06CDF90E" w14:textId="77777777" w:rsidR="00CE7338" w:rsidRPr="006A25BF" w:rsidRDefault="00CE7338" w:rsidP="00BC2351">
            <w:pPr>
              <w:pStyle w:val="TableText0"/>
              <w:rPr>
                <w:rFonts w:eastAsiaTheme="minorHAnsi" w:cstheme="minorBidi"/>
                <w:szCs w:val="22"/>
                <w:lang w:eastAsia="en-US"/>
              </w:rPr>
            </w:pPr>
            <w:r w:rsidRPr="006A25BF">
              <w:t>No</w:t>
            </w:r>
          </w:p>
        </w:tc>
      </w:tr>
      <w:tr w:rsidR="00873D79" w:rsidRPr="006A25BF" w14:paraId="50F947F0" w14:textId="77777777" w:rsidTr="00636519">
        <w:trPr>
          <w:trHeight w:val="20"/>
        </w:trPr>
        <w:tc>
          <w:tcPr>
            <w:tcW w:w="552" w:type="pct"/>
            <w:shd w:val="clear" w:color="auto" w:fill="auto"/>
            <w:vAlign w:val="center"/>
          </w:tcPr>
          <w:p w14:paraId="51AB5F3C" w14:textId="77777777" w:rsidR="00873D79" w:rsidRPr="006A25BF" w:rsidRDefault="00873D79"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STICLO-Italy</w:t>
            </w:r>
          </w:p>
        </w:tc>
        <w:tc>
          <w:tcPr>
            <w:tcW w:w="183" w:type="pct"/>
            <w:shd w:val="clear" w:color="auto" w:fill="auto"/>
            <w:vAlign w:val="center"/>
          </w:tcPr>
          <w:p w14:paraId="367155C4" w14:textId="77777777" w:rsidR="00873D79" w:rsidRPr="006A25BF" w:rsidRDefault="00873D79" w:rsidP="00C81057">
            <w:pPr>
              <w:widowControl w:val="0"/>
              <w:jc w:val="center"/>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23</w:t>
            </w:r>
          </w:p>
        </w:tc>
        <w:tc>
          <w:tcPr>
            <w:tcW w:w="992" w:type="pct"/>
            <w:vMerge/>
            <w:shd w:val="clear" w:color="auto" w:fill="auto"/>
            <w:vAlign w:val="center"/>
          </w:tcPr>
          <w:p w14:paraId="34F4194B" w14:textId="77777777" w:rsidR="00873D79" w:rsidRPr="006A25BF" w:rsidRDefault="00873D79" w:rsidP="00BC2351">
            <w:pPr>
              <w:widowControl w:val="0"/>
              <w:jc w:val="left"/>
              <w:rPr>
                <w:rFonts w:ascii="Arial Narrow" w:eastAsiaTheme="minorHAnsi" w:hAnsi="Arial Narrow" w:cstheme="minorBidi"/>
                <w:sz w:val="20"/>
                <w:szCs w:val="22"/>
                <w:lang w:eastAsia="en-US"/>
              </w:rPr>
            </w:pPr>
          </w:p>
        </w:tc>
        <w:tc>
          <w:tcPr>
            <w:tcW w:w="233" w:type="pct"/>
            <w:vMerge/>
            <w:shd w:val="clear" w:color="auto" w:fill="auto"/>
            <w:vAlign w:val="center"/>
          </w:tcPr>
          <w:p w14:paraId="137B2AF7" w14:textId="77777777" w:rsidR="00873D79" w:rsidRPr="006A25BF" w:rsidRDefault="00873D79" w:rsidP="00BC2351">
            <w:pPr>
              <w:widowControl w:val="0"/>
              <w:jc w:val="left"/>
              <w:rPr>
                <w:rFonts w:ascii="Arial Narrow" w:eastAsiaTheme="minorHAnsi" w:hAnsi="Arial Narrow" w:cstheme="minorBidi"/>
                <w:sz w:val="20"/>
                <w:szCs w:val="22"/>
                <w:lang w:eastAsia="en-US"/>
              </w:rPr>
            </w:pPr>
          </w:p>
        </w:tc>
        <w:tc>
          <w:tcPr>
            <w:tcW w:w="1574" w:type="pct"/>
            <w:vMerge/>
            <w:shd w:val="clear" w:color="auto" w:fill="auto"/>
            <w:vAlign w:val="center"/>
          </w:tcPr>
          <w:p w14:paraId="772BFB9A" w14:textId="77777777" w:rsidR="00873D79" w:rsidRPr="006A25BF" w:rsidRDefault="00873D79" w:rsidP="00BC2351">
            <w:pPr>
              <w:widowControl w:val="0"/>
              <w:jc w:val="left"/>
              <w:rPr>
                <w:rFonts w:ascii="Arial Narrow" w:eastAsiaTheme="minorHAnsi" w:hAnsi="Arial Narrow" w:cstheme="minorBidi"/>
                <w:sz w:val="20"/>
                <w:szCs w:val="22"/>
                <w:lang w:eastAsia="en-US"/>
              </w:rPr>
            </w:pPr>
          </w:p>
        </w:tc>
        <w:tc>
          <w:tcPr>
            <w:tcW w:w="944" w:type="pct"/>
            <w:shd w:val="clear" w:color="auto" w:fill="auto"/>
            <w:vAlign w:val="center"/>
          </w:tcPr>
          <w:p w14:paraId="6D6033C9" w14:textId="504F4789" w:rsidR="00873D79" w:rsidRPr="006A25BF" w:rsidRDefault="00EC76C8"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Responder analyses</w:t>
            </w:r>
            <w:r w:rsidR="00820523" w:rsidRPr="006A25BF">
              <w:rPr>
                <w:rFonts w:ascii="Arial Narrow" w:hAnsi="Arial Narrow"/>
                <w:sz w:val="20"/>
                <w:szCs w:val="20"/>
                <w:vertAlign w:val="superscript"/>
              </w:rPr>
              <w:t xml:space="preserve"> </w:t>
            </w:r>
            <w:r w:rsidR="00253B7F" w:rsidRPr="006A25BF">
              <w:rPr>
                <w:rFonts w:ascii="Arial Narrow" w:hAnsi="Arial Narrow"/>
                <w:sz w:val="20"/>
                <w:szCs w:val="20"/>
                <w:vertAlign w:val="superscript"/>
              </w:rPr>
              <w:t>h</w:t>
            </w:r>
          </w:p>
        </w:tc>
        <w:tc>
          <w:tcPr>
            <w:tcW w:w="522" w:type="pct"/>
            <w:shd w:val="clear" w:color="auto" w:fill="auto"/>
            <w:vAlign w:val="center"/>
          </w:tcPr>
          <w:p w14:paraId="1EAF9524" w14:textId="49A1E586" w:rsidR="00873D79" w:rsidRPr="006A25BF" w:rsidRDefault="00387917" w:rsidP="00BC2351">
            <w:pPr>
              <w:pStyle w:val="TableText0"/>
              <w:rPr>
                <w:rFonts w:eastAsiaTheme="minorHAnsi" w:cstheme="minorBidi"/>
                <w:szCs w:val="22"/>
                <w:lang w:eastAsia="en-US"/>
              </w:rPr>
            </w:pPr>
            <w:r w:rsidRPr="006A25BF">
              <w:rPr>
                <w:rFonts w:eastAsiaTheme="minorHAnsi" w:cstheme="minorBidi"/>
                <w:szCs w:val="22"/>
                <w:lang w:eastAsia="en-US"/>
              </w:rPr>
              <w:t>No</w:t>
            </w:r>
          </w:p>
        </w:tc>
      </w:tr>
      <w:tr w:rsidR="00873D79" w:rsidRPr="006A25BF" w14:paraId="714324C4" w14:textId="77777777" w:rsidTr="00636519">
        <w:trPr>
          <w:trHeight w:val="20"/>
        </w:trPr>
        <w:tc>
          <w:tcPr>
            <w:tcW w:w="552" w:type="pct"/>
            <w:shd w:val="clear" w:color="auto" w:fill="auto"/>
            <w:vAlign w:val="center"/>
          </w:tcPr>
          <w:p w14:paraId="0649B56E" w14:textId="77777777" w:rsidR="00873D79" w:rsidRPr="006A25BF" w:rsidRDefault="00873D79"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Meta-analysis</w:t>
            </w:r>
          </w:p>
        </w:tc>
        <w:tc>
          <w:tcPr>
            <w:tcW w:w="183" w:type="pct"/>
            <w:shd w:val="clear" w:color="auto" w:fill="auto"/>
            <w:vAlign w:val="center"/>
          </w:tcPr>
          <w:p w14:paraId="54C1FE5F" w14:textId="77777777" w:rsidR="00873D79" w:rsidRPr="006A25BF" w:rsidRDefault="00873D79" w:rsidP="00C81057">
            <w:pPr>
              <w:widowControl w:val="0"/>
              <w:jc w:val="center"/>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55</w:t>
            </w:r>
          </w:p>
        </w:tc>
        <w:tc>
          <w:tcPr>
            <w:tcW w:w="2799" w:type="pct"/>
            <w:gridSpan w:val="3"/>
            <w:shd w:val="clear" w:color="auto" w:fill="auto"/>
            <w:vAlign w:val="center"/>
          </w:tcPr>
          <w:p w14:paraId="3148724E" w14:textId="77777777" w:rsidR="00873D79" w:rsidRPr="006A25BF" w:rsidRDefault="00873D79" w:rsidP="00BC2351">
            <w:pPr>
              <w:widowControl w:val="0"/>
              <w:jc w:val="left"/>
              <w:rPr>
                <w:rFonts w:ascii="Arial Narrow" w:eastAsiaTheme="minorHAnsi" w:hAnsi="Arial Narrow" w:cstheme="minorBidi"/>
                <w:sz w:val="20"/>
                <w:szCs w:val="22"/>
                <w:lang w:eastAsia="en-US"/>
              </w:rPr>
            </w:pPr>
            <w:r w:rsidRPr="006A25BF">
              <w:rPr>
                <w:rFonts w:ascii="Arial Narrow" w:eastAsiaTheme="minorHAnsi" w:hAnsi="Arial Narrow" w:cstheme="minorBidi"/>
                <w:sz w:val="20"/>
                <w:szCs w:val="22"/>
                <w:lang w:eastAsia="en-US"/>
              </w:rPr>
              <w:t>Meta-analysis of STP 50 mg/kg/day arms in STILCO-France and STILCO-Italy trials</w:t>
            </w:r>
          </w:p>
        </w:tc>
        <w:tc>
          <w:tcPr>
            <w:tcW w:w="944" w:type="pct"/>
            <w:shd w:val="clear" w:color="auto" w:fill="auto"/>
            <w:vAlign w:val="center"/>
          </w:tcPr>
          <w:p w14:paraId="4355F47A" w14:textId="77777777" w:rsidR="00873D79" w:rsidRPr="006A25BF" w:rsidRDefault="00873D79" w:rsidP="00BC2351">
            <w:pPr>
              <w:widowControl w:val="0"/>
              <w:jc w:val="left"/>
              <w:rPr>
                <w:rFonts w:ascii="Arial Narrow" w:hAnsi="Arial Narrow"/>
                <w:sz w:val="20"/>
                <w:szCs w:val="20"/>
              </w:rPr>
            </w:pPr>
            <w:r w:rsidRPr="006A25BF">
              <w:rPr>
                <w:rFonts w:ascii="Arial Narrow" w:hAnsi="Arial Narrow"/>
                <w:sz w:val="20"/>
                <w:szCs w:val="20"/>
              </w:rPr>
              <w:t>Percentage change from baseline in CSF</w:t>
            </w:r>
          </w:p>
        </w:tc>
        <w:tc>
          <w:tcPr>
            <w:tcW w:w="522" w:type="pct"/>
            <w:shd w:val="clear" w:color="auto" w:fill="auto"/>
            <w:vAlign w:val="center"/>
          </w:tcPr>
          <w:p w14:paraId="5390B380" w14:textId="77777777" w:rsidR="00873D79" w:rsidRPr="006A25BF" w:rsidRDefault="00873D79" w:rsidP="00BC2351">
            <w:pPr>
              <w:pStyle w:val="TableText0"/>
            </w:pPr>
            <w:r w:rsidRPr="006A25BF">
              <w:t>No</w:t>
            </w:r>
          </w:p>
        </w:tc>
      </w:tr>
    </w:tbl>
    <w:p w14:paraId="37E6694A" w14:textId="4FC3B256" w:rsidR="00CE7338" w:rsidRPr="006A25BF" w:rsidRDefault="00CE7338" w:rsidP="00CE7338">
      <w:pPr>
        <w:pStyle w:val="FooterTableFigure"/>
      </w:pPr>
      <w:r w:rsidRPr="006A25BF">
        <w:lastRenderedPageBreak/>
        <w:t>Source: Compiled during evaluation from Table 2-7 and Table 2-8, pp52-54, Table 2-9 p55, Table 2-10 p56, Table 2-11 p57 of the submission, Table A-9, p9 of Appendix 1 of the submission; cannabidiol PSD, July 2020 PBAC Meeting; stiripentol, PSD, March 2020 PBAC Meeting.</w:t>
      </w:r>
      <w:r w:rsidR="00183253" w:rsidRPr="006A25BF">
        <w:t xml:space="preserve"> Italicised text indicates </w:t>
      </w:r>
      <w:r w:rsidR="00183253" w:rsidRPr="006A25BF">
        <w:rPr>
          <w:rFonts w:eastAsia="Calibri"/>
        </w:rPr>
        <w:t>new information added during the evaluation.</w:t>
      </w:r>
    </w:p>
    <w:p w14:paraId="1D621FEA" w14:textId="27C68E02" w:rsidR="00CE7338" w:rsidRPr="006A25BF" w:rsidRDefault="00CE7338" w:rsidP="00CE7338">
      <w:pPr>
        <w:pStyle w:val="FooterTableFigure"/>
      </w:pPr>
      <w:r w:rsidRPr="006A25BF">
        <w:t xml:space="preserve">CBD = cannabidiol; </w:t>
      </w:r>
      <w:r w:rsidR="005365A3" w:rsidRPr="006A25BF">
        <w:t xml:space="preserve">CSF =convulsive seizure frequency; </w:t>
      </w:r>
      <w:r w:rsidRPr="006A25BF">
        <w:t>DB = double-blind; FFA = fenfluramine; MC =multicentre; N = number of participants; NR = not reported; PC = placebo-controlled; R = randomised; STP = stiripentol.</w:t>
      </w:r>
    </w:p>
    <w:p w14:paraId="305A4E35" w14:textId="3AAED70E" w:rsidR="00076371" w:rsidRPr="006A25BF" w:rsidRDefault="00820523" w:rsidP="00CE7338">
      <w:pPr>
        <w:pStyle w:val="FooterTableFigure"/>
      </w:pPr>
      <w:proofErr w:type="spellStart"/>
      <w:r w:rsidRPr="006A25BF">
        <w:rPr>
          <w:sz w:val="20"/>
          <w:szCs w:val="20"/>
          <w:vertAlign w:val="superscript"/>
        </w:rPr>
        <w:t>a</w:t>
      </w:r>
      <w:proofErr w:type="spellEnd"/>
      <w:r w:rsidRPr="006A25BF">
        <w:rPr>
          <w:sz w:val="20"/>
          <w:szCs w:val="20"/>
          <w:vertAlign w:val="superscript"/>
        </w:rPr>
        <w:t xml:space="preserve"> </w:t>
      </w:r>
      <w:r w:rsidR="00076371" w:rsidRPr="006A25BF">
        <w:t>This table reports only the key outcomes reported in the included trials</w:t>
      </w:r>
      <w:r w:rsidR="00280BE6" w:rsidRPr="006A25BF">
        <w:t xml:space="preserve">, used in the economic evaluation and the meta-analyses used in the indirect treatment comparisons </w:t>
      </w:r>
    </w:p>
    <w:p w14:paraId="586F1A4A" w14:textId="74870D6D" w:rsidR="00CE7338" w:rsidRPr="006A25BF" w:rsidRDefault="00820523" w:rsidP="00CE7338">
      <w:pPr>
        <w:pStyle w:val="FooterTableFigure"/>
      </w:pPr>
      <w:r w:rsidRPr="006A25BF">
        <w:rPr>
          <w:vertAlign w:val="superscript"/>
        </w:rPr>
        <w:t>b</w:t>
      </w:r>
      <w:r w:rsidRPr="006A25BF">
        <w:t xml:space="preserve"> </w:t>
      </w:r>
      <w:r w:rsidR="00CE7338" w:rsidRPr="006A25BF">
        <w:t>Trial duration included 2 weeks of titration and 12 weeks of maintenance. After the primary outcome assessment, there were 2 weeks of taper/transition.</w:t>
      </w:r>
    </w:p>
    <w:p w14:paraId="39507142" w14:textId="7C1B0BA6" w:rsidR="00CE7338" w:rsidRPr="006A25BF" w:rsidRDefault="00820523" w:rsidP="00CE7338">
      <w:pPr>
        <w:pStyle w:val="FooterTableFigure"/>
      </w:pPr>
      <w:r w:rsidRPr="006A25BF">
        <w:rPr>
          <w:vertAlign w:val="superscript"/>
        </w:rPr>
        <w:t xml:space="preserve">c </w:t>
      </w:r>
      <w:r w:rsidR="00CE7338" w:rsidRPr="006A25BF">
        <w:t>In a 4-week period during the 12 weeks prior to screening.</w:t>
      </w:r>
    </w:p>
    <w:p w14:paraId="5E15CBCA" w14:textId="3569055F" w:rsidR="00CE7338" w:rsidRPr="006A25BF" w:rsidRDefault="00820523" w:rsidP="00CE7338">
      <w:pPr>
        <w:pStyle w:val="FooterTableFigure"/>
      </w:pPr>
      <w:r w:rsidRPr="006A25BF">
        <w:rPr>
          <w:vertAlign w:val="superscript"/>
        </w:rPr>
        <w:t>d</w:t>
      </w:r>
      <w:r w:rsidRPr="006A25BF">
        <w:t xml:space="preserve"> </w:t>
      </w:r>
      <w:r w:rsidR="00CE7338" w:rsidRPr="006A25BF">
        <w:t>For at least 4 weeks prior to screening.</w:t>
      </w:r>
    </w:p>
    <w:p w14:paraId="6EFE71A4" w14:textId="28AF43A9" w:rsidR="007B1E1D" w:rsidRPr="006A25BF" w:rsidRDefault="00820523" w:rsidP="00CE7338">
      <w:pPr>
        <w:pStyle w:val="FooterTableFigure"/>
      </w:pPr>
      <w:r w:rsidRPr="006A25BF">
        <w:rPr>
          <w:vertAlign w:val="superscript"/>
        </w:rPr>
        <w:t>e</w:t>
      </w:r>
      <w:r w:rsidRPr="006A25BF">
        <w:t xml:space="preserve"> </w:t>
      </w:r>
      <w:r w:rsidR="006F10BC" w:rsidRPr="006A25BF">
        <w:t xml:space="preserve">Percentage of </w:t>
      </w:r>
      <w:r w:rsidR="007B1E1D" w:rsidRPr="006A25BF">
        <w:t xml:space="preserve">participants achieving ≥25%, ≥50%, ≥75%, or 100% reduction in monthly </w:t>
      </w:r>
      <w:r w:rsidR="00157D66" w:rsidRPr="006A25BF">
        <w:t>CSF.</w:t>
      </w:r>
      <w:r w:rsidR="007B1E1D" w:rsidRPr="006A25BF">
        <w:t xml:space="preserve"> </w:t>
      </w:r>
    </w:p>
    <w:p w14:paraId="0537E3EC" w14:textId="64C25AAA" w:rsidR="00CE7338" w:rsidRPr="006A25BF" w:rsidRDefault="00CD77AF" w:rsidP="00CE7338">
      <w:pPr>
        <w:pStyle w:val="FooterTableFigure"/>
      </w:pPr>
      <w:r w:rsidRPr="006A25BF">
        <w:rPr>
          <w:vertAlign w:val="superscript"/>
        </w:rPr>
        <w:t>f</w:t>
      </w:r>
      <w:r w:rsidRPr="006A25BF">
        <w:t xml:space="preserve"> </w:t>
      </w:r>
      <w:r w:rsidR="00CE7338" w:rsidRPr="006A25BF">
        <w:t>Trial duration included 2 weeks titration and 12 weeks maintenance. After the primary outcome assessment, there were 10 days taper/transition and 4 weeks of safety follow-up.</w:t>
      </w:r>
    </w:p>
    <w:p w14:paraId="4C2F788D" w14:textId="709E9E0D" w:rsidR="00CE7338" w:rsidRPr="006A25BF" w:rsidRDefault="00253B7F" w:rsidP="00CE7338">
      <w:pPr>
        <w:pStyle w:val="FooterTableFigure"/>
      </w:pPr>
      <w:r w:rsidRPr="006A25BF">
        <w:rPr>
          <w:vertAlign w:val="superscript"/>
        </w:rPr>
        <w:t>g</w:t>
      </w:r>
      <w:r w:rsidR="00820523" w:rsidRPr="006A25BF">
        <w:t xml:space="preserve"> </w:t>
      </w:r>
      <w:r w:rsidR="00CE7338" w:rsidRPr="006A25BF">
        <w:t>28-day baseline period.</w:t>
      </w:r>
    </w:p>
    <w:p w14:paraId="567FF596" w14:textId="53EA388C" w:rsidR="00820523" w:rsidRPr="006A25BF" w:rsidRDefault="00253B7F" w:rsidP="00CE7338">
      <w:pPr>
        <w:pStyle w:val="FooterTableFigure"/>
      </w:pPr>
      <w:r w:rsidRPr="006A25BF">
        <w:rPr>
          <w:vertAlign w:val="superscript"/>
        </w:rPr>
        <w:t>h</w:t>
      </w:r>
      <w:r w:rsidR="00EC76C8" w:rsidRPr="006A25BF">
        <w:t xml:space="preserve"> </w:t>
      </w:r>
      <w:r w:rsidRPr="006A25BF">
        <w:t xml:space="preserve">Percentage of participants achieving </w:t>
      </w:r>
      <w:r w:rsidR="00EC76C8" w:rsidRPr="006A25BF">
        <w:t>≥50% reduction of seizure frequency during the second month of the double-blind period compared to baseline.</w:t>
      </w:r>
    </w:p>
    <w:p w14:paraId="6583EA1F" w14:textId="37367473" w:rsidR="00CE7338" w:rsidRPr="00550BF0" w:rsidRDefault="17959EF6" w:rsidP="0875E365">
      <w:pPr>
        <w:pStyle w:val="3-BodyText"/>
      </w:pPr>
      <w:r w:rsidRPr="00550BF0">
        <w:t xml:space="preserve">The sample sizes were small in the treatment arms across all the included trials. This was expected given that Dravet Syndrome is a rare disease. However, the small sample sizes reduced the statistical power to detect differences across treatment arms in the included trials, </w:t>
      </w:r>
      <w:r w:rsidR="33930E26" w:rsidRPr="00550BF0">
        <w:t xml:space="preserve">creating additional uncertainty for the indirect comparisons. </w:t>
      </w:r>
    </w:p>
    <w:p w14:paraId="3B6068AA" w14:textId="28F15A46" w:rsidR="00CE7338" w:rsidRPr="00A30C32" w:rsidRDefault="00CE7338" w:rsidP="00A30C32">
      <w:pPr>
        <w:pStyle w:val="3-BodyText"/>
        <w:rPr>
          <w:rFonts w:eastAsiaTheme="majorEastAsia"/>
        </w:rPr>
      </w:pPr>
      <w:bookmarkStart w:id="31" w:name="_Ref176520435"/>
      <w:r w:rsidRPr="00550BF0">
        <w:t>K</w:t>
      </w:r>
      <w:r w:rsidRPr="00550BF0">
        <w:rPr>
          <w:rFonts w:eastAsiaTheme="majorEastAsia"/>
        </w:rPr>
        <w:t>ey differences between the fenfluramine, cannabidiol and stiripentol trials were</w:t>
      </w:r>
      <w:r w:rsidR="00D72BEF">
        <w:rPr>
          <w:rFonts w:eastAsiaTheme="majorEastAsia"/>
        </w:rPr>
        <w:t xml:space="preserve"> differences in</w:t>
      </w:r>
      <w:r w:rsidR="008B71C2">
        <w:rPr>
          <w:rFonts w:eastAsiaTheme="majorEastAsia"/>
        </w:rPr>
        <w:t>:</w:t>
      </w:r>
      <w:r w:rsidR="00D72BEF" w:rsidRPr="001F1019">
        <w:rPr>
          <w:rFonts w:eastAsiaTheme="majorEastAsia"/>
        </w:rPr>
        <w:t xml:space="preserve"> concomitant use of stiripentol </w:t>
      </w:r>
      <w:r w:rsidR="00DC5731" w:rsidRPr="001F1019">
        <w:rPr>
          <w:rFonts w:eastAsiaTheme="majorEastAsia"/>
        </w:rPr>
        <w:t>(Study 1</w:t>
      </w:r>
      <w:r w:rsidR="00A340CC" w:rsidRPr="001F1019">
        <w:rPr>
          <w:rFonts w:eastAsiaTheme="majorEastAsia"/>
        </w:rPr>
        <w:t xml:space="preserve">/3 = no stiripentol; Study 2 = </w:t>
      </w:r>
      <w:r w:rsidR="006F3913" w:rsidRPr="001F1019">
        <w:rPr>
          <w:rFonts w:eastAsiaTheme="majorEastAsia"/>
        </w:rPr>
        <w:t xml:space="preserve">stiripentol; GWPCARE1 and GWPCARE2 = </w:t>
      </w:r>
      <w:r w:rsidR="008C5795" w:rsidRPr="001F1019">
        <w:rPr>
          <w:rFonts w:eastAsiaTheme="majorEastAsia"/>
        </w:rPr>
        <w:t xml:space="preserve">stiripentol permitted) </w:t>
      </w:r>
      <w:r w:rsidR="00D72BEF" w:rsidRPr="001F1019">
        <w:rPr>
          <w:rFonts w:eastAsiaTheme="majorEastAsia"/>
        </w:rPr>
        <w:t>and AEDs</w:t>
      </w:r>
      <w:r w:rsidR="003162C6" w:rsidRPr="001F1019">
        <w:rPr>
          <w:rFonts w:eastAsiaTheme="majorEastAsia"/>
        </w:rPr>
        <w:t xml:space="preserve"> (</w:t>
      </w:r>
      <w:r w:rsidR="005763CE" w:rsidRPr="001F1019">
        <w:rPr>
          <w:rFonts w:eastAsiaTheme="majorEastAsia"/>
        </w:rPr>
        <w:t>higher use in fenfluramine</w:t>
      </w:r>
      <w:r w:rsidR="00F27FBC" w:rsidRPr="001F1019">
        <w:rPr>
          <w:rFonts w:eastAsiaTheme="majorEastAsia"/>
        </w:rPr>
        <w:t xml:space="preserve"> vs cannabidiol</w:t>
      </w:r>
      <w:r w:rsidR="005763CE" w:rsidRPr="001F1019">
        <w:rPr>
          <w:rFonts w:eastAsiaTheme="majorEastAsia"/>
        </w:rPr>
        <w:t xml:space="preserve"> trials)</w:t>
      </w:r>
      <w:r w:rsidR="005800E6" w:rsidRPr="001F1019">
        <w:rPr>
          <w:rFonts w:eastAsiaTheme="majorEastAsia"/>
        </w:rPr>
        <w:t xml:space="preserve"> and the types of convulsive seizures </w:t>
      </w:r>
      <w:r w:rsidR="00DD26AE" w:rsidRPr="001F1019">
        <w:rPr>
          <w:rFonts w:eastAsiaTheme="majorEastAsia"/>
        </w:rPr>
        <w:t xml:space="preserve">included </w:t>
      </w:r>
      <w:r w:rsidR="005800E6" w:rsidRPr="001F1019">
        <w:rPr>
          <w:rFonts w:eastAsiaTheme="majorEastAsia"/>
        </w:rPr>
        <w:t>at baseline</w:t>
      </w:r>
      <w:r w:rsidR="005D6CEA" w:rsidRPr="001F1019">
        <w:rPr>
          <w:rFonts w:eastAsiaTheme="majorEastAsia"/>
        </w:rPr>
        <w:t xml:space="preserve"> (Study 1</w:t>
      </w:r>
      <w:r w:rsidR="005F4E5D" w:rsidRPr="001F1019">
        <w:rPr>
          <w:rFonts w:eastAsiaTheme="majorEastAsia"/>
        </w:rPr>
        <w:t>/</w:t>
      </w:r>
      <w:r w:rsidR="005D6CEA" w:rsidRPr="001F1019">
        <w:rPr>
          <w:rFonts w:eastAsiaTheme="majorEastAsia"/>
        </w:rPr>
        <w:t xml:space="preserve">3 </w:t>
      </w:r>
      <w:r w:rsidR="005F4E5D" w:rsidRPr="001F1019">
        <w:rPr>
          <w:rFonts w:eastAsiaTheme="majorEastAsia"/>
        </w:rPr>
        <w:t xml:space="preserve">= </w:t>
      </w:r>
      <w:r w:rsidR="005D6CEA" w:rsidRPr="001F1019">
        <w:rPr>
          <w:rFonts w:eastAsiaTheme="majorEastAsia"/>
        </w:rPr>
        <w:t>tonic-clonic, tonic, clonic, or tonic-atonic seizures</w:t>
      </w:r>
      <w:r w:rsidR="005F4E5D" w:rsidRPr="001F1019">
        <w:rPr>
          <w:rFonts w:eastAsiaTheme="majorEastAsia"/>
        </w:rPr>
        <w:t xml:space="preserve">; </w:t>
      </w:r>
      <w:r w:rsidR="005D6CEA" w:rsidRPr="001F1019">
        <w:rPr>
          <w:rFonts w:eastAsiaTheme="majorEastAsia"/>
        </w:rPr>
        <w:t xml:space="preserve">Study 2 </w:t>
      </w:r>
      <w:r w:rsidR="005F4E5D" w:rsidRPr="001F1019">
        <w:rPr>
          <w:rFonts w:eastAsiaTheme="majorEastAsia"/>
        </w:rPr>
        <w:t xml:space="preserve">= </w:t>
      </w:r>
      <w:r w:rsidR="005D6CEA" w:rsidRPr="001F1019">
        <w:rPr>
          <w:rFonts w:eastAsiaTheme="majorEastAsia"/>
        </w:rPr>
        <w:t>tonic-clonic, tonic, or clonic seizures</w:t>
      </w:r>
      <w:r w:rsidR="00727F29" w:rsidRPr="001F1019">
        <w:rPr>
          <w:rFonts w:eastAsiaTheme="majorEastAsia"/>
        </w:rPr>
        <w:t>;</w:t>
      </w:r>
      <w:r w:rsidR="005D6CEA" w:rsidRPr="001F1019">
        <w:rPr>
          <w:rFonts w:eastAsiaTheme="majorEastAsia"/>
        </w:rPr>
        <w:t xml:space="preserve"> GWPCARE1 and GWPCARE2 </w:t>
      </w:r>
      <w:r w:rsidR="00727F29" w:rsidRPr="001F1019">
        <w:rPr>
          <w:rFonts w:eastAsiaTheme="majorEastAsia"/>
        </w:rPr>
        <w:t>=</w:t>
      </w:r>
      <w:r w:rsidR="005D6CEA" w:rsidRPr="001F1019">
        <w:rPr>
          <w:rFonts w:eastAsiaTheme="majorEastAsia"/>
        </w:rPr>
        <w:t xml:space="preserve"> tonic-clonic, tonic, clonic, or atonic seizures</w:t>
      </w:r>
      <w:r w:rsidR="00727F29" w:rsidRPr="001F1019">
        <w:rPr>
          <w:rFonts w:eastAsiaTheme="majorEastAsia"/>
        </w:rPr>
        <w:t>;</w:t>
      </w:r>
      <w:r w:rsidR="005D6CEA" w:rsidRPr="001F1019">
        <w:rPr>
          <w:rFonts w:eastAsiaTheme="majorEastAsia"/>
        </w:rPr>
        <w:t xml:space="preserve"> STICLO-France</w:t>
      </w:r>
      <w:r w:rsidR="00727F29" w:rsidRPr="001F1019">
        <w:rPr>
          <w:rFonts w:eastAsiaTheme="majorEastAsia"/>
        </w:rPr>
        <w:t>/</w:t>
      </w:r>
      <w:r w:rsidR="005D6CEA" w:rsidRPr="001F1019">
        <w:rPr>
          <w:rFonts w:eastAsiaTheme="majorEastAsia"/>
        </w:rPr>
        <w:t xml:space="preserve">-Italy </w:t>
      </w:r>
      <w:r w:rsidR="00727F29" w:rsidRPr="001F1019">
        <w:rPr>
          <w:rFonts w:eastAsiaTheme="majorEastAsia"/>
        </w:rPr>
        <w:t xml:space="preserve">= </w:t>
      </w:r>
      <w:r w:rsidR="005D6CEA" w:rsidRPr="001F1019">
        <w:rPr>
          <w:rFonts w:eastAsiaTheme="majorEastAsia"/>
        </w:rPr>
        <w:t>tonic-clonic</w:t>
      </w:r>
      <w:r w:rsidR="00727F29" w:rsidRPr="001F1019">
        <w:rPr>
          <w:rFonts w:eastAsiaTheme="majorEastAsia"/>
        </w:rPr>
        <w:t xml:space="preserve">, </w:t>
      </w:r>
      <w:r w:rsidR="005D6CEA" w:rsidRPr="001F1019">
        <w:rPr>
          <w:rFonts w:eastAsiaTheme="majorEastAsia"/>
        </w:rPr>
        <w:t>clonic seizures</w:t>
      </w:r>
      <w:r w:rsidR="00727F29" w:rsidRPr="001F1019">
        <w:rPr>
          <w:rFonts w:eastAsiaTheme="majorEastAsia"/>
        </w:rPr>
        <w:t>)</w:t>
      </w:r>
      <w:r w:rsidR="00870B1F" w:rsidRPr="001F1019">
        <w:rPr>
          <w:rFonts w:eastAsiaTheme="majorEastAsia"/>
        </w:rPr>
        <w:t xml:space="preserve">, </w:t>
      </w:r>
      <w:r w:rsidR="005800E6" w:rsidRPr="001F1019">
        <w:rPr>
          <w:rFonts w:eastAsiaTheme="majorEastAsia"/>
        </w:rPr>
        <w:t xml:space="preserve">which impact </w:t>
      </w:r>
      <w:r w:rsidR="00DD26AE" w:rsidRPr="001F1019">
        <w:rPr>
          <w:rFonts w:eastAsiaTheme="majorEastAsia"/>
        </w:rPr>
        <w:t xml:space="preserve">the </w:t>
      </w:r>
      <w:r w:rsidR="005800E6" w:rsidRPr="001F1019">
        <w:rPr>
          <w:rFonts w:eastAsiaTheme="majorEastAsia"/>
        </w:rPr>
        <w:t xml:space="preserve">interpretation of the </w:t>
      </w:r>
      <w:r w:rsidR="001F3288" w:rsidRPr="001F1019">
        <w:rPr>
          <w:rFonts w:eastAsiaTheme="majorEastAsia"/>
        </w:rPr>
        <w:t>indirect treatment comparisons</w:t>
      </w:r>
      <w:r w:rsidR="005800E6" w:rsidRPr="001F1019">
        <w:rPr>
          <w:rFonts w:eastAsiaTheme="majorEastAsia"/>
        </w:rPr>
        <w:t>.</w:t>
      </w:r>
      <w:bookmarkEnd w:id="31"/>
    </w:p>
    <w:p w14:paraId="25BA9800" w14:textId="4B4C066E" w:rsidR="00CE7338" w:rsidRPr="00550BF0" w:rsidRDefault="00CE7338" w:rsidP="002B1619">
      <w:pPr>
        <w:pStyle w:val="3-BodyText"/>
      </w:pPr>
      <w:bookmarkStart w:id="32" w:name="_Ref183516938"/>
      <w:r w:rsidRPr="00550BF0">
        <w:t xml:space="preserve">The primary outcome was similar across the trials: percent change from baseline in monthly </w:t>
      </w:r>
      <w:r w:rsidR="00157D66" w:rsidRPr="00550BF0">
        <w:t>CSF</w:t>
      </w:r>
      <w:r w:rsidRPr="00550BF0">
        <w:t xml:space="preserve"> (mean or median), compared to placebo. The secondary outcomes in the submission were responder analyses reflecting the proportion of participants achieving ≥25%, ≥50%, ≥75%, or 100% reduction in monthly </w:t>
      </w:r>
      <w:r w:rsidR="00157D66" w:rsidRPr="00550BF0">
        <w:t>CSF</w:t>
      </w:r>
      <w:r w:rsidRPr="00550BF0">
        <w:t>, and additional assessments of seizure-based outcomes and patient- and carer-reported quality of life outcomes. However</w:t>
      </w:r>
      <w:r w:rsidR="002B1619">
        <w:t xml:space="preserve">, </w:t>
      </w:r>
      <w:r w:rsidR="00453DB8">
        <w:t>t</w:t>
      </w:r>
      <w:r w:rsidR="00453DB8" w:rsidRPr="005E3251">
        <w:t>he timepoint for primary assessment differed between trials (14</w:t>
      </w:r>
      <w:r w:rsidR="00FE5FB9">
        <w:t> </w:t>
      </w:r>
      <w:r w:rsidR="00453DB8" w:rsidRPr="005E3251">
        <w:t xml:space="preserve">weeks in the fenfluramine and cannabidiol trials, and 8 weeks in the stiripentol </w:t>
      </w:r>
      <w:r w:rsidR="008903B1">
        <w:t>trials)</w:t>
      </w:r>
      <w:r w:rsidR="00B7142A">
        <w:t xml:space="preserve"> and </w:t>
      </w:r>
      <w:r w:rsidR="002B1619">
        <w:t>t</w:t>
      </w:r>
      <w:r w:rsidRPr="00550BF0">
        <w:t>he types of convulsive seizures included at follow-up differed across the trials</w:t>
      </w:r>
      <w:r w:rsidR="003F093B">
        <w:t xml:space="preserve"> (as noted above)</w:t>
      </w:r>
      <w:r w:rsidR="00586D43">
        <w:t xml:space="preserve">. </w:t>
      </w:r>
      <w:r w:rsidR="00667B59">
        <w:t>Furthermore, t</w:t>
      </w:r>
      <w:r w:rsidR="00586D43">
        <w:t xml:space="preserve">he </w:t>
      </w:r>
      <w:r w:rsidR="00586D43" w:rsidRPr="005E3251">
        <w:rPr>
          <w:rStyle w:val="Font"/>
        </w:rPr>
        <w:t xml:space="preserve">statistical modelling strategies to compute the mean percentage change in monthly CSF </w:t>
      </w:r>
      <w:r w:rsidR="00586D43">
        <w:rPr>
          <w:rStyle w:val="Font"/>
        </w:rPr>
        <w:t xml:space="preserve">differed </w:t>
      </w:r>
      <w:r w:rsidR="00586D43" w:rsidRPr="005E3251">
        <w:rPr>
          <w:rStyle w:val="Font"/>
        </w:rPr>
        <w:t>across the trials</w:t>
      </w:r>
      <w:r w:rsidR="008A3BC6">
        <w:rPr>
          <w:rStyle w:val="Font"/>
        </w:rPr>
        <w:t xml:space="preserve"> </w:t>
      </w:r>
      <w:r w:rsidR="008A3BC6" w:rsidRPr="005E3251">
        <w:rPr>
          <w:rStyle w:val="Font"/>
        </w:rPr>
        <w:t>(ANCOVA in GWPCARE1 and negative binomial regression in GWPCARE2)</w:t>
      </w:r>
      <w:r w:rsidR="00586D43" w:rsidRPr="005E3251">
        <w:rPr>
          <w:rStyle w:val="Font"/>
        </w:rPr>
        <w:t>.</w:t>
      </w:r>
      <w:r w:rsidR="0053604E">
        <w:rPr>
          <w:rStyle w:val="Font"/>
        </w:rPr>
        <w:t xml:space="preserve"> The</w:t>
      </w:r>
      <w:r w:rsidR="009E4EC9">
        <w:rPr>
          <w:rStyle w:val="Font"/>
        </w:rPr>
        <w:t>se differences were a</w:t>
      </w:r>
      <w:r w:rsidR="005B0FFA">
        <w:rPr>
          <w:rStyle w:val="Font"/>
        </w:rPr>
        <w:t xml:space="preserve"> further</w:t>
      </w:r>
      <w:r w:rsidR="009E4EC9">
        <w:rPr>
          <w:rStyle w:val="Font"/>
        </w:rPr>
        <w:t xml:space="preserve"> source of uncertainty for the indirect treatment comparisons.</w:t>
      </w:r>
      <w:r w:rsidRPr="00550BF0">
        <w:t xml:space="preserve"> </w:t>
      </w:r>
      <w:bookmarkEnd w:id="32"/>
    </w:p>
    <w:p w14:paraId="02660ED9" w14:textId="77777777" w:rsidR="00CE7338" w:rsidRPr="00550BF0" w:rsidRDefault="00CE7338" w:rsidP="00CE7338">
      <w:pPr>
        <w:pStyle w:val="3-BodyText"/>
      </w:pPr>
      <w:r w:rsidRPr="00550BF0">
        <w:t>The submission proposed either of the following as a minimally clinically important difference (MCID):</w:t>
      </w:r>
    </w:p>
    <w:p w14:paraId="20543BF4" w14:textId="2DB0C375" w:rsidR="00CE7338" w:rsidRPr="00550BF0" w:rsidRDefault="00CE7338" w:rsidP="000777DE">
      <w:pPr>
        <w:pStyle w:val="ListParagraph"/>
        <w:numPr>
          <w:ilvl w:val="0"/>
          <w:numId w:val="11"/>
        </w:numPr>
        <w:ind w:left="1134"/>
      </w:pPr>
      <w:r w:rsidRPr="00550BF0">
        <w:t xml:space="preserve">A statistically significant difference compared to placebo of </w:t>
      </w:r>
      <w:bookmarkStart w:id="33" w:name="_Hlk174456334"/>
      <w:r w:rsidRPr="00550BF0">
        <w:t>≥</w:t>
      </w:r>
      <w:bookmarkEnd w:id="33"/>
      <w:r w:rsidRPr="00550BF0">
        <w:t>50%</w:t>
      </w:r>
      <w:r w:rsidR="00320B1F" w:rsidRPr="00550BF0">
        <w:t xml:space="preserve"> reduction</w:t>
      </w:r>
      <w:r w:rsidRPr="00550BF0">
        <w:t xml:space="preserve"> in mean/median monthly </w:t>
      </w:r>
      <w:r w:rsidR="00157D66" w:rsidRPr="00550BF0">
        <w:t>CSF</w:t>
      </w:r>
      <w:r w:rsidR="00654821" w:rsidRPr="00550BF0">
        <w:t>;</w:t>
      </w:r>
      <w:r w:rsidR="00A67279" w:rsidRPr="00550BF0">
        <w:t xml:space="preserve"> or</w:t>
      </w:r>
    </w:p>
    <w:p w14:paraId="5A8CBE0F" w14:textId="082D42D6" w:rsidR="00CE7338" w:rsidRPr="00550BF0" w:rsidRDefault="00CE7338" w:rsidP="000777DE">
      <w:pPr>
        <w:pStyle w:val="ListParagraph"/>
        <w:numPr>
          <w:ilvl w:val="0"/>
          <w:numId w:val="11"/>
        </w:numPr>
        <w:ind w:left="1134"/>
      </w:pPr>
      <w:r w:rsidRPr="00550BF0">
        <w:lastRenderedPageBreak/>
        <w:t xml:space="preserve">A statistically significant difference in the proportion of participants achieving a ≥50% reduction in mean/median </w:t>
      </w:r>
      <w:r w:rsidR="00157D66" w:rsidRPr="00550BF0">
        <w:t>CSF</w:t>
      </w:r>
      <w:r w:rsidRPr="00550BF0">
        <w:t>.</w:t>
      </w:r>
    </w:p>
    <w:p w14:paraId="64641BB1" w14:textId="77777777" w:rsidR="00CE7338" w:rsidRPr="00550BF0" w:rsidRDefault="00CE7338" w:rsidP="00CE7338">
      <w:pPr>
        <w:pStyle w:val="3-BodyText"/>
      </w:pPr>
      <w:r w:rsidRPr="00550BF0">
        <w:t>The submission stated the following reasons to suggest a ≥50% reduction in seizures to be clinically important:</w:t>
      </w:r>
    </w:p>
    <w:p w14:paraId="6F8731C2" w14:textId="36398EFA" w:rsidR="00CE7338" w:rsidRPr="00550BF0" w:rsidRDefault="00CE7338" w:rsidP="000777DE">
      <w:pPr>
        <w:pStyle w:val="ListParagraph"/>
        <w:numPr>
          <w:ilvl w:val="0"/>
          <w:numId w:val="10"/>
        </w:numPr>
        <w:ind w:left="1134"/>
      </w:pPr>
      <w:r w:rsidRPr="00550BF0">
        <w:t>The PBAC previously considered a 50% reduction as clinically important</w:t>
      </w:r>
      <w:r w:rsidR="00654821" w:rsidRPr="00550BF0">
        <w:t xml:space="preserve"> </w:t>
      </w:r>
      <w:r w:rsidRPr="00550BF0" w:rsidDel="006872E7">
        <w:t>(para. 11.7, cannabidiol, PSD, July 2020 PBAC Meeting).</w:t>
      </w:r>
      <w:r w:rsidRPr="00550BF0">
        <w:t xml:space="preserve"> </w:t>
      </w:r>
    </w:p>
    <w:p w14:paraId="51E58502" w14:textId="18EDFB98" w:rsidR="00E70EF4" w:rsidRPr="00550BF0" w:rsidRDefault="00CE7338" w:rsidP="000777DE">
      <w:pPr>
        <w:pStyle w:val="ListParagraph"/>
        <w:ind w:left="1134"/>
      </w:pPr>
      <w:r w:rsidRPr="00550BF0">
        <w:t>It was consistent with contemporary literature and guidelines (Sullivan et al. 2021)</w:t>
      </w:r>
      <w:r w:rsidR="00966EF1" w:rsidRPr="00550BF0">
        <w:t>.</w:t>
      </w:r>
      <w:r w:rsidRPr="00550BF0">
        <w:rPr>
          <w:rStyle w:val="FootnoteReference"/>
        </w:rPr>
        <w:footnoteReference w:id="10"/>
      </w:r>
      <w:r w:rsidRPr="00550BF0">
        <w:t xml:space="preserve"> The study by Sullivan et al. (2021) used data from the Study 1 and Study 2 trials to calculate numbers needed to treat with fenfluramine to achieve clinically desirable response—dichotomised for 50% and 75% reductions. This study predefined the </w:t>
      </w:r>
      <w:r w:rsidR="00111B04" w:rsidRPr="00550BF0">
        <w:t>‘</w:t>
      </w:r>
      <w:r w:rsidRPr="00550BF0">
        <w:t>clinically meaningful</w:t>
      </w:r>
      <w:r w:rsidR="00111B04" w:rsidRPr="00550BF0">
        <w:t>’</w:t>
      </w:r>
      <w:r w:rsidRPr="00550BF0">
        <w:t xml:space="preserve"> response as a reduction in seizure frequency by ≥50%. The study did not employ standard methodologies to derive an MCID using patient and clinician-reported outcome measures. </w:t>
      </w:r>
    </w:p>
    <w:p w14:paraId="0D28C5BC" w14:textId="74B62171" w:rsidR="00CF367A" w:rsidRPr="00550BF0" w:rsidRDefault="00CF367A" w:rsidP="00EC1A09">
      <w:pPr>
        <w:pStyle w:val="3-BodyText"/>
      </w:pPr>
      <w:r w:rsidRPr="00550BF0">
        <w:t xml:space="preserve">Overall, the </w:t>
      </w:r>
      <w:r w:rsidR="00146B8C">
        <w:t xml:space="preserve">evaluation considered that the </w:t>
      </w:r>
      <w:r w:rsidRPr="00550BF0">
        <w:t>submission did not justify the choice of MCID using a statistically robust method or a systematic review. Previously, based on clinical advice, the PBAC considered a reduction in the number of seizures of at least 25% was likely to be clinically significant and, for Dravet Syndrome, could be determined in clinical practice by clinicians, patients and carers (para. 11.7, cannabidiol PSD, July 2020 PBAC Meeting). Therefore, the MCID may be lower than a ≥50% reduction in seizures.</w:t>
      </w:r>
    </w:p>
    <w:p w14:paraId="28429E64" w14:textId="34818459" w:rsidR="00CE7338" w:rsidRPr="00550BF0" w:rsidRDefault="00CE7338" w:rsidP="00CE7338">
      <w:pPr>
        <w:pStyle w:val="3-BodyText"/>
      </w:pPr>
      <w:r w:rsidRPr="00550BF0">
        <w:t>A claim of superior efficacy vs cannabidiol 10 mg/kg/day or 20 mg/kg/day (+/- stiripentol) was made</w:t>
      </w:r>
      <w:r w:rsidR="00772910" w:rsidRPr="00550BF0">
        <w:t xml:space="preserve"> based</w:t>
      </w:r>
      <w:r w:rsidRPr="00550BF0">
        <w:t xml:space="preserve"> on the following outcomes: Change in monthly convulsive and total seizure frequency and associated responder analyses reflecting the proportion of participants achieving ≥25%, ≥50%, ≥75%, or 100% reduction in monthly </w:t>
      </w:r>
      <w:r w:rsidR="00157D66" w:rsidRPr="00550BF0">
        <w:t>CSF</w:t>
      </w:r>
      <w:r w:rsidRPr="00550BF0">
        <w:t xml:space="preserve">, seizure-free days and intervals, and patient-reported outcomes and health-related quality of life. The submission did not provide an indirect comparison for seizure-free days and intervals or patient-reported outcomes. </w:t>
      </w:r>
      <w:r w:rsidR="00D3430E" w:rsidRPr="00550BF0">
        <w:t>The PSCR argued there was insufficient publicly available information from the GWPCARE studies to undertake these analyses.</w:t>
      </w:r>
    </w:p>
    <w:p w14:paraId="1EC31E46" w14:textId="322A785A" w:rsidR="00CE7338" w:rsidRPr="000777DE" w:rsidRDefault="17959EF6" w:rsidP="000777DE">
      <w:pPr>
        <w:pStyle w:val="3-BodyText"/>
      </w:pPr>
      <w:r w:rsidRPr="000777DE">
        <w:t xml:space="preserve">A claim of </w:t>
      </w:r>
      <w:r w:rsidR="00A67279" w:rsidRPr="000777DE">
        <w:t>‘</w:t>
      </w:r>
      <w:r w:rsidRPr="000777DE">
        <w:t>similar</w:t>
      </w:r>
      <w:r w:rsidR="00A67279" w:rsidRPr="000777DE">
        <w:t>’</w:t>
      </w:r>
      <w:r w:rsidRPr="000777DE">
        <w:t xml:space="preserve"> safety vs cannabidiol 10 mg/kg/day or 20 mg/kg/day (+/-stiripentol) was made </w:t>
      </w:r>
      <w:r w:rsidR="00F860AF" w:rsidRPr="000777DE">
        <w:t xml:space="preserve">based on </w:t>
      </w:r>
      <w:r w:rsidRPr="000777DE">
        <w:t xml:space="preserve">the outcomes of incidence and severity of adverse events and long-term safety. The submission did not provide an indirect comparison for safety outcomes but rather provided an ‘informal assessment’ (i.e. a </w:t>
      </w:r>
      <w:r w:rsidR="00B945BD" w:rsidRPr="000777DE">
        <w:t xml:space="preserve">side-by-side </w:t>
      </w:r>
      <w:r w:rsidRPr="000777DE">
        <w:t xml:space="preserve">comparison of safety data) claiming that the trials were not sufficiently detailed or comparable to facilitate a formal indirect comparison. </w:t>
      </w:r>
    </w:p>
    <w:p w14:paraId="34593F0C" w14:textId="5077FD24" w:rsidR="009029C5" w:rsidRPr="000777DE" w:rsidRDefault="009029C5" w:rsidP="000777DE">
      <w:pPr>
        <w:pStyle w:val="3-BodyText"/>
      </w:pPr>
      <w:r w:rsidRPr="000777DE">
        <w:t xml:space="preserve">The PBAC agreed with the ESC that stiripentol was a relevant comparator (paragraph 5.3), however considered the comparative effectiveness and safety of fenfluramine </w:t>
      </w:r>
      <w:r w:rsidRPr="000777DE">
        <w:lastRenderedPageBreak/>
        <w:t xml:space="preserve">and stiripentol was not able to be reliably assessed. This was because the stiripentol trials were older, with a different standard of care and range of anti-epileptic drugs available, which when considered alongside the other transitivity issues identified including differences in trial eligibility criteria, treatment settings outcome measures, trial duration and follow-up and statistical methodology, precluded a reliable comparative assessment of these two agents. </w:t>
      </w:r>
    </w:p>
    <w:p w14:paraId="3E6D22E5" w14:textId="77777777" w:rsidR="00CE7338" w:rsidRPr="006B5229" w:rsidRDefault="00CE7338" w:rsidP="00CE7338">
      <w:pPr>
        <w:pStyle w:val="4-SubsectionHeading"/>
      </w:pPr>
      <w:bookmarkStart w:id="34" w:name="_Toc22897641"/>
      <w:bookmarkStart w:id="35" w:name="_Toc177562903"/>
      <w:r w:rsidRPr="006B5229">
        <w:t>Comparative effectiveness</w:t>
      </w:r>
      <w:bookmarkEnd w:id="34"/>
      <w:bookmarkEnd w:id="35"/>
    </w:p>
    <w:p w14:paraId="7BE07F42" w14:textId="27A1ABBB" w:rsidR="00CE7338" w:rsidRPr="005E3251" w:rsidRDefault="00CE7338" w:rsidP="000777DE">
      <w:pPr>
        <w:pStyle w:val="3-BodyText"/>
      </w:pPr>
      <w:r w:rsidRPr="005E3251">
        <w:t xml:space="preserve">The primary outcome (percent change in monthly </w:t>
      </w:r>
      <w:r w:rsidR="00157D66" w:rsidRPr="005E3251">
        <w:t>CSF</w:t>
      </w:r>
      <w:r w:rsidRPr="005E3251">
        <w:t xml:space="preserve"> from baseline) in the fenfluramine trials is presented in </w:t>
      </w:r>
      <w:r w:rsidR="0034078A" w:rsidRPr="005E3251">
        <w:fldChar w:fldCharType="begin" w:fldLock="1"/>
      </w:r>
      <w:r w:rsidR="0034078A" w:rsidRPr="005E3251">
        <w:instrText xml:space="preserve"> REF _Ref174473161 \h </w:instrText>
      </w:r>
      <w:r w:rsidR="005E3251" w:rsidRPr="005E3251">
        <w:instrText xml:space="preserve"> \* MERGEFORMAT </w:instrText>
      </w:r>
      <w:r w:rsidR="0034078A" w:rsidRPr="005E3251">
        <w:fldChar w:fldCharType="separate"/>
      </w:r>
      <w:r w:rsidR="00D72887" w:rsidRPr="005E3251">
        <w:t xml:space="preserve">Table </w:t>
      </w:r>
      <w:r w:rsidR="00D72887">
        <w:rPr>
          <w:noProof/>
        </w:rPr>
        <w:t>4</w:t>
      </w:r>
      <w:r w:rsidR="0034078A" w:rsidRPr="005E3251">
        <w:fldChar w:fldCharType="end"/>
      </w:r>
      <w:r w:rsidR="0034078A" w:rsidRPr="005E3251">
        <w:t>.</w:t>
      </w:r>
    </w:p>
    <w:p w14:paraId="191E0EA7" w14:textId="7AE8DB32" w:rsidR="00CE7338" w:rsidRPr="005E3251" w:rsidRDefault="00CE7338" w:rsidP="008D55B4">
      <w:pPr>
        <w:pStyle w:val="TableFigureHeading"/>
      </w:pPr>
      <w:bookmarkStart w:id="36" w:name="_Ref174473161"/>
      <w:r w:rsidRPr="005E3251">
        <w:t xml:space="preserve">Table </w:t>
      </w:r>
      <w:r w:rsidR="00D72887">
        <w:fldChar w:fldCharType="begin" w:fldLock="1"/>
      </w:r>
      <w:r w:rsidR="00D72887">
        <w:instrText xml:space="preserve"> SEQ Table \* ARABIC </w:instrText>
      </w:r>
      <w:r w:rsidR="00D72887">
        <w:fldChar w:fldCharType="separate"/>
      </w:r>
      <w:r w:rsidR="00D72887">
        <w:rPr>
          <w:noProof/>
        </w:rPr>
        <w:t>4</w:t>
      </w:r>
      <w:r w:rsidR="00D72887">
        <w:rPr>
          <w:noProof/>
        </w:rPr>
        <w:fldChar w:fldCharType="end"/>
      </w:r>
      <w:bookmarkEnd w:id="36"/>
      <w:r w:rsidRPr="005E3251">
        <w:t xml:space="preserve">: Change in 28-day </w:t>
      </w:r>
      <w:r w:rsidR="00157D66" w:rsidRPr="005E3251">
        <w:t>CSF</w:t>
      </w:r>
      <w:r w:rsidRPr="005E3251">
        <w:t xml:space="preserve"> from baseline across the fenfluramine trials: continuous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3"/>
        <w:gridCol w:w="1273"/>
        <w:gridCol w:w="1136"/>
        <w:gridCol w:w="1133"/>
        <w:gridCol w:w="1134"/>
        <w:gridCol w:w="1134"/>
        <w:gridCol w:w="1084"/>
      </w:tblGrid>
      <w:tr w:rsidR="00EA791D" w:rsidRPr="005E3251" w14:paraId="0C18FE49" w14:textId="77777777" w:rsidTr="006C59A8">
        <w:tc>
          <w:tcPr>
            <w:tcW w:w="1177" w:type="pct"/>
          </w:tcPr>
          <w:p w14:paraId="0973B471" w14:textId="77777777" w:rsidR="00EA791D" w:rsidRPr="000777DE" w:rsidRDefault="00EA791D" w:rsidP="005C064C">
            <w:pPr>
              <w:pStyle w:val="TableText0"/>
              <w:widowControl w:val="0"/>
              <w:rPr>
                <w:b/>
                <w:bCs w:val="0"/>
                <w:szCs w:val="20"/>
              </w:rPr>
            </w:pPr>
            <w:r w:rsidRPr="000777DE">
              <w:rPr>
                <w:b/>
                <w:bCs w:val="0"/>
                <w:szCs w:val="20"/>
              </w:rPr>
              <w:t>Trial ID</w:t>
            </w:r>
          </w:p>
        </w:tc>
        <w:tc>
          <w:tcPr>
            <w:tcW w:w="1336" w:type="pct"/>
            <w:gridSpan w:val="2"/>
            <w:vAlign w:val="center"/>
          </w:tcPr>
          <w:p w14:paraId="16FCA14A" w14:textId="68C22D20" w:rsidR="00EA791D" w:rsidRPr="000777DE" w:rsidRDefault="00EA791D" w:rsidP="00452073">
            <w:pPr>
              <w:pStyle w:val="TableText0"/>
              <w:widowControl w:val="0"/>
              <w:jc w:val="center"/>
              <w:rPr>
                <w:rFonts w:cs="Calibri"/>
                <w:b/>
                <w:bCs w:val="0"/>
                <w:szCs w:val="20"/>
              </w:rPr>
            </w:pPr>
            <w:r w:rsidRPr="000777DE">
              <w:rPr>
                <w:rFonts w:cs="Calibri"/>
                <w:b/>
                <w:bCs w:val="0"/>
                <w:szCs w:val="20"/>
              </w:rPr>
              <w:t>Study 1</w:t>
            </w:r>
          </w:p>
        </w:tc>
        <w:tc>
          <w:tcPr>
            <w:tcW w:w="1257" w:type="pct"/>
            <w:gridSpan w:val="2"/>
            <w:vAlign w:val="center"/>
          </w:tcPr>
          <w:p w14:paraId="03F4F96B" w14:textId="714A8287" w:rsidR="00EA791D" w:rsidRPr="000777DE" w:rsidRDefault="00EA791D" w:rsidP="00452073">
            <w:pPr>
              <w:pStyle w:val="TableText0"/>
              <w:widowControl w:val="0"/>
              <w:jc w:val="center"/>
              <w:rPr>
                <w:b/>
                <w:bCs w:val="0"/>
                <w:szCs w:val="20"/>
              </w:rPr>
            </w:pPr>
            <w:r w:rsidRPr="000777DE">
              <w:rPr>
                <w:rFonts w:cs="Calibri"/>
                <w:b/>
                <w:bCs w:val="0"/>
                <w:szCs w:val="20"/>
              </w:rPr>
              <w:t>Study 3</w:t>
            </w:r>
          </w:p>
        </w:tc>
        <w:tc>
          <w:tcPr>
            <w:tcW w:w="1230" w:type="pct"/>
            <w:gridSpan w:val="2"/>
            <w:vAlign w:val="center"/>
          </w:tcPr>
          <w:p w14:paraId="4CA25EBB" w14:textId="52FFE035" w:rsidR="00EA791D" w:rsidRPr="000777DE" w:rsidRDefault="00EA791D" w:rsidP="00452073">
            <w:pPr>
              <w:pStyle w:val="TableText0"/>
              <w:widowControl w:val="0"/>
              <w:jc w:val="center"/>
              <w:rPr>
                <w:b/>
                <w:bCs w:val="0"/>
                <w:szCs w:val="20"/>
              </w:rPr>
            </w:pPr>
            <w:r w:rsidRPr="000777DE">
              <w:rPr>
                <w:b/>
                <w:bCs w:val="0"/>
                <w:szCs w:val="20"/>
              </w:rPr>
              <w:t>Study 2</w:t>
            </w:r>
          </w:p>
        </w:tc>
      </w:tr>
      <w:tr w:rsidR="00F41B64" w:rsidRPr="005E3251" w14:paraId="2FD418E8" w14:textId="77777777" w:rsidTr="0087793A">
        <w:tc>
          <w:tcPr>
            <w:tcW w:w="1177" w:type="pct"/>
          </w:tcPr>
          <w:p w14:paraId="25F44E84" w14:textId="5B5A497E" w:rsidR="00EA791D" w:rsidRPr="000777DE" w:rsidRDefault="00091756" w:rsidP="00452073">
            <w:pPr>
              <w:pStyle w:val="TableText0"/>
              <w:widowControl w:val="0"/>
              <w:rPr>
                <w:b/>
                <w:bCs w:val="0"/>
                <w:szCs w:val="20"/>
              </w:rPr>
            </w:pPr>
            <w:r w:rsidRPr="000777DE">
              <w:rPr>
                <w:b/>
                <w:bCs w:val="0"/>
                <w:szCs w:val="20"/>
              </w:rPr>
              <w:t>Intervention and comparator</w:t>
            </w:r>
          </w:p>
        </w:tc>
        <w:tc>
          <w:tcPr>
            <w:tcW w:w="706" w:type="pct"/>
          </w:tcPr>
          <w:p w14:paraId="2874D614" w14:textId="77777777" w:rsidR="00EA791D" w:rsidRPr="000777DE" w:rsidRDefault="00EA791D" w:rsidP="00452073">
            <w:pPr>
              <w:pStyle w:val="TableText0"/>
              <w:widowControl w:val="0"/>
              <w:jc w:val="center"/>
              <w:rPr>
                <w:rFonts w:cs="Calibri"/>
                <w:b/>
                <w:bCs w:val="0"/>
                <w:szCs w:val="20"/>
              </w:rPr>
            </w:pPr>
            <w:r w:rsidRPr="000777DE">
              <w:rPr>
                <w:rFonts w:cs="Calibri"/>
                <w:b/>
                <w:bCs w:val="0"/>
                <w:szCs w:val="20"/>
              </w:rPr>
              <w:t xml:space="preserve">FFA 0.7 mg/kg/day </w:t>
            </w:r>
            <w:r w:rsidRPr="000777DE">
              <w:rPr>
                <w:rFonts w:cs="Calibri"/>
                <w:b/>
                <w:bCs w:val="0"/>
                <w:szCs w:val="20"/>
              </w:rPr>
              <w:br/>
              <w:t>(-STP)</w:t>
            </w:r>
          </w:p>
        </w:tc>
        <w:tc>
          <w:tcPr>
            <w:tcW w:w="630" w:type="pct"/>
            <w:vAlign w:val="center"/>
          </w:tcPr>
          <w:p w14:paraId="2545729E" w14:textId="2965EE4A" w:rsidR="00EA791D" w:rsidRPr="000777DE" w:rsidRDefault="00EA791D" w:rsidP="00452073">
            <w:pPr>
              <w:pStyle w:val="TableText0"/>
              <w:widowControl w:val="0"/>
              <w:jc w:val="center"/>
              <w:rPr>
                <w:b/>
                <w:bCs w:val="0"/>
                <w:szCs w:val="20"/>
              </w:rPr>
            </w:pPr>
            <w:r w:rsidRPr="000777DE">
              <w:rPr>
                <w:rFonts w:cs="Calibri"/>
                <w:b/>
                <w:bCs w:val="0"/>
                <w:szCs w:val="20"/>
              </w:rPr>
              <w:t>PBO</w:t>
            </w:r>
            <w:r w:rsidR="00575255" w:rsidRPr="000777DE">
              <w:rPr>
                <w:rFonts w:cs="Calibri"/>
                <w:b/>
                <w:bCs w:val="0"/>
                <w:szCs w:val="20"/>
              </w:rPr>
              <w:t xml:space="preserve"> (-STP)</w:t>
            </w:r>
          </w:p>
        </w:tc>
        <w:tc>
          <w:tcPr>
            <w:tcW w:w="628" w:type="pct"/>
            <w:vAlign w:val="center"/>
          </w:tcPr>
          <w:p w14:paraId="744AD776" w14:textId="77777777" w:rsidR="00EA791D" w:rsidRPr="000777DE" w:rsidRDefault="00EA791D" w:rsidP="00452073">
            <w:pPr>
              <w:pStyle w:val="TableText0"/>
              <w:widowControl w:val="0"/>
              <w:jc w:val="center"/>
              <w:rPr>
                <w:rFonts w:cs="Calibri"/>
                <w:b/>
                <w:bCs w:val="0"/>
                <w:szCs w:val="20"/>
              </w:rPr>
            </w:pPr>
            <w:r w:rsidRPr="000777DE">
              <w:rPr>
                <w:b/>
                <w:bCs w:val="0"/>
                <w:szCs w:val="20"/>
              </w:rPr>
              <w:t xml:space="preserve">FFA 0.7 mg/kg/day </w:t>
            </w:r>
            <w:r w:rsidRPr="000777DE">
              <w:rPr>
                <w:b/>
                <w:bCs w:val="0"/>
                <w:szCs w:val="20"/>
              </w:rPr>
              <w:br/>
              <w:t>(-STP)</w:t>
            </w:r>
          </w:p>
        </w:tc>
        <w:tc>
          <w:tcPr>
            <w:tcW w:w="629" w:type="pct"/>
            <w:vAlign w:val="center"/>
          </w:tcPr>
          <w:p w14:paraId="7638AF51" w14:textId="15A2E1FC" w:rsidR="00EA791D" w:rsidRPr="000777DE" w:rsidRDefault="00EA791D" w:rsidP="00452073">
            <w:pPr>
              <w:pStyle w:val="In-tableHeading"/>
              <w:jc w:val="center"/>
              <w:rPr>
                <w:szCs w:val="20"/>
                <w:lang w:val="en-AU"/>
              </w:rPr>
            </w:pPr>
            <w:r w:rsidRPr="000777DE">
              <w:rPr>
                <w:rFonts w:cs="Calibri"/>
                <w:szCs w:val="20"/>
              </w:rPr>
              <w:t>PBO</w:t>
            </w:r>
            <w:r w:rsidR="00575255" w:rsidRPr="000777DE">
              <w:rPr>
                <w:rFonts w:cs="Calibri"/>
                <w:szCs w:val="20"/>
              </w:rPr>
              <w:t xml:space="preserve"> (-STP)</w:t>
            </w:r>
          </w:p>
        </w:tc>
        <w:tc>
          <w:tcPr>
            <w:tcW w:w="629" w:type="pct"/>
            <w:vAlign w:val="center"/>
          </w:tcPr>
          <w:p w14:paraId="77AAB487" w14:textId="6CD63890" w:rsidR="00EA791D" w:rsidRPr="000777DE" w:rsidRDefault="00EA791D" w:rsidP="00452073">
            <w:pPr>
              <w:pStyle w:val="In-tableHeading"/>
              <w:jc w:val="center"/>
              <w:rPr>
                <w:szCs w:val="20"/>
                <w:lang w:val="en-AU"/>
              </w:rPr>
            </w:pPr>
            <w:r w:rsidRPr="000777DE">
              <w:rPr>
                <w:szCs w:val="20"/>
                <w:lang w:val="en-AU"/>
              </w:rPr>
              <w:t>FFA 0.4 mg/kg/day</w:t>
            </w:r>
          </w:p>
          <w:p w14:paraId="6ADC93DB" w14:textId="77777777" w:rsidR="00EA791D" w:rsidRPr="000777DE" w:rsidRDefault="00EA791D" w:rsidP="00452073">
            <w:pPr>
              <w:pStyle w:val="TableText0"/>
              <w:widowControl w:val="0"/>
              <w:jc w:val="center"/>
              <w:rPr>
                <w:b/>
                <w:bCs w:val="0"/>
                <w:szCs w:val="20"/>
              </w:rPr>
            </w:pPr>
            <w:r w:rsidRPr="000777DE">
              <w:rPr>
                <w:b/>
                <w:bCs w:val="0"/>
                <w:szCs w:val="20"/>
              </w:rPr>
              <w:t>(+ STP)</w:t>
            </w:r>
          </w:p>
        </w:tc>
        <w:tc>
          <w:tcPr>
            <w:tcW w:w="601" w:type="pct"/>
            <w:vAlign w:val="center"/>
          </w:tcPr>
          <w:p w14:paraId="2B21194B" w14:textId="2F1F2E3E" w:rsidR="00EA791D" w:rsidRPr="000777DE" w:rsidRDefault="00EA791D" w:rsidP="00452073">
            <w:pPr>
              <w:pStyle w:val="TableText0"/>
              <w:widowControl w:val="0"/>
              <w:jc w:val="center"/>
              <w:rPr>
                <w:b/>
                <w:bCs w:val="0"/>
                <w:szCs w:val="20"/>
              </w:rPr>
            </w:pPr>
            <w:r w:rsidRPr="000777DE">
              <w:rPr>
                <w:rFonts w:cs="Calibri"/>
                <w:b/>
                <w:bCs w:val="0"/>
                <w:szCs w:val="20"/>
              </w:rPr>
              <w:t>PBO</w:t>
            </w:r>
            <w:r w:rsidR="00575255" w:rsidRPr="000777DE">
              <w:rPr>
                <w:rFonts w:cs="Calibri"/>
                <w:b/>
                <w:bCs w:val="0"/>
                <w:szCs w:val="20"/>
              </w:rPr>
              <w:t xml:space="preserve"> (+STP)</w:t>
            </w:r>
          </w:p>
        </w:tc>
      </w:tr>
      <w:tr w:rsidR="00091756" w:rsidRPr="005E3251" w14:paraId="3AE2D66F" w14:textId="77777777" w:rsidTr="0087793A">
        <w:tblPrEx>
          <w:tblCellMar>
            <w:left w:w="28" w:type="dxa"/>
            <w:right w:w="28" w:type="dxa"/>
          </w:tblCellMar>
        </w:tblPrEx>
        <w:tc>
          <w:tcPr>
            <w:tcW w:w="1177" w:type="pct"/>
          </w:tcPr>
          <w:p w14:paraId="35DFDB89" w14:textId="77777777" w:rsidR="00EA791D" w:rsidRPr="000777DE" w:rsidRDefault="00EA791D" w:rsidP="00452073">
            <w:pPr>
              <w:pStyle w:val="TableText0"/>
              <w:widowControl w:val="0"/>
              <w:rPr>
                <w:szCs w:val="20"/>
              </w:rPr>
            </w:pPr>
            <w:r w:rsidRPr="000777DE">
              <w:rPr>
                <w:szCs w:val="20"/>
              </w:rPr>
              <w:t>Number of participants</w:t>
            </w:r>
          </w:p>
        </w:tc>
        <w:tc>
          <w:tcPr>
            <w:tcW w:w="706" w:type="pct"/>
            <w:vAlign w:val="center"/>
          </w:tcPr>
          <w:p w14:paraId="67F5E644" w14:textId="77777777" w:rsidR="00EA791D" w:rsidRPr="000777DE" w:rsidRDefault="00EA791D" w:rsidP="00EA791D">
            <w:pPr>
              <w:pStyle w:val="TableText0"/>
              <w:widowControl w:val="0"/>
              <w:jc w:val="center"/>
              <w:rPr>
                <w:rFonts w:cs="Calibri"/>
                <w:szCs w:val="20"/>
              </w:rPr>
            </w:pPr>
            <w:r w:rsidRPr="000777DE">
              <w:rPr>
                <w:rFonts w:cs="Calibri"/>
                <w:szCs w:val="20"/>
              </w:rPr>
              <w:t>N=40</w:t>
            </w:r>
          </w:p>
        </w:tc>
        <w:tc>
          <w:tcPr>
            <w:tcW w:w="630" w:type="pct"/>
            <w:vAlign w:val="center"/>
          </w:tcPr>
          <w:p w14:paraId="0F6087F5" w14:textId="5C13D3A0" w:rsidR="00EA791D" w:rsidRPr="000777DE" w:rsidRDefault="00EA791D" w:rsidP="00EA791D">
            <w:pPr>
              <w:pStyle w:val="TableText0"/>
              <w:widowControl w:val="0"/>
              <w:jc w:val="center"/>
              <w:rPr>
                <w:rFonts w:cs="Calibri"/>
                <w:szCs w:val="20"/>
              </w:rPr>
            </w:pPr>
            <w:r w:rsidRPr="000777DE">
              <w:rPr>
                <w:rFonts w:cs="Calibri"/>
                <w:szCs w:val="20"/>
              </w:rPr>
              <w:t>N=40</w:t>
            </w:r>
          </w:p>
        </w:tc>
        <w:tc>
          <w:tcPr>
            <w:tcW w:w="628" w:type="pct"/>
            <w:vAlign w:val="center"/>
          </w:tcPr>
          <w:p w14:paraId="5F8FB430" w14:textId="4CFC8AAA" w:rsidR="00EA791D" w:rsidRPr="000777DE" w:rsidRDefault="00EA791D" w:rsidP="00EA791D">
            <w:pPr>
              <w:pStyle w:val="TableText0"/>
              <w:widowControl w:val="0"/>
              <w:jc w:val="center"/>
              <w:rPr>
                <w:rFonts w:cs="Calibri"/>
                <w:szCs w:val="20"/>
              </w:rPr>
            </w:pPr>
            <w:r w:rsidRPr="000777DE">
              <w:rPr>
                <w:rFonts w:cs="Calibri"/>
                <w:szCs w:val="20"/>
              </w:rPr>
              <w:t>N=48</w:t>
            </w:r>
          </w:p>
        </w:tc>
        <w:tc>
          <w:tcPr>
            <w:tcW w:w="629" w:type="pct"/>
            <w:vAlign w:val="center"/>
          </w:tcPr>
          <w:p w14:paraId="64B5E62C" w14:textId="10CA91DB" w:rsidR="00EA791D" w:rsidRPr="000777DE" w:rsidRDefault="00EA791D" w:rsidP="00EA791D">
            <w:pPr>
              <w:pStyle w:val="TableText0"/>
              <w:widowControl w:val="0"/>
              <w:jc w:val="center"/>
              <w:rPr>
                <w:rFonts w:cs="Calibri"/>
                <w:szCs w:val="20"/>
              </w:rPr>
            </w:pPr>
            <w:r w:rsidRPr="000777DE">
              <w:rPr>
                <w:rFonts w:cs="Calibri"/>
                <w:szCs w:val="20"/>
              </w:rPr>
              <w:t>N=48</w:t>
            </w:r>
          </w:p>
        </w:tc>
        <w:tc>
          <w:tcPr>
            <w:tcW w:w="629" w:type="pct"/>
            <w:vAlign w:val="center"/>
          </w:tcPr>
          <w:p w14:paraId="62B86922" w14:textId="3E3218BC" w:rsidR="00EA791D" w:rsidRPr="000777DE" w:rsidRDefault="00EA791D" w:rsidP="00EA791D">
            <w:pPr>
              <w:pStyle w:val="TableText0"/>
              <w:widowControl w:val="0"/>
              <w:jc w:val="center"/>
              <w:rPr>
                <w:szCs w:val="20"/>
              </w:rPr>
            </w:pPr>
            <w:r w:rsidRPr="000777DE">
              <w:rPr>
                <w:rFonts w:cs="Calibri"/>
                <w:szCs w:val="20"/>
              </w:rPr>
              <w:t>N=43</w:t>
            </w:r>
          </w:p>
        </w:tc>
        <w:tc>
          <w:tcPr>
            <w:tcW w:w="601" w:type="pct"/>
            <w:vAlign w:val="center"/>
          </w:tcPr>
          <w:p w14:paraId="19E9D6D1" w14:textId="77777777" w:rsidR="00EA791D" w:rsidRPr="000777DE" w:rsidRDefault="00EA791D" w:rsidP="00EA791D">
            <w:pPr>
              <w:pStyle w:val="TableText0"/>
              <w:widowControl w:val="0"/>
              <w:jc w:val="center"/>
              <w:rPr>
                <w:szCs w:val="20"/>
              </w:rPr>
            </w:pPr>
            <w:r w:rsidRPr="000777DE">
              <w:rPr>
                <w:rFonts w:cs="Calibri"/>
                <w:szCs w:val="20"/>
              </w:rPr>
              <w:t>N=44</w:t>
            </w:r>
          </w:p>
        </w:tc>
      </w:tr>
      <w:tr w:rsidR="00091756" w:rsidRPr="005E3251" w14:paraId="577FE3B3" w14:textId="77777777" w:rsidTr="0087793A">
        <w:tc>
          <w:tcPr>
            <w:tcW w:w="1177" w:type="pct"/>
          </w:tcPr>
          <w:p w14:paraId="2B49373E" w14:textId="77777777" w:rsidR="00EA791D" w:rsidRPr="000777DE" w:rsidRDefault="00EA791D" w:rsidP="00452073">
            <w:pPr>
              <w:pStyle w:val="TableText0"/>
              <w:widowControl w:val="0"/>
              <w:rPr>
                <w:szCs w:val="20"/>
              </w:rPr>
            </w:pPr>
            <w:r w:rsidRPr="000777DE">
              <w:rPr>
                <w:rFonts w:cs="Calibri"/>
                <w:szCs w:val="20"/>
              </w:rPr>
              <w:t>Median (range) baseline</w:t>
            </w:r>
          </w:p>
        </w:tc>
        <w:tc>
          <w:tcPr>
            <w:tcW w:w="706" w:type="pct"/>
            <w:vAlign w:val="center"/>
          </w:tcPr>
          <w:p w14:paraId="32D913F9" w14:textId="77777777" w:rsidR="00EA791D" w:rsidRPr="000777DE" w:rsidRDefault="00EA791D" w:rsidP="00EA791D">
            <w:pPr>
              <w:pStyle w:val="TableText0"/>
              <w:widowControl w:val="0"/>
              <w:jc w:val="center"/>
              <w:rPr>
                <w:rFonts w:cs="Calibri"/>
                <w:szCs w:val="20"/>
              </w:rPr>
            </w:pPr>
            <w:r w:rsidRPr="000777DE">
              <w:rPr>
                <w:rFonts w:cs="Calibri"/>
                <w:szCs w:val="20"/>
              </w:rPr>
              <w:t>20.7</w:t>
            </w:r>
          </w:p>
          <w:p w14:paraId="4CE0181D" w14:textId="77777777" w:rsidR="00EA791D" w:rsidRPr="000777DE" w:rsidRDefault="00EA791D" w:rsidP="00EA791D">
            <w:pPr>
              <w:pStyle w:val="TableText0"/>
              <w:widowControl w:val="0"/>
              <w:jc w:val="center"/>
              <w:rPr>
                <w:rFonts w:cs="Calibri"/>
                <w:szCs w:val="20"/>
              </w:rPr>
            </w:pPr>
            <w:r w:rsidRPr="000777DE">
              <w:rPr>
                <w:rFonts w:cs="Calibri"/>
                <w:szCs w:val="20"/>
              </w:rPr>
              <w:t>(4.8, 124.0)</w:t>
            </w:r>
          </w:p>
        </w:tc>
        <w:tc>
          <w:tcPr>
            <w:tcW w:w="630" w:type="pct"/>
            <w:vAlign w:val="center"/>
          </w:tcPr>
          <w:p w14:paraId="7FAA988F" w14:textId="77777777" w:rsidR="00EA791D" w:rsidRPr="000777DE" w:rsidRDefault="00EA791D" w:rsidP="00EA791D">
            <w:pPr>
              <w:pStyle w:val="TableText0"/>
              <w:widowControl w:val="0"/>
              <w:jc w:val="center"/>
              <w:rPr>
                <w:rFonts w:cs="Calibri"/>
                <w:szCs w:val="20"/>
              </w:rPr>
            </w:pPr>
            <w:r w:rsidRPr="000777DE">
              <w:rPr>
                <w:rFonts w:cs="Calibri"/>
                <w:szCs w:val="20"/>
              </w:rPr>
              <w:t>27.3</w:t>
            </w:r>
          </w:p>
          <w:p w14:paraId="2CF2FD03" w14:textId="4EAB9451" w:rsidR="00EA791D" w:rsidRPr="000777DE" w:rsidRDefault="00EA791D" w:rsidP="00EA791D">
            <w:pPr>
              <w:pStyle w:val="TableText0"/>
              <w:widowControl w:val="0"/>
              <w:jc w:val="center"/>
              <w:rPr>
                <w:szCs w:val="20"/>
              </w:rPr>
            </w:pPr>
            <w:r w:rsidRPr="000777DE">
              <w:rPr>
                <w:rFonts w:cs="Calibri"/>
                <w:szCs w:val="20"/>
              </w:rPr>
              <w:t>(3.3, 147.3)</w:t>
            </w:r>
          </w:p>
        </w:tc>
        <w:tc>
          <w:tcPr>
            <w:tcW w:w="628" w:type="pct"/>
            <w:vAlign w:val="center"/>
          </w:tcPr>
          <w:p w14:paraId="4C09F683" w14:textId="4012D144" w:rsidR="00EA791D" w:rsidRPr="000777DE" w:rsidRDefault="00EA791D" w:rsidP="00EA791D">
            <w:pPr>
              <w:pStyle w:val="TableText0"/>
              <w:widowControl w:val="0"/>
              <w:jc w:val="center"/>
              <w:rPr>
                <w:szCs w:val="20"/>
              </w:rPr>
            </w:pPr>
            <w:r w:rsidRPr="000777DE">
              <w:rPr>
                <w:szCs w:val="20"/>
              </w:rPr>
              <w:t>13.0</w:t>
            </w:r>
          </w:p>
          <w:p w14:paraId="3542E199" w14:textId="77777777" w:rsidR="00EA791D" w:rsidRPr="000777DE" w:rsidRDefault="00EA791D" w:rsidP="00EA791D">
            <w:pPr>
              <w:pStyle w:val="TableText0"/>
              <w:widowControl w:val="0"/>
              <w:jc w:val="center"/>
              <w:rPr>
                <w:rFonts w:cs="Calibri"/>
                <w:szCs w:val="20"/>
              </w:rPr>
            </w:pPr>
            <w:r w:rsidRPr="000777DE">
              <w:rPr>
                <w:szCs w:val="20"/>
              </w:rPr>
              <w:t>(2.7, 2700.7)</w:t>
            </w:r>
          </w:p>
        </w:tc>
        <w:tc>
          <w:tcPr>
            <w:tcW w:w="629" w:type="pct"/>
            <w:vAlign w:val="center"/>
          </w:tcPr>
          <w:p w14:paraId="464A2945" w14:textId="77777777" w:rsidR="00EA791D" w:rsidRPr="000777DE" w:rsidRDefault="00EA791D" w:rsidP="00EA791D">
            <w:pPr>
              <w:pStyle w:val="TableText0"/>
              <w:widowControl w:val="0"/>
              <w:jc w:val="center"/>
              <w:rPr>
                <w:szCs w:val="20"/>
              </w:rPr>
            </w:pPr>
            <w:r w:rsidRPr="000777DE">
              <w:rPr>
                <w:szCs w:val="20"/>
              </w:rPr>
              <w:t>12.7</w:t>
            </w:r>
          </w:p>
          <w:p w14:paraId="2741B59E" w14:textId="261E0413" w:rsidR="00EA791D" w:rsidRPr="000777DE" w:rsidRDefault="00EA791D" w:rsidP="00EA791D">
            <w:pPr>
              <w:pStyle w:val="TableText0"/>
              <w:widowControl w:val="0"/>
              <w:jc w:val="center"/>
              <w:rPr>
                <w:szCs w:val="20"/>
              </w:rPr>
            </w:pPr>
            <w:r w:rsidRPr="000777DE">
              <w:rPr>
                <w:szCs w:val="20"/>
              </w:rPr>
              <w:t>(4.0, 229.3)</w:t>
            </w:r>
          </w:p>
        </w:tc>
        <w:tc>
          <w:tcPr>
            <w:tcW w:w="629" w:type="pct"/>
            <w:vAlign w:val="center"/>
          </w:tcPr>
          <w:p w14:paraId="4E3A84A4" w14:textId="2021642A" w:rsidR="00EA791D" w:rsidRPr="000777DE" w:rsidRDefault="00EA791D" w:rsidP="00EA791D">
            <w:pPr>
              <w:pStyle w:val="TableText0"/>
              <w:widowControl w:val="0"/>
              <w:jc w:val="center"/>
              <w:rPr>
                <w:szCs w:val="20"/>
              </w:rPr>
            </w:pPr>
            <w:r w:rsidRPr="000777DE">
              <w:rPr>
                <w:szCs w:val="20"/>
              </w:rPr>
              <w:t>14.0</w:t>
            </w:r>
          </w:p>
          <w:p w14:paraId="35FF74D3" w14:textId="77777777" w:rsidR="00EA791D" w:rsidRPr="000777DE" w:rsidRDefault="00EA791D" w:rsidP="00EA791D">
            <w:pPr>
              <w:pStyle w:val="TableText0"/>
              <w:widowControl w:val="0"/>
              <w:jc w:val="center"/>
              <w:rPr>
                <w:szCs w:val="20"/>
              </w:rPr>
            </w:pPr>
            <w:r w:rsidRPr="000777DE">
              <w:rPr>
                <w:szCs w:val="20"/>
              </w:rPr>
              <w:t>(2.7, 213.3)</w:t>
            </w:r>
          </w:p>
        </w:tc>
        <w:tc>
          <w:tcPr>
            <w:tcW w:w="601" w:type="pct"/>
            <w:vAlign w:val="center"/>
          </w:tcPr>
          <w:p w14:paraId="02F3DED8" w14:textId="77777777" w:rsidR="006C59A8" w:rsidRPr="000777DE" w:rsidRDefault="00EA791D" w:rsidP="00EA791D">
            <w:pPr>
              <w:pStyle w:val="TableText0"/>
              <w:widowControl w:val="0"/>
              <w:jc w:val="center"/>
              <w:rPr>
                <w:szCs w:val="20"/>
              </w:rPr>
            </w:pPr>
            <w:r w:rsidRPr="000777DE">
              <w:rPr>
                <w:szCs w:val="20"/>
              </w:rPr>
              <w:t>10.7</w:t>
            </w:r>
          </w:p>
          <w:p w14:paraId="078369D6" w14:textId="4B5E7D25" w:rsidR="00EA791D" w:rsidRPr="000777DE" w:rsidRDefault="00EA791D" w:rsidP="00EA791D">
            <w:pPr>
              <w:pStyle w:val="TableText0"/>
              <w:widowControl w:val="0"/>
              <w:jc w:val="center"/>
              <w:rPr>
                <w:szCs w:val="20"/>
              </w:rPr>
            </w:pPr>
            <w:r w:rsidRPr="000777DE">
              <w:rPr>
                <w:szCs w:val="20"/>
              </w:rPr>
              <w:t>(2.7, 162.7)</w:t>
            </w:r>
          </w:p>
        </w:tc>
      </w:tr>
      <w:tr w:rsidR="00091756" w:rsidRPr="005E3251" w14:paraId="7F6ED028" w14:textId="77777777" w:rsidTr="0087793A">
        <w:tc>
          <w:tcPr>
            <w:tcW w:w="1177" w:type="pct"/>
          </w:tcPr>
          <w:p w14:paraId="604F2344" w14:textId="0D9DA968" w:rsidR="00EA791D" w:rsidRPr="000777DE" w:rsidRDefault="00EA791D" w:rsidP="00452073">
            <w:pPr>
              <w:pStyle w:val="TableText0"/>
              <w:widowControl w:val="0"/>
              <w:rPr>
                <w:rFonts w:cs="Calibri"/>
                <w:szCs w:val="20"/>
              </w:rPr>
            </w:pPr>
            <w:r w:rsidRPr="000777DE">
              <w:rPr>
                <w:rFonts w:cs="Calibri"/>
                <w:szCs w:val="20"/>
              </w:rPr>
              <w:t>Median (range) at follow-up</w:t>
            </w:r>
            <w:r w:rsidR="00091756" w:rsidRPr="000777DE">
              <w:rPr>
                <w:rFonts w:cs="Calibri"/>
                <w:szCs w:val="20"/>
              </w:rPr>
              <w:t xml:space="preserve"> </w:t>
            </w:r>
            <w:r w:rsidRPr="000777DE">
              <w:rPr>
                <w:rFonts w:cs="Calibri"/>
                <w:szCs w:val="20"/>
                <w:vertAlign w:val="superscript"/>
              </w:rPr>
              <w:t>a</w:t>
            </w:r>
          </w:p>
        </w:tc>
        <w:tc>
          <w:tcPr>
            <w:tcW w:w="706" w:type="pct"/>
            <w:vAlign w:val="center"/>
          </w:tcPr>
          <w:p w14:paraId="5708CE5B" w14:textId="77777777" w:rsidR="00EA791D" w:rsidRPr="000777DE" w:rsidRDefault="00EA791D" w:rsidP="00EA791D">
            <w:pPr>
              <w:pStyle w:val="TableText0"/>
              <w:widowControl w:val="0"/>
              <w:jc w:val="center"/>
              <w:rPr>
                <w:szCs w:val="20"/>
              </w:rPr>
            </w:pPr>
            <w:r w:rsidRPr="000777DE">
              <w:rPr>
                <w:szCs w:val="20"/>
              </w:rPr>
              <w:t>4.7</w:t>
            </w:r>
            <w:r w:rsidRPr="000777DE" w:rsidDel="002C5053">
              <w:rPr>
                <w:szCs w:val="20"/>
              </w:rPr>
              <w:t xml:space="preserve"> </w:t>
            </w:r>
          </w:p>
          <w:p w14:paraId="07E14D0F" w14:textId="77777777" w:rsidR="00EA791D" w:rsidRPr="000777DE" w:rsidRDefault="00EA791D" w:rsidP="00EA791D">
            <w:pPr>
              <w:pStyle w:val="TableText0"/>
              <w:widowControl w:val="0"/>
              <w:jc w:val="center"/>
              <w:rPr>
                <w:szCs w:val="20"/>
              </w:rPr>
            </w:pPr>
            <w:r w:rsidRPr="000777DE">
              <w:rPr>
                <w:szCs w:val="20"/>
              </w:rPr>
              <w:t>(0.0, 169.9)</w:t>
            </w:r>
          </w:p>
        </w:tc>
        <w:tc>
          <w:tcPr>
            <w:tcW w:w="630" w:type="pct"/>
            <w:vAlign w:val="center"/>
          </w:tcPr>
          <w:p w14:paraId="2765D6B2" w14:textId="77777777" w:rsidR="00EA791D" w:rsidRPr="000777DE" w:rsidRDefault="00EA791D" w:rsidP="00EA791D">
            <w:pPr>
              <w:pStyle w:val="TableText0"/>
              <w:widowControl w:val="0"/>
              <w:jc w:val="center"/>
              <w:rPr>
                <w:szCs w:val="20"/>
              </w:rPr>
            </w:pPr>
            <w:r w:rsidRPr="000777DE">
              <w:rPr>
                <w:szCs w:val="20"/>
              </w:rPr>
              <w:t>22.0</w:t>
            </w:r>
          </w:p>
          <w:p w14:paraId="3706C994" w14:textId="08EA3A64" w:rsidR="00EA791D" w:rsidRPr="000777DE" w:rsidRDefault="00EA791D" w:rsidP="00EA791D">
            <w:pPr>
              <w:pStyle w:val="TableText0"/>
              <w:widowControl w:val="0"/>
              <w:jc w:val="center"/>
              <w:rPr>
                <w:szCs w:val="20"/>
              </w:rPr>
            </w:pPr>
            <w:r w:rsidRPr="000777DE">
              <w:rPr>
                <w:szCs w:val="20"/>
              </w:rPr>
              <w:t>(3.0, 164.0)</w:t>
            </w:r>
          </w:p>
        </w:tc>
        <w:tc>
          <w:tcPr>
            <w:tcW w:w="628" w:type="pct"/>
            <w:vAlign w:val="center"/>
          </w:tcPr>
          <w:p w14:paraId="6955DD50" w14:textId="04A4881F" w:rsidR="00EA791D" w:rsidRPr="000777DE" w:rsidRDefault="00EA791D" w:rsidP="00EA791D">
            <w:pPr>
              <w:pStyle w:val="TableText0"/>
              <w:widowControl w:val="0"/>
              <w:jc w:val="center"/>
              <w:rPr>
                <w:szCs w:val="20"/>
              </w:rPr>
            </w:pPr>
            <w:r w:rsidRPr="000777DE">
              <w:rPr>
                <w:szCs w:val="20"/>
              </w:rPr>
              <w:t>3.1</w:t>
            </w:r>
          </w:p>
          <w:p w14:paraId="1E182DFE" w14:textId="77777777" w:rsidR="00EA791D" w:rsidRPr="000777DE" w:rsidRDefault="00EA791D" w:rsidP="00EA791D">
            <w:pPr>
              <w:pStyle w:val="TableText0"/>
              <w:widowControl w:val="0"/>
              <w:jc w:val="center"/>
              <w:rPr>
                <w:szCs w:val="20"/>
              </w:rPr>
            </w:pPr>
            <w:r w:rsidRPr="000777DE">
              <w:rPr>
                <w:szCs w:val="20"/>
              </w:rPr>
              <w:t>(0, 3498.6)</w:t>
            </w:r>
          </w:p>
        </w:tc>
        <w:tc>
          <w:tcPr>
            <w:tcW w:w="629" w:type="pct"/>
            <w:vAlign w:val="center"/>
          </w:tcPr>
          <w:p w14:paraId="688F15BB" w14:textId="77777777" w:rsidR="00EA791D" w:rsidRPr="000777DE" w:rsidRDefault="00EA791D" w:rsidP="00EA791D">
            <w:pPr>
              <w:pStyle w:val="TableText0"/>
              <w:widowControl w:val="0"/>
              <w:jc w:val="center"/>
              <w:rPr>
                <w:szCs w:val="20"/>
              </w:rPr>
            </w:pPr>
            <w:r w:rsidRPr="000777DE">
              <w:rPr>
                <w:szCs w:val="20"/>
              </w:rPr>
              <w:t>12.0</w:t>
            </w:r>
          </w:p>
          <w:p w14:paraId="25FCD26A" w14:textId="5441960D" w:rsidR="00EA791D" w:rsidRPr="000777DE" w:rsidRDefault="00EA791D" w:rsidP="00EA791D">
            <w:pPr>
              <w:pStyle w:val="TableText0"/>
              <w:widowControl w:val="0"/>
              <w:jc w:val="center"/>
              <w:rPr>
                <w:szCs w:val="20"/>
              </w:rPr>
            </w:pPr>
            <w:r w:rsidRPr="000777DE">
              <w:rPr>
                <w:szCs w:val="20"/>
              </w:rPr>
              <w:t>(0.9, 137.8)</w:t>
            </w:r>
          </w:p>
        </w:tc>
        <w:tc>
          <w:tcPr>
            <w:tcW w:w="629" w:type="pct"/>
            <w:vAlign w:val="center"/>
          </w:tcPr>
          <w:p w14:paraId="723A4445" w14:textId="03F095BD" w:rsidR="00EA791D" w:rsidRPr="000777DE" w:rsidRDefault="00EA791D" w:rsidP="00EA791D">
            <w:pPr>
              <w:pStyle w:val="TableText0"/>
              <w:widowControl w:val="0"/>
              <w:jc w:val="center"/>
              <w:rPr>
                <w:szCs w:val="20"/>
              </w:rPr>
            </w:pPr>
            <w:r w:rsidRPr="000777DE">
              <w:rPr>
                <w:szCs w:val="20"/>
              </w:rPr>
              <w:t>5.2</w:t>
            </w:r>
          </w:p>
          <w:p w14:paraId="4059F2D8" w14:textId="77777777" w:rsidR="00EA791D" w:rsidRPr="000777DE" w:rsidRDefault="00EA791D" w:rsidP="00EA791D">
            <w:pPr>
              <w:pStyle w:val="TableText0"/>
              <w:widowControl w:val="0"/>
              <w:jc w:val="center"/>
              <w:rPr>
                <w:szCs w:val="20"/>
              </w:rPr>
            </w:pPr>
            <w:r w:rsidRPr="000777DE">
              <w:rPr>
                <w:szCs w:val="20"/>
              </w:rPr>
              <w:t>(0, 458.6)</w:t>
            </w:r>
          </w:p>
        </w:tc>
        <w:tc>
          <w:tcPr>
            <w:tcW w:w="601" w:type="pct"/>
            <w:vAlign w:val="center"/>
          </w:tcPr>
          <w:p w14:paraId="134CB3C2" w14:textId="77777777" w:rsidR="00EA791D" w:rsidRPr="000777DE" w:rsidRDefault="00EA791D" w:rsidP="00EA791D">
            <w:pPr>
              <w:pStyle w:val="TableText0"/>
              <w:widowControl w:val="0"/>
              <w:jc w:val="center"/>
              <w:rPr>
                <w:szCs w:val="20"/>
              </w:rPr>
            </w:pPr>
            <w:r w:rsidRPr="000777DE">
              <w:rPr>
                <w:szCs w:val="20"/>
              </w:rPr>
              <w:t>11.4</w:t>
            </w:r>
          </w:p>
          <w:p w14:paraId="0098C29E" w14:textId="77777777" w:rsidR="00EA791D" w:rsidRPr="000777DE" w:rsidRDefault="00EA791D" w:rsidP="00056C5B">
            <w:pPr>
              <w:pStyle w:val="TableText0"/>
              <w:widowControl w:val="0"/>
              <w:ind w:hanging="57"/>
              <w:jc w:val="center"/>
              <w:rPr>
                <w:rFonts w:cs="Calibri"/>
                <w:szCs w:val="20"/>
              </w:rPr>
            </w:pPr>
            <w:r w:rsidRPr="000777DE">
              <w:rPr>
                <w:szCs w:val="20"/>
              </w:rPr>
              <w:t>(2.2, 170.1)</w:t>
            </w:r>
          </w:p>
        </w:tc>
      </w:tr>
      <w:tr w:rsidR="00091756" w:rsidRPr="005E3251" w14:paraId="541E8A29" w14:textId="77777777" w:rsidTr="0087793A">
        <w:tc>
          <w:tcPr>
            <w:tcW w:w="1177" w:type="pct"/>
          </w:tcPr>
          <w:p w14:paraId="5934878A" w14:textId="77777777" w:rsidR="00EA791D" w:rsidRPr="000777DE" w:rsidRDefault="00EA791D" w:rsidP="00452073">
            <w:pPr>
              <w:pStyle w:val="TableText0"/>
              <w:widowControl w:val="0"/>
              <w:rPr>
                <w:szCs w:val="20"/>
              </w:rPr>
            </w:pPr>
            <w:r w:rsidRPr="000777DE">
              <w:rPr>
                <w:rFonts w:cs="Calibri"/>
                <w:szCs w:val="20"/>
              </w:rPr>
              <w:t>Median % change from baseline, p-value vs. placebo</w:t>
            </w:r>
          </w:p>
        </w:tc>
        <w:tc>
          <w:tcPr>
            <w:tcW w:w="706" w:type="pct"/>
            <w:vAlign w:val="center"/>
          </w:tcPr>
          <w:p w14:paraId="4F40ABFF" w14:textId="77777777" w:rsidR="00EA791D" w:rsidRPr="000777DE" w:rsidRDefault="00EA791D" w:rsidP="00EA791D">
            <w:pPr>
              <w:pStyle w:val="TableText0"/>
              <w:widowControl w:val="0"/>
              <w:jc w:val="center"/>
              <w:rPr>
                <w:rFonts w:cs="Calibri"/>
                <w:b/>
                <w:bCs w:val="0"/>
                <w:szCs w:val="20"/>
              </w:rPr>
            </w:pPr>
            <w:r w:rsidRPr="000777DE">
              <w:rPr>
                <w:rFonts w:cs="Calibri"/>
                <w:b/>
                <w:bCs w:val="0"/>
                <w:szCs w:val="20"/>
              </w:rPr>
              <w:t>-74.9,</w:t>
            </w:r>
          </w:p>
          <w:p w14:paraId="7F1340EE" w14:textId="77777777" w:rsidR="00EA791D" w:rsidRPr="000777DE" w:rsidRDefault="00EA791D" w:rsidP="00EA791D">
            <w:pPr>
              <w:pStyle w:val="TableText0"/>
              <w:widowControl w:val="0"/>
              <w:jc w:val="center"/>
              <w:rPr>
                <w:rFonts w:cs="Calibri"/>
                <w:b/>
                <w:bCs w:val="0"/>
                <w:szCs w:val="20"/>
              </w:rPr>
            </w:pPr>
            <w:r w:rsidRPr="000777DE">
              <w:rPr>
                <w:rFonts w:cs="Calibri"/>
                <w:b/>
                <w:bCs w:val="0"/>
                <w:szCs w:val="20"/>
              </w:rPr>
              <w:t>&lt;0.0001</w:t>
            </w:r>
          </w:p>
        </w:tc>
        <w:tc>
          <w:tcPr>
            <w:tcW w:w="630" w:type="pct"/>
            <w:vAlign w:val="center"/>
          </w:tcPr>
          <w:p w14:paraId="00A6F98B" w14:textId="1CCECBFF" w:rsidR="00EA791D" w:rsidRPr="000777DE" w:rsidRDefault="00EA791D" w:rsidP="00EA791D">
            <w:pPr>
              <w:pStyle w:val="TableText0"/>
              <w:widowControl w:val="0"/>
              <w:jc w:val="center"/>
              <w:rPr>
                <w:b/>
                <w:bCs w:val="0"/>
                <w:szCs w:val="20"/>
              </w:rPr>
            </w:pPr>
            <w:r w:rsidRPr="000777DE">
              <w:rPr>
                <w:szCs w:val="20"/>
              </w:rPr>
              <w:t>-19.2</w:t>
            </w:r>
          </w:p>
        </w:tc>
        <w:tc>
          <w:tcPr>
            <w:tcW w:w="628" w:type="pct"/>
            <w:vAlign w:val="center"/>
          </w:tcPr>
          <w:p w14:paraId="20AEEEDD" w14:textId="6CD69F37" w:rsidR="00EA791D" w:rsidRPr="000777DE" w:rsidRDefault="00EA791D" w:rsidP="00EA791D">
            <w:pPr>
              <w:pStyle w:val="TableText0"/>
              <w:widowControl w:val="0"/>
              <w:jc w:val="center"/>
              <w:rPr>
                <w:b/>
                <w:bCs w:val="0"/>
                <w:szCs w:val="20"/>
              </w:rPr>
            </w:pPr>
            <w:r w:rsidRPr="000777DE">
              <w:rPr>
                <w:b/>
                <w:bCs w:val="0"/>
                <w:szCs w:val="20"/>
              </w:rPr>
              <w:t>-73.7,</w:t>
            </w:r>
          </w:p>
          <w:p w14:paraId="720E4642" w14:textId="77777777" w:rsidR="00EA791D" w:rsidRPr="000777DE" w:rsidRDefault="00EA791D" w:rsidP="00EA791D">
            <w:pPr>
              <w:pStyle w:val="TableText0"/>
              <w:widowControl w:val="0"/>
              <w:jc w:val="center"/>
              <w:rPr>
                <w:rFonts w:cs="Calibri"/>
                <w:b/>
                <w:bCs w:val="0"/>
                <w:szCs w:val="20"/>
              </w:rPr>
            </w:pPr>
            <w:r w:rsidRPr="000777DE">
              <w:rPr>
                <w:b/>
                <w:bCs w:val="0"/>
                <w:szCs w:val="20"/>
              </w:rPr>
              <w:t>&lt;0.0001</w:t>
            </w:r>
          </w:p>
        </w:tc>
        <w:tc>
          <w:tcPr>
            <w:tcW w:w="629" w:type="pct"/>
            <w:vAlign w:val="center"/>
          </w:tcPr>
          <w:p w14:paraId="06BBD06E" w14:textId="732658DF" w:rsidR="00EA791D" w:rsidRPr="000777DE" w:rsidRDefault="00EA791D" w:rsidP="00EA791D">
            <w:pPr>
              <w:pStyle w:val="TableText0"/>
              <w:widowControl w:val="0"/>
              <w:jc w:val="center"/>
              <w:rPr>
                <w:b/>
                <w:bCs w:val="0"/>
                <w:szCs w:val="20"/>
              </w:rPr>
            </w:pPr>
            <w:r w:rsidRPr="000777DE">
              <w:rPr>
                <w:szCs w:val="20"/>
              </w:rPr>
              <w:t>-7.6</w:t>
            </w:r>
          </w:p>
        </w:tc>
        <w:tc>
          <w:tcPr>
            <w:tcW w:w="629" w:type="pct"/>
            <w:vAlign w:val="center"/>
          </w:tcPr>
          <w:p w14:paraId="196CFED0" w14:textId="4266FFD7" w:rsidR="00EA791D" w:rsidRPr="000777DE" w:rsidRDefault="00EA791D" w:rsidP="00EA791D">
            <w:pPr>
              <w:pStyle w:val="TableText0"/>
              <w:widowControl w:val="0"/>
              <w:jc w:val="center"/>
              <w:rPr>
                <w:b/>
                <w:bCs w:val="0"/>
                <w:szCs w:val="20"/>
              </w:rPr>
            </w:pPr>
            <w:r w:rsidRPr="000777DE">
              <w:rPr>
                <w:b/>
                <w:bCs w:val="0"/>
                <w:szCs w:val="20"/>
              </w:rPr>
              <w:t>-63.1,</w:t>
            </w:r>
          </w:p>
          <w:p w14:paraId="057825F1" w14:textId="77777777" w:rsidR="00EA791D" w:rsidRPr="000777DE" w:rsidRDefault="00EA791D" w:rsidP="00EA791D">
            <w:pPr>
              <w:pStyle w:val="TableText0"/>
              <w:widowControl w:val="0"/>
              <w:jc w:val="center"/>
              <w:rPr>
                <w:szCs w:val="20"/>
              </w:rPr>
            </w:pPr>
            <w:r w:rsidRPr="000777DE">
              <w:rPr>
                <w:b/>
                <w:bCs w:val="0"/>
                <w:szCs w:val="20"/>
              </w:rPr>
              <w:t>&lt;0.001</w:t>
            </w:r>
          </w:p>
        </w:tc>
        <w:tc>
          <w:tcPr>
            <w:tcW w:w="601" w:type="pct"/>
            <w:vAlign w:val="center"/>
          </w:tcPr>
          <w:p w14:paraId="7547874D" w14:textId="77777777" w:rsidR="00EA791D" w:rsidRPr="000777DE" w:rsidRDefault="00EA791D" w:rsidP="00EA791D">
            <w:pPr>
              <w:pStyle w:val="TableText0"/>
              <w:widowControl w:val="0"/>
              <w:jc w:val="center"/>
              <w:rPr>
                <w:szCs w:val="20"/>
              </w:rPr>
            </w:pPr>
            <w:r w:rsidRPr="000777DE">
              <w:rPr>
                <w:rFonts w:cs="Calibri"/>
                <w:szCs w:val="20"/>
              </w:rPr>
              <w:t>-1.1</w:t>
            </w:r>
          </w:p>
        </w:tc>
      </w:tr>
      <w:tr w:rsidR="00091756" w:rsidRPr="005E3251" w14:paraId="314F82AC" w14:textId="77777777" w:rsidTr="0087793A">
        <w:trPr>
          <w:trHeight w:val="653"/>
        </w:trPr>
        <w:tc>
          <w:tcPr>
            <w:tcW w:w="1177" w:type="pct"/>
          </w:tcPr>
          <w:p w14:paraId="32A72408" w14:textId="77777777" w:rsidR="00EA791D" w:rsidRPr="000777DE" w:rsidRDefault="00EA791D" w:rsidP="00452073">
            <w:pPr>
              <w:pStyle w:val="TableText0"/>
              <w:widowControl w:val="0"/>
              <w:rPr>
                <w:szCs w:val="20"/>
              </w:rPr>
            </w:pPr>
            <w:r w:rsidRPr="000777DE">
              <w:rPr>
                <w:szCs w:val="20"/>
              </w:rPr>
              <w:t>LS mean difference from placebo, % (95% CI), p-value vs. placebo [ANCOVA]</w:t>
            </w:r>
          </w:p>
        </w:tc>
        <w:tc>
          <w:tcPr>
            <w:tcW w:w="706" w:type="pct"/>
            <w:vAlign w:val="center"/>
          </w:tcPr>
          <w:p w14:paraId="511E1847" w14:textId="77777777" w:rsidR="00EA791D" w:rsidRPr="000777DE" w:rsidRDefault="00EA791D" w:rsidP="00EA791D">
            <w:pPr>
              <w:pStyle w:val="TableText0"/>
              <w:widowControl w:val="0"/>
              <w:jc w:val="center"/>
              <w:rPr>
                <w:rFonts w:cs="Calibri"/>
                <w:b/>
                <w:bCs w:val="0"/>
                <w:szCs w:val="20"/>
              </w:rPr>
            </w:pPr>
            <w:r w:rsidRPr="000777DE">
              <w:rPr>
                <w:rFonts w:cs="Calibri"/>
                <w:b/>
                <w:bCs w:val="0"/>
                <w:szCs w:val="20"/>
              </w:rPr>
              <w:t>-62.3</w:t>
            </w:r>
          </w:p>
          <w:p w14:paraId="0A963FAD" w14:textId="5C456A4A" w:rsidR="00EA791D" w:rsidRPr="000777DE" w:rsidRDefault="00EA791D" w:rsidP="00EA791D">
            <w:pPr>
              <w:pStyle w:val="TableText0"/>
              <w:widowControl w:val="0"/>
              <w:jc w:val="center"/>
              <w:rPr>
                <w:rFonts w:cs="Calibri"/>
                <w:b/>
                <w:bCs w:val="0"/>
                <w:szCs w:val="20"/>
              </w:rPr>
            </w:pPr>
            <w:r w:rsidRPr="000777DE">
              <w:rPr>
                <w:rFonts w:cs="Calibri"/>
                <w:b/>
                <w:bCs w:val="0"/>
                <w:szCs w:val="20"/>
              </w:rPr>
              <w:t>(</w:t>
            </w:r>
            <w:r w:rsidRPr="000777DE">
              <w:rPr>
                <w:rFonts w:cs="Calibri"/>
                <w:b/>
                <w:bCs w:val="0"/>
                <w:szCs w:val="20"/>
              </w:rPr>
              <w:noBreakHyphen/>
              <w:t xml:space="preserve">72.8, </w:t>
            </w:r>
            <w:r w:rsidRPr="000777DE">
              <w:rPr>
                <w:rFonts w:cs="Calibri"/>
                <w:b/>
                <w:bCs w:val="0"/>
                <w:szCs w:val="20"/>
              </w:rPr>
              <w:noBreakHyphen/>
              <w:t>47.7), &lt;0.001</w:t>
            </w:r>
          </w:p>
        </w:tc>
        <w:tc>
          <w:tcPr>
            <w:tcW w:w="630" w:type="pct"/>
            <w:vAlign w:val="center"/>
          </w:tcPr>
          <w:p w14:paraId="6075EBC9" w14:textId="4474BBEB" w:rsidR="00EA791D" w:rsidRPr="000777DE" w:rsidRDefault="00EA791D" w:rsidP="00EA791D">
            <w:pPr>
              <w:pStyle w:val="TableText0"/>
              <w:widowControl w:val="0"/>
              <w:jc w:val="center"/>
              <w:rPr>
                <w:b/>
                <w:bCs w:val="0"/>
                <w:szCs w:val="20"/>
              </w:rPr>
            </w:pPr>
            <w:r w:rsidRPr="000777DE">
              <w:rPr>
                <w:szCs w:val="20"/>
              </w:rPr>
              <w:t>-</w:t>
            </w:r>
          </w:p>
        </w:tc>
        <w:tc>
          <w:tcPr>
            <w:tcW w:w="628" w:type="pct"/>
            <w:vAlign w:val="center"/>
          </w:tcPr>
          <w:p w14:paraId="41158832" w14:textId="1DF87A3B" w:rsidR="00EA791D" w:rsidRPr="000777DE" w:rsidRDefault="00EA791D" w:rsidP="00EA791D">
            <w:pPr>
              <w:pStyle w:val="TableText0"/>
              <w:widowControl w:val="0"/>
              <w:jc w:val="center"/>
              <w:rPr>
                <w:b/>
                <w:bCs w:val="0"/>
                <w:szCs w:val="20"/>
              </w:rPr>
            </w:pPr>
            <w:r w:rsidRPr="000777DE">
              <w:rPr>
                <w:b/>
                <w:bCs w:val="0"/>
                <w:szCs w:val="20"/>
              </w:rPr>
              <w:t>-64.8</w:t>
            </w:r>
          </w:p>
          <w:p w14:paraId="7216B06A" w14:textId="00157221" w:rsidR="00EA791D" w:rsidRPr="000777DE" w:rsidRDefault="00EA791D" w:rsidP="00EA791D">
            <w:pPr>
              <w:pStyle w:val="TableText0"/>
              <w:widowControl w:val="0"/>
              <w:jc w:val="center"/>
              <w:rPr>
                <w:rFonts w:cs="Calibri"/>
                <w:b/>
                <w:bCs w:val="0"/>
                <w:szCs w:val="20"/>
              </w:rPr>
            </w:pPr>
            <w:r w:rsidRPr="000777DE">
              <w:rPr>
                <w:b/>
                <w:bCs w:val="0"/>
                <w:szCs w:val="20"/>
              </w:rPr>
              <w:t>(</w:t>
            </w:r>
            <w:r w:rsidRPr="000777DE">
              <w:rPr>
                <w:szCs w:val="20"/>
              </w:rPr>
              <w:noBreakHyphen/>
            </w:r>
            <w:r w:rsidRPr="000777DE">
              <w:rPr>
                <w:b/>
                <w:bCs w:val="0"/>
                <w:szCs w:val="20"/>
              </w:rPr>
              <w:t xml:space="preserve">74.2, </w:t>
            </w:r>
            <w:r w:rsidRPr="000777DE">
              <w:rPr>
                <w:b/>
                <w:bCs w:val="0"/>
                <w:szCs w:val="20"/>
              </w:rPr>
              <w:noBreakHyphen/>
              <w:t>51.9), &lt;0.0001</w:t>
            </w:r>
          </w:p>
        </w:tc>
        <w:tc>
          <w:tcPr>
            <w:tcW w:w="629" w:type="pct"/>
            <w:vAlign w:val="center"/>
          </w:tcPr>
          <w:p w14:paraId="2D458AAC" w14:textId="212C4F49" w:rsidR="00EA791D" w:rsidRPr="000777DE" w:rsidRDefault="00EA791D" w:rsidP="00EA791D">
            <w:pPr>
              <w:pStyle w:val="TableText0"/>
              <w:widowControl w:val="0"/>
              <w:jc w:val="center"/>
              <w:rPr>
                <w:b/>
                <w:bCs w:val="0"/>
                <w:szCs w:val="20"/>
              </w:rPr>
            </w:pPr>
            <w:r w:rsidRPr="000777DE">
              <w:rPr>
                <w:szCs w:val="20"/>
              </w:rPr>
              <w:t>-</w:t>
            </w:r>
          </w:p>
        </w:tc>
        <w:tc>
          <w:tcPr>
            <w:tcW w:w="629" w:type="pct"/>
            <w:vAlign w:val="center"/>
          </w:tcPr>
          <w:p w14:paraId="14E31FD7" w14:textId="323EAC91" w:rsidR="00EA791D" w:rsidRPr="000777DE" w:rsidRDefault="00EA791D" w:rsidP="00EA791D">
            <w:pPr>
              <w:pStyle w:val="TableText0"/>
              <w:widowControl w:val="0"/>
              <w:jc w:val="center"/>
              <w:rPr>
                <w:b/>
                <w:bCs w:val="0"/>
                <w:szCs w:val="20"/>
              </w:rPr>
            </w:pPr>
            <w:r w:rsidRPr="000777DE">
              <w:rPr>
                <w:b/>
                <w:bCs w:val="0"/>
                <w:szCs w:val="20"/>
              </w:rPr>
              <w:t>-54.0</w:t>
            </w:r>
          </w:p>
          <w:p w14:paraId="684936F9" w14:textId="23A97CE4" w:rsidR="00EA791D" w:rsidRPr="000777DE" w:rsidRDefault="00EA791D" w:rsidP="00EA791D">
            <w:pPr>
              <w:pStyle w:val="TableText0"/>
              <w:widowControl w:val="0"/>
              <w:jc w:val="center"/>
              <w:rPr>
                <w:szCs w:val="20"/>
              </w:rPr>
            </w:pPr>
            <w:r w:rsidRPr="000777DE">
              <w:rPr>
                <w:b/>
                <w:bCs w:val="0"/>
                <w:szCs w:val="20"/>
              </w:rPr>
              <w:t>(</w:t>
            </w:r>
            <w:r w:rsidRPr="000777DE">
              <w:rPr>
                <w:b/>
                <w:bCs w:val="0"/>
                <w:szCs w:val="20"/>
              </w:rPr>
              <w:noBreakHyphen/>
              <w:t xml:space="preserve">67.2, </w:t>
            </w:r>
            <w:r w:rsidRPr="000777DE">
              <w:rPr>
                <w:b/>
                <w:bCs w:val="0"/>
                <w:szCs w:val="20"/>
              </w:rPr>
              <w:noBreakHyphen/>
              <w:t>35.6), &lt;0.001</w:t>
            </w:r>
          </w:p>
        </w:tc>
        <w:tc>
          <w:tcPr>
            <w:tcW w:w="601" w:type="pct"/>
            <w:vAlign w:val="center"/>
          </w:tcPr>
          <w:p w14:paraId="5E31A338" w14:textId="77777777" w:rsidR="00EA791D" w:rsidRPr="000777DE" w:rsidRDefault="00EA791D" w:rsidP="00EA791D">
            <w:pPr>
              <w:pStyle w:val="TableText0"/>
              <w:widowControl w:val="0"/>
              <w:jc w:val="center"/>
              <w:rPr>
                <w:szCs w:val="20"/>
              </w:rPr>
            </w:pPr>
            <w:r w:rsidRPr="000777DE">
              <w:rPr>
                <w:szCs w:val="20"/>
              </w:rPr>
              <w:t>-</w:t>
            </w:r>
          </w:p>
        </w:tc>
      </w:tr>
      <w:tr w:rsidR="00091756" w:rsidRPr="005E3251" w14:paraId="3FFD1009" w14:textId="77777777" w:rsidTr="0087793A">
        <w:tc>
          <w:tcPr>
            <w:tcW w:w="1177" w:type="pct"/>
          </w:tcPr>
          <w:p w14:paraId="5254C677" w14:textId="77777777" w:rsidR="00EA791D" w:rsidRPr="000777DE" w:rsidRDefault="00EA791D" w:rsidP="00452073">
            <w:pPr>
              <w:pStyle w:val="TableText0"/>
              <w:widowControl w:val="0"/>
              <w:rPr>
                <w:szCs w:val="20"/>
              </w:rPr>
            </w:pPr>
            <w:r w:rsidRPr="000777DE">
              <w:rPr>
                <w:rFonts w:cs="Calibri"/>
                <w:szCs w:val="20"/>
              </w:rPr>
              <w:t>Ratio vs. placebo (95% CI)</w:t>
            </w:r>
          </w:p>
        </w:tc>
        <w:tc>
          <w:tcPr>
            <w:tcW w:w="706" w:type="pct"/>
            <w:vAlign w:val="center"/>
          </w:tcPr>
          <w:p w14:paraId="194EB619" w14:textId="77777777" w:rsidR="00EA791D" w:rsidRPr="000777DE" w:rsidRDefault="00EA791D" w:rsidP="00EA791D">
            <w:pPr>
              <w:pStyle w:val="TableText0"/>
              <w:widowControl w:val="0"/>
              <w:jc w:val="center"/>
              <w:rPr>
                <w:szCs w:val="20"/>
              </w:rPr>
            </w:pPr>
            <w:r w:rsidRPr="000777DE">
              <w:rPr>
                <w:szCs w:val="20"/>
              </w:rPr>
              <w:t>0.38</w:t>
            </w:r>
          </w:p>
          <w:p w14:paraId="7BACA203" w14:textId="77777777" w:rsidR="00EA791D" w:rsidRPr="000777DE" w:rsidRDefault="00EA791D" w:rsidP="00EA791D">
            <w:pPr>
              <w:pStyle w:val="TableText0"/>
              <w:widowControl w:val="0"/>
              <w:jc w:val="center"/>
              <w:rPr>
                <w:szCs w:val="20"/>
              </w:rPr>
            </w:pPr>
            <w:r w:rsidRPr="000777DE">
              <w:rPr>
                <w:szCs w:val="20"/>
              </w:rPr>
              <w:t>(0.27, 0.52)</w:t>
            </w:r>
          </w:p>
        </w:tc>
        <w:tc>
          <w:tcPr>
            <w:tcW w:w="630" w:type="pct"/>
            <w:vAlign w:val="center"/>
          </w:tcPr>
          <w:p w14:paraId="1727600C" w14:textId="4D5A0EBF" w:rsidR="00EA791D" w:rsidRPr="000777DE" w:rsidRDefault="00EA791D" w:rsidP="00EA791D">
            <w:pPr>
              <w:pStyle w:val="TableText0"/>
              <w:widowControl w:val="0"/>
              <w:jc w:val="center"/>
              <w:rPr>
                <w:szCs w:val="20"/>
              </w:rPr>
            </w:pPr>
            <w:r w:rsidRPr="000777DE">
              <w:rPr>
                <w:szCs w:val="20"/>
              </w:rPr>
              <w:t>-</w:t>
            </w:r>
          </w:p>
        </w:tc>
        <w:tc>
          <w:tcPr>
            <w:tcW w:w="628" w:type="pct"/>
            <w:vAlign w:val="center"/>
          </w:tcPr>
          <w:p w14:paraId="28D0517D" w14:textId="5A3750E6" w:rsidR="00EA791D" w:rsidRPr="000777DE" w:rsidRDefault="00EA791D" w:rsidP="00EA791D">
            <w:pPr>
              <w:pStyle w:val="TableText0"/>
              <w:widowControl w:val="0"/>
              <w:jc w:val="center"/>
              <w:rPr>
                <w:szCs w:val="20"/>
              </w:rPr>
            </w:pPr>
            <w:r w:rsidRPr="000777DE">
              <w:rPr>
                <w:szCs w:val="20"/>
              </w:rPr>
              <w:t>0.35</w:t>
            </w:r>
          </w:p>
          <w:p w14:paraId="5AD300C0" w14:textId="77777777" w:rsidR="00EA791D" w:rsidRPr="000777DE" w:rsidRDefault="00EA791D" w:rsidP="00EA791D">
            <w:pPr>
              <w:pStyle w:val="TableText0"/>
              <w:widowControl w:val="0"/>
              <w:jc w:val="center"/>
              <w:rPr>
                <w:szCs w:val="20"/>
              </w:rPr>
            </w:pPr>
            <w:r w:rsidRPr="000777DE">
              <w:rPr>
                <w:szCs w:val="20"/>
              </w:rPr>
              <w:t>(0.26, 0.48)</w:t>
            </w:r>
          </w:p>
        </w:tc>
        <w:tc>
          <w:tcPr>
            <w:tcW w:w="629" w:type="pct"/>
            <w:vAlign w:val="center"/>
          </w:tcPr>
          <w:p w14:paraId="40EE0058" w14:textId="3BEA6921" w:rsidR="00EA791D" w:rsidRPr="000777DE" w:rsidRDefault="00EA791D" w:rsidP="00EA791D">
            <w:pPr>
              <w:pStyle w:val="TableText0"/>
              <w:widowControl w:val="0"/>
              <w:jc w:val="center"/>
              <w:rPr>
                <w:szCs w:val="20"/>
              </w:rPr>
            </w:pPr>
            <w:r w:rsidRPr="000777DE">
              <w:rPr>
                <w:szCs w:val="20"/>
              </w:rPr>
              <w:t>-</w:t>
            </w:r>
          </w:p>
        </w:tc>
        <w:tc>
          <w:tcPr>
            <w:tcW w:w="629" w:type="pct"/>
            <w:vAlign w:val="center"/>
          </w:tcPr>
          <w:p w14:paraId="76253A03" w14:textId="6743F167" w:rsidR="00EA791D" w:rsidRPr="000777DE" w:rsidRDefault="00EA791D" w:rsidP="00EA791D">
            <w:pPr>
              <w:pStyle w:val="TableText0"/>
              <w:widowControl w:val="0"/>
              <w:jc w:val="center"/>
              <w:rPr>
                <w:szCs w:val="20"/>
              </w:rPr>
            </w:pPr>
            <w:r w:rsidRPr="000777DE">
              <w:rPr>
                <w:szCs w:val="20"/>
              </w:rPr>
              <w:t>0.46</w:t>
            </w:r>
          </w:p>
          <w:p w14:paraId="0D2F8D9D" w14:textId="77777777" w:rsidR="00EA791D" w:rsidRPr="000777DE" w:rsidRDefault="00EA791D" w:rsidP="00EA791D">
            <w:pPr>
              <w:pStyle w:val="TableText0"/>
              <w:widowControl w:val="0"/>
              <w:jc w:val="center"/>
              <w:rPr>
                <w:szCs w:val="20"/>
              </w:rPr>
            </w:pPr>
            <w:r w:rsidRPr="000777DE">
              <w:rPr>
                <w:szCs w:val="20"/>
              </w:rPr>
              <w:t>(0.33, 0.64)</w:t>
            </w:r>
          </w:p>
        </w:tc>
        <w:tc>
          <w:tcPr>
            <w:tcW w:w="601" w:type="pct"/>
            <w:vAlign w:val="center"/>
          </w:tcPr>
          <w:p w14:paraId="63B20880" w14:textId="77777777" w:rsidR="00EA791D" w:rsidRPr="000777DE" w:rsidRDefault="00EA791D" w:rsidP="00EA791D">
            <w:pPr>
              <w:pStyle w:val="TableText0"/>
              <w:widowControl w:val="0"/>
              <w:jc w:val="center"/>
              <w:rPr>
                <w:szCs w:val="20"/>
              </w:rPr>
            </w:pPr>
            <w:r w:rsidRPr="000777DE">
              <w:rPr>
                <w:szCs w:val="20"/>
              </w:rPr>
              <w:t>-</w:t>
            </w:r>
          </w:p>
        </w:tc>
      </w:tr>
      <w:tr w:rsidR="00091756" w:rsidRPr="005E3251" w14:paraId="4A8E4D88" w14:textId="77777777" w:rsidTr="0087793A">
        <w:trPr>
          <w:trHeight w:val="653"/>
        </w:trPr>
        <w:tc>
          <w:tcPr>
            <w:tcW w:w="1177" w:type="pct"/>
          </w:tcPr>
          <w:p w14:paraId="6A5D0235" w14:textId="6D76E994" w:rsidR="00EA791D" w:rsidRPr="000777DE" w:rsidRDefault="00EA791D" w:rsidP="00452073">
            <w:pPr>
              <w:pStyle w:val="TableText0"/>
              <w:widowControl w:val="0"/>
              <w:rPr>
                <w:szCs w:val="20"/>
              </w:rPr>
            </w:pPr>
            <w:r w:rsidRPr="000777DE">
              <w:rPr>
                <w:szCs w:val="20"/>
              </w:rPr>
              <w:t>LS mean difference from placebo, p-value vs. placebo [Rank ANCOVA]</w:t>
            </w:r>
            <w:r w:rsidR="00091756" w:rsidRPr="000777DE">
              <w:rPr>
                <w:szCs w:val="20"/>
              </w:rPr>
              <w:t xml:space="preserve"> </w:t>
            </w:r>
            <w:proofErr w:type="spellStart"/>
            <w:r w:rsidRPr="000777DE">
              <w:rPr>
                <w:szCs w:val="20"/>
                <w:vertAlign w:val="superscript"/>
              </w:rPr>
              <w:t>b,c,d</w:t>
            </w:r>
            <w:proofErr w:type="spellEnd"/>
          </w:p>
        </w:tc>
        <w:tc>
          <w:tcPr>
            <w:tcW w:w="706" w:type="pct"/>
            <w:vAlign w:val="center"/>
          </w:tcPr>
          <w:p w14:paraId="0D2A9C66" w14:textId="77777777" w:rsidR="00EA791D" w:rsidRPr="000777DE" w:rsidRDefault="00EA791D" w:rsidP="00EA791D">
            <w:pPr>
              <w:pStyle w:val="TableText0"/>
              <w:widowControl w:val="0"/>
              <w:jc w:val="center"/>
              <w:rPr>
                <w:b/>
                <w:bCs w:val="0"/>
                <w:szCs w:val="20"/>
              </w:rPr>
            </w:pPr>
            <w:r w:rsidRPr="000777DE">
              <w:rPr>
                <w:b/>
                <w:bCs w:val="0"/>
                <w:szCs w:val="20"/>
              </w:rPr>
              <w:t>&lt;0.001</w:t>
            </w:r>
          </w:p>
        </w:tc>
        <w:tc>
          <w:tcPr>
            <w:tcW w:w="630" w:type="pct"/>
            <w:vAlign w:val="center"/>
          </w:tcPr>
          <w:p w14:paraId="3F7B50AA" w14:textId="12F49034" w:rsidR="00EA791D" w:rsidRPr="000777DE" w:rsidRDefault="00EA791D" w:rsidP="00EA791D">
            <w:pPr>
              <w:pStyle w:val="TableText0"/>
              <w:widowControl w:val="0"/>
              <w:jc w:val="center"/>
              <w:rPr>
                <w:b/>
                <w:bCs w:val="0"/>
                <w:szCs w:val="20"/>
              </w:rPr>
            </w:pPr>
            <w:r w:rsidRPr="000777DE">
              <w:rPr>
                <w:szCs w:val="20"/>
              </w:rPr>
              <w:t>-</w:t>
            </w:r>
          </w:p>
        </w:tc>
        <w:tc>
          <w:tcPr>
            <w:tcW w:w="628" w:type="pct"/>
            <w:vAlign w:val="center"/>
          </w:tcPr>
          <w:p w14:paraId="36BEB32C" w14:textId="54EA66EC" w:rsidR="00EA791D" w:rsidRPr="000777DE" w:rsidRDefault="00EA791D" w:rsidP="00EA791D">
            <w:pPr>
              <w:pStyle w:val="TableText0"/>
              <w:widowControl w:val="0"/>
              <w:jc w:val="center"/>
              <w:rPr>
                <w:b/>
                <w:bCs w:val="0"/>
                <w:szCs w:val="20"/>
              </w:rPr>
            </w:pPr>
            <w:r w:rsidRPr="000777DE">
              <w:rPr>
                <w:b/>
                <w:bCs w:val="0"/>
                <w:szCs w:val="20"/>
              </w:rPr>
              <w:t>&lt;0.0001</w:t>
            </w:r>
          </w:p>
        </w:tc>
        <w:tc>
          <w:tcPr>
            <w:tcW w:w="629" w:type="pct"/>
            <w:vAlign w:val="center"/>
          </w:tcPr>
          <w:p w14:paraId="046EF822" w14:textId="2ACFE703" w:rsidR="00EA791D" w:rsidRPr="000777DE" w:rsidRDefault="00EA791D" w:rsidP="00EA791D">
            <w:pPr>
              <w:pStyle w:val="TableText0"/>
              <w:widowControl w:val="0"/>
              <w:jc w:val="center"/>
              <w:rPr>
                <w:b/>
                <w:bCs w:val="0"/>
                <w:szCs w:val="20"/>
              </w:rPr>
            </w:pPr>
            <w:r w:rsidRPr="000777DE">
              <w:rPr>
                <w:szCs w:val="20"/>
              </w:rPr>
              <w:t>-</w:t>
            </w:r>
          </w:p>
        </w:tc>
        <w:tc>
          <w:tcPr>
            <w:tcW w:w="629" w:type="pct"/>
            <w:vAlign w:val="center"/>
          </w:tcPr>
          <w:p w14:paraId="77FD430C" w14:textId="7349B613" w:rsidR="00EA791D" w:rsidRPr="000777DE" w:rsidRDefault="00EA791D" w:rsidP="00EA791D">
            <w:pPr>
              <w:pStyle w:val="TableText0"/>
              <w:widowControl w:val="0"/>
              <w:jc w:val="center"/>
              <w:rPr>
                <w:szCs w:val="20"/>
              </w:rPr>
            </w:pPr>
            <w:r w:rsidRPr="000777DE">
              <w:rPr>
                <w:b/>
                <w:bCs w:val="0"/>
                <w:szCs w:val="20"/>
              </w:rPr>
              <w:t>&lt;0.001</w:t>
            </w:r>
          </w:p>
        </w:tc>
        <w:tc>
          <w:tcPr>
            <w:tcW w:w="601" w:type="pct"/>
            <w:vAlign w:val="center"/>
          </w:tcPr>
          <w:p w14:paraId="218D7355" w14:textId="77777777" w:rsidR="00EA791D" w:rsidRPr="000777DE" w:rsidRDefault="00EA791D" w:rsidP="00EA791D">
            <w:pPr>
              <w:pStyle w:val="TableText0"/>
              <w:widowControl w:val="0"/>
              <w:jc w:val="center"/>
              <w:rPr>
                <w:szCs w:val="20"/>
              </w:rPr>
            </w:pPr>
            <w:r w:rsidRPr="000777DE">
              <w:rPr>
                <w:szCs w:val="20"/>
              </w:rPr>
              <w:t>-</w:t>
            </w:r>
          </w:p>
        </w:tc>
      </w:tr>
    </w:tbl>
    <w:p w14:paraId="40262D10" w14:textId="453C9B15" w:rsidR="007B2411" w:rsidRPr="005E3251" w:rsidRDefault="00CE7338" w:rsidP="008D55B4">
      <w:pPr>
        <w:pStyle w:val="TableFigureFooter"/>
        <w:keepNext/>
        <w:rPr>
          <w:rFonts w:eastAsia="Calibri"/>
        </w:rPr>
      </w:pPr>
      <w:r w:rsidRPr="005E3251">
        <w:t>Source: Compiled during the evaluation using Table 2-22, p70, Table 2-28, p75, and Table 2-34, p79 of the submission, p224 of Study 1 CSR, p118 of Study 3 CSR, p222 of Study 2 CSR.</w:t>
      </w:r>
      <w:r w:rsidRPr="005E3251">
        <w:rPr>
          <w:rFonts w:eastAsia="Calibri"/>
          <w:b/>
        </w:rPr>
        <w:t xml:space="preserve"> Bold</w:t>
      </w:r>
      <w:r w:rsidRPr="005E3251">
        <w:rPr>
          <w:rFonts w:eastAsia="Calibri"/>
        </w:rPr>
        <w:t xml:space="preserve"> indicates statistically significant results. </w:t>
      </w:r>
      <w:r w:rsidR="009B5D59" w:rsidRPr="005E3251">
        <w:rPr>
          <w:rFonts w:eastAsia="Calibri"/>
        </w:rPr>
        <w:t xml:space="preserve"> </w:t>
      </w:r>
    </w:p>
    <w:p w14:paraId="6A62D4F4" w14:textId="136D75F5" w:rsidR="008E4EDE" w:rsidRPr="005E3251" w:rsidRDefault="00CE7338" w:rsidP="008E4EDE">
      <w:pPr>
        <w:pStyle w:val="TableFigureFooter"/>
        <w:keepNext/>
        <w:rPr>
          <w:rFonts w:eastAsia="Calibri"/>
        </w:rPr>
      </w:pPr>
      <w:r w:rsidRPr="005E3251">
        <w:rPr>
          <w:rFonts w:eastAsia="Calibri"/>
        </w:rPr>
        <w:t xml:space="preserve">ANCOVA = Analysis of covariance; CI = confidence interval; </w:t>
      </w:r>
      <w:r w:rsidR="000308B5" w:rsidRPr="005E3251">
        <w:rPr>
          <w:rFonts w:eastAsia="Calibri"/>
        </w:rPr>
        <w:t xml:space="preserve">CSF = convulsive seizure frequency; </w:t>
      </w:r>
      <w:r w:rsidR="00091756" w:rsidRPr="005E3251">
        <w:rPr>
          <w:rFonts w:eastAsia="Calibri"/>
        </w:rPr>
        <w:t xml:space="preserve">FFA = fenfluramine; </w:t>
      </w:r>
      <w:r w:rsidRPr="005E3251">
        <w:rPr>
          <w:rFonts w:eastAsia="Calibri"/>
        </w:rPr>
        <w:t xml:space="preserve">LS = least square; N = total participants in the treatment arm; </w:t>
      </w:r>
      <w:r w:rsidR="00091756" w:rsidRPr="005E3251">
        <w:rPr>
          <w:rFonts w:eastAsia="Calibri"/>
        </w:rPr>
        <w:t xml:space="preserve">PBO = placebo; </w:t>
      </w:r>
      <w:r w:rsidRPr="005E3251">
        <w:rPr>
          <w:rFonts w:eastAsia="Calibri"/>
        </w:rPr>
        <w:t xml:space="preserve">STP =stiripentol. </w:t>
      </w:r>
    </w:p>
    <w:p w14:paraId="73ABA1F5" w14:textId="07CFC872" w:rsidR="00CE7338" w:rsidRPr="005E3251" w:rsidRDefault="008E4EDE" w:rsidP="008D55B4">
      <w:pPr>
        <w:pStyle w:val="TableFigureFooter"/>
        <w:keepNext/>
        <w:rPr>
          <w:rFonts w:eastAsia="Calibri"/>
        </w:rPr>
      </w:pPr>
      <w:r w:rsidRPr="005E3251">
        <w:rPr>
          <w:rFonts w:eastAsia="Calibri"/>
        </w:rPr>
        <w:t>The results of the fenfluramine 0.2 mg/kg/day (without stiripentol) arm were not presented in this table because the dose was not relevant to the assessment.</w:t>
      </w:r>
    </w:p>
    <w:p w14:paraId="1A712466" w14:textId="78F836A1" w:rsidR="00CE7338" w:rsidRPr="005E3251" w:rsidRDefault="00CE7338" w:rsidP="008D55B4">
      <w:pPr>
        <w:pStyle w:val="TableFigureFooter"/>
        <w:keepNext/>
        <w:rPr>
          <w:rFonts w:eastAsia="Calibri"/>
        </w:rPr>
      </w:pPr>
      <w:r w:rsidRPr="005E3251">
        <w:rPr>
          <w:rFonts w:eastAsia="Calibri"/>
          <w:vertAlign w:val="superscript"/>
        </w:rPr>
        <w:t xml:space="preserve">a </w:t>
      </w:r>
      <w:r w:rsidR="0017606D" w:rsidRPr="005E3251">
        <w:rPr>
          <w:rFonts w:eastAsia="Calibri"/>
        </w:rPr>
        <w:t>14-week</w:t>
      </w:r>
      <w:r w:rsidRPr="005E3251">
        <w:rPr>
          <w:rFonts w:eastAsia="Calibri"/>
        </w:rPr>
        <w:t xml:space="preserve"> titration + maintenance period.</w:t>
      </w:r>
    </w:p>
    <w:p w14:paraId="018E2238" w14:textId="6554C49C" w:rsidR="00CE7338" w:rsidRPr="005E3251" w:rsidRDefault="00CE7338" w:rsidP="008D55B4">
      <w:pPr>
        <w:pStyle w:val="TableFigureFooter"/>
        <w:keepNext/>
      </w:pPr>
      <w:r w:rsidRPr="005E3251">
        <w:rPr>
          <w:rFonts w:eastAsia="Calibri"/>
          <w:vertAlign w:val="superscript"/>
        </w:rPr>
        <w:t>b</w:t>
      </w:r>
      <w:r w:rsidRPr="005E3251">
        <w:t xml:space="preserve"> </w:t>
      </w:r>
      <w:r w:rsidRPr="005E3251">
        <w:rPr>
          <w:rStyle w:val="TableFigureFooterChar"/>
        </w:rPr>
        <w:t xml:space="preserve">The Study 1 trial presented a sensitivity analysis using a non-parametric rank ANCOVA model with the ranks of baseline </w:t>
      </w:r>
      <w:r w:rsidR="00157D66" w:rsidRPr="005E3251">
        <w:rPr>
          <w:rStyle w:val="TableFigureFooterChar"/>
        </w:rPr>
        <w:t>CSF</w:t>
      </w:r>
      <w:r w:rsidRPr="005E3251">
        <w:rPr>
          <w:rStyle w:val="TableFigureFooterChar"/>
        </w:rPr>
        <w:t xml:space="preserve"> as covariates, and treatment arms and age groups (&lt;6 years, ≥6 years) as factors. LS mean % difference was not reported (</w:t>
      </w:r>
      <w:r w:rsidRPr="005E3251">
        <w:t>Sec 6.3.1.1., p30 of Appendix 16.1.9 of Study 1 CSR).</w:t>
      </w:r>
    </w:p>
    <w:p w14:paraId="44C3648F" w14:textId="67BF2B4A" w:rsidR="00CE7338" w:rsidRPr="005E3251" w:rsidRDefault="00CE7338" w:rsidP="008D55B4">
      <w:pPr>
        <w:pStyle w:val="TableFigureFooter"/>
        <w:keepNext/>
      </w:pPr>
      <w:r w:rsidRPr="005E3251">
        <w:rPr>
          <w:rFonts w:eastAsia="Calibri"/>
          <w:vertAlign w:val="superscript"/>
        </w:rPr>
        <w:t>c</w:t>
      </w:r>
      <w:r w:rsidRPr="005E3251">
        <w:t xml:space="preserve"> </w:t>
      </w:r>
      <w:r w:rsidRPr="005E3251">
        <w:rPr>
          <w:rStyle w:val="TableFigureFooterChar"/>
        </w:rPr>
        <w:t xml:space="preserve">The study 3 trial presented a sensitivity analysis using a non-parametric rank ANCOVA model with the ranks of baseline </w:t>
      </w:r>
      <w:r w:rsidR="00157D66" w:rsidRPr="005E3251">
        <w:rPr>
          <w:rStyle w:val="TableFigureFooterChar"/>
        </w:rPr>
        <w:t>CSF</w:t>
      </w:r>
      <w:r w:rsidRPr="005E3251">
        <w:rPr>
          <w:rStyle w:val="TableFigureFooterChar"/>
        </w:rPr>
        <w:t xml:space="preserve"> as covariates, and treatment arms (3 levels) and age groups (&lt;6 years, ≥6 years) as factors. LS mean % difference was not reported (</w:t>
      </w:r>
      <w:r w:rsidRPr="005E3251">
        <w:t>Study 3 CSR).</w:t>
      </w:r>
    </w:p>
    <w:p w14:paraId="16F58DDB" w14:textId="2D91BB09" w:rsidR="00CE7338" w:rsidRPr="005E3251" w:rsidRDefault="00CE7338" w:rsidP="000777DE">
      <w:pPr>
        <w:pStyle w:val="TableFigureFooter"/>
      </w:pPr>
      <w:r w:rsidRPr="005E3251">
        <w:rPr>
          <w:rFonts w:eastAsia="Calibri"/>
          <w:vertAlign w:val="superscript"/>
        </w:rPr>
        <w:t>d</w:t>
      </w:r>
      <w:r w:rsidRPr="005E3251">
        <w:t xml:space="preserve"> </w:t>
      </w:r>
      <w:r w:rsidRPr="005E3251">
        <w:rPr>
          <w:rStyle w:val="TableFigureFooterChar"/>
        </w:rPr>
        <w:t xml:space="preserve">The study 2 trial presented a sensitivity analysis using a non-parametric rank ANCOVA model with the rank of baseline </w:t>
      </w:r>
      <w:r w:rsidR="00157D66" w:rsidRPr="005E3251">
        <w:rPr>
          <w:rStyle w:val="TableFigureFooterChar"/>
        </w:rPr>
        <w:t>CSF</w:t>
      </w:r>
      <w:r w:rsidRPr="005E3251">
        <w:rPr>
          <w:rStyle w:val="TableFigureFooterChar"/>
        </w:rPr>
        <w:t xml:space="preserve"> as covariates, and treatment arms and age groups (&lt;6 years, ≥6 years) as factors. LS mean % difference was not reported (</w:t>
      </w:r>
      <w:r w:rsidRPr="005E3251">
        <w:t>Study 2 CSR).</w:t>
      </w:r>
    </w:p>
    <w:p w14:paraId="654FC992" w14:textId="51634779" w:rsidR="00CE7338" w:rsidRPr="00AE292D" w:rsidRDefault="00CE7338" w:rsidP="00AE292D">
      <w:pPr>
        <w:pStyle w:val="3-BodyText"/>
      </w:pPr>
      <w:r w:rsidRPr="00AE292D">
        <w:t>The</w:t>
      </w:r>
      <w:r w:rsidRPr="00AE292D" w:rsidDel="005824AE">
        <w:t xml:space="preserve"> </w:t>
      </w:r>
      <w:r w:rsidRPr="00AE292D">
        <w:t xml:space="preserve">fenfluramine trials reported a statistically significant decrease in </w:t>
      </w:r>
      <w:r w:rsidR="00157D66" w:rsidRPr="00AE292D">
        <w:t>CSF</w:t>
      </w:r>
      <w:r w:rsidRPr="00AE292D">
        <w:t xml:space="preserve"> from baseline, compared to placebo, for all doses of fenfluramine tested in the trials (-32% to -65%). Of all the fenfluramine doses tested, the magnitude of change </w:t>
      </w:r>
      <w:r w:rsidR="00A95247" w:rsidRPr="00AE292D">
        <w:t xml:space="preserve">compared to placebo </w:t>
      </w:r>
      <w:r w:rsidRPr="00AE292D">
        <w:t xml:space="preserve">was the highest for fenfluramine 0.7 mg/kg/day (without stiripentol), with </w:t>
      </w:r>
      <w:r w:rsidRPr="00AE292D">
        <w:lastRenderedPageBreak/>
        <w:t xml:space="preserve">Study 3 reporting the </w:t>
      </w:r>
      <w:r w:rsidR="00743CC4" w:rsidRPr="00AE292D">
        <w:t xml:space="preserve">largest </w:t>
      </w:r>
      <w:r w:rsidRPr="00AE292D">
        <w:t xml:space="preserve">improvement in </w:t>
      </w:r>
      <w:r w:rsidR="00157D66" w:rsidRPr="00AE292D">
        <w:t>CSF</w:t>
      </w:r>
      <w:r w:rsidRPr="00AE292D">
        <w:t xml:space="preserve"> (-64.8%, 95%</w:t>
      </w:r>
      <w:r w:rsidR="00743CC4" w:rsidRPr="00AE292D">
        <w:t xml:space="preserve"> </w:t>
      </w:r>
      <w:r w:rsidRPr="00AE292D">
        <w:t xml:space="preserve">CI: 74.2%, 51.9%). This </w:t>
      </w:r>
      <w:r w:rsidR="007C6F49" w:rsidRPr="00AE292D">
        <w:t xml:space="preserve">was </w:t>
      </w:r>
      <w:r w:rsidRPr="00AE292D">
        <w:t xml:space="preserve">considered </w:t>
      </w:r>
      <w:r w:rsidR="007C6F49" w:rsidRPr="00AE292D">
        <w:t xml:space="preserve">as </w:t>
      </w:r>
      <w:r w:rsidRPr="00AE292D">
        <w:t>clinically important</w:t>
      </w:r>
      <w:r w:rsidR="007C6F49" w:rsidRPr="00AE292D">
        <w:t xml:space="preserve"> by the submission</w:t>
      </w:r>
      <w:r w:rsidRPr="00AE292D">
        <w:t xml:space="preserve">, based on the nominated MCID. The improvements were statistically significant across the trials and fenfluramine doses when tested using rank ANCOVA models in a sensitivity analysis. </w:t>
      </w:r>
    </w:p>
    <w:p w14:paraId="40F4DD07" w14:textId="05D194A5" w:rsidR="00CE7338" w:rsidRPr="00AE292D" w:rsidRDefault="00CE7338" w:rsidP="00AE292D">
      <w:pPr>
        <w:pStyle w:val="3-BodyText"/>
      </w:pPr>
      <w:r w:rsidRPr="00AE292D">
        <w:t xml:space="preserve">The secondary outcome (responder analysis) in the fenfluramine trials is presented in </w:t>
      </w:r>
      <w:r w:rsidR="000E3E8A" w:rsidRPr="00AE292D">
        <w:fldChar w:fldCharType="begin" w:fldLock="1"/>
      </w:r>
      <w:r w:rsidR="000E3E8A" w:rsidRPr="00AE292D">
        <w:instrText xml:space="preserve"> REF _Ref174474344 \h </w:instrText>
      </w:r>
      <w:r w:rsidR="005E3251" w:rsidRPr="00AE292D">
        <w:instrText xml:space="preserve"> \* MERGEFORMAT </w:instrText>
      </w:r>
      <w:r w:rsidR="000E3E8A" w:rsidRPr="00AE292D">
        <w:fldChar w:fldCharType="separate"/>
      </w:r>
      <w:r w:rsidR="00D72887" w:rsidRPr="00AE292D">
        <w:t>Table 5</w:t>
      </w:r>
      <w:r w:rsidR="000E3E8A" w:rsidRPr="00AE292D">
        <w:fldChar w:fldCharType="end"/>
      </w:r>
      <w:r w:rsidR="000E3E8A" w:rsidRPr="00AE292D">
        <w:t>.</w:t>
      </w:r>
    </w:p>
    <w:p w14:paraId="0CD01A1B" w14:textId="02931D23" w:rsidR="00CE7338" w:rsidRPr="005E3251" w:rsidRDefault="00CE7338" w:rsidP="00CE7338">
      <w:pPr>
        <w:pStyle w:val="TableFigureHeading"/>
      </w:pPr>
      <w:bookmarkStart w:id="37" w:name="_Ref174474344"/>
      <w:r w:rsidRPr="005E3251">
        <w:t xml:space="preserve">Table </w:t>
      </w:r>
      <w:r w:rsidR="00D72887">
        <w:fldChar w:fldCharType="begin" w:fldLock="1"/>
      </w:r>
      <w:r w:rsidR="00D72887">
        <w:instrText xml:space="preserve"> SEQ Table \* ARABIC </w:instrText>
      </w:r>
      <w:r w:rsidR="00D72887">
        <w:fldChar w:fldCharType="separate"/>
      </w:r>
      <w:r w:rsidR="00D72887">
        <w:rPr>
          <w:noProof/>
        </w:rPr>
        <w:t>5</w:t>
      </w:r>
      <w:r w:rsidR="00D72887">
        <w:rPr>
          <w:noProof/>
        </w:rPr>
        <w:fldChar w:fldCharType="end"/>
      </w:r>
      <w:bookmarkEnd w:id="37"/>
      <w:r w:rsidRPr="005E3251">
        <w:t xml:space="preserve">: Results of responder analyses in fenfluramine trials for ≥25%, ≥50%, ≥75% and 100% reduction from baseline in monthly </w:t>
      </w:r>
      <w:r w:rsidR="00157D66" w:rsidRPr="005E3251">
        <w:t>CSF</w:t>
      </w:r>
      <w:r w:rsidRPr="005E3251">
        <w:t>: dichotomous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347"/>
        <w:gridCol w:w="929"/>
        <w:gridCol w:w="1910"/>
        <w:gridCol w:w="707"/>
        <w:gridCol w:w="1486"/>
        <w:gridCol w:w="873"/>
      </w:tblGrid>
      <w:tr w:rsidR="00425135" w:rsidRPr="005E3251" w14:paraId="1EB91775" w14:textId="77777777" w:rsidTr="00741C39">
        <w:trPr>
          <w:trHeight w:val="239"/>
          <w:tblHeader/>
        </w:trPr>
        <w:tc>
          <w:tcPr>
            <w:tcW w:w="979" w:type="pct"/>
            <w:vAlign w:val="center"/>
          </w:tcPr>
          <w:p w14:paraId="5755341C" w14:textId="77777777" w:rsidR="00425135" w:rsidRPr="005E3251" w:rsidRDefault="00425135" w:rsidP="00253F67">
            <w:pPr>
              <w:pStyle w:val="In-tableHeading"/>
              <w:rPr>
                <w:lang w:val="en-AU"/>
              </w:rPr>
            </w:pPr>
            <w:r w:rsidRPr="005E3251">
              <w:rPr>
                <w:lang w:val="en-AU"/>
              </w:rPr>
              <w:t>Trial ID</w:t>
            </w:r>
          </w:p>
        </w:tc>
        <w:tc>
          <w:tcPr>
            <w:tcW w:w="1262" w:type="pct"/>
            <w:gridSpan w:val="2"/>
            <w:vAlign w:val="center"/>
          </w:tcPr>
          <w:p w14:paraId="7ABD091C" w14:textId="77777777" w:rsidR="00425135" w:rsidRPr="005E3251" w:rsidRDefault="00425135" w:rsidP="00D63234">
            <w:pPr>
              <w:pStyle w:val="In-tableHeading"/>
              <w:jc w:val="center"/>
              <w:rPr>
                <w:lang w:val="en-AU"/>
              </w:rPr>
            </w:pPr>
            <w:r w:rsidRPr="005E3251">
              <w:rPr>
                <w:lang w:val="en-AU"/>
              </w:rPr>
              <w:t>Study 1</w:t>
            </w:r>
          </w:p>
        </w:tc>
        <w:tc>
          <w:tcPr>
            <w:tcW w:w="1451" w:type="pct"/>
            <w:gridSpan w:val="2"/>
            <w:vAlign w:val="center"/>
          </w:tcPr>
          <w:p w14:paraId="41136970" w14:textId="77777777" w:rsidR="00425135" w:rsidRPr="005E3251" w:rsidRDefault="00425135" w:rsidP="00D63234">
            <w:pPr>
              <w:pStyle w:val="In-tableHeading"/>
              <w:jc w:val="center"/>
              <w:rPr>
                <w:lang w:val="en-AU"/>
              </w:rPr>
            </w:pPr>
            <w:r w:rsidRPr="005E3251">
              <w:rPr>
                <w:lang w:val="en-AU"/>
              </w:rPr>
              <w:t>Study 3</w:t>
            </w:r>
          </w:p>
        </w:tc>
        <w:tc>
          <w:tcPr>
            <w:tcW w:w="1308" w:type="pct"/>
            <w:gridSpan w:val="2"/>
            <w:vAlign w:val="center"/>
          </w:tcPr>
          <w:p w14:paraId="20C0C7AE" w14:textId="77777777" w:rsidR="00425135" w:rsidRPr="005E3251" w:rsidRDefault="00425135" w:rsidP="00D63234">
            <w:pPr>
              <w:pStyle w:val="In-tableHeading"/>
              <w:jc w:val="center"/>
              <w:rPr>
                <w:lang w:val="en-AU"/>
              </w:rPr>
            </w:pPr>
            <w:r w:rsidRPr="005E3251">
              <w:rPr>
                <w:lang w:val="en-AU"/>
              </w:rPr>
              <w:t>Study 2</w:t>
            </w:r>
          </w:p>
        </w:tc>
      </w:tr>
      <w:tr w:rsidR="00425135" w:rsidRPr="005E3251" w14:paraId="317C829F" w14:textId="77777777" w:rsidTr="00741C39">
        <w:trPr>
          <w:trHeight w:val="239"/>
          <w:tblHeader/>
        </w:trPr>
        <w:tc>
          <w:tcPr>
            <w:tcW w:w="979" w:type="pct"/>
            <w:vAlign w:val="center"/>
          </w:tcPr>
          <w:p w14:paraId="3DC5B4A7" w14:textId="06286A3D" w:rsidR="00425135" w:rsidRPr="005E3251" w:rsidRDefault="00CF2293" w:rsidP="00310057">
            <w:pPr>
              <w:pStyle w:val="In-tableHeading"/>
              <w:rPr>
                <w:lang w:val="en-AU"/>
              </w:rPr>
            </w:pPr>
            <w:r w:rsidRPr="005E3251">
              <w:rPr>
                <w:lang w:val="en-AU"/>
              </w:rPr>
              <w:t>Intervention and comparator</w:t>
            </w:r>
          </w:p>
        </w:tc>
        <w:tc>
          <w:tcPr>
            <w:tcW w:w="747" w:type="pct"/>
            <w:vAlign w:val="center"/>
          </w:tcPr>
          <w:p w14:paraId="7D82E4A0" w14:textId="77777777" w:rsidR="00D63234" w:rsidRPr="005E3251" w:rsidRDefault="00425135" w:rsidP="005D03ED">
            <w:pPr>
              <w:pStyle w:val="TableText0"/>
              <w:widowControl w:val="0"/>
              <w:jc w:val="center"/>
              <w:rPr>
                <w:b/>
                <w:bCs w:val="0"/>
              </w:rPr>
            </w:pPr>
            <w:r w:rsidRPr="005E3251">
              <w:rPr>
                <w:b/>
                <w:bCs w:val="0"/>
              </w:rPr>
              <w:t>FFA 0.7</w:t>
            </w:r>
            <w:r w:rsidR="005D03ED" w:rsidRPr="005E3251">
              <w:rPr>
                <w:b/>
                <w:bCs w:val="0"/>
              </w:rPr>
              <w:t xml:space="preserve"> </w:t>
            </w:r>
            <w:r w:rsidRPr="005E3251">
              <w:rPr>
                <w:b/>
                <w:bCs w:val="0"/>
              </w:rPr>
              <w:t xml:space="preserve">mg/kg/day </w:t>
            </w:r>
          </w:p>
          <w:p w14:paraId="64B039A4" w14:textId="557ED374" w:rsidR="00425135" w:rsidRPr="005E3251" w:rsidRDefault="00425135" w:rsidP="005D03ED">
            <w:pPr>
              <w:pStyle w:val="TableText0"/>
              <w:widowControl w:val="0"/>
              <w:jc w:val="center"/>
            </w:pPr>
            <w:r w:rsidRPr="005E3251">
              <w:rPr>
                <w:b/>
                <w:bCs w:val="0"/>
              </w:rPr>
              <w:t>(-STP)</w:t>
            </w:r>
          </w:p>
        </w:tc>
        <w:tc>
          <w:tcPr>
            <w:tcW w:w="515" w:type="pct"/>
            <w:vAlign w:val="center"/>
          </w:tcPr>
          <w:p w14:paraId="12561F7A" w14:textId="77777777" w:rsidR="00741C39" w:rsidRPr="005E3251" w:rsidRDefault="00425135" w:rsidP="00D63234">
            <w:pPr>
              <w:pStyle w:val="TableText0"/>
              <w:widowControl w:val="0"/>
              <w:jc w:val="center"/>
              <w:rPr>
                <w:b/>
                <w:bCs w:val="0"/>
              </w:rPr>
            </w:pPr>
            <w:r w:rsidRPr="005E3251">
              <w:rPr>
                <w:b/>
                <w:bCs w:val="0"/>
              </w:rPr>
              <w:t>PBO</w:t>
            </w:r>
            <w:r w:rsidR="00371A76" w:rsidRPr="005E3251">
              <w:rPr>
                <w:b/>
                <w:bCs w:val="0"/>
              </w:rPr>
              <w:t xml:space="preserve"> </w:t>
            </w:r>
          </w:p>
          <w:p w14:paraId="57A033A6" w14:textId="51B7C6E5" w:rsidR="00425135" w:rsidRPr="005E3251" w:rsidRDefault="00575255" w:rsidP="00D63234">
            <w:pPr>
              <w:pStyle w:val="TableText0"/>
              <w:widowControl w:val="0"/>
              <w:jc w:val="center"/>
            </w:pPr>
            <w:r w:rsidRPr="005E3251">
              <w:rPr>
                <w:rFonts w:cs="Calibri"/>
                <w:b/>
                <w:bCs w:val="0"/>
                <w:szCs w:val="20"/>
              </w:rPr>
              <w:t>(-STP)</w:t>
            </w:r>
          </w:p>
        </w:tc>
        <w:tc>
          <w:tcPr>
            <w:tcW w:w="1059" w:type="pct"/>
            <w:vAlign w:val="center"/>
          </w:tcPr>
          <w:p w14:paraId="09184C36" w14:textId="77777777" w:rsidR="00D63234" w:rsidRPr="005E3251" w:rsidRDefault="00425135" w:rsidP="005D03ED">
            <w:pPr>
              <w:pStyle w:val="TableText0"/>
              <w:widowControl w:val="0"/>
              <w:jc w:val="center"/>
              <w:rPr>
                <w:b/>
                <w:bCs w:val="0"/>
              </w:rPr>
            </w:pPr>
            <w:r w:rsidRPr="005E3251">
              <w:rPr>
                <w:b/>
                <w:bCs w:val="0"/>
              </w:rPr>
              <w:t xml:space="preserve">FFA 0.7 </w:t>
            </w:r>
          </w:p>
          <w:p w14:paraId="70A7B498" w14:textId="4EDCD65B" w:rsidR="005D03ED" w:rsidRPr="005E3251" w:rsidRDefault="00425135" w:rsidP="005D03ED">
            <w:pPr>
              <w:pStyle w:val="TableText0"/>
              <w:widowControl w:val="0"/>
              <w:jc w:val="center"/>
              <w:rPr>
                <w:b/>
                <w:bCs w:val="0"/>
              </w:rPr>
            </w:pPr>
            <w:r w:rsidRPr="005E3251">
              <w:rPr>
                <w:b/>
                <w:bCs w:val="0"/>
              </w:rPr>
              <w:t xml:space="preserve">mg/kg/day </w:t>
            </w:r>
          </w:p>
          <w:p w14:paraId="37EA56CC" w14:textId="6B713268" w:rsidR="00425135" w:rsidRPr="005E3251" w:rsidRDefault="00425135" w:rsidP="005D03ED">
            <w:pPr>
              <w:pStyle w:val="TableText0"/>
              <w:widowControl w:val="0"/>
              <w:jc w:val="center"/>
            </w:pPr>
            <w:r w:rsidRPr="005E3251">
              <w:rPr>
                <w:b/>
                <w:bCs w:val="0"/>
              </w:rPr>
              <w:t>(-STP)</w:t>
            </w:r>
          </w:p>
        </w:tc>
        <w:tc>
          <w:tcPr>
            <w:tcW w:w="392" w:type="pct"/>
            <w:vAlign w:val="center"/>
          </w:tcPr>
          <w:p w14:paraId="673BF4F3" w14:textId="77777777" w:rsidR="00425135" w:rsidRPr="005E3251" w:rsidRDefault="00425135" w:rsidP="00310057">
            <w:pPr>
              <w:pStyle w:val="In-tableHeading"/>
              <w:rPr>
                <w:lang w:val="en-AU"/>
              </w:rPr>
            </w:pPr>
            <w:r w:rsidRPr="005E3251">
              <w:rPr>
                <w:lang w:val="en-AU"/>
              </w:rPr>
              <w:t>PBO</w:t>
            </w:r>
          </w:p>
          <w:p w14:paraId="3410B4BD" w14:textId="4A12A762" w:rsidR="00741C39" w:rsidRPr="005E3251" w:rsidRDefault="00741C39" w:rsidP="00310057">
            <w:pPr>
              <w:pStyle w:val="In-tableHeading"/>
              <w:rPr>
                <w:lang w:val="en-AU"/>
              </w:rPr>
            </w:pPr>
            <w:r w:rsidRPr="005E3251">
              <w:rPr>
                <w:rFonts w:cs="Calibri"/>
                <w:szCs w:val="20"/>
              </w:rPr>
              <w:t>(-STP)</w:t>
            </w:r>
          </w:p>
        </w:tc>
        <w:tc>
          <w:tcPr>
            <w:tcW w:w="824" w:type="pct"/>
            <w:tcMar>
              <w:left w:w="57" w:type="dxa"/>
              <w:right w:w="57" w:type="dxa"/>
            </w:tcMar>
            <w:vAlign w:val="center"/>
          </w:tcPr>
          <w:p w14:paraId="13F447B9" w14:textId="0097DCDB" w:rsidR="00D63234" w:rsidRPr="005E3251" w:rsidRDefault="00425135" w:rsidP="005D03ED">
            <w:pPr>
              <w:pStyle w:val="TableText0"/>
              <w:widowControl w:val="0"/>
              <w:jc w:val="center"/>
              <w:rPr>
                <w:b/>
                <w:bCs w:val="0"/>
              </w:rPr>
            </w:pPr>
            <w:r w:rsidRPr="005E3251">
              <w:rPr>
                <w:b/>
                <w:bCs w:val="0"/>
              </w:rPr>
              <w:t>FFA 0.4</w:t>
            </w:r>
            <w:r w:rsidR="00D63234" w:rsidRPr="005E3251">
              <w:rPr>
                <w:b/>
                <w:bCs w:val="0"/>
              </w:rPr>
              <w:t xml:space="preserve"> </w:t>
            </w:r>
            <w:r w:rsidRPr="005E3251">
              <w:rPr>
                <w:b/>
                <w:bCs w:val="0"/>
              </w:rPr>
              <w:t>mg/kg/day</w:t>
            </w:r>
          </w:p>
          <w:p w14:paraId="7FF28E53" w14:textId="3E7E7250" w:rsidR="00425135" w:rsidRPr="005E3251" w:rsidRDefault="00425135" w:rsidP="005D03ED">
            <w:pPr>
              <w:pStyle w:val="TableText0"/>
              <w:widowControl w:val="0"/>
              <w:jc w:val="center"/>
              <w:rPr>
                <w:b/>
                <w:bCs w:val="0"/>
              </w:rPr>
            </w:pPr>
            <w:r w:rsidRPr="005E3251">
              <w:rPr>
                <w:b/>
                <w:bCs w:val="0"/>
              </w:rPr>
              <w:t xml:space="preserve"> (+STP)</w:t>
            </w:r>
          </w:p>
        </w:tc>
        <w:tc>
          <w:tcPr>
            <w:tcW w:w="484" w:type="pct"/>
            <w:vAlign w:val="center"/>
          </w:tcPr>
          <w:p w14:paraId="174AF3ED" w14:textId="6030D95A" w:rsidR="00425135" w:rsidRPr="005E3251" w:rsidRDefault="00425135" w:rsidP="00310057">
            <w:pPr>
              <w:pStyle w:val="In-tableHeading"/>
              <w:rPr>
                <w:lang w:val="en-AU"/>
              </w:rPr>
            </w:pPr>
            <w:r w:rsidRPr="005E3251">
              <w:rPr>
                <w:lang w:val="en-AU"/>
              </w:rPr>
              <w:t>PBO</w:t>
            </w:r>
            <w:r w:rsidR="00371A76" w:rsidRPr="005E3251">
              <w:rPr>
                <w:lang w:val="en-AU"/>
              </w:rPr>
              <w:t xml:space="preserve"> </w:t>
            </w:r>
            <w:r w:rsidR="00741C39" w:rsidRPr="005E3251">
              <w:rPr>
                <w:rFonts w:cs="Calibri"/>
                <w:szCs w:val="20"/>
              </w:rPr>
              <w:t>(+STP)</w:t>
            </w:r>
          </w:p>
        </w:tc>
      </w:tr>
      <w:tr w:rsidR="00425135" w:rsidRPr="005E3251" w14:paraId="0D22302A" w14:textId="77777777" w:rsidTr="00741C39">
        <w:trPr>
          <w:trHeight w:val="239"/>
          <w:tblHeader/>
        </w:trPr>
        <w:tc>
          <w:tcPr>
            <w:tcW w:w="979" w:type="pct"/>
            <w:vAlign w:val="center"/>
          </w:tcPr>
          <w:p w14:paraId="10ABD818" w14:textId="77777777" w:rsidR="00425135" w:rsidRPr="005E3251" w:rsidRDefault="00425135" w:rsidP="00253F67">
            <w:pPr>
              <w:pStyle w:val="In-tableHeading"/>
              <w:rPr>
                <w:b w:val="0"/>
                <w:bCs/>
                <w:lang w:val="en-AU"/>
              </w:rPr>
            </w:pPr>
            <w:r w:rsidRPr="005E3251">
              <w:rPr>
                <w:b w:val="0"/>
                <w:bCs/>
              </w:rPr>
              <w:t>Number of participants</w:t>
            </w:r>
          </w:p>
        </w:tc>
        <w:tc>
          <w:tcPr>
            <w:tcW w:w="747" w:type="pct"/>
            <w:vAlign w:val="center"/>
          </w:tcPr>
          <w:p w14:paraId="2B8DCB64" w14:textId="77777777" w:rsidR="00425135" w:rsidRPr="005E3251" w:rsidRDefault="00425135" w:rsidP="00253F67">
            <w:pPr>
              <w:pStyle w:val="In-tableHeading"/>
              <w:jc w:val="center"/>
              <w:rPr>
                <w:b w:val="0"/>
                <w:bCs/>
                <w:lang w:val="en-AU"/>
              </w:rPr>
            </w:pPr>
            <w:r w:rsidRPr="005E3251">
              <w:rPr>
                <w:b w:val="0"/>
                <w:bCs/>
                <w:lang w:val="en-AU"/>
              </w:rPr>
              <w:t>N=40</w:t>
            </w:r>
          </w:p>
        </w:tc>
        <w:tc>
          <w:tcPr>
            <w:tcW w:w="515" w:type="pct"/>
            <w:vAlign w:val="center"/>
          </w:tcPr>
          <w:p w14:paraId="79C0776B" w14:textId="77777777" w:rsidR="00425135" w:rsidRPr="005E3251" w:rsidRDefault="00425135" w:rsidP="00253F67">
            <w:pPr>
              <w:pStyle w:val="In-tableHeading"/>
              <w:jc w:val="center"/>
              <w:rPr>
                <w:b w:val="0"/>
                <w:bCs/>
                <w:lang w:val="en-AU"/>
              </w:rPr>
            </w:pPr>
            <w:r w:rsidRPr="005E3251">
              <w:rPr>
                <w:b w:val="0"/>
                <w:bCs/>
                <w:lang w:val="en-AU"/>
              </w:rPr>
              <w:t>N=40</w:t>
            </w:r>
          </w:p>
        </w:tc>
        <w:tc>
          <w:tcPr>
            <w:tcW w:w="1059" w:type="pct"/>
            <w:vAlign w:val="center"/>
          </w:tcPr>
          <w:p w14:paraId="67B237A2" w14:textId="77777777" w:rsidR="00425135" w:rsidRPr="005E3251" w:rsidRDefault="00425135" w:rsidP="00253F67">
            <w:pPr>
              <w:pStyle w:val="In-tableHeading"/>
              <w:jc w:val="center"/>
              <w:rPr>
                <w:b w:val="0"/>
                <w:bCs/>
                <w:lang w:val="en-AU"/>
              </w:rPr>
            </w:pPr>
            <w:r w:rsidRPr="005E3251">
              <w:rPr>
                <w:b w:val="0"/>
                <w:bCs/>
                <w:lang w:val="en-AU"/>
              </w:rPr>
              <w:t>N=48</w:t>
            </w:r>
          </w:p>
        </w:tc>
        <w:tc>
          <w:tcPr>
            <w:tcW w:w="392" w:type="pct"/>
            <w:vAlign w:val="center"/>
          </w:tcPr>
          <w:p w14:paraId="3B0D341E" w14:textId="77777777" w:rsidR="00425135" w:rsidRPr="005E3251" w:rsidRDefault="00425135" w:rsidP="00253F67">
            <w:pPr>
              <w:pStyle w:val="In-tableHeading"/>
              <w:jc w:val="center"/>
              <w:rPr>
                <w:b w:val="0"/>
                <w:bCs/>
                <w:lang w:val="en-AU"/>
              </w:rPr>
            </w:pPr>
            <w:r w:rsidRPr="005E3251">
              <w:rPr>
                <w:b w:val="0"/>
                <w:bCs/>
                <w:lang w:val="en-AU"/>
              </w:rPr>
              <w:t>N=48</w:t>
            </w:r>
          </w:p>
        </w:tc>
        <w:tc>
          <w:tcPr>
            <w:tcW w:w="824" w:type="pct"/>
            <w:vAlign w:val="center"/>
          </w:tcPr>
          <w:p w14:paraId="04953CD1" w14:textId="77777777" w:rsidR="00425135" w:rsidRPr="005E3251" w:rsidRDefault="00425135" w:rsidP="00253F67">
            <w:pPr>
              <w:pStyle w:val="In-tableHeading"/>
              <w:jc w:val="center"/>
              <w:rPr>
                <w:b w:val="0"/>
                <w:bCs/>
                <w:lang w:val="en-AU"/>
              </w:rPr>
            </w:pPr>
            <w:r w:rsidRPr="005E3251">
              <w:rPr>
                <w:b w:val="0"/>
                <w:bCs/>
                <w:lang w:val="en-AU"/>
              </w:rPr>
              <w:t>N=43</w:t>
            </w:r>
          </w:p>
        </w:tc>
        <w:tc>
          <w:tcPr>
            <w:tcW w:w="484" w:type="pct"/>
            <w:vAlign w:val="center"/>
          </w:tcPr>
          <w:p w14:paraId="6C4AD033" w14:textId="77777777" w:rsidR="00425135" w:rsidRPr="005E3251" w:rsidRDefault="00425135" w:rsidP="00253F67">
            <w:pPr>
              <w:pStyle w:val="In-tableHeading"/>
              <w:jc w:val="center"/>
              <w:rPr>
                <w:b w:val="0"/>
                <w:bCs/>
                <w:lang w:val="en-AU"/>
              </w:rPr>
            </w:pPr>
            <w:r w:rsidRPr="005E3251">
              <w:rPr>
                <w:b w:val="0"/>
                <w:bCs/>
                <w:lang w:val="en-AU"/>
              </w:rPr>
              <w:t>N=44</w:t>
            </w:r>
          </w:p>
        </w:tc>
      </w:tr>
      <w:tr w:rsidR="00425135" w:rsidRPr="005E3251" w14:paraId="1E61871D" w14:textId="77777777" w:rsidTr="00CF2293">
        <w:tc>
          <w:tcPr>
            <w:tcW w:w="5000" w:type="pct"/>
            <w:gridSpan w:val="7"/>
            <w:vAlign w:val="center"/>
          </w:tcPr>
          <w:p w14:paraId="739E63A4" w14:textId="77777777" w:rsidR="00425135" w:rsidRPr="005E3251" w:rsidRDefault="00425135" w:rsidP="00253F67">
            <w:pPr>
              <w:pStyle w:val="TableText0"/>
              <w:widowControl w:val="0"/>
            </w:pPr>
            <w:r w:rsidRPr="005E3251">
              <w:rPr>
                <w:b/>
                <w:bCs w:val="0"/>
              </w:rPr>
              <w:t>≥50% reduction in monthly CSF</w:t>
            </w:r>
          </w:p>
        </w:tc>
      </w:tr>
      <w:tr w:rsidR="00425135" w:rsidRPr="005E3251" w14:paraId="47F83AE0" w14:textId="77777777" w:rsidTr="00741C39">
        <w:tc>
          <w:tcPr>
            <w:tcW w:w="979" w:type="pct"/>
            <w:vAlign w:val="center"/>
          </w:tcPr>
          <w:p w14:paraId="1E8912D1" w14:textId="77777777" w:rsidR="00425135" w:rsidRPr="005E3251" w:rsidRDefault="00425135" w:rsidP="00253F67">
            <w:pPr>
              <w:pStyle w:val="TableText0"/>
              <w:widowControl w:val="0"/>
            </w:pPr>
            <w:r w:rsidRPr="005E3251">
              <w:t>n/N (%)</w:t>
            </w:r>
          </w:p>
        </w:tc>
        <w:tc>
          <w:tcPr>
            <w:tcW w:w="747" w:type="pct"/>
            <w:vAlign w:val="center"/>
          </w:tcPr>
          <w:p w14:paraId="204AAB5B" w14:textId="18C3A357" w:rsidR="00425135" w:rsidRPr="005E3251" w:rsidRDefault="00425135" w:rsidP="005D03ED">
            <w:pPr>
              <w:pStyle w:val="TableText0"/>
              <w:widowControl w:val="0"/>
              <w:jc w:val="center"/>
            </w:pPr>
            <w:r w:rsidRPr="005E3251">
              <w:t>27/40</w:t>
            </w:r>
            <w:r w:rsidR="005D03ED" w:rsidRPr="005E3251">
              <w:t xml:space="preserve"> </w:t>
            </w:r>
            <w:r w:rsidRPr="005E3251">
              <w:t>(67.5)</w:t>
            </w:r>
          </w:p>
        </w:tc>
        <w:tc>
          <w:tcPr>
            <w:tcW w:w="515" w:type="pct"/>
          </w:tcPr>
          <w:p w14:paraId="6B9C7B4D" w14:textId="77777777" w:rsidR="00425135" w:rsidRPr="005E3251" w:rsidRDefault="00425135" w:rsidP="00253F67">
            <w:pPr>
              <w:pStyle w:val="TableText0"/>
              <w:widowControl w:val="0"/>
              <w:jc w:val="center"/>
            </w:pPr>
            <w:r w:rsidRPr="005E3251">
              <w:t>5/40 (12.5)</w:t>
            </w:r>
          </w:p>
        </w:tc>
        <w:tc>
          <w:tcPr>
            <w:tcW w:w="1059" w:type="pct"/>
            <w:vAlign w:val="center"/>
          </w:tcPr>
          <w:p w14:paraId="6D33307B" w14:textId="77777777" w:rsidR="00425135" w:rsidRPr="005E3251" w:rsidRDefault="00425135" w:rsidP="005D03ED">
            <w:pPr>
              <w:pStyle w:val="TableText0"/>
              <w:widowControl w:val="0"/>
              <w:jc w:val="center"/>
            </w:pPr>
            <w:r w:rsidRPr="005E3251">
              <w:t>35/48 (72.9)</w:t>
            </w:r>
          </w:p>
        </w:tc>
        <w:tc>
          <w:tcPr>
            <w:tcW w:w="392" w:type="pct"/>
            <w:vAlign w:val="center"/>
          </w:tcPr>
          <w:p w14:paraId="5FD7D418" w14:textId="77777777" w:rsidR="00425135" w:rsidRPr="005E3251" w:rsidRDefault="00425135" w:rsidP="005D03ED">
            <w:pPr>
              <w:pStyle w:val="TableText0"/>
              <w:widowControl w:val="0"/>
              <w:jc w:val="center"/>
            </w:pPr>
            <w:r w:rsidRPr="005E3251">
              <w:t>3/48 (6.3)</w:t>
            </w:r>
          </w:p>
        </w:tc>
        <w:tc>
          <w:tcPr>
            <w:tcW w:w="824" w:type="pct"/>
            <w:vAlign w:val="center"/>
          </w:tcPr>
          <w:p w14:paraId="75F08ED5" w14:textId="77777777" w:rsidR="00425135" w:rsidRPr="005E3251" w:rsidRDefault="00425135" w:rsidP="005D03ED">
            <w:pPr>
              <w:pStyle w:val="TableText0"/>
              <w:widowControl w:val="0"/>
              <w:jc w:val="center"/>
            </w:pPr>
            <w:r w:rsidRPr="005E3251">
              <w:t>23/43 (53.5)</w:t>
            </w:r>
          </w:p>
        </w:tc>
        <w:tc>
          <w:tcPr>
            <w:tcW w:w="484" w:type="pct"/>
          </w:tcPr>
          <w:p w14:paraId="28A473B9" w14:textId="77777777" w:rsidR="00425135" w:rsidRPr="005E3251" w:rsidRDefault="00425135" w:rsidP="00253F67">
            <w:pPr>
              <w:pStyle w:val="TableText0"/>
              <w:widowControl w:val="0"/>
              <w:jc w:val="center"/>
            </w:pPr>
            <w:r w:rsidRPr="005E3251">
              <w:t>2/44 (4.5)</w:t>
            </w:r>
          </w:p>
        </w:tc>
      </w:tr>
      <w:tr w:rsidR="00425135" w:rsidRPr="005E3251" w14:paraId="63273448" w14:textId="77777777" w:rsidTr="00741C39">
        <w:tc>
          <w:tcPr>
            <w:tcW w:w="979" w:type="pct"/>
            <w:vAlign w:val="center"/>
          </w:tcPr>
          <w:p w14:paraId="18F785D5" w14:textId="77777777" w:rsidR="00425135" w:rsidRPr="005E3251" w:rsidRDefault="00425135" w:rsidP="00253F67">
            <w:pPr>
              <w:pStyle w:val="TableText0"/>
              <w:widowControl w:val="0"/>
              <w:rPr>
                <w:rFonts w:cs="Calibri"/>
                <w:szCs w:val="20"/>
              </w:rPr>
            </w:pPr>
            <w:r w:rsidRPr="005E3251">
              <w:rPr>
                <w:rFonts w:cs="Calibri"/>
                <w:szCs w:val="20"/>
              </w:rPr>
              <w:t xml:space="preserve">Odds ratio </w:t>
            </w:r>
            <w:r w:rsidRPr="005E3251">
              <w:t>(95% CI), p-value vs. placebo</w:t>
            </w:r>
          </w:p>
        </w:tc>
        <w:tc>
          <w:tcPr>
            <w:tcW w:w="747" w:type="pct"/>
          </w:tcPr>
          <w:p w14:paraId="6AD609C7" w14:textId="77777777" w:rsidR="00425135" w:rsidRPr="005E3251" w:rsidRDefault="00425135" w:rsidP="00253F67">
            <w:pPr>
              <w:pStyle w:val="TableText0"/>
              <w:widowControl w:val="0"/>
              <w:jc w:val="center"/>
              <w:rPr>
                <w:b/>
                <w:bCs w:val="0"/>
              </w:rPr>
            </w:pPr>
            <w:r w:rsidRPr="005E3251">
              <w:rPr>
                <w:b/>
                <w:bCs w:val="0"/>
              </w:rPr>
              <w:t>15.0</w:t>
            </w:r>
          </w:p>
          <w:p w14:paraId="65614E2B" w14:textId="77777777" w:rsidR="00615D8D" w:rsidRPr="005E3251" w:rsidRDefault="00425135" w:rsidP="00253F67">
            <w:pPr>
              <w:pStyle w:val="TableText0"/>
              <w:widowControl w:val="0"/>
              <w:jc w:val="center"/>
              <w:rPr>
                <w:b/>
                <w:bCs w:val="0"/>
              </w:rPr>
            </w:pPr>
            <w:r w:rsidRPr="005E3251">
              <w:rPr>
                <w:b/>
                <w:bCs w:val="0"/>
              </w:rPr>
              <w:t xml:space="preserve">(4.5, 49.9), </w:t>
            </w:r>
          </w:p>
          <w:p w14:paraId="3042097C" w14:textId="27C90213" w:rsidR="00425135" w:rsidRPr="005E3251" w:rsidRDefault="00425135" w:rsidP="00253F67">
            <w:pPr>
              <w:pStyle w:val="TableText0"/>
              <w:widowControl w:val="0"/>
              <w:jc w:val="center"/>
              <w:rPr>
                <w:rFonts w:cs="Calibri"/>
                <w:b/>
                <w:bCs w:val="0"/>
                <w:szCs w:val="20"/>
              </w:rPr>
            </w:pPr>
            <w:r w:rsidRPr="005E3251">
              <w:rPr>
                <w:b/>
                <w:bCs w:val="0"/>
              </w:rPr>
              <w:t>&lt;0.001</w:t>
            </w:r>
          </w:p>
        </w:tc>
        <w:tc>
          <w:tcPr>
            <w:tcW w:w="515" w:type="pct"/>
            <w:vAlign w:val="center"/>
          </w:tcPr>
          <w:p w14:paraId="7072ACFD" w14:textId="77777777" w:rsidR="00425135" w:rsidRPr="005E3251" w:rsidRDefault="00425135" w:rsidP="00253F67">
            <w:pPr>
              <w:pStyle w:val="TableText0"/>
              <w:widowControl w:val="0"/>
              <w:jc w:val="center"/>
              <w:rPr>
                <w:b/>
                <w:bCs w:val="0"/>
              </w:rPr>
            </w:pPr>
            <w:r w:rsidRPr="005E3251">
              <w:t>-</w:t>
            </w:r>
          </w:p>
        </w:tc>
        <w:tc>
          <w:tcPr>
            <w:tcW w:w="1059" w:type="pct"/>
          </w:tcPr>
          <w:p w14:paraId="7A636908" w14:textId="77777777" w:rsidR="00425135" w:rsidRPr="005E3251" w:rsidRDefault="00425135" w:rsidP="00253F67">
            <w:pPr>
              <w:pStyle w:val="TableText0"/>
              <w:widowControl w:val="0"/>
              <w:jc w:val="center"/>
              <w:rPr>
                <w:b/>
                <w:bCs w:val="0"/>
              </w:rPr>
            </w:pPr>
            <w:r w:rsidRPr="005E3251">
              <w:rPr>
                <w:b/>
                <w:bCs w:val="0"/>
              </w:rPr>
              <w:t>53.3</w:t>
            </w:r>
          </w:p>
          <w:p w14:paraId="2ED68480" w14:textId="77777777" w:rsidR="00615D8D" w:rsidRPr="005E3251" w:rsidRDefault="00425135" w:rsidP="00253F67">
            <w:pPr>
              <w:pStyle w:val="TableText0"/>
              <w:widowControl w:val="0"/>
              <w:jc w:val="center"/>
              <w:rPr>
                <w:b/>
                <w:bCs w:val="0"/>
              </w:rPr>
            </w:pPr>
            <w:r w:rsidRPr="005E3251">
              <w:rPr>
                <w:b/>
                <w:bCs w:val="0"/>
              </w:rPr>
              <w:t xml:space="preserve">(12.9, 220.5), </w:t>
            </w:r>
          </w:p>
          <w:p w14:paraId="52C15350" w14:textId="19D22B5E" w:rsidR="00425135" w:rsidRPr="005E3251" w:rsidRDefault="00425135" w:rsidP="00253F67">
            <w:pPr>
              <w:pStyle w:val="TableText0"/>
              <w:widowControl w:val="0"/>
              <w:jc w:val="center"/>
              <w:rPr>
                <w:b/>
                <w:bCs w:val="0"/>
              </w:rPr>
            </w:pPr>
            <w:r w:rsidRPr="005E3251">
              <w:rPr>
                <w:b/>
                <w:bCs w:val="0"/>
              </w:rPr>
              <w:t>&lt;0.0001</w:t>
            </w:r>
          </w:p>
        </w:tc>
        <w:tc>
          <w:tcPr>
            <w:tcW w:w="392" w:type="pct"/>
            <w:vAlign w:val="center"/>
          </w:tcPr>
          <w:p w14:paraId="5DA60432" w14:textId="77777777" w:rsidR="00425135" w:rsidRPr="005E3251" w:rsidRDefault="00425135" w:rsidP="00253F67">
            <w:pPr>
              <w:pStyle w:val="TableText0"/>
              <w:widowControl w:val="0"/>
              <w:jc w:val="center"/>
              <w:rPr>
                <w:b/>
                <w:bCs w:val="0"/>
              </w:rPr>
            </w:pPr>
            <w:r w:rsidRPr="005E3251">
              <w:rPr>
                <w:rFonts w:cs="Calibri"/>
                <w:szCs w:val="20"/>
              </w:rPr>
              <w:t>-</w:t>
            </w:r>
          </w:p>
        </w:tc>
        <w:tc>
          <w:tcPr>
            <w:tcW w:w="824" w:type="pct"/>
          </w:tcPr>
          <w:p w14:paraId="44FBCDBA" w14:textId="77777777" w:rsidR="00425135" w:rsidRPr="005E3251" w:rsidRDefault="00425135" w:rsidP="00253F67">
            <w:pPr>
              <w:pStyle w:val="TableText0"/>
              <w:widowControl w:val="0"/>
              <w:ind w:left="-109" w:right="-257" w:hanging="141"/>
              <w:jc w:val="center"/>
              <w:rPr>
                <w:b/>
                <w:bCs w:val="0"/>
              </w:rPr>
            </w:pPr>
            <w:r w:rsidRPr="005E3251">
              <w:rPr>
                <w:b/>
                <w:bCs w:val="0"/>
              </w:rPr>
              <w:t>26.0</w:t>
            </w:r>
          </w:p>
          <w:p w14:paraId="38E736BE" w14:textId="77777777" w:rsidR="00615D8D" w:rsidRPr="005E3251" w:rsidRDefault="00425135" w:rsidP="00253F67">
            <w:pPr>
              <w:pStyle w:val="TableText0"/>
              <w:widowControl w:val="0"/>
              <w:ind w:left="-109" w:right="-257" w:hanging="141"/>
              <w:jc w:val="center"/>
              <w:rPr>
                <w:b/>
                <w:bCs w:val="0"/>
              </w:rPr>
            </w:pPr>
            <w:r w:rsidRPr="005E3251">
              <w:rPr>
                <w:b/>
                <w:bCs w:val="0"/>
              </w:rPr>
              <w:t xml:space="preserve">(5.5, 123.2), </w:t>
            </w:r>
          </w:p>
          <w:p w14:paraId="0B103110" w14:textId="2A0FBD8B" w:rsidR="00425135" w:rsidRPr="005E3251" w:rsidRDefault="00425135" w:rsidP="00253F67">
            <w:pPr>
              <w:pStyle w:val="TableText0"/>
              <w:widowControl w:val="0"/>
              <w:ind w:left="-109" w:right="-257" w:hanging="141"/>
              <w:jc w:val="center"/>
            </w:pPr>
            <w:r w:rsidRPr="005E3251">
              <w:rPr>
                <w:b/>
                <w:bCs w:val="0"/>
              </w:rPr>
              <w:t>&lt;0.0001</w:t>
            </w:r>
          </w:p>
        </w:tc>
        <w:tc>
          <w:tcPr>
            <w:tcW w:w="484" w:type="pct"/>
            <w:vAlign w:val="center"/>
          </w:tcPr>
          <w:p w14:paraId="0736FA26" w14:textId="77777777" w:rsidR="00425135" w:rsidRPr="005E3251" w:rsidRDefault="00425135" w:rsidP="00253F67">
            <w:pPr>
              <w:pStyle w:val="TableText0"/>
              <w:widowControl w:val="0"/>
              <w:jc w:val="center"/>
            </w:pPr>
            <w:r w:rsidRPr="005E3251">
              <w:t>-</w:t>
            </w:r>
          </w:p>
        </w:tc>
      </w:tr>
      <w:tr w:rsidR="00425135" w:rsidRPr="005E3251" w14:paraId="0F2690C8" w14:textId="77777777" w:rsidTr="00CF2293">
        <w:tc>
          <w:tcPr>
            <w:tcW w:w="5000" w:type="pct"/>
            <w:gridSpan w:val="7"/>
            <w:vAlign w:val="center"/>
          </w:tcPr>
          <w:p w14:paraId="720D9C00" w14:textId="1973081D" w:rsidR="00425135" w:rsidRPr="005E3251" w:rsidRDefault="00425135" w:rsidP="00253F67">
            <w:pPr>
              <w:pStyle w:val="TableText0"/>
              <w:widowControl w:val="0"/>
            </w:pPr>
            <w:r w:rsidRPr="005E3251">
              <w:rPr>
                <w:b/>
                <w:bCs w:val="0"/>
              </w:rPr>
              <w:t>≥25% reduction in monthly CSF</w:t>
            </w:r>
            <w:r w:rsidR="00255567" w:rsidRPr="005E3251">
              <w:rPr>
                <w:b/>
                <w:bCs w:val="0"/>
              </w:rPr>
              <w:t xml:space="preserve"> </w:t>
            </w:r>
            <w:r w:rsidRPr="005E3251">
              <w:rPr>
                <w:b/>
                <w:bCs w:val="0"/>
                <w:vertAlign w:val="superscript"/>
              </w:rPr>
              <w:t>b</w:t>
            </w:r>
          </w:p>
        </w:tc>
      </w:tr>
      <w:tr w:rsidR="00425135" w:rsidRPr="005E3251" w14:paraId="4923D991" w14:textId="77777777" w:rsidTr="00741C39">
        <w:tc>
          <w:tcPr>
            <w:tcW w:w="979" w:type="pct"/>
            <w:vAlign w:val="center"/>
          </w:tcPr>
          <w:p w14:paraId="558D07F8" w14:textId="77777777" w:rsidR="00425135" w:rsidRPr="005E3251" w:rsidRDefault="00425135" w:rsidP="00253F67">
            <w:pPr>
              <w:pStyle w:val="TableText0"/>
              <w:widowControl w:val="0"/>
            </w:pPr>
            <w:r w:rsidRPr="005E3251">
              <w:t>n/N (%)</w:t>
            </w:r>
          </w:p>
        </w:tc>
        <w:tc>
          <w:tcPr>
            <w:tcW w:w="747" w:type="pct"/>
            <w:vAlign w:val="center"/>
          </w:tcPr>
          <w:p w14:paraId="6E7EF84B" w14:textId="0430C501" w:rsidR="00425135" w:rsidRPr="005E3251" w:rsidRDefault="00425135" w:rsidP="005D03ED">
            <w:pPr>
              <w:pStyle w:val="TableText0"/>
              <w:widowControl w:val="0"/>
              <w:jc w:val="center"/>
            </w:pPr>
            <w:r w:rsidRPr="005E3251">
              <w:t>36/40 (90.0)</w:t>
            </w:r>
          </w:p>
        </w:tc>
        <w:tc>
          <w:tcPr>
            <w:tcW w:w="515" w:type="pct"/>
          </w:tcPr>
          <w:p w14:paraId="1808384E" w14:textId="77777777" w:rsidR="00425135" w:rsidRPr="005E3251" w:rsidRDefault="00425135" w:rsidP="00253F67">
            <w:pPr>
              <w:pStyle w:val="TableText0"/>
              <w:widowControl w:val="0"/>
              <w:jc w:val="center"/>
            </w:pPr>
            <w:r w:rsidRPr="005E3251">
              <w:t>14/40</w:t>
            </w:r>
          </w:p>
          <w:p w14:paraId="0E64C0E9" w14:textId="77777777" w:rsidR="00425135" w:rsidRPr="005E3251" w:rsidRDefault="00425135" w:rsidP="00253F67">
            <w:pPr>
              <w:pStyle w:val="TableText0"/>
              <w:widowControl w:val="0"/>
              <w:jc w:val="center"/>
            </w:pPr>
            <w:r w:rsidRPr="005E3251">
              <w:t>(35.0)</w:t>
            </w:r>
          </w:p>
        </w:tc>
        <w:tc>
          <w:tcPr>
            <w:tcW w:w="1059" w:type="pct"/>
            <w:vAlign w:val="center"/>
          </w:tcPr>
          <w:p w14:paraId="7C78B3C0" w14:textId="5471908C" w:rsidR="00425135" w:rsidRPr="005E3251" w:rsidRDefault="00425135" w:rsidP="005D03ED">
            <w:pPr>
              <w:pStyle w:val="TableText0"/>
              <w:widowControl w:val="0"/>
              <w:jc w:val="center"/>
            </w:pPr>
            <w:r w:rsidRPr="005E3251">
              <w:t>40/48</w:t>
            </w:r>
            <w:r w:rsidR="005D03ED" w:rsidRPr="005E3251">
              <w:t xml:space="preserve"> </w:t>
            </w:r>
            <w:r w:rsidRPr="005E3251">
              <w:t>(83.3)</w:t>
            </w:r>
          </w:p>
        </w:tc>
        <w:tc>
          <w:tcPr>
            <w:tcW w:w="392" w:type="pct"/>
            <w:vAlign w:val="center"/>
          </w:tcPr>
          <w:p w14:paraId="3D94B474" w14:textId="77777777" w:rsidR="00425135" w:rsidRPr="005E3251" w:rsidRDefault="00425135" w:rsidP="005D03ED">
            <w:pPr>
              <w:pStyle w:val="TableText0"/>
              <w:widowControl w:val="0"/>
              <w:jc w:val="center"/>
            </w:pPr>
            <w:r w:rsidRPr="005E3251">
              <w:t>13/48</w:t>
            </w:r>
          </w:p>
          <w:p w14:paraId="0CDB889B" w14:textId="77777777" w:rsidR="00425135" w:rsidRPr="005E3251" w:rsidRDefault="00425135" w:rsidP="005D03ED">
            <w:pPr>
              <w:pStyle w:val="TableText0"/>
              <w:widowControl w:val="0"/>
              <w:jc w:val="center"/>
            </w:pPr>
            <w:r w:rsidRPr="005E3251">
              <w:t>(27.1)</w:t>
            </w:r>
          </w:p>
        </w:tc>
        <w:tc>
          <w:tcPr>
            <w:tcW w:w="824" w:type="pct"/>
            <w:vAlign w:val="center"/>
          </w:tcPr>
          <w:p w14:paraId="70D56A0F" w14:textId="10A45A8A" w:rsidR="00425135" w:rsidRPr="005E3251" w:rsidRDefault="00425135" w:rsidP="005D03ED">
            <w:pPr>
              <w:pStyle w:val="TableText0"/>
              <w:widowControl w:val="0"/>
              <w:jc w:val="center"/>
            </w:pPr>
            <w:r w:rsidRPr="005E3251">
              <w:t>30/43</w:t>
            </w:r>
            <w:r w:rsidR="005D03ED" w:rsidRPr="005E3251">
              <w:t xml:space="preserve"> </w:t>
            </w:r>
            <w:r w:rsidRPr="005E3251">
              <w:t>(69.8)</w:t>
            </w:r>
          </w:p>
        </w:tc>
        <w:tc>
          <w:tcPr>
            <w:tcW w:w="484" w:type="pct"/>
          </w:tcPr>
          <w:p w14:paraId="4652B43D" w14:textId="77777777" w:rsidR="00425135" w:rsidRPr="005E3251" w:rsidRDefault="00425135" w:rsidP="00253F67">
            <w:pPr>
              <w:pStyle w:val="TableText0"/>
              <w:widowControl w:val="0"/>
              <w:jc w:val="center"/>
            </w:pPr>
            <w:r w:rsidRPr="005E3251">
              <w:t>12/44</w:t>
            </w:r>
          </w:p>
          <w:p w14:paraId="6DD96C7D" w14:textId="77777777" w:rsidR="00425135" w:rsidRPr="005E3251" w:rsidRDefault="00425135" w:rsidP="00253F67">
            <w:pPr>
              <w:pStyle w:val="TableText0"/>
              <w:widowControl w:val="0"/>
              <w:jc w:val="center"/>
            </w:pPr>
            <w:r w:rsidRPr="005E3251">
              <w:t>(27.3)</w:t>
            </w:r>
          </w:p>
        </w:tc>
      </w:tr>
      <w:tr w:rsidR="00425135" w:rsidRPr="005E3251" w14:paraId="11708DC8" w14:textId="77777777" w:rsidTr="00741C39">
        <w:tc>
          <w:tcPr>
            <w:tcW w:w="979" w:type="pct"/>
            <w:vAlign w:val="center"/>
          </w:tcPr>
          <w:p w14:paraId="7F5E67B7" w14:textId="77777777" w:rsidR="00425135" w:rsidRPr="005E3251" w:rsidRDefault="00425135" w:rsidP="00253F67">
            <w:pPr>
              <w:pStyle w:val="TableText0"/>
              <w:widowControl w:val="0"/>
              <w:rPr>
                <w:rFonts w:cs="Calibri"/>
                <w:szCs w:val="20"/>
              </w:rPr>
            </w:pPr>
            <w:r w:rsidRPr="005E3251">
              <w:rPr>
                <w:rFonts w:cs="Calibri"/>
                <w:szCs w:val="20"/>
              </w:rPr>
              <w:t xml:space="preserve">Odds ratio </w:t>
            </w:r>
            <w:r w:rsidRPr="005E3251">
              <w:t>(95% CI), p-value vs. placebo</w:t>
            </w:r>
          </w:p>
        </w:tc>
        <w:tc>
          <w:tcPr>
            <w:tcW w:w="747" w:type="pct"/>
          </w:tcPr>
          <w:p w14:paraId="63BDC1BA" w14:textId="77777777" w:rsidR="00425135" w:rsidRPr="005E3251" w:rsidRDefault="00425135" w:rsidP="00253F67">
            <w:pPr>
              <w:pStyle w:val="TableText0"/>
              <w:widowControl w:val="0"/>
              <w:jc w:val="center"/>
            </w:pPr>
            <w:r w:rsidRPr="005E3251">
              <w:t>22.3</w:t>
            </w:r>
          </w:p>
          <w:p w14:paraId="6A669998" w14:textId="77777777" w:rsidR="00615D8D" w:rsidRPr="005E3251" w:rsidRDefault="00425135" w:rsidP="00253F67">
            <w:pPr>
              <w:pStyle w:val="TableText0"/>
              <w:widowControl w:val="0"/>
              <w:jc w:val="center"/>
            </w:pPr>
            <w:r w:rsidRPr="005E3251">
              <w:t xml:space="preserve">(5.9, 84.1), </w:t>
            </w:r>
          </w:p>
          <w:p w14:paraId="01BDEC4B" w14:textId="18DCD1BA" w:rsidR="00425135" w:rsidRPr="005E3251" w:rsidRDefault="00425135" w:rsidP="00253F67">
            <w:pPr>
              <w:pStyle w:val="TableText0"/>
              <w:widowControl w:val="0"/>
              <w:jc w:val="center"/>
              <w:rPr>
                <w:rFonts w:cs="Calibri"/>
                <w:szCs w:val="20"/>
              </w:rPr>
            </w:pPr>
            <w:r w:rsidRPr="005E3251">
              <w:t>&lt;0.001</w:t>
            </w:r>
          </w:p>
        </w:tc>
        <w:tc>
          <w:tcPr>
            <w:tcW w:w="515" w:type="pct"/>
            <w:vAlign w:val="center"/>
          </w:tcPr>
          <w:p w14:paraId="6E1EA60D" w14:textId="77777777" w:rsidR="00425135" w:rsidRPr="005E3251" w:rsidRDefault="00425135" w:rsidP="00253F67">
            <w:pPr>
              <w:pStyle w:val="TableText0"/>
              <w:widowControl w:val="0"/>
              <w:jc w:val="center"/>
            </w:pPr>
            <w:r w:rsidRPr="005E3251">
              <w:rPr>
                <w:rFonts w:cs="Calibri"/>
                <w:szCs w:val="20"/>
              </w:rPr>
              <w:t>-</w:t>
            </w:r>
          </w:p>
        </w:tc>
        <w:tc>
          <w:tcPr>
            <w:tcW w:w="1059" w:type="pct"/>
          </w:tcPr>
          <w:p w14:paraId="28D53265" w14:textId="77777777" w:rsidR="00425135" w:rsidRPr="005E3251" w:rsidRDefault="00425135" w:rsidP="00253F67">
            <w:pPr>
              <w:pStyle w:val="TableText0"/>
              <w:widowControl w:val="0"/>
              <w:jc w:val="center"/>
            </w:pPr>
            <w:r w:rsidRPr="005E3251">
              <w:t>15.7</w:t>
            </w:r>
          </w:p>
          <w:p w14:paraId="71B650FA" w14:textId="77777777" w:rsidR="00615D8D" w:rsidRPr="005E3251" w:rsidRDefault="00425135" w:rsidP="00253F67">
            <w:pPr>
              <w:pStyle w:val="TableText0"/>
              <w:widowControl w:val="0"/>
              <w:jc w:val="center"/>
            </w:pPr>
            <w:r w:rsidRPr="005E3251">
              <w:t xml:space="preserve">(5.6, 44.1), </w:t>
            </w:r>
          </w:p>
          <w:p w14:paraId="15FB05DD" w14:textId="0C534622" w:rsidR="00425135" w:rsidRPr="005E3251" w:rsidRDefault="00425135" w:rsidP="00253F67">
            <w:pPr>
              <w:pStyle w:val="TableText0"/>
              <w:widowControl w:val="0"/>
              <w:jc w:val="center"/>
            </w:pPr>
            <w:r w:rsidRPr="005E3251">
              <w:t>&lt;0.0001</w:t>
            </w:r>
            <w:r w:rsidRPr="005E3251">
              <w:rPr>
                <w:vertAlign w:val="superscript"/>
              </w:rPr>
              <w:t xml:space="preserve"> </w:t>
            </w:r>
          </w:p>
        </w:tc>
        <w:tc>
          <w:tcPr>
            <w:tcW w:w="392" w:type="pct"/>
            <w:vAlign w:val="center"/>
          </w:tcPr>
          <w:p w14:paraId="5A1CB977" w14:textId="77777777" w:rsidR="00425135" w:rsidRPr="005E3251" w:rsidRDefault="00425135" w:rsidP="00253F67">
            <w:pPr>
              <w:pStyle w:val="TableText0"/>
              <w:widowControl w:val="0"/>
              <w:jc w:val="center"/>
            </w:pPr>
            <w:r w:rsidRPr="005E3251">
              <w:rPr>
                <w:rFonts w:cs="Calibri"/>
                <w:szCs w:val="20"/>
              </w:rPr>
              <w:t>-</w:t>
            </w:r>
          </w:p>
        </w:tc>
        <w:tc>
          <w:tcPr>
            <w:tcW w:w="824" w:type="pct"/>
          </w:tcPr>
          <w:p w14:paraId="1B03DD54" w14:textId="77777777" w:rsidR="00425135" w:rsidRPr="005E3251" w:rsidRDefault="00425135" w:rsidP="00253F67">
            <w:pPr>
              <w:pStyle w:val="TableText0"/>
              <w:widowControl w:val="0"/>
              <w:jc w:val="center"/>
            </w:pPr>
            <w:r w:rsidRPr="005E3251">
              <w:t>6.4</w:t>
            </w:r>
          </w:p>
          <w:p w14:paraId="03B449AE" w14:textId="77777777" w:rsidR="00615D8D" w:rsidRPr="005E3251" w:rsidRDefault="00425135" w:rsidP="00B4360A">
            <w:pPr>
              <w:pStyle w:val="TableText0"/>
              <w:widowControl w:val="0"/>
              <w:ind w:hanging="96"/>
              <w:jc w:val="center"/>
            </w:pPr>
            <w:r w:rsidRPr="005E3251">
              <w:t xml:space="preserve">(2.5, 16.5), </w:t>
            </w:r>
          </w:p>
          <w:p w14:paraId="7E4EA3D9" w14:textId="4E3FE155" w:rsidR="00425135" w:rsidRPr="005E3251" w:rsidRDefault="00425135" w:rsidP="00B4360A">
            <w:pPr>
              <w:pStyle w:val="TableText0"/>
              <w:widowControl w:val="0"/>
              <w:ind w:hanging="96"/>
              <w:jc w:val="center"/>
            </w:pPr>
            <w:r w:rsidRPr="005E3251">
              <w:t>&lt;0.001</w:t>
            </w:r>
          </w:p>
        </w:tc>
        <w:tc>
          <w:tcPr>
            <w:tcW w:w="484" w:type="pct"/>
            <w:vAlign w:val="center"/>
          </w:tcPr>
          <w:p w14:paraId="29F0AED9" w14:textId="77777777" w:rsidR="00425135" w:rsidRPr="005E3251" w:rsidRDefault="00425135" w:rsidP="00253F67">
            <w:pPr>
              <w:pStyle w:val="TableText0"/>
              <w:widowControl w:val="0"/>
              <w:jc w:val="center"/>
              <w:rPr>
                <w:rFonts w:cs="Calibri"/>
                <w:szCs w:val="20"/>
              </w:rPr>
            </w:pPr>
            <w:r w:rsidRPr="005E3251">
              <w:t>-</w:t>
            </w:r>
          </w:p>
        </w:tc>
      </w:tr>
      <w:tr w:rsidR="00425135" w:rsidRPr="005E3251" w14:paraId="4C0235FB" w14:textId="77777777" w:rsidTr="00CF2293">
        <w:tc>
          <w:tcPr>
            <w:tcW w:w="5000" w:type="pct"/>
            <w:gridSpan w:val="7"/>
            <w:vAlign w:val="center"/>
          </w:tcPr>
          <w:p w14:paraId="25FBE80E" w14:textId="3830D944" w:rsidR="00425135" w:rsidRPr="005E3251" w:rsidRDefault="00425135" w:rsidP="00253F67">
            <w:pPr>
              <w:pStyle w:val="TableText0"/>
              <w:widowControl w:val="0"/>
              <w:rPr>
                <w:b/>
                <w:bCs w:val="0"/>
              </w:rPr>
            </w:pPr>
            <w:r w:rsidRPr="005E3251">
              <w:rPr>
                <w:b/>
                <w:bCs w:val="0"/>
              </w:rPr>
              <w:t>≥75% reduction in monthly CSF</w:t>
            </w:r>
            <w:r w:rsidR="00255567" w:rsidRPr="005E3251">
              <w:rPr>
                <w:b/>
                <w:bCs w:val="0"/>
              </w:rPr>
              <w:t xml:space="preserve"> </w:t>
            </w:r>
            <w:r w:rsidRPr="005E3251">
              <w:rPr>
                <w:b/>
                <w:bCs w:val="0"/>
                <w:vertAlign w:val="superscript"/>
              </w:rPr>
              <w:t>b</w:t>
            </w:r>
          </w:p>
        </w:tc>
      </w:tr>
      <w:tr w:rsidR="00425135" w:rsidRPr="005E3251" w14:paraId="718F3718" w14:textId="77777777" w:rsidTr="00741C39">
        <w:tc>
          <w:tcPr>
            <w:tcW w:w="979" w:type="pct"/>
            <w:vAlign w:val="center"/>
          </w:tcPr>
          <w:p w14:paraId="0BDDB04F" w14:textId="77777777" w:rsidR="00425135" w:rsidRPr="005E3251" w:rsidRDefault="00425135" w:rsidP="00253F67">
            <w:pPr>
              <w:pStyle w:val="TableText0"/>
              <w:widowControl w:val="0"/>
            </w:pPr>
            <w:r w:rsidRPr="005E3251">
              <w:t>n/N (%)</w:t>
            </w:r>
          </w:p>
        </w:tc>
        <w:tc>
          <w:tcPr>
            <w:tcW w:w="747" w:type="pct"/>
            <w:vAlign w:val="center"/>
          </w:tcPr>
          <w:p w14:paraId="63EBDCD8" w14:textId="42D037D8" w:rsidR="00425135" w:rsidRPr="005E3251" w:rsidRDefault="00425135" w:rsidP="005D03ED">
            <w:pPr>
              <w:pStyle w:val="TableText0"/>
              <w:widowControl w:val="0"/>
              <w:jc w:val="center"/>
            </w:pPr>
            <w:r w:rsidRPr="005E3251">
              <w:t>20/40</w:t>
            </w:r>
            <w:r w:rsidR="005D03ED" w:rsidRPr="005E3251">
              <w:t xml:space="preserve"> </w:t>
            </w:r>
            <w:r w:rsidRPr="005E3251">
              <w:t>(50.0)</w:t>
            </w:r>
          </w:p>
        </w:tc>
        <w:tc>
          <w:tcPr>
            <w:tcW w:w="515" w:type="pct"/>
            <w:vAlign w:val="center"/>
          </w:tcPr>
          <w:p w14:paraId="6A843ED5" w14:textId="77777777" w:rsidR="00425135" w:rsidRPr="005E3251" w:rsidRDefault="00425135" w:rsidP="00253F67">
            <w:pPr>
              <w:pStyle w:val="TableText0"/>
              <w:widowControl w:val="0"/>
              <w:jc w:val="center"/>
            </w:pPr>
            <w:r w:rsidRPr="005E3251">
              <w:t>1/40</w:t>
            </w:r>
          </w:p>
          <w:p w14:paraId="6E6B4E96" w14:textId="77777777" w:rsidR="00425135" w:rsidRPr="005E3251" w:rsidRDefault="00425135" w:rsidP="00253F67">
            <w:pPr>
              <w:pStyle w:val="TableText0"/>
              <w:widowControl w:val="0"/>
              <w:jc w:val="center"/>
            </w:pPr>
            <w:r w:rsidRPr="005E3251">
              <w:t>(2.5)</w:t>
            </w:r>
          </w:p>
        </w:tc>
        <w:tc>
          <w:tcPr>
            <w:tcW w:w="1059" w:type="pct"/>
            <w:vAlign w:val="center"/>
          </w:tcPr>
          <w:p w14:paraId="57C390FF" w14:textId="27D9475F" w:rsidR="00425135" w:rsidRPr="005E3251" w:rsidRDefault="00425135" w:rsidP="005D03ED">
            <w:pPr>
              <w:pStyle w:val="TableText0"/>
              <w:widowControl w:val="0"/>
              <w:jc w:val="center"/>
            </w:pPr>
            <w:r w:rsidRPr="005E3251">
              <w:t>23/48</w:t>
            </w:r>
            <w:r w:rsidR="005D03ED" w:rsidRPr="005E3251">
              <w:t xml:space="preserve"> </w:t>
            </w:r>
            <w:r w:rsidRPr="005E3251">
              <w:t>(47.9)</w:t>
            </w:r>
          </w:p>
        </w:tc>
        <w:tc>
          <w:tcPr>
            <w:tcW w:w="392" w:type="pct"/>
            <w:vAlign w:val="center"/>
          </w:tcPr>
          <w:p w14:paraId="049E6CB1" w14:textId="77777777" w:rsidR="00425135" w:rsidRPr="005E3251" w:rsidRDefault="00425135" w:rsidP="00253F67">
            <w:pPr>
              <w:pStyle w:val="TableText0"/>
              <w:widowControl w:val="0"/>
              <w:jc w:val="center"/>
            </w:pPr>
            <w:r w:rsidRPr="005E3251">
              <w:t>2/48</w:t>
            </w:r>
          </w:p>
          <w:p w14:paraId="4CBC84E9" w14:textId="77777777" w:rsidR="00425135" w:rsidRPr="005E3251" w:rsidRDefault="00425135" w:rsidP="00253F67">
            <w:pPr>
              <w:pStyle w:val="TableText0"/>
              <w:widowControl w:val="0"/>
              <w:jc w:val="center"/>
            </w:pPr>
            <w:r w:rsidRPr="005E3251">
              <w:t>(4.2)</w:t>
            </w:r>
          </w:p>
        </w:tc>
        <w:tc>
          <w:tcPr>
            <w:tcW w:w="824" w:type="pct"/>
            <w:vAlign w:val="center"/>
          </w:tcPr>
          <w:p w14:paraId="7EC97F08" w14:textId="5364476F" w:rsidR="00425135" w:rsidRPr="005E3251" w:rsidRDefault="00425135" w:rsidP="005D03ED">
            <w:pPr>
              <w:pStyle w:val="TableText0"/>
              <w:widowControl w:val="0"/>
              <w:jc w:val="center"/>
            </w:pPr>
            <w:r w:rsidRPr="005E3251">
              <w:t>15/43</w:t>
            </w:r>
            <w:r w:rsidR="005D03ED" w:rsidRPr="005E3251">
              <w:t xml:space="preserve"> </w:t>
            </w:r>
            <w:r w:rsidRPr="005E3251">
              <w:t>(35.0)</w:t>
            </w:r>
          </w:p>
        </w:tc>
        <w:tc>
          <w:tcPr>
            <w:tcW w:w="484" w:type="pct"/>
            <w:vAlign w:val="center"/>
          </w:tcPr>
          <w:p w14:paraId="131B4986" w14:textId="77777777" w:rsidR="00425135" w:rsidRPr="005E3251" w:rsidRDefault="00425135" w:rsidP="00253F67">
            <w:pPr>
              <w:pStyle w:val="TableText0"/>
              <w:widowControl w:val="0"/>
              <w:jc w:val="center"/>
            </w:pPr>
            <w:r w:rsidRPr="005E3251">
              <w:t>1/44</w:t>
            </w:r>
          </w:p>
          <w:p w14:paraId="18E057A6" w14:textId="77777777" w:rsidR="00425135" w:rsidRPr="005E3251" w:rsidRDefault="00425135" w:rsidP="00253F67">
            <w:pPr>
              <w:pStyle w:val="TableText0"/>
              <w:widowControl w:val="0"/>
              <w:jc w:val="center"/>
            </w:pPr>
            <w:r w:rsidRPr="005E3251">
              <w:t>(2.3)</w:t>
            </w:r>
          </w:p>
        </w:tc>
      </w:tr>
      <w:tr w:rsidR="00425135" w:rsidRPr="005E3251" w14:paraId="35B6BCF3" w14:textId="77777777" w:rsidTr="00741C39">
        <w:tc>
          <w:tcPr>
            <w:tcW w:w="979" w:type="pct"/>
            <w:vAlign w:val="center"/>
          </w:tcPr>
          <w:p w14:paraId="1E4191FA" w14:textId="77777777" w:rsidR="00425135" w:rsidRPr="005E3251" w:rsidRDefault="00425135" w:rsidP="00253F67">
            <w:pPr>
              <w:pStyle w:val="TableText0"/>
              <w:widowControl w:val="0"/>
              <w:rPr>
                <w:rFonts w:cs="Calibri"/>
                <w:szCs w:val="20"/>
              </w:rPr>
            </w:pPr>
            <w:r w:rsidRPr="005E3251">
              <w:rPr>
                <w:rFonts w:cs="Calibri"/>
                <w:szCs w:val="20"/>
              </w:rPr>
              <w:t xml:space="preserve">Odds ratio </w:t>
            </w:r>
            <w:r w:rsidRPr="005E3251">
              <w:t>(95% CI), p-value vs. placebo</w:t>
            </w:r>
          </w:p>
        </w:tc>
        <w:tc>
          <w:tcPr>
            <w:tcW w:w="747" w:type="pct"/>
          </w:tcPr>
          <w:p w14:paraId="5489D9D8" w14:textId="77777777" w:rsidR="00425135" w:rsidRPr="005E3251" w:rsidRDefault="00425135" w:rsidP="00253F67">
            <w:pPr>
              <w:pStyle w:val="TableText0"/>
              <w:widowControl w:val="0"/>
              <w:jc w:val="center"/>
            </w:pPr>
            <w:r w:rsidRPr="005E3251">
              <w:t>55.1</w:t>
            </w:r>
          </w:p>
          <w:p w14:paraId="02F47DB0" w14:textId="77777777" w:rsidR="00615D8D" w:rsidRPr="005E3251" w:rsidRDefault="00425135" w:rsidP="00346ACD">
            <w:pPr>
              <w:pStyle w:val="TableText0"/>
              <w:widowControl w:val="0"/>
              <w:ind w:hanging="45"/>
              <w:jc w:val="center"/>
            </w:pPr>
            <w:r w:rsidRPr="005E3251">
              <w:t xml:space="preserve">(5.8, 526.3), </w:t>
            </w:r>
          </w:p>
          <w:p w14:paraId="47770BE2" w14:textId="5A04BDDC" w:rsidR="00425135" w:rsidRPr="005E3251" w:rsidRDefault="00425135" w:rsidP="00346ACD">
            <w:pPr>
              <w:pStyle w:val="TableText0"/>
              <w:widowControl w:val="0"/>
              <w:ind w:hanging="45"/>
              <w:jc w:val="center"/>
              <w:rPr>
                <w:rFonts w:cs="Calibri"/>
                <w:szCs w:val="20"/>
              </w:rPr>
            </w:pPr>
            <w:r w:rsidRPr="005E3251">
              <w:t>&lt;0.001</w:t>
            </w:r>
            <w:r w:rsidRPr="005E3251">
              <w:rPr>
                <w:vertAlign w:val="superscript"/>
              </w:rPr>
              <w:t xml:space="preserve"> </w:t>
            </w:r>
          </w:p>
        </w:tc>
        <w:tc>
          <w:tcPr>
            <w:tcW w:w="515" w:type="pct"/>
            <w:vAlign w:val="center"/>
          </w:tcPr>
          <w:p w14:paraId="3D0FC3D4" w14:textId="77777777" w:rsidR="00425135" w:rsidRPr="005E3251" w:rsidRDefault="00425135" w:rsidP="00253F67">
            <w:pPr>
              <w:pStyle w:val="TableText0"/>
              <w:widowControl w:val="0"/>
              <w:jc w:val="center"/>
            </w:pPr>
            <w:r w:rsidRPr="005E3251">
              <w:t>-</w:t>
            </w:r>
          </w:p>
        </w:tc>
        <w:tc>
          <w:tcPr>
            <w:tcW w:w="1059" w:type="pct"/>
          </w:tcPr>
          <w:p w14:paraId="20D876FB" w14:textId="77777777" w:rsidR="00425135" w:rsidRPr="005E3251" w:rsidRDefault="00425135" w:rsidP="00253F67">
            <w:pPr>
              <w:pStyle w:val="TableText0"/>
              <w:widowControl w:val="0"/>
              <w:jc w:val="center"/>
            </w:pPr>
            <w:r w:rsidRPr="005E3251">
              <w:t>27.7</w:t>
            </w:r>
          </w:p>
          <w:p w14:paraId="0F0D3922" w14:textId="77777777" w:rsidR="00615D8D" w:rsidRPr="005E3251" w:rsidRDefault="00425135" w:rsidP="00253F67">
            <w:pPr>
              <w:pStyle w:val="TableText0"/>
              <w:widowControl w:val="0"/>
              <w:jc w:val="center"/>
            </w:pPr>
            <w:r w:rsidRPr="005E3251">
              <w:t xml:space="preserve">(6, 130.9), </w:t>
            </w:r>
          </w:p>
          <w:p w14:paraId="2B59424B" w14:textId="2C568A87" w:rsidR="00425135" w:rsidRPr="005E3251" w:rsidRDefault="00425135" w:rsidP="00253F67">
            <w:pPr>
              <w:pStyle w:val="TableText0"/>
              <w:widowControl w:val="0"/>
              <w:jc w:val="center"/>
            </w:pPr>
            <w:r w:rsidRPr="005E3251">
              <w:t>&lt;0.0001</w:t>
            </w:r>
            <w:r w:rsidRPr="005E3251">
              <w:rPr>
                <w:vertAlign w:val="superscript"/>
              </w:rPr>
              <w:t xml:space="preserve"> </w:t>
            </w:r>
          </w:p>
        </w:tc>
        <w:tc>
          <w:tcPr>
            <w:tcW w:w="392" w:type="pct"/>
            <w:vAlign w:val="center"/>
          </w:tcPr>
          <w:p w14:paraId="1A50F930" w14:textId="77777777" w:rsidR="00425135" w:rsidRPr="005E3251" w:rsidRDefault="00425135" w:rsidP="00253F67">
            <w:pPr>
              <w:pStyle w:val="TableText0"/>
              <w:widowControl w:val="0"/>
              <w:jc w:val="center"/>
            </w:pPr>
            <w:r w:rsidRPr="005E3251">
              <w:rPr>
                <w:rFonts w:cs="Calibri"/>
                <w:szCs w:val="20"/>
              </w:rPr>
              <w:t>-</w:t>
            </w:r>
          </w:p>
        </w:tc>
        <w:tc>
          <w:tcPr>
            <w:tcW w:w="824" w:type="pct"/>
          </w:tcPr>
          <w:p w14:paraId="2F7453EC" w14:textId="77777777" w:rsidR="00425135" w:rsidRPr="005E3251" w:rsidRDefault="00425135" w:rsidP="00253F67">
            <w:pPr>
              <w:pStyle w:val="TableText0"/>
              <w:widowControl w:val="0"/>
              <w:jc w:val="center"/>
            </w:pPr>
            <w:r w:rsidRPr="005E3251">
              <w:t>23.7</w:t>
            </w:r>
          </w:p>
          <w:p w14:paraId="0C8846A4" w14:textId="77777777" w:rsidR="00615D8D" w:rsidRPr="005E3251" w:rsidRDefault="00425135" w:rsidP="00346ACD">
            <w:pPr>
              <w:pStyle w:val="TableText0"/>
              <w:widowControl w:val="0"/>
              <w:ind w:hanging="96"/>
              <w:jc w:val="center"/>
            </w:pPr>
            <w:r w:rsidRPr="005E3251">
              <w:t xml:space="preserve">(2.9, 191.8), </w:t>
            </w:r>
          </w:p>
          <w:p w14:paraId="1CC44207" w14:textId="7DC8699A" w:rsidR="00425135" w:rsidRPr="005E3251" w:rsidRDefault="00425135" w:rsidP="00346ACD">
            <w:pPr>
              <w:pStyle w:val="TableText0"/>
              <w:widowControl w:val="0"/>
              <w:ind w:hanging="96"/>
              <w:jc w:val="center"/>
            </w:pPr>
            <w:r w:rsidRPr="005E3251">
              <w:t>0.003</w:t>
            </w:r>
          </w:p>
        </w:tc>
        <w:tc>
          <w:tcPr>
            <w:tcW w:w="484" w:type="pct"/>
            <w:vAlign w:val="center"/>
          </w:tcPr>
          <w:p w14:paraId="3025D059" w14:textId="77777777" w:rsidR="00425135" w:rsidRPr="005E3251" w:rsidRDefault="00425135" w:rsidP="00253F67">
            <w:pPr>
              <w:pStyle w:val="TableText0"/>
              <w:widowControl w:val="0"/>
              <w:jc w:val="center"/>
            </w:pPr>
            <w:r w:rsidRPr="005E3251">
              <w:t>-</w:t>
            </w:r>
          </w:p>
        </w:tc>
      </w:tr>
      <w:tr w:rsidR="00425135" w:rsidRPr="005E3251" w14:paraId="25322220" w14:textId="77777777" w:rsidTr="00CF2293">
        <w:tc>
          <w:tcPr>
            <w:tcW w:w="5000" w:type="pct"/>
            <w:gridSpan w:val="7"/>
            <w:vAlign w:val="center"/>
          </w:tcPr>
          <w:p w14:paraId="3E7B8F38" w14:textId="16C21177" w:rsidR="00425135" w:rsidRPr="005E3251" w:rsidRDefault="00425135" w:rsidP="00253F67">
            <w:pPr>
              <w:pStyle w:val="TableText0"/>
              <w:widowControl w:val="0"/>
              <w:rPr>
                <w:b/>
                <w:bCs w:val="0"/>
              </w:rPr>
            </w:pPr>
            <w:r w:rsidRPr="005E3251">
              <w:rPr>
                <w:b/>
                <w:bCs w:val="0"/>
              </w:rPr>
              <w:t>100% reduction in monthly CSF</w:t>
            </w:r>
            <w:r w:rsidR="00255567" w:rsidRPr="005E3251">
              <w:rPr>
                <w:b/>
                <w:bCs w:val="0"/>
              </w:rPr>
              <w:t xml:space="preserve"> </w:t>
            </w:r>
            <w:r w:rsidRPr="005E3251">
              <w:rPr>
                <w:b/>
                <w:bCs w:val="0"/>
                <w:vertAlign w:val="superscript"/>
              </w:rPr>
              <w:t>b</w:t>
            </w:r>
          </w:p>
        </w:tc>
      </w:tr>
      <w:tr w:rsidR="00425135" w:rsidRPr="005E3251" w14:paraId="18E1EA40" w14:textId="77777777" w:rsidTr="00741C39">
        <w:tc>
          <w:tcPr>
            <w:tcW w:w="979" w:type="pct"/>
            <w:vAlign w:val="center"/>
          </w:tcPr>
          <w:p w14:paraId="0F53E3BE" w14:textId="77777777" w:rsidR="00425135" w:rsidRPr="005E3251" w:rsidRDefault="00425135" w:rsidP="00253F67">
            <w:pPr>
              <w:pStyle w:val="TableText0"/>
              <w:widowControl w:val="0"/>
            </w:pPr>
            <w:r w:rsidRPr="005E3251">
              <w:t>n/N (%)</w:t>
            </w:r>
          </w:p>
        </w:tc>
        <w:tc>
          <w:tcPr>
            <w:tcW w:w="747" w:type="pct"/>
            <w:vAlign w:val="center"/>
          </w:tcPr>
          <w:p w14:paraId="6D66F0C2" w14:textId="2E6ADE01" w:rsidR="00425135" w:rsidRPr="005E3251" w:rsidRDefault="00425135" w:rsidP="005D03ED">
            <w:pPr>
              <w:pStyle w:val="TableText0"/>
              <w:widowControl w:val="0"/>
              <w:jc w:val="center"/>
            </w:pPr>
            <w:r w:rsidRPr="005E3251">
              <w:t>3/40</w:t>
            </w:r>
            <w:r w:rsidR="005D03ED" w:rsidRPr="005E3251">
              <w:t xml:space="preserve"> </w:t>
            </w:r>
            <w:r w:rsidRPr="005E3251">
              <w:t>(7.5)</w:t>
            </w:r>
          </w:p>
        </w:tc>
        <w:tc>
          <w:tcPr>
            <w:tcW w:w="515" w:type="pct"/>
            <w:vAlign w:val="center"/>
          </w:tcPr>
          <w:p w14:paraId="212F45E7" w14:textId="77777777" w:rsidR="00425135" w:rsidRPr="005E3251" w:rsidRDefault="00425135" w:rsidP="00253F67">
            <w:pPr>
              <w:pStyle w:val="TableText0"/>
              <w:widowControl w:val="0"/>
              <w:jc w:val="center"/>
            </w:pPr>
            <w:r w:rsidRPr="005E3251">
              <w:t>0/40</w:t>
            </w:r>
          </w:p>
          <w:p w14:paraId="2D997979" w14:textId="77777777" w:rsidR="00425135" w:rsidRPr="005E3251" w:rsidRDefault="00425135" w:rsidP="00253F67">
            <w:pPr>
              <w:pStyle w:val="TableText0"/>
              <w:widowControl w:val="0"/>
              <w:jc w:val="center"/>
            </w:pPr>
            <w:r w:rsidRPr="005E3251">
              <w:t>(0.0)</w:t>
            </w:r>
          </w:p>
        </w:tc>
        <w:tc>
          <w:tcPr>
            <w:tcW w:w="1059" w:type="pct"/>
            <w:vAlign w:val="center"/>
          </w:tcPr>
          <w:p w14:paraId="6FF9C57F" w14:textId="7EBE262D" w:rsidR="00425135" w:rsidRPr="005E3251" w:rsidRDefault="00425135" w:rsidP="005D03ED">
            <w:pPr>
              <w:pStyle w:val="TableText0"/>
              <w:widowControl w:val="0"/>
              <w:jc w:val="center"/>
            </w:pPr>
            <w:r w:rsidRPr="005E3251">
              <w:t>6/48</w:t>
            </w:r>
            <w:r w:rsidR="005D03ED" w:rsidRPr="005E3251">
              <w:t xml:space="preserve"> </w:t>
            </w:r>
            <w:r w:rsidRPr="005E3251">
              <w:t>(12.5)</w:t>
            </w:r>
          </w:p>
        </w:tc>
        <w:tc>
          <w:tcPr>
            <w:tcW w:w="392" w:type="pct"/>
            <w:vAlign w:val="center"/>
          </w:tcPr>
          <w:p w14:paraId="5C1A8E19" w14:textId="77777777" w:rsidR="00425135" w:rsidRPr="005E3251" w:rsidRDefault="00425135" w:rsidP="00253F67">
            <w:pPr>
              <w:pStyle w:val="TableText0"/>
              <w:widowControl w:val="0"/>
              <w:jc w:val="center"/>
            </w:pPr>
            <w:r w:rsidRPr="005E3251">
              <w:t>0/48</w:t>
            </w:r>
          </w:p>
          <w:p w14:paraId="01CA43C1" w14:textId="77777777" w:rsidR="00425135" w:rsidRPr="005E3251" w:rsidRDefault="00425135" w:rsidP="00253F67">
            <w:pPr>
              <w:pStyle w:val="TableText0"/>
              <w:widowControl w:val="0"/>
              <w:jc w:val="center"/>
            </w:pPr>
            <w:r w:rsidRPr="005E3251">
              <w:t>(0.0)</w:t>
            </w:r>
          </w:p>
        </w:tc>
        <w:tc>
          <w:tcPr>
            <w:tcW w:w="824" w:type="pct"/>
            <w:vAlign w:val="center"/>
          </w:tcPr>
          <w:p w14:paraId="60C29DC7" w14:textId="2BF176B0" w:rsidR="00425135" w:rsidRPr="005E3251" w:rsidRDefault="00425135" w:rsidP="005D03ED">
            <w:pPr>
              <w:pStyle w:val="TableText0"/>
              <w:widowControl w:val="0"/>
              <w:jc w:val="center"/>
            </w:pPr>
            <w:r w:rsidRPr="005E3251">
              <w:t>1/43</w:t>
            </w:r>
            <w:r w:rsidR="005D03ED" w:rsidRPr="005E3251">
              <w:t xml:space="preserve"> </w:t>
            </w:r>
            <w:r w:rsidRPr="005E3251">
              <w:t>(2.3)</w:t>
            </w:r>
          </w:p>
        </w:tc>
        <w:tc>
          <w:tcPr>
            <w:tcW w:w="484" w:type="pct"/>
            <w:vAlign w:val="center"/>
          </w:tcPr>
          <w:p w14:paraId="252BB595" w14:textId="77777777" w:rsidR="00425135" w:rsidRPr="005E3251" w:rsidRDefault="00425135" w:rsidP="00253F67">
            <w:pPr>
              <w:pStyle w:val="TableText0"/>
              <w:widowControl w:val="0"/>
              <w:jc w:val="center"/>
            </w:pPr>
            <w:r w:rsidRPr="005E3251">
              <w:t>0/44(0.0)</w:t>
            </w:r>
          </w:p>
        </w:tc>
      </w:tr>
      <w:tr w:rsidR="00425135" w:rsidRPr="005E3251" w14:paraId="531EC121" w14:textId="77777777" w:rsidTr="00741C39">
        <w:tc>
          <w:tcPr>
            <w:tcW w:w="979" w:type="pct"/>
            <w:vAlign w:val="center"/>
          </w:tcPr>
          <w:p w14:paraId="2DE459EA" w14:textId="77777777" w:rsidR="00425135" w:rsidRPr="005E3251" w:rsidRDefault="00425135" w:rsidP="00253F67">
            <w:pPr>
              <w:pStyle w:val="TableText0"/>
              <w:widowControl w:val="0"/>
              <w:rPr>
                <w:rFonts w:cs="Calibri"/>
                <w:szCs w:val="20"/>
              </w:rPr>
            </w:pPr>
            <w:r w:rsidRPr="005E3251">
              <w:rPr>
                <w:rFonts w:cs="Calibri"/>
                <w:szCs w:val="20"/>
              </w:rPr>
              <w:t xml:space="preserve">Odds ratio </w:t>
            </w:r>
            <w:r w:rsidRPr="005E3251">
              <w:t>(95% CI), p-value vs. placebo</w:t>
            </w:r>
          </w:p>
        </w:tc>
        <w:tc>
          <w:tcPr>
            <w:tcW w:w="747" w:type="pct"/>
            <w:vAlign w:val="center"/>
          </w:tcPr>
          <w:p w14:paraId="2C5A367B" w14:textId="77777777" w:rsidR="00425135" w:rsidRPr="005E3251" w:rsidRDefault="00425135" w:rsidP="00253F67">
            <w:pPr>
              <w:pStyle w:val="TableText0"/>
              <w:widowControl w:val="0"/>
              <w:jc w:val="center"/>
              <w:rPr>
                <w:rFonts w:cs="Calibri"/>
                <w:szCs w:val="20"/>
              </w:rPr>
            </w:pPr>
            <w:r w:rsidRPr="005E3251">
              <w:rPr>
                <w:rFonts w:cs="Calibri"/>
                <w:szCs w:val="20"/>
              </w:rPr>
              <w:t>NR</w:t>
            </w:r>
          </w:p>
        </w:tc>
        <w:tc>
          <w:tcPr>
            <w:tcW w:w="515" w:type="pct"/>
            <w:vAlign w:val="center"/>
          </w:tcPr>
          <w:p w14:paraId="1BE8E9AC" w14:textId="77777777" w:rsidR="00425135" w:rsidRPr="005E3251" w:rsidRDefault="00425135" w:rsidP="00253F67">
            <w:pPr>
              <w:pStyle w:val="TableText0"/>
              <w:widowControl w:val="0"/>
              <w:jc w:val="center"/>
              <w:rPr>
                <w:rFonts w:cs="Calibri"/>
                <w:szCs w:val="20"/>
              </w:rPr>
            </w:pPr>
            <w:r w:rsidRPr="005E3251">
              <w:rPr>
                <w:rFonts w:cs="Calibri"/>
                <w:szCs w:val="20"/>
              </w:rPr>
              <w:t>NR</w:t>
            </w:r>
          </w:p>
        </w:tc>
        <w:tc>
          <w:tcPr>
            <w:tcW w:w="1059" w:type="pct"/>
            <w:vAlign w:val="center"/>
          </w:tcPr>
          <w:p w14:paraId="51592EEB" w14:textId="77777777" w:rsidR="00425135" w:rsidRPr="005E3251" w:rsidRDefault="00425135" w:rsidP="00253F67">
            <w:pPr>
              <w:pStyle w:val="TableText0"/>
              <w:widowControl w:val="0"/>
              <w:jc w:val="center"/>
              <w:rPr>
                <w:rFonts w:cs="Calibri"/>
                <w:szCs w:val="20"/>
              </w:rPr>
            </w:pPr>
            <w:r w:rsidRPr="005E3251">
              <w:rPr>
                <w:rFonts w:cs="Calibri"/>
                <w:szCs w:val="20"/>
              </w:rPr>
              <w:t>NR</w:t>
            </w:r>
          </w:p>
        </w:tc>
        <w:tc>
          <w:tcPr>
            <w:tcW w:w="392" w:type="pct"/>
            <w:vAlign w:val="center"/>
          </w:tcPr>
          <w:p w14:paraId="6569D97E" w14:textId="77777777" w:rsidR="00425135" w:rsidRPr="005E3251" w:rsidRDefault="00425135" w:rsidP="00253F67">
            <w:pPr>
              <w:pStyle w:val="TableText0"/>
              <w:widowControl w:val="0"/>
              <w:jc w:val="center"/>
              <w:rPr>
                <w:rFonts w:cs="Calibri"/>
                <w:szCs w:val="20"/>
              </w:rPr>
            </w:pPr>
            <w:r w:rsidRPr="005E3251">
              <w:rPr>
                <w:rFonts w:cs="Calibri"/>
                <w:szCs w:val="20"/>
              </w:rPr>
              <w:t>NR</w:t>
            </w:r>
          </w:p>
        </w:tc>
        <w:tc>
          <w:tcPr>
            <w:tcW w:w="824" w:type="pct"/>
            <w:vAlign w:val="center"/>
          </w:tcPr>
          <w:p w14:paraId="28C994BC" w14:textId="77777777" w:rsidR="00425135" w:rsidRPr="005E3251" w:rsidRDefault="00425135" w:rsidP="00253F67">
            <w:pPr>
              <w:pStyle w:val="TableText0"/>
              <w:widowControl w:val="0"/>
              <w:jc w:val="center"/>
            </w:pPr>
            <w:r w:rsidRPr="005E3251">
              <w:rPr>
                <w:rFonts w:cs="Calibri"/>
                <w:szCs w:val="20"/>
              </w:rPr>
              <w:t>NR</w:t>
            </w:r>
          </w:p>
        </w:tc>
        <w:tc>
          <w:tcPr>
            <w:tcW w:w="484" w:type="pct"/>
            <w:vAlign w:val="center"/>
          </w:tcPr>
          <w:p w14:paraId="585BC198" w14:textId="77777777" w:rsidR="00425135" w:rsidRPr="005E3251" w:rsidRDefault="00425135" w:rsidP="00253F67">
            <w:pPr>
              <w:pStyle w:val="TableText0"/>
              <w:widowControl w:val="0"/>
              <w:jc w:val="center"/>
              <w:rPr>
                <w:rFonts w:cs="Calibri"/>
                <w:szCs w:val="20"/>
              </w:rPr>
            </w:pPr>
            <w:r w:rsidRPr="005E3251">
              <w:rPr>
                <w:rFonts w:cs="Calibri"/>
                <w:szCs w:val="20"/>
              </w:rPr>
              <w:t>NR</w:t>
            </w:r>
          </w:p>
        </w:tc>
      </w:tr>
    </w:tbl>
    <w:p w14:paraId="3B1B4BCF" w14:textId="77777777" w:rsidR="00CE7338" w:rsidRPr="005E3251" w:rsidRDefault="00CE7338" w:rsidP="00CE7338">
      <w:pPr>
        <w:pStyle w:val="TableFigureFooter"/>
      </w:pPr>
      <w:r w:rsidRPr="005E3251">
        <w:t>Source: Compiled during the evaluation using Table 2-23, p71, Table 2-29, p76, and Table 2-35, p80 of the submission.</w:t>
      </w:r>
      <w:r w:rsidRPr="005E3251">
        <w:rPr>
          <w:rFonts w:eastAsia="Calibri"/>
          <w:b/>
        </w:rPr>
        <w:t xml:space="preserve"> Bold</w:t>
      </w:r>
      <w:r w:rsidRPr="005E3251">
        <w:rPr>
          <w:rFonts w:eastAsia="Calibri"/>
        </w:rPr>
        <w:t xml:space="preserve"> indicates statistically significant results.</w:t>
      </w:r>
    </w:p>
    <w:p w14:paraId="21380F94" w14:textId="248B2AB7" w:rsidR="00CE7338" w:rsidRPr="005E3251" w:rsidRDefault="00CE7338" w:rsidP="00CE7338">
      <w:pPr>
        <w:pStyle w:val="TableFigureFooter"/>
        <w:rPr>
          <w:rFonts w:eastAsia="Calibri"/>
        </w:rPr>
      </w:pPr>
      <w:r w:rsidRPr="005E3251">
        <w:rPr>
          <w:rFonts w:eastAsia="Calibri"/>
        </w:rPr>
        <w:t xml:space="preserve">CI = confidence interval; CSF = convulsive seizure frequency; </w:t>
      </w:r>
      <w:r w:rsidR="00D66DE4" w:rsidRPr="005E3251">
        <w:rPr>
          <w:rFonts w:eastAsia="Calibri"/>
        </w:rPr>
        <w:t xml:space="preserve">FFA = fenfluramine; </w:t>
      </w:r>
      <w:r w:rsidRPr="005E3251">
        <w:rPr>
          <w:rFonts w:eastAsia="Calibri"/>
        </w:rPr>
        <w:t>n = number of participants with event; N = total participants in the group; NR = not reported</w:t>
      </w:r>
      <w:r w:rsidR="00D66DE4" w:rsidRPr="005E3251">
        <w:rPr>
          <w:rFonts w:eastAsia="Calibri"/>
        </w:rPr>
        <w:t>; PBO =placebo; STP = stiripentol</w:t>
      </w:r>
      <w:r w:rsidRPr="005E3251">
        <w:rPr>
          <w:rFonts w:eastAsia="Calibri"/>
        </w:rPr>
        <w:t xml:space="preserve">. </w:t>
      </w:r>
    </w:p>
    <w:p w14:paraId="71693C33" w14:textId="77777777" w:rsidR="00D263FF" w:rsidRPr="005E3251" w:rsidRDefault="008E4EDE" w:rsidP="00CE7338">
      <w:pPr>
        <w:pStyle w:val="TableFigureFooter"/>
        <w:rPr>
          <w:rFonts w:eastAsia="Calibri"/>
        </w:rPr>
      </w:pPr>
      <w:r w:rsidRPr="005E3251">
        <w:rPr>
          <w:rFonts w:eastAsia="Calibri"/>
        </w:rPr>
        <w:t>The results of the fenfluramine 0.2 mg/kg/day (without stiripentol) arm were not presented in this table because the dose was not relevant to the assessment.</w:t>
      </w:r>
      <w:r w:rsidR="00D263FF" w:rsidRPr="005E3251">
        <w:rPr>
          <w:rFonts w:eastAsia="Calibri"/>
        </w:rPr>
        <w:t xml:space="preserve"> </w:t>
      </w:r>
    </w:p>
    <w:p w14:paraId="7EBA7043" w14:textId="31E320AC" w:rsidR="00CE7338" w:rsidRPr="005E3251" w:rsidRDefault="00CE7338" w:rsidP="00CE7338">
      <w:pPr>
        <w:pStyle w:val="TableFigureFooter"/>
        <w:rPr>
          <w:rFonts w:eastAsia="Calibri"/>
          <w:snapToGrid/>
        </w:rPr>
      </w:pPr>
      <w:r w:rsidRPr="005E3251">
        <w:rPr>
          <w:rFonts w:eastAsia="Calibri"/>
          <w:snapToGrid/>
          <w:vertAlign w:val="superscript"/>
        </w:rPr>
        <w:t>a</w:t>
      </w:r>
      <w:r w:rsidRPr="005E3251">
        <w:rPr>
          <w:rFonts w:eastAsia="Calibri"/>
          <w:snapToGrid/>
        </w:rPr>
        <w:t>14 weeks titration = maintenance period.</w:t>
      </w:r>
    </w:p>
    <w:p w14:paraId="5171AFD4" w14:textId="4AC113B9" w:rsidR="00CE7338" w:rsidRPr="005E3251" w:rsidRDefault="00CE7338" w:rsidP="00CE7338">
      <w:pPr>
        <w:pStyle w:val="TableFigureFooter"/>
      </w:pPr>
      <w:r w:rsidRPr="005E3251">
        <w:rPr>
          <w:vertAlign w:val="superscript"/>
        </w:rPr>
        <w:t xml:space="preserve">b </w:t>
      </w:r>
      <w:r w:rsidRPr="005E3251">
        <w:t xml:space="preserve">Study 1, Study 3 and Study 2 described these as ‘other secondary endpoints’ but did not propose alpha levels to ascertain the statistical significance of the difference between the fenfluramine and placebo arms  Study 1 CSR, pp77-78 of the Study 3 CSR, p69 of the Study 2 CSR). Therefore, these are not presented in </w:t>
      </w:r>
      <w:r w:rsidRPr="005E3251">
        <w:rPr>
          <w:b/>
          <w:bCs/>
        </w:rPr>
        <w:t xml:space="preserve">bold </w:t>
      </w:r>
      <w:r w:rsidRPr="005E3251">
        <w:t>font.</w:t>
      </w:r>
    </w:p>
    <w:p w14:paraId="11732AAA" w14:textId="48AB637F" w:rsidR="00CE7338" w:rsidRPr="005E3251" w:rsidRDefault="00CE7338" w:rsidP="3216ABBD">
      <w:pPr>
        <w:pStyle w:val="3-BodyText"/>
      </w:pPr>
      <w:r w:rsidRPr="005E3251">
        <w:t xml:space="preserve">The fenfluramine trials reported a statistically significant higher proportion of participants </w:t>
      </w:r>
      <w:r w:rsidR="00625CEF" w:rsidRPr="005E3251">
        <w:t xml:space="preserve">in </w:t>
      </w:r>
      <w:r w:rsidR="00775A8C" w:rsidRPr="005E3251">
        <w:t xml:space="preserve">the </w:t>
      </w:r>
      <w:r w:rsidR="00625CEF" w:rsidRPr="005E3251">
        <w:t>fenfluramine treatment arms</w:t>
      </w:r>
      <w:r w:rsidRPr="005E3251">
        <w:t xml:space="preserve"> (</w:t>
      </w:r>
      <w:r w:rsidR="00625CEF" w:rsidRPr="005E3251">
        <w:t>53</w:t>
      </w:r>
      <w:r w:rsidRPr="005E3251">
        <w:t>.5% to 72.9%) than placebo (</w:t>
      </w:r>
      <w:r w:rsidR="00625CEF" w:rsidRPr="005E3251">
        <w:t>6.3</w:t>
      </w:r>
      <w:r w:rsidRPr="005E3251">
        <w:t xml:space="preserve">% to 12.5%) who achieved ≥50% reduction in </w:t>
      </w:r>
      <w:r w:rsidR="00157D66" w:rsidRPr="005E3251">
        <w:t>CSF</w:t>
      </w:r>
      <w:r w:rsidRPr="005E3251">
        <w:t xml:space="preserve"> during the titration + maintenance </w:t>
      </w:r>
      <w:r w:rsidRPr="005E3251">
        <w:lastRenderedPageBreak/>
        <w:t xml:space="preserve">period (14 weeks) compared with the baseline. However, the confidence intervals of the odds ratios were wide, </w:t>
      </w:r>
      <w:r w:rsidR="6E96F096" w:rsidRPr="005E3251">
        <w:t>indicating</w:t>
      </w:r>
      <w:r w:rsidRPr="005E3251">
        <w:t xml:space="preserve"> uncertainty in the magnitude of clinical benefit.</w:t>
      </w:r>
    </w:p>
    <w:p w14:paraId="0A387CA6" w14:textId="492691F6" w:rsidR="00CE7338" w:rsidRPr="005E3251" w:rsidRDefault="00CE7338" w:rsidP="005B6FAC">
      <w:pPr>
        <w:pStyle w:val="3-BodyText"/>
        <w:spacing w:line="259" w:lineRule="auto"/>
      </w:pPr>
      <w:r w:rsidRPr="005E3251">
        <w:t xml:space="preserve">The fenfluramine trials also reported a statistically significant higher proportion of participants across all fenfluramine doses than placebo who achieved ≥25% and ≥75% reduction in </w:t>
      </w:r>
      <w:r w:rsidR="00157D66" w:rsidRPr="005E3251">
        <w:t>CSF</w:t>
      </w:r>
      <w:r w:rsidRPr="005E3251">
        <w:t xml:space="preserve"> during the titration +maintenance period (14 weeks) compared with the baseline. Confidence intervals </w:t>
      </w:r>
      <w:r w:rsidR="00D3499D">
        <w:t>of the odds ratios</w:t>
      </w:r>
      <w:r w:rsidR="006A3A18">
        <w:t xml:space="preserve"> </w:t>
      </w:r>
      <w:r w:rsidRPr="005E3251">
        <w:t xml:space="preserve">were wide, </w:t>
      </w:r>
      <w:bookmarkStart w:id="38" w:name="_Hlk174474487"/>
      <w:r w:rsidR="3549C0D4" w:rsidRPr="005E3251">
        <w:t>indicating</w:t>
      </w:r>
      <w:r w:rsidRPr="005E3251">
        <w:t xml:space="preserve"> uncertainty in the magnitude of clinical benefit.</w:t>
      </w:r>
      <w:bookmarkEnd w:id="38"/>
    </w:p>
    <w:p w14:paraId="3412AB52" w14:textId="2DC557F6" w:rsidR="00CE7338" w:rsidRPr="005E3251" w:rsidRDefault="00CE7338" w:rsidP="3216ABBD">
      <w:pPr>
        <w:pStyle w:val="3-BodyText"/>
      </w:pPr>
      <w:r w:rsidRPr="005E3251">
        <w:t xml:space="preserve">The fenfluramine trials also reported a numerically greater proportion of participants in the fenfluramine 0.7 mg/kg/day (without stiripentol) arm (7.5%) than placebo (0%) who achieved a 100% reduction in </w:t>
      </w:r>
      <w:r w:rsidR="00157D66" w:rsidRPr="005E3251">
        <w:t>CSF</w:t>
      </w:r>
      <w:r w:rsidRPr="005E3251">
        <w:t xml:space="preserve">, also called ‘seizure freedom’ during the titration +maintenance period (14 weeks). </w:t>
      </w:r>
    </w:p>
    <w:p w14:paraId="4B433969" w14:textId="19C29AB7" w:rsidR="00CE7338" w:rsidRPr="005E3251" w:rsidRDefault="00CE7338" w:rsidP="00CE7338">
      <w:pPr>
        <w:pStyle w:val="3-BodyText"/>
      </w:pPr>
      <w:r w:rsidRPr="005E3251">
        <w:t>Long-term follow-up indicated that the beneficial effects of fenfluramine on decrease in seizure frequency were likely maintained. The fenfluramine open-label extension Study 1503 reported 64</w:t>
      </w:r>
      <w:r w:rsidR="007F78DC" w:rsidRPr="005E3251">
        <w:t>.4</w:t>
      </w:r>
      <w:r w:rsidRPr="005E3251">
        <w:t xml:space="preserve">% of participants (any dose) reported ≥50% reduction </w:t>
      </w:r>
      <w:r w:rsidR="005C0599" w:rsidRPr="005E3251">
        <w:t xml:space="preserve">in </w:t>
      </w:r>
      <w:r w:rsidR="00F92B24" w:rsidRPr="005E3251">
        <w:t xml:space="preserve">monthly </w:t>
      </w:r>
      <w:r w:rsidR="00157D66" w:rsidRPr="005E3251">
        <w:t>CSF</w:t>
      </w:r>
      <w:r w:rsidR="00F92B24" w:rsidRPr="005E3251">
        <w:t xml:space="preserve"> </w:t>
      </w:r>
      <w:r w:rsidRPr="005E3251">
        <w:t xml:space="preserve">at the end of 3 years. </w:t>
      </w:r>
    </w:p>
    <w:p w14:paraId="6CFE5C11" w14:textId="50FF6D67" w:rsidR="00CE7338" w:rsidRPr="005E3251" w:rsidRDefault="00CE7338" w:rsidP="00CE7338">
      <w:pPr>
        <w:pStyle w:val="3-BodyText"/>
      </w:pPr>
      <w:r w:rsidRPr="005E3251">
        <w:t xml:space="preserve">The patient-reported outcomes in the fenfluramine trials are presented in </w:t>
      </w:r>
      <w:r w:rsidR="000E3E8A" w:rsidRPr="005E3251">
        <w:fldChar w:fldCharType="begin" w:fldLock="1"/>
      </w:r>
      <w:r w:rsidR="000E3E8A" w:rsidRPr="005E3251">
        <w:instrText xml:space="preserve"> REF _Ref174481764 \h </w:instrText>
      </w:r>
      <w:r w:rsidR="005E3251" w:rsidRPr="005E3251">
        <w:instrText xml:space="preserve"> \* MERGEFORMAT </w:instrText>
      </w:r>
      <w:r w:rsidR="000E3E8A" w:rsidRPr="005E3251">
        <w:fldChar w:fldCharType="separate"/>
      </w:r>
      <w:r w:rsidR="00D72887" w:rsidRPr="005E3251">
        <w:t xml:space="preserve">Table </w:t>
      </w:r>
      <w:r w:rsidR="00D72887">
        <w:rPr>
          <w:noProof/>
        </w:rPr>
        <w:t>6</w:t>
      </w:r>
      <w:r w:rsidR="000E3E8A" w:rsidRPr="005E3251">
        <w:fldChar w:fldCharType="end"/>
      </w:r>
      <w:r w:rsidR="000E3E8A" w:rsidRPr="005E3251">
        <w:t>.</w:t>
      </w:r>
    </w:p>
    <w:p w14:paraId="751ED9BB" w14:textId="7ED35F06" w:rsidR="00CE7338" w:rsidRPr="005E3251" w:rsidRDefault="00CE7338" w:rsidP="003A741D">
      <w:pPr>
        <w:pStyle w:val="TableFigureHeading"/>
      </w:pPr>
      <w:bookmarkStart w:id="39" w:name="_Ref174481764"/>
      <w:r w:rsidRPr="005E3251">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6</w:t>
      </w:r>
      <w:r w:rsidR="00D72887">
        <w:rPr>
          <w:noProof/>
        </w:rPr>
        <w:fldChar w:fldCharType="end"/>
      </w:r>
      <w:bookmarkEnd w:id="39"/>
      <w:r w:rsidRPr="005E3251">
        <w:t>: Patient-reported outcomes and quality of life in fenfluramine trials, number (%) of participants with the rating at the end of the study period</w:t>
      </w:r>
    </w:p>
    <w:tbl>
      <w:tblPr>
        <w:tblStyle w:val="TableGrid"/>
        <w:tblW w:w="5028" w:type="pct"/>
        <w:tblLayout w:type="fixed"/>
        <w:tblCellMar>
          <w:left w:w="57" w:type="dxa"/>
          <w:right w:w="57" w:type="dxa"/>
        </w:tblCellMar>
        <w:tblLook w:val="04A0" w:firstRow="1" w:lastRow="0" w:firstColumn="1" w:lastColumn="0" w:noHBand="0" w:noVBand="1"/>
      </w:tblPr>
      <w:tblGrid>
        <w:gridCol w:w="2123"/>
        <w:gridCol w:w="1275"/>
        <w:gridCol w:w="994"/>
        <w:gridCol w:w="1275"/>
        <w:gridCol w:w="1133"/>
        <w:gridCol w:w="1277"/>
        <w:gridCol w:w="990"/>
      </w:tblGrid>
      <w:tr w:rsidR="006A1BA8" w:rsidRPr="005E3251" w14:paraId="6995AF26" w14:textId="77777777" w:rsidTr="00792F9D">
        <w:trPr>
          <w:tblHeader/>
        </w:trPr>
        <w:tc>
          <w:tcPr>
            <w:tcW w:w="1171" w:type="pct"/>
            <w:shd w:val="clear" w:color="auto" w:fill="auto"/>
            <w:vAlign w:val="center"/>
          </w:tcPr>
          <w:p w14:paraId="421B3B5E" w14:textId="77777777" w:rsidR="006A1BA8" w:rsidRPr="005E3251" w:rsidRDefault="006A1BA8" w:rsidP="003A741D">
            <w:pPr>
              <w:pStyle w:val="In-tableHeading"/>
              <w:rPr>
                <w:lang w:val="en-AU"/>
              </w:rPr>
            </w:pPr>
            <w:r w:rsidRPr="005E3251">
              <w:rPr>
                <w:lang w:val="en-AU"/>
              </w:rPr>
              <w:t>Trial ID</w:t>
            </w:r>
          </w:p>
        </w:tc>
        <w:tc>
          <w:tcPr>
            <w:tcW w:w="1250" w:type="pct"/>
            <w:gridSpan w:val="2"/>
            <w:shd w:val="clear" w:color="auto" w:fill="auto"/>
            <w:vAlign w:val="center"/>
          </w:tcPr>
          <w:p w14:paraId="29C15F37" w14:textId="77777777" w:rsidR="006A1BA8" w:rsidRPr="005E3251" w:rsidRDefault="006A1BA8" w:rsidP="003A741D">
            <w:pPr>
              <w:pStyle w:val="In-tableHeading"/>
              <w:jc w:val="center"/>
              <w:rPr>
                <w:lang w:val="en-AU"/>
              </w:rPr>
            </w:pPr>
            <w:r w:rsidRPr="005E3251">
              <w:rPr>
                <w:lang w:val="en-AU"/>
              </w:rPr>
              <w:t>Study 1</w:t>
            </w:r>
          </w:p>
        </w:tc>
        <w:tc>
          <w:tcPr>
            <w:tcW w:w="1328" w:type="pct"/>
            <w:gridSpan w:val="2"/>
            <w:vAlign w:val="center"/>
          </w:tcPr>
          <w:p w14:paraId="7A6E8131" w14:textId="77777777" w:rsidR="006A1BA8" w:rsidRPr="005E3251" w:rsidRDefault="006A1BA8" w:rsidP="003A741D">
            <w:pPr>
              <w:pStyle w:val="In-tableHeading"/>
              <w:jc w:val="center"/>
              <w:rPr>
                <w:lang w:val="en-AU"/>
              </w:rPr>
            </w:pPr>
            <w:r w:rsidRPr="005E3251">
              <w:rPr>
                <w:lang w:val="en-AU"/>
              </w:rPr>
              <w:t>Study 3</w:t>
            </w:r>
          </w:p>
        </w:tc>
        <w:tc>
          <w:tcPr>
            <w:tcW w:w="1251" w:type="pct"/>
            <w:gridSpan w:val="2"/>
            <w:vAlign w:val="center"/>
          </w:tcPr>
          <w:p w14:paraId="7C5F2830" w14:textId="77777777" w:rsidR="006A1BA8" w:rsidRPr="005E3251" w:rsidRDefault="006A1BA8" w:rsidP="003A741D">
            <w:pPr>
              <w:pStyle w:val="In-tableHeading"/>
              <w:jc w:val="center"/>
              <w:rPr>
                <w:lang w:val="en-AU"/>
              </w:rPr>
            </w:pPr>
            <w:r w:rsidRPr="005E3251">
              <w:rPr>
                <w:lang w:val="en-AU"/>
              </w:rPr>
              <w:t>Study 2</w:t>
            </w:r>
          </w:p>
        </w:tc>
      </w:tr>
      <w:tr w:rsidR="00792F9D" w:rsidRPr="005E3251" w14:paraId="736A3AB7" w14:textId="77777777" w:rsidTr="00792F9D">
        <w:trPr>
          <w:tblHeader/>
        </w:trPr>
        <w:tc>
          <w:tcPr>
            <w:tcW w:w="1171" w:type="pct"/>
            <w:shd w:val="clear" w:color="auto" w:fill="auto"/>
            <w:vAlign w:val="center"/>
          </w:tcPr>
          <w:p w14:paraId="2E6D2C6F" w14:textId="77777777" w:rsidR="006A1BA8" w:rsidRPr="005E3251" w:rsidRDefault="006A1BA8" w:rsidP="003A741D">
            <w:pPr>
              <w:pStyle w:val="In-tableHeading"/>
              <w:rPr>
                <w:lang w:val="en-AU"/>
              </w:rPr>
            </w:pPr>
            <w:r w:rsidRPr="005E3251">
              <w:rPr>
                <w:lang w:val="en-AU"/>
              </w:rPr>
              <w:t>Intervention and comparator</w:t>
            </w:r>
          </w:p>
        </w:tc>
        <w:tc>
          <w:tcPr>
            <w:tcW w:w="703" w:type="pct"/>
            <w:shd w:val="clear" w:color="auto" w:fill="auto"/>
            <w:vAlign w:val="center"/>
          </w:tcPr>
          <w:p w14:paraId="2D4E59D2" w14:textId="03F00AA7" w:rsidR="006A1BA8" w:rsidRPr="005E3251" w:rsidRDefault="006A1BA8" w:rsidP="003A741D">
            <w:pPr>
              <w:pStyle w:val="In-tableHeading"/>
              <w:jc w:val="center"/>
              <w:rPr>
                <w:lang w:val="en-AU"/>
              </w:rPr>
            </w:pPr>
            <w:r w:rsidRPr="005E3251">
              <w:rPr>
                <w:lang w:val="en-AU"/>
              </w:rPr>
              <w:t>FFA 0.7 mg/kg/day</w:t>
            </w:r>
          </w:p>
          <w:p w14:paraId="31D8894F" w14:textId="2AD563B7" w:rsidR="006A1BA8" w:rsidRPr="005E3251" w:rsidRDefault="006A1BA8" w:rsidP="003A741D">
            <w:pPr>
              <w:pStyle w:val="In-tableHeading"/>
              <w:jc w:val="center"/>
              <w:rPr>
                <w:lang w:val="en-AU"/>
              </w:rPr>
            </w:pPr>
            <w:r w:rsidRPr="005E3251">
              <w:rPr>
                <w:lang w:val="en-AU"/>
              </w:rPr>
              <w:t>(-STP)</w:t>
            </w:r>
          </w:p>
        </w:tc>
        <w:tc>
          <w:tcPr>
            <w:tcW w:w="548" w:type="pct"/>
            <w:vAlign w:val="center"/>
          </w:tcPr>
          <w:p w14:paraId="05B539D0" w14:textId="77777777" w:rsidR="00741C39" w:rsidRPr="005E3251" w:rsidRDefault="006A1BA8" w:rsidP="003A741D">
            <w:pPr>
              <w:pStyle w:val="In-tableHeading"/>
              <w:jc w:val="center"/>
              <w:rPr>
                <w:lang w:val="en-AU"/>
              </w:rPr>
            </w:pPr>
            <w:r w:rsidRPr="005E3251">
              <w:rPr>
                <w:lang w:val="en-AU"/>
              </w:rPr>
              <w:t>PBO</w:t>
            </w:r>
            <w:r w:rsidR="00741C39" w:rsidRPr="005E3251">
              <w:rPr>
                <w:lang w:val="en-AU"/>
              </w:rPr>
              <w:t xml:space="preserve"> </w:t>
            </w:r>
          </w:p>
          <w:p w14:paraId="5B186221" w14:textId="1C6C66EC" w:rsidR="006A1BA8" w:rsidRPr="005E3251" w:rsidRDefault="00741C39" w:rsidP="003A741D">
            <w:pPr>
              <w:pStyle w:val="In-tableHeading"/>
              <w:jc w:val="center"/>
              <w:rPr>
                <w:lang w:val="en-AU"/>
              </w:rPr>
            </w:pPr>
            <w:r w:rsidRPr="005E3251">
              <w:rPr>
                <w:rFonts w:cs="Calibri"/>
                <w:szCs w:val="20"/>
              </w:rPr>
              <w:t>(-STP)</w:t>
            </w:r>
          </w:p>
        </w:tc>
        <w:tc>
          <w:tcPr>
            <w:tcW w:w="703" w:type="pct"/>
            <w:vAlign w:val="center"/>
          </w:tcPr>
          <w:p w14:paraId="5179824D" w14:textId="575F1C0D" w:rsidR="006A1BA8" w:rsidRPr="005E3251" w:rsidRDefault="006A1BA8" w:rsidP="003A741D">
            <w:pPr>
              <w:pStyle w:val="In-tableHeading"/>
              <w:jc w:val="center"/>
              <w:rPr>
                <w:lang w:val="en-AU"/>
              </w:rPr>
            </w:pPr>
            <w:r w:rsidRPr="005E3251">
              <w:rPr>
                <w:lang w:val="en-AU"/>
              </w:rPr>
              <w:t>FFA 0.7 mg/kg/day</w:t>
            </w:r>
          </w:p>
          <w:p w14:paraId="3D88968B" w14:textId="76C3FDE1" w:rsidR="006A1BA8" w:rsidRPr="005E3251" w:rsidRDefault="006A1BA8" w:rsidP="003A741D">
            <w:pPr>
              <w:pStyle w:val="In-tableHeading"/>
              <w:jc w:val="center"/>
              <w:rPr>
                <w:lang w:val="en-AU"/>
              </w:rPr>
            </w:pPr>
            <w:r w:rsidRPr="005E3251">
              <w:rPr>
                <w:lang w:val="en-AU"/>
              </w:rPr>
              <w:t>(-STP)</w:t>
            </w:r>
          </w:p>
        </w:tc>
        <w:tc>
          <w:tcPr>
            <w:tcW w:w="625" w:type="pct"/>
            <w:vAlign w:val="center"/>
          </w:tcPr>
          <w:p w14:paraId="641EEC38" w14:textId="77777777" w:rsidR="00741C39" w:rsidRPr="005E3251" w:rsidRDefault="006A1BA8" w:rsidP="003A741D">
            <w:pPr>
              <w:pStyle w:val="In-tableHeading"/>
              <w:jc w:val="center"/>
              <w:rPr>
                <w:lang w:val="en-AU"/>
              </w:rPr>
            </w:pPr>
            <w:r w:rsidRPr="005E3251">
              <w:rPr>
                <w:lang w:val="en-AU"/>
              </w:rPr>
              <w:t>PBO</w:t>
            </w:r>
            <w:r w:rsidR="00741C39" w:rsidRPr="005E3251">
              <w:rPr>
                <w:lang w:val="en-AU"/>
              </w:rPr>
              <w:t xml:space="preserve"> </w:t>
            </w:r>
          </w:p>
          <w:p w14:paraId="3C0432C8" w14:textId="72528E03" w:rsidR="006A1BA8" w:rsidRPr="005E3251" w:rsidRDefault="00741C39" w:rsidP="003A741D">
            <w:pPr>
              <w:pStyle w:val="In-tableHeading"/>
              <w:jc w:val="center"/>
              <w:rPr>
                <w:lang w:val="en-AU"/>
              </w:rPr>
            </w:pPr>
            <w:r w:rsidRPr="005E3251">
              <w:rPr>
                <w:rFonts w:cs="Calibri"/>
                <w:szCs w:val="20"/>
              </w:rPr>
              <w:t>(-STP)</w:t>
            </w:r>
          </w:p>
        </w:tc>
        <w:tc>
          <w:tcPr>
            <w:tcW w:w="704" w:type="pct"/>
            <w:vAlign w:val="center"/>
          </w:tcPr>
          <w:p w14:paraId="081CE5CC" w14:textId="77777777" w:rsidR="006A1BA8" w:rsidRPr="005E3251" w:rsidRDefault="006A1BA8" w:rsidP="003A741D">
            <w:pPr>
              <w:pStyle w:val="In-tableHeading"/>
              <w:jc w:val="center"/>
              <w:rPr>
                <w:lang w:val="en-AU"/>
              </w:rPr>
            </w:pPr>
            <w:r w:rsidRPr="005E3251">
              <w:rPr>
                <w:lang w:val="en-AU"/>
              </w:rPr>
              <w:t>FFA 0.4 mg/kg/ day (+STP)</w:t>
            </w:r>
          </w:p>
        </w:tc>
        <w:tc>
          <w:tcPr>
            <w:tcW w:w="547" w:type="pct"/>
            <w:vAlign w:val="center"/>
          </w:tcPr>
          <w:p w14:paraId="63ED437B" w14:textId="77777777" w:rsidR="00741C39" w:rsidRPr="005E3251" w:rsidRDefault="006A1BA8" w:rsidP="003A741D">
            <w:pPr>
              <w:pStyle w:val="In-tableHeading"/>
              <w:jc w:val="center"/>
              <w:rPr>
                <w:lang w:val="en-AU"/>
              </w:rPr>
            </w:pPr>
            <w:r w:rsidRPr="005E3251">
              <w:rPr>
                <w:lang w:val="en-AU"/>
              </w:rPr>
              <w:t>PBO</w:t>
            </w:r>
          </w:p>
          <w:p w14:paraId="57A86CFE" w14:textId="74B5222E" w:rsidR="006A1BA8" w:rsidRPr="005E3251" w:rsidRDefault="00741C39" w:rsidP="003A741D">
            <w:pPr>
              <w:pStyle w:val="In-tableHeading"/>
              <w:jc w:val="center"/>
              <w:rPr>
                <w:lang w:val="en-AU"/>
              </w:rPr>
            </w:pPr>
            <w:r w:rsidRPr="005E3251">
              <w:rPr>
                <w:lang w:val="en-AU"/>
              </w:rPr>
              <w:t xml:space="preserve"> </w:t>
            </w:r>
            <w:r w:rsidRPr="005E3251">
              <w:rPr>
                <w:rFonts w:cs="Calibri"/>
                <w:szCs w:val="20"/>
              </w:rPr>
              <w:t>(+STP)</w:t>
            </w:r>
          </w:p>
        </w:tc>
      </w:tr>
      <w:tr w:rsidR="00792F9D" w:rsidRPr="005E3251" w14:paraId="7DE9CF37" w14:textId="77777777" w:rsidTr="00792F9D">
        <w:tc>
          <w:tcPr>
            <w:tcW w:w="1171" w:type="pct"/>
            <w:shd w:val="clear" w:color="auto" w:fill="auto"/>
            <w:vAlign w:val="center"/>
          </w:tcPr>
          <w:p w14:paraId="4D5B74A4" w14:textId="77777777" w:rsidR="006A1BA8" w:rsidRPr="005E3251" w:rsidRDefault="006A1BA8" w:rsidP="003A741D">
            <w:pPr>
              <w:pStyle w:val="In-tableHeading"/>
              <w:rPr>
                <w:b w:val="0"/>
                <w:bCs/>
                <w:lang w:val="en-AU"/>
              </w:rPr>
            </w:pPr>
            <w:r w:rsidRPr="005E3251">
              <w:rPr>
                <w:b w:val="0"/>
                <w:bCs/>
              </w:rPr>
              <w:t>Number of participants</w:t>
            </w:r>
          </w:p>
        </w:tc>
        <w:tc>
          <w:tcPr>
            <w:tcW w:w="703" w:type="pct"/>
            <w:shd w:val="clear" w:color="auto" w:fill="auto"/>
            <w:vAlign w:val="center"/>
          </w:tcPr>
          <w:p w14:paraId="4896A2A7" w14:textId="77777777" w:rsidR="006A1BA8" w:rsidRPr="005E3251" w:rsidRDefault="006A1BA8" w:rsidP="003A741D">
            <w:pPr>
              <w:pStyle w:val="In-tableHeading"/>
              <w:jc w:val="center"/>
              <w:rPr>
                <w:b w:val="0"/>
                <w:bCs/>
                <w:lang w:val="en-AU"/>
              </w:rPr>
            </w:pPr>
            <w:r w:rsidRPr="005E3251">
              <w:rPr>
                <w:rFonts w:cs="Calibri"/>
                <w:b w:val="0"/>
                <w:bCs/>
              </w:rPr>
              <w:t>N=40</w:t>
            </w:r>
          </w:p>
        </w:tc>
        <w:tc>
          <w:tcPr>
            <w:tcW w:w="548" w:type="pct"/>
            <w:vAlign w:val="center"/>
          </w:tcPr>
          <w:p w14:paraId="55EAA9CC" w14:textId="77777777" w:rsidR="006A1BA8" w:rsidRPr="005E3251" w:rsidRDefault="006A1BA8" w:rsidP="003A741D">
            <w:pPr>
              <w:pStyle w:val="In-tableHeading"/>
              <w:jc w:val="center"/>
              <w:rPr>
                <w:rFonts w:cs="Calibri"/>
                <w:b w:val="0"/>
                <w:bCs/>
              </w:rPr>
            </w:pPr>
            <w:r w:rsidRPr="005E3251">
              <w:rPr>
                <w:rFonts w:cs="Calibri"/>
                <w:b w:val="0"/>
                <w:bCs/>
              </w:rPr>
              <w:t>N=40</w:t>
            </w:r>
          </w:p>
        </w:tc>
        <w:tc>
          <w:tcPr>
            <w:tcW w:w="703" w:type="pct"/>
            <w:vAlign w:val="center"/>
          </w:tcPr>
          <w:p w14:paraId="2680DBBD" w14:textId="77777777" w:rsidR="006A1BA8" w:rsidRPr="005E3251" w:rsidRDefault="006A1BA8" w:rsidP="003A741D">
            <w:pPr>
              <w:pStyle w:val="In-tableHeading"/>
              <w:jc w:val="center"/>
              <w:rPr>
                <w:b w:val="0"/>
                <w:bCs/>
                <w:lang w:val="en-AU"/>
              </w:rPr>
            </w:pPr>
            <w:r w:rsidRPr="005E3251">
              <w:rPr>
                <w:rFonts w:cs="Calibri"/>
                <w:b w:val="0"/>
                <w:bCs/>
              </w:rPr>
              <w:t>N=48</w:t>
            </w:r>
          </w:p>
        </w:tc>
        <w:tc>
          <w:tcPr>
            <w:tcW w:w="625" w:type="pct"/>
            <w:vAlign w:val="center"/>
          </w:tcPr>
          <w:p w14:paraId="387AB954" w14:textId="77777777" w:rsidR="006A1BA8" w:rsidRPr="005E3251" w:rsidRDefault="006A1BA8" w:rsidP="003A741D">
            <w:pPr>
              <w:pStyle w:val="In-tableHeading"/>
              <w:jc w:val="center"/>
              <w:rPr>
                <w:rFonts w:cs="Calibri"/>
                <w:b w:val="0"/>
                <w:bCs/>
              </w:rPr>
            </w:pPr>
            <w:r w:rsidRPr="005E3251">
              <w:rPr>
                <w:rFonts w:cs="Calibri"/>
                <w:b w:val="0"/>
                <w:bCs/>
              </w:rPr>
              <w:t>N=48</w:t>
            </w:r>
          </w:p>
        </w:tc>
        <w:tc>
          <w:tcPr>
            <w:tcW w:w="704" w:type="pct"/>
            <w:vAlign w:val="center"/>
          </w:tcPr>
          <w:p w14:paraId="572492EC" w14:textId="77777777" w:rsidR="006A1BA8" w:rsidRPr="005E3251" w:rsidRDefault="006A1BA8" w:rsidP="003A741D">
            <w:pPr>
              <w:pStyle w:val="In-tableHeading"/>
              <w:jc w:val="center"/>
              <w:rPr>
                <w:b w:val="0"/>
                <w:bCs/>
                <w:lang w:val="en-AU"/>
              </w:rPr>
            </w:pPr>
            <w:r w:rsidRPr="005E3251">
              <w:rPr>
                <w:rFonts w:cs="Calibri"/>
                <w:b w:val="0"/>
                <w:bCs/>
              </w:rPr>
              <w:t>N=43</w:t>
            </w:r>
          </w:p>
        </w:tc>
        <w:tc>
          <w:tcPr>
            <w:tcW w:w="547" w:type="pct"/>
            <w:vAlign w:val="center"/>
          </w:tcPr>
          <w:p w14:paraId="3125458C" w14:textId="77777777" w:rsidR="006A1BA8" w:rsidRPr="005E3251" w:rsidRDefault="006A1BA8" w:rsidP="003A741D">
            <w:pPr>
              <w:pStyle w:val="In-tableHeading"/>
              <w:jc w:val="center"/>
              <w:rPr>
                <w:b w:val="0"/>
                <w:bCs/>
                <w:lang w:val="en-AU"/>
              </w:rPr>
            </w:pPr>
            <w:r w:rsidRPr="005E3251">
              <w:rPr>
                <w:rFonts w:cs="Calibri"/>
                <w:b w:val="0"/>
                <w:bCs/>
              </w:rPr>
              <w:t>N=44</w:t>
            </w:r>
          </w:p>
        </w:tc>
      </w:tr>
      <w:tr w:rsidR="006A1BA8" w:rsidRPr="005E3251" w14:paraId="0617F65F" w14:textId="77777777" w:rsidTr="00792F9D">
        <w:tc>
          <w:tcPr>
            <w:tcW w:w="5000" w:type="pct"/>
            <w:gridSpan w:val="7"/>
            <w:shd w:val="clear" w:color="auto" w:fill="auto"/>
            <w:vAlign w:val="center"/>
          </w:tcPr>
          <w:p w14:paraId="0DBF7C80" w14:textId="77777777" w:rsidR="006A1BA8" w:rsidRPr="005E3251" w:rsidRDefault="006A1BA8" w:rsidP="003A741D">
            <w:pPr>
              <w:pStyle w:val="In-tableHeading"/>
              <w:rPr>
                <w:rFonts w:cs="Calibri"/>
                <w:b w:val="0"/>
                <w:bCs/>
              </w:rPr>
            </w:pPr>
            <w:r w:rsidRPr="005E3251">
              <w:t>Clinical Global Impression of Improvement (CGI-I)</w:t>
            </w:r>
          </w:p>
        </w:tc>
      </w:tr>
      <w:tr w:rsidR="00792F9D" w:rsidRPr="005E3251" w14:paraId="21C2F7F4" w14:textId="77777777" w:rsidTr="00792F9D">
        <w:tc>
          <w:tcPr>
            <w:tcW w:w="1171" w:type="pct"/>
            <w:shd w:val="clear" w:color="auto" w:fill="auto"/>
          </w:tcPr>
          <w:p w14:paraId="60535302" w14:textId="77777777" w:rsidR="006A1BA8" w:rsidRPr="005E3251" w:rsidRDefault="006A1BA8" w:rsidP="003A741D">
            <w:pPr>
              <w:pStyle w:val="TableText0"/>
              <w:widowControl w:val="0"/>
            </w:pPr>
            <w:r w:rsidRPr="005E3251">
              <w:t>Parent or caregiver rating: “Very much improved or much improved”, n (%)</w:t>
            </w:r>
          </w:p>
        </w:tc>
        <w:tc>
          <w:tcPr>
            <w:tcW w:w="703" w:type="pct"/>
            <w:shd w:val="clear" w:color="auto" w:fill="auto"/>
            <w:vAlign w:val="center"/>
          </w:tcPr>
          <w:p w14:paraId="77A44BEA" w14:textId="77777777" w:rsidR="006A1BA8" w:rsidRPr="005E3251" w:rsidRDefault="006A1BA8" w:rsidP="003A741D">
            <w:pPr>
              <w:pStyle w:val="TableText0"/>
              <w:widowControl w:val="0"/>
              <w:jc w:val="center"/>
            </w:pPr>
            <w:r w:rsidRPr="005E3251">
              <w:t>22 (55.0)</w:t>
            </w:r>
          </w:p>
        </w:tc>
        <w:tc>
          <w:tcPr>
            <w:tcW w:w="548" w:type="pct"/>
            <w:vAlign w:val="center"/>
          </w:tcPr>
          <w:p w14:paraId="75014831" w14:textId="77777777" w:rsidR="006A1BA8" w:rsidRPr="005E3251" w:rsidRDefault="006A1BA8" w:rsidP="003A741D">
            <w:pPr>
              <w:pStyle w:val="TableText0"/>
              <w:widowControl w:val="0"/>
              <w:jc w:val="center"/>
            </w:pPr>
            <w:r w:rsidRPr="005E3251">
              <w:t>4 (10.0)</w:t>
            </w:r>
          </w:p>
        </w:tc>
        <w:tc>
          <w:tcPr>
            <w:tcW w:w="703" w:type="pct"/>
            <w:vAlign w:val="center"/>
          </w:tcPr>
          <w:p w14:paraId="4D3B6720" w14:textId="77777777" w:rsidR="006A1BA8" w:rsidRPr="005E3251" w:rsidRDefault="006A1BA8" w:rsidP="003A741D">
            <w:pPr>
              <w:pStyle w:val="TableText0"/>
              <w:widowControl w:val="0"/>
              <w:jc w:val="center"/>
            </w:pPr>
            <w:r w:rsidRPr="005E3251">
              <w:t>30 (62.5)</w:t>
            </w:r>
          </w:p>
        </w:tc>
        <w:tc>
          <w:tcPr>
            <w:tcW w:w="625" w:type="pct"/>
            <w:vAlign w:val="center"/>
          </w:tcPr>
          <w:p w14:paraId="7AF0230B" w14:textId="77777777" w:rsidR="006A1BA8" w:rsidRPr="005E3251" w:rsidRDefault="006A1BA8" w:rsidP="003A741D">
            <w:pPr>
              <w:pStyle w:val="TableText0"/>
              <w:widowControl w:val="0"/>
              <w:jc w:val="center"/>
            </w:pPr>
            <w:r w:rsidRPr="005E3251">
              <w:t>4 (8.3)</w:t>
            </w:r>
          </w:p>
        </w:tc>
        <w:tc>
          <w:tcPr>
            <w:tcW w:w="704" w:type="pct"/>
            <w:vAlign w:val="center"/>
          </w:tcPr>
          <w:p w14:paraId="697D56D4" w14:textId="77777777" w:rsidR="006A1BA8" w:rsidRPr="005E3251" w:rsidRDefault="006A1BA8" w:rsidP="003A741D">
            <w:pPr>
              <w:pStyle w:val="TableText0"/>
              <w:widowControl w:val="0"/>
              <w:jc w:val="center"/>
            </w:pPr>
            <w:r w:rsidRPr="005E3251">
              <w:t>14 (33.0)</w:t>
            </w:r>
          </w:p>
        </w:tc>
        <w:tc>
          <w:tcPr>
            <w:tcW w:w="547" w:type="pct"/>
            <w:vAlign w:val="center"/>
          </w:tcPr>
          <w:p w14:paraId="0878EA58" w14:textId="77777777" w:rsidR="006A1BA8" w:rsidRPr="005E3251" w:rsidRDefault="006A1BA8" w:rsidP="003A741D">
            <w:pPr>
              <w:pStyle w:val="TableText0"/>
              <w:widowControl w:val="0"/>
              <w:jc w:val="center"/>
            </w:pPr>
            <w:r w:rsidRPr="005E3251">
              <w:t>9 (21.0)</w:t>
            </w:r>
          </w:p>
        </w:tc>
      </w:tr>
      <w:tr w:rsidR="00792F9D" w:rsidRPr="005E3251" w14:paraId="38618831" w14:textId="77777777" w:rsidTr="00792F9D">
        <w:tc>
          <w:tcPr>
            <w:tcW w:w="1171" w:type="pct"/>
            <w:shd w:val="clear" w:color="auto" w:fill="auto"/>
          </w:tcPr>
          <w:p w14:paraId="4FAF1824" w14:textId="77777777" w:rsidR="006A1BA8" w:rsidRPr="005E3251" w:rsidRDefault="006A1BA8" w:rsidP="003A741D">
            <w:pPr>
              <w:pStyle w:val="TableText0"/>
              <w:widowControl w:val="0"/>
            </w:pPr>
            <w:r w:rsidRPr="005E3251">
              <w:t>Odds ratio vs. PBO (95% CI), p-value</w:t>
            </w:r>
          </w:p>
        </w:tc>
        <w:tc>
          <w:tcPr>
            <w:tcW w:w="703" w:type="pct"/>
            <w:shd w:val="clear" w:color="auto" w:fill="auto"/>
            <w:vAlign w:val="center"/>
          </w:tcPr>
          <w:p w14:paraId="0CB30F76" w14:textId="77777777" w:rsidR="00C01E01" w:rsidRPr="005E3251" w:rsidRDefault="006A1BA8" w:rsidP="003A741D">
            <w:pPr>
              <w:pStyle w:val="TableText0"/>
              <w:widowControl w:val="0"/>
              <w:jc w:val="center"/>
              <w:rPr>
                <w:b/>
                <w:bCs w:val="0"/>
              </w:rPr>
            </w:pPr>
            <w:r w:rsidRPr="005E3251">
              <w:rPr>
                <w:b/>
                <w:bCs w:val="0"/>
              </w:rPr>
              <w:t>12.0</w:t>
            </w:r>
            <w:r w:rsidR="00C01E01" w:rsidRPr="005E3251">
              <w:rPr>
                <w:b/>
                <w:bCs w:val="0"/>
              </w:rPr>
              <w:t xml:space="preserve"> </w:t>
            </w:r>
            <w:r w:rsidRPr="005E3251">
              <w:rPr>
                <w:b/>
                <w:bCs w:val="0"/>
              </w:rPr>
              <w:t>(CI NR),</w:t>
            </w:r>
          </w:p>
          <w:p w14:paraId="65D428E8" w14:textId="0A7D870F" w:rsidR="006A1BA8" w:rsidRPr="005E3251" w:rsidRDefault="006A1BA8" w:rsidP="003A741D">
            <w:pPr>
              <w:pStyle w:val="TableText0"/>
              <w:widowControl w:val="0"/>
              <w:jc w:val="center"/>
              <w:rPr>
                <w:b/>
                <w:bCs w:val="0"/>
              </w:rPr>
            </w:pPr>
            <w:r w:rsidRPr="005E3251">
              <w:rPr>
                <w:b/>
                <w:bCs w:val="0"/>
              </w:rPr>
              <w:t xml:space="preserve"> &lt;0.001</w:t>
            </w:r>
          </w:p>
        </w:tc>
        <w:tc>
          <w:tcPr>
            <w:tcW w:w="548" w:type="pct"/>
            <w:vAlign w:val="center"/>
          </w:tcPr>
          <w:p w14:paraId="17324AEA" w14:textId="77777777" w:rsidR="006A1BA8" w:rsidRPr="005E3251" w:rsidRDefault="006A1BA8" w:rsidP="003A741D">
            <w:pPr>
              <w:pStyle w:val="TableText0"/>
              <w:widowControl w:val="0"/>
              <w:jc w:val="center"/>
              <w:rPr>
                <w:b/>
                <w:bCs w:val="0"/>
              </w:rPr>
            </w:pPr>
            <w:r w:rsidRPr="005E3251">
              <w:t>-</w:t>
            </w:r>
          </w:p>
        </w:tc>
        <w:tc>
          <w:tcPr>
            <w:tcW w:w="703" w:type="pct"/>
            <w:vAlign w:val="center"/>
          </w:tcPr>
          <w:p w14:paraId="1F877688" w14:textId="74D57B58" w:rsidR="006A1BA8" w:rsidRPr="005E3251" w:rsidRDefault="006A1BA8" w:rsidP="003A741D">
            <w:pPr>
              <w:pStyle w:val="TableText0"/>
              <w:widowControl w:val="0"/>
              <w:jc w:val="center"/>
              <w:rPr>
                <w:b/>
                <w:bCs w:val="0"/>
              </w:rPr>
            </w:pPr>
            <w:r w:rsidRPr="005E3251">
              <w:rPr>
                <w:b/>
                <w:bCs w:val="0"/>
              </w:rPr>
              <w:t>16.1</w:t>
            </w:r>
            <w:r w:rsidR="00C01E01" w:rsidRPr="005E3251">
              <w:rPr>
                <w:b/>
                <w:bCs w:val="0"/>
              </w:rPr>
              <w:t xml:space="preserve"> </w:t>
            </w:r>
            <w:r w:rsidRPr="005E3251">
              <w:rPr>
                <w:b/>
                <w:bCs w:val="0"/>
              </w:rPr>
              <w:t>(5.0, 52.0), &lt;0.0001</w:t>
            </w:r>
          </w:p>
        </w:tc>
        <w:tc>
          <w:tcPr>
            <w:tcW w:w="625" w:type="pct"/>
            <w:vAlign w:val="center"/>
          </w:tcPr>
          <w:p w14:paraId="2ADB05C4" w14:textId="77777777" w:rsidR="006A1BA8" w:rsidRPr="005E3251" w:rsidRDefault="006A1BA8" w:rsidP="003A741D">
            <w:pPr>
              <w:pStyle w:val="TableText0"/>
              <w:widowControl w:val="0"/>
              <w:jc w:val="center"/>
            </w:pPr>
            <w:r w:rsidRPr="005E3251">
              <w:t>-</w:t>
            </w:r>
          </w:p>
        </w:tc>
        <w:tc>
          <w:tcPr>
            <w:tcW w:w="704" w:type="pct"/>
            <w:vAlign w:val="center"/>
          </w:tcPr>
          <w:p w14:paraId="4EFC56C4" w14:textId="41920F48" w:rsidR="006A1BA8" w:rsidRPr="005E3251" w:rsidRDefault="006A1BA8" w:rsidP="003A741D">
            <w:pPr>
              <w:pStyle w:val="TableText0"/>
              <w:widowControl w:val="0"/>
              <w:jc w:val="center"/>
            </w:pPr>
            <w:r w:rsidRPr="005E3251">
              <w:t>2.1</w:t>
            </w:r>
            <w:r w:rsidR="00C01E01" w:rsidRPr="005E3251">
              <w:t xml:space="preserve"> </w:t>
            </w:r>
            <w:r w:rsidRPr="005E3251">
              <w:t>(0.8, 5.7), 0.142</w:t>
            </w:r>
          </w:p>
        </w:tc>
        <w:tc>
          <w:tcPr>
            <w:tcW w:w="547" w:type="pct"/>
            <w:vAlign w:val="center"/>
          </w:tcPr>
          <w:p w14:paraId="41997D1D" w14:textId="77777777" w:rsidR="006A1BA8" w:rsidRPr="005E3251" w:rsidRDefault="006A1BA8" w:rsidP="003A741D">
            <w:pPr>
              <w:pStyle w:val="TableText0"/>
              <w:widowControl w:val="0"/>
              <w:jc w:val="center"/>
            </w:pPr>
            <w:r w:rsidRPr="005E3251">
              <w:t>-</w:t>
            </w:r>
          </w:p>
        </w:tc>
      </w:tr>
      <w:tr w:rsidR="00792F9D" w:rsidRPr="005E3251" w14:paraId="1935668C" w14:textId="77777777" w:rsidTr="00792F9D">
        <w:tc>
          <w:tcPr>
            <w:tcW w:w="1171" w:type="pct"/>
            <w:shd w:val="clear" w:color="auto" w:fill="auto"/>
          </w:tcPr>
          <w:p w14:paraId="10B2A4A8" w14:textId="77777777" w:rsidR="006A1BA8" w:rsidRPr="005E3251" w:rsidRDefault="006A1BA8" w:rsidP="003A741D">
            <w:pPr>
              <w:pStyle w:val="TableText0"/>
              <w:widowControl w:val="0"/>
            </w:pPr>
            <w:r w:rsidRPr="005E3251">
              <w:t>Parent or caregiver rating: Any improvement, n (%)</w:t>
            </w:r>
          </w:p>
        </w:tc>
        <w:tc>
          <w:tcPr>
            <w:tcW w:w="703" w:type="pct"/>
            <w:shd w:val="clear" w:color="auto" w:fill="auto"/>
            <w:vAlign w:val="center"/>
          </w:tcPr>
          <w:p w14:paraId="75481090" w14:textId="633586C1" w:rsidR="006A1BA8" w:rsidRPr="005E3251" w:rsidRDefault="006A1BA8" w:rsidP="003A741D">
            <w:pPr>
              <w:pStyle w:val="TableText0"/>
              <w:widowControl w:val="0"/>
              <w:jc w:val="center"/>
            </w:pPr>
            <w:r w:rsidRPr="005E3251">
              <w:t>26</w:t>
            </w:r>
            <w:r w:rsidR="008D5226" w:rsidRPr="005E3251">
              <w:t xml:space="preserve"> </w:t>
            </w:r>
            <w:r w:rsidRPr="005E3251">
              <w:t>(65.0)</w:t>
            </w:r>
          </w:p>
        </w:tc>
        <w:tc>
          <w:tcPr>
            <w:tcW w:w="548" w:type="pct"/>
            <w:vAlign w:val="center"/>
          </w:tcPr>
          <w:p w14:paraId="68B0699C" w14:textId="77777777" w:rsidR="006A1BA8" w:rsidRPr="005E3251" w:rsidRDefault="006A1BA8" w:rsidP="003A741D">
            <w:pPr>
              <w:pStyle w:val="TableText0"/>
              <w:widowControl w:val="0"/>
              <w:jc w:val="center"/>
            </w:pPr>
            <w:r w:rsidRPr="005E3251">
              <w:t>12 (30.0)</w:t>
            </w:r>
          </w:p>
        </w:tc>
        <w:tc>
          <w:tcPr>
            <w:tcW w:w="703" w:type="pct"/>
            <w:vAlign w:val="center"/>
          </w:tcPr>
          <w:p w14:paraId="1FBBECF4" w14:textId="168684D3" w:rsidR="006A1BA8" w:rsidRPr="005E3251" w:rsidRDefault="006A1BA8" w:rsidP="003A741D">
            <w:pPr>
              <w:pStyle w:val="TableText0"/>
              <w:widowControl w:val="0"/>
              <w:jc w:val="center"/>
            </w:pPr>
            <w:r w:rsidRPr="005E3251">
              <w:t>40</w:t>
            </w:r>
            <w:r w:rsidR="008D5226" w:rsidRPr="005E3251">
              <w:t xml:space="preserve"> </w:t>
            </w:r>
            <w:r w:rsidRPr="005E3251">
              <w:t>(83.3)</w:t>
            </w:r>
          </w:p>
        </w:tc>
        <w:tc>
          <w:tcPr>
            <w:tcW w:w="625" w:type="pct"/>
            <w:vAlign w:val="center"/>
          </w:tcPr>
          <w:p w14:paraId="077E09DC" w14:textId="03DC3683" w:rsidR="006A1BA8" w:rsidRPr="005E3251" w:rsidRDefault="006A1BA8" w:rsidP="003A741D">
            <w:pPr>
              <w:pStyle w:val="TableText0"/>
              <w:widowControl w:val="0"/>
              <w:jc w:val="center"/>
            </w:pPr>
            <w:r w:rsidRPr="005E3251">
              <w:t>13 (27.1)</w:t>
            </w:r>
          </w:p>
        </w:tc>
        <w:tc>
          <w:tcPr>
            <w:tcW w:w="704" w:type="pct"/>
            <w:vAlign w:val="center"/>
          </w:tcPr>
          <w:p w14:paraId="094CFFC3" w14:textId="4CD58D7C" w:rsidR="006A1BA8" w:rsidRPr="005E3251" w:rsidRDefault="006A1BA8" w:rsidP="003A741D">
            <w:pPr>
              <w:pStyle w:val="TableText0"/>
              <w:widowControl w:val="0"/>
              <w:jc w:val="center"/>
            </w:pPr>
            <w:r w:rsidRPr="005E3251">
              <w:t>19 (44.0)</w:t>
            </w:r>
          </w:p>
        </w:tc>
        <w:tc>
          <w:tcPr>
            <w:tcW w:w="547" w:type="pct"/>
            <w:vAlign w:val="center"/>
          </w:tcPr>
          <w:p w14:paraId="69FC9036" w14:textId="6FDB3E23" w:rsidR="006A1BA8" w:rsidRPr="005E3251" w:rsidRDefault="006A1BA8" w:rsidP="003A741D">
            <w:pPr>
              <w:pStyle w:val="TableText0"/>
              <w:widowControl w:val="0"/>
              <w:jc w:val="center"/>
            </w:pPr>
            <w:r w:rsidRPr="005E3251">
              <w:t xml:space="preserve">7 </w:t>
            </w:r>
            <w:r w:rsidR="00D55FB7" w:rsidRPr="005E3251">
              <w:t>(</w:t>
            </w:r>
            <w:r w:rsidRPr="005E3251">
              <w:t>16.0)</w:t>
            </w:r>
          </w:p>
        </w:tc>
      </w:tr>
      <w:tr w:rsidR="00792F9D" w:rsidRPr="005E3251" w14:paraId="52447817" w14:textId="77777777" w:rsidTr="00792F9D">
        <w:tc>
          <w:tcPr>
            <w:tcW w:w="1171" w:type="pct"/>
            <w:shd w:val="clear" w:color="auto" w:fill="auto"/>
          </w:tcPr>
          <w:p w14:paraId="30ABD729" w14:textId="77777777" w:rsidR="006A1BA8" w:rsidRPr="005E3251" w:rsidRDefault="006A1BA8" w:rsidP="003A741D">
            <w:pPr>
              <w:pStyle w:val="TableText0"/>
              <w:widowControl w:val="0"/>
            </w:pPr>
            <w:r w:rsidRPr="005E3251">
              <w:t>Odds ratio vs. PBO (95% CI), p-value</w:t>
            </w:r>
          </w:p>
        </w:tc>
        <w:tc>
          <w:tcPr>
            <w:tcW w:w="703" w:type="pct"/>
            <w:shd w:val="clear" w:color="auto" w:fill="auto"/>
            <w:vAlign w:val="center"/>
          </w:tcPr>
          <w:p w14:paraId="5198DAD2" w14:textId="4C363759" w:rsidR="00C01E01" w:rsidRPr="005E3251" w:rsidRDefault="006A1BA8" w:rsidP="003A741D">
            <w:pPr>
              <w:pStyle w:val="TableText0"/>
              <w:widowControl w:val="0"/>
              <w:jc w:val="center"/>
              <w:rPr>
                <w:b/>
                <w:bCs w:val="0"/>
              </w:rPr>
            </w:pPr>
            <w:r w:rsidRPr="005E3251">
              <w:rPr>
                <w:b/>
                <w:bCs w:val="0"/>
              </w:rPr>
              <w:t>4.6</w:t>
            </w:r>
            <w:r w:rsidR="00C01E01" w:rsidRPr="005E3251">
              <w:rPr>
                <w:b/>
                <w:bCs w:val="0"/>
              </w:rPr>
              <w:t xml:space="preserve"> </w:t>
            </w:r>
            <w:r w:rsidRPr="005E3251">
              <w:rPr>
                <w:b/>
                <w:bCs w:val="0"/>
              </w:rPr>
              <w:t>(CI NR)</w:t>
            </w:r>
            <w:r w:rsidR="00C01E01" w:rsidRPr="005E3251">
              <w:rPr>
                <w:b/>
                <w:bCs w:val="0"/>
              </w:rPr>
              <w:t>,</w:t>
            </w:r>
            <w:r w:rsidRPr="005E3251">
              <w:rPr>
                <w:b/>
                <w:bCs w:val="0"/>
              </w:rPr>
              <w:t xml:space="preserve"> </w:t>
            </w:r>
          </w:p>
          <w:p w14:paraId="3F58FF41" w14:textId="50E08D48" w:rsidR="006A1BA8" w:rsidRPr="005E3251" w:rsidRDefault="006A1BA8" w:rsidP="003A741D">
            <w:pPr>
              <w:pStyle w:val="TableText0"/>
              <w:widowControl w:val="0"/>
              <w:jc w:val="center"/>
              <w:rPr>
                <w:b/>
                <w:bCs w:val="0"/>
              </w:rPr>
            </w:pPr>
            <w:r w:rsidRPr="005E3251">
              <w:rPr>
                <w:b/>
                <w:bCs w:val="0"/>
              </w:rPr>
              <w:t>0.002</w:t>
            </w:r>
          </w:p>
        </w:tc>
        <w:tc>
          <w:tcPr>
            <w:tcW w:w="548" w:type="pct"/>
            <w:vAlign w:val="center"/>
          </w:tcPr>
          <w:p w14:paraId="544541DF" w14:textId="77777777" w:rsidR="006A1BA8" w:rsidRPr="005E3251" w:rsidRDefault="006A1BA8" w:rsidP="003A741D">
            <w:pPr>
              <w:pStyle w:val="TableText0"/>
              <w:widowControl w:val="0"/>
              <w:jc w:val="center"/>
              <w:rPr>
                <w:b/>
                <w:bCs w:val="0"/>
              </w:rPr>
            </w:pPr>
            <w:r w:rsidRPr="005E3251">
              <w:t>-</w:t>
            </w:r>
          </w:p>
        </w:tc>
        <w:tc>
          <w:tcPr>
            <w:tcW w:w="703" w:type="pct"/>
            <w:vAlign w:val="center"/>
          </w:tcPr>
          <w:p w14:paraId="221E0921" w14:textId="7F4289FF" w:rsidR="006A1BA8" w:rsidRPr="005E3251" w:rsidRDefault="006A1BA8" w:rsidP="003A741D">
            <w:pPr>
              <w:pStyle w:val="TableText0"/>
              <w:widowControl w:val="0"/>
              <w:jc w:val="center"/>
              <w:rPr>
                <w:b/>
                <w:bCs w:val="0"/>
              </w:rPr>
            </w:pPr>
            <w:r w:rsidRPr="005E3251">
              <w:rPr>
                <w:b/>
                <w:bCs w:val="0"/>
              </w:rPr>
              <w:t>15.1</w:t>
            </w:r>
            <w:r w:rsidR="00C01E01" w:rsidRPr="005E3251">
              <w:rPr>
                <w:b/>
                <w:bCs w:val="0"/>
              </w:rPr>
              <w:t xml:space="preserve"> </w:t>
            </w:r>
            <w:r w:rsidRPr="005E3251">
              <w:rPr>
                <w:b/>
                <w:bCs w:val="0"/>
              </w:rPr>
              <w:t>(5.2, 44.3), &lt;0.0001</w:t>
            </w:r>
          </w:p>
        </w:tc>
        <w:tc>
          <w:tcPr>
            <w:tcW w:w="625" w:type="pct"/>
            <w:vAlign w:val="center"/>
          </w:tcPr>
          <w:p w14:paraId="755103F0" w14:textId="77777777" w:rsidR="006A1BA8" w:rsidRPr="005E3251" w:rsidRDefault="006A1BA8" w:rsidP="003A741D">
            <w:pPr>
              <w:pStyle w:val="TableText0"/>
              <w:widowControl w:val="0"/>
              <w:jc w:val="center"/>
              <w:rPr>
                <w:b/>
                <w:bCs w:val="0"/>
              </w:rPr>
            </w:pPr>
            <w:r w:rsidRPr="005E3251">
              <w:t>-</w:t>
            </w:r>
          </w:p>
        </w:tc>
        <w:tc>
          <w:tcPr>
            <w:tcW w:w="704" w:type="pct"/>
            <w:vAlign w:val="center"/>
          </w:tcPr>
          <w:p w14:paraId="4010FCEF" w14:textId="77777777" w:rsidR="006A1BA8" w:rsidRPr="005E3251" w:rsidRDefault="006A1BA8" w:rsidP="003A741D">
            <w:pPr>
              <w:pStyle w:val="TableText0"/>
              <w:widowControl w:val="0"/>
              <w:jc w:val="center"/>
              <w:rPr>
                <w:b/>
                <w:bCs w:val="0"/>
              </w:rPr>
            </w:pPr>
            <w:r w:rsidRPr="005E3251">
              <w:rPr>
                <w:b/>
                <w:bCs w:val="0"/>
              </w:rPr>
              <w:t>NR,</w:t>
            </w:r>
          </w:p>
          <w:p w14:paraId="66C42248" w14:textId="77777777" w:rsidR="006A1BA8" w:rsidRPr="005E3251" w:rsidRDefault="006A1BA8" w:rsidP="003A741D">
            <w:pPr>
              <w:pStyle w:val="TableText0"/>
              <w:widowControl w:val="0"/>
              <w:jc w:val="center"/>
            </w:pPr>
            <w:r w:rsidRPr="005E3251">
              <w:rPr>
                <w:b/>
                <w:bCs w:val="0"/>
              </w:rPr>
              <w:t>0.008</w:t>
            </w:r>
          </w:p>
        </w:tc>
        <w:tc>
          <w:tcPr>
            <w:tcW w:w="547" w:type="pct"/>
            <w:vAlign w:val="center"/>
          </w:tcPr>
          <w:p w14:paraId="0D640C9C" w14:textId="77777777" w:rsidR="006A1BA8" w:rsidRPr="005E3251" w:rsidRDefault="006A1BA8" w:rsidP="003A741D">
            <w:pPr>
              <w:pStyle w:val="TableText0"/>
              <w:widowControl w:val="0"/>
              <w:jc w:val="center"/>
            </w:pPr>
            <w:r w:rsidRPr="005E3251">
              <w:t>-</w:t>
            </w:r>
          </w:p>
        </w:tc>
      </w:tr>
      <w:tr w:rsidR="00792F9D" w:rsidRPr="005E3251" w14:paraId="33B57932" w14:textId="77777777" w:rsidTr="00792F9D">
        <w:tc>
          <w:tcPr>
            <w:tcW w:w="1171" w:type="pct"/>
            <w:shd w:val="clear" w:color="auto" w:fill="auto"/>
          </w:tcPr>
          <w:p w14:paraId="27BFE5C5" w14:textId="77777777" w:rsidR="006A1BA8" w:rsidRPr="005E3251" w:rsidRDefault="006A1BA8" w:rsidP="003A741D">
            <w:pPr>
              <w:pStyle w:val="TableText0"/>
              <w:widowControl w:val="0"/>
            </w:pPr>
            <w:r w:rsidRPr="005E3251">
              <w:t>Investigator rating: “Very much improved or much improved”, n (%)</w:t>
            </w:r>
          </w:p>
        </w:tc>
        <w:tc>
          <w:tcPr>
            <w:tcW w:w="703" w:type="pct"/>
            <w:shd w:val="clear" w:color="auto" w:fill="auto"/>
            <w:vAlign w:val="center"/>
          </w:tcPr>
          <w:p w14:paraId="7E0C51D5" w14:textId="2BD5D97F" w:rsidR="006A1BA8" w:rsidRPr="005E3251" w:rsidRDefault="006A1BA8" w:rsidP="003A741D">
            <w:pPr>
              <w:pStyle w:val="TableText0"/>
              <w:widowControl w:val="0"/>
              <w:jc w:val="center"/>
            </w:pPr>
            <w:r w:rsidRPr="005E3251">
              <w:t>25</w:t>
            </w:r>
            <w:r w:rsidR="008D5226" w:rsidRPr="005E3251">
              <w:t xml:space="preserve"> </w:t>
            </w:r>
            <w:r w:rsidRPr="005E3251">
              <w:t>(62.5)</w:t>
            </w:r>
          </w:p>
        </w:tc>
        <w:tc>
          <w:tcPr>
            <w:tcW w:w="548" w:type="pct"/>
            <w:vAlign w:val="center"/>
          </w:tcPr>
          <w:p w14:paraId="233F6458" w14:textId="7D2A76AB" w:rsidR="006A1BA8" w:rsidRPr="005E3251" w:rsidRDefault="006A1BA8" w:rsidP="003A741D">
            <w:pPr>
              <w:pStyle w:val="TableText0"/>
              <w:widowControl w:val="0"/>
              <w:jc w:val="center"/>
            </w:pPr>
            <w:r w:rsidRPr="005E3251">
              <w:t>4</w:t>
            </w:r>
            <w:r w:rsidR="008D5226" w:rsidRPr="005E3251">
              <w:t xml:space="preserve"> </w:t>
            </w:r>
            <w:r w:rsidRPr="005E3251">
              <w:t>(10.0)</w:t>
            </w:r>
          </w:p>
        </w:tc>
        <w:tc>
          <w:tcPr>
            <w:tcW w:w="703" w:type="pct"/>
            <w:vAlign w:val="center"/>
          </w:tcPr>
          <w:p w14:paraId="63ED1E43" w14:textId="0525E8B8" w:rsidR="006A1BA8" w:rsidRPr="005E3251" w:rsidRDefault="006A1BA8" w:rsidP="003A741D">
            <w:pPr>
              <w:pStyle w:val="TableText0"/>
              <w:widowControl w:val="0"/>
              <w:jc w:val="center"/>
            </w:pPr>
            <w:r w:rsidRPr="005E3251">
              <w:t>31</w:t>
            </w:r>
            <w:r w:rsidR="008D5226" w:rsidRPr="005E3251">
              <w:t xml:space="preserve"> </w:t>
            </w:r>
            <w:r w:rsidRPr="005E3251">
              <w:t>(64.6)</w:t>
            </w:r>
          </w:p>
        </w:tc>
        <w:tc>
          <w:tcPr>
            <w:tcW w:w="625" w:type="pct"/>
            <w:vAlign w:val="center"/>
          </w:tcPr>
          <w:p w14:paraId="3FE528FE" w14:textId="0867EE9D" w:rsidR="006A1BA8" w:rsidRPr="005E3251" w:rsidRDefault="006A1BA8" w:rsidP="003A741D">
            <w:pPr>
              <w:pStyle w:val="TableText0"/>
              <w:widowControl w:val="0"/>
              <w:jc w:val="center"/>
            </w:pPr>
            <w:r w:rsidRPr="005E3251">
              <w:t>4</w:t>
            </w:r>
            <w:r w:rsidR="008D5226" w:rsidRPr="005E3251">
              <w:t xml:space="preserve"> </w:t>
            </w:r>
            <w:r w:rsidRPr="005E3251">
              <w:t>(8.3)</w:t>
            </w:r>
          </w:p>
        </w:tc>
        <w:tc>
          <w:tcPr>
            <w:tcW w:w="704" w:type="pct"/>
            <w:vAlign w:val="center"/>
          </w:tcPr>
          <w:p w14:paraId="3DEE66A1" w14:textId="102680C1" w:rsidR="006A1BA8" w:rsidRPr="005E3251" w:rsidRDefault="006A1BA8" w:rsidP="003A741D">
            <w:pPr>
              <w:pStyle w:val="TableText0"/>
              <w:widowControl w:val="0"/>
              <w:jc w:val="center"/>
            </w:pPr>
            <w:r w:rsidRPr="005E3251">
              <w:t>26</w:t>
            </w:r>
            <w:r w:rsidR="008D5226" w:rsidRPr="005E3251">
              <w:t xml:space="preserve"> </w:t>
            </w:r>
            <w:r w:rsidRPr="005E3251">
              <w:t>(60.5)</w:t>
            </w:r>
          </w:p>
        </w:tc>
        <w:tc>
          <w:tcPr>
            <w:tcW w:w="547" w:type="pct"/>
            <w:vAlign w:val="center"/>
          </w:tcPr>
          <w:p w14:paraId="2E740375" w14:textId="32BB0154" w:rsidR="006A1BA8" w:rsidRPr="005E3251" w:rsidRDefault="006A1BA8" w:rsidP="003A741D">
            <w:pPr>
              <w:pStyle w:val="TableText0"/>
              <w:widowControl w:val="0"/>
              <w:jc w:val="center"/>
            </w:pPr>
            <w:r w:rsidRPr="005E3251">
              <w:t>16</w:t>
            </w:r>
            <w:r w:rsidR="008D5226" w:rsidRPr="005E3251">
              <w:t xml:space="preserve"> </w:t>
            </w:r>
            <w:r w:rsidRPr="005E3251">
              <w:t>(36.4)</w:t>
            </w:r>
          </w:p>
        </w:tc>
      </w:tr>
      <w:tr w:rsidR="00792F9D" w:rsidRPr="005E3251" w14:paraId="757F830C" w14:textId="77777777" w:rsidTr="00792F9D">
        <w:trPr>
          <w:cantSplit/>
          <w:trHeight w:val="454"/>
        </w:trPr>
        <w:tc>
          <w:tcPr>
            <w:tcW w:w="1171" w:type="pct"/>
            <w:shd w:val="clear" w:color="auto" w:fill="auto"/>
          </w:tcPr>
          <w:p w14:paraId="53F736E6" w14:textId="77777777" w:rsidR="006A1BA8" w:rsidRPr="005E3251" w:rsidRDefault="006A1BA8" w:rsidP="003A741D">
            <w:pPr>
              <w:pStyle w:val="TableText0"/>
              <w:widowControl w:val="0"/>
            </w:pPr>
            <w:r w:rsidRPr="005E3251">
              <w:t>Odds ratio vs. PBO (95% CI), p-value</w:t>
            </w:r>
          </w:p>
        </w:tc>
        <w:tc>
          <w:tcPr>
            <w:tcW w:w="703" w:type="pct"/>
            <w:shd w:val="clear" w:color="auto" w:fill="auto"/>
            <w:vAlign w:val="center"/>
          </w:tcPr>
          <w:p w14:paraId="51B5FDF3" w14:textId="77777777" w:rsidR="00C01E01" w:rsidRPr="005E3251" w:rsidRDefault="006A1BA8" w:rsidP="003A741D">
            <w:pPr>
              <w:pStyle w:val="TableText0"/>
              <w:widowControl w:val="0"/>
              <w:jc w:val="center"/>
              <w:rPr>
                <w:b/>
                <w:bCs w:val="0"/>
              </w:rPr>
            </w:pPr>
            <w:r w:rsidRPr="005E3251">
              <w:rPr>
                <w:b/>
                <w:bCs w:val="0"/>
              </w:rPr>
              <w:t>19.6</w:t>
            </w:r>
            <w:r w:rsidR="00C01E01" w:rsidRPr="005E3251">
              <w:rPr>
                <w:b/>
                <w:bCs w:val="0"/>
              </w:rPr>
              <w:t xml:space="preserve"> </w:t>
            </w:r>
            <w:r w:rsidRPr="005E3251">
              <w:rPr>
                <w:b/>
                <w:bCs w:val="0"/>
              </w:rPr>
              <w:t xml:space="preserve">(CI NR), </w:t>
            </w:r>
          </w:p>
          <w:p w14:paraId="3C74B9EA" w14:textId="47BA50AE" w:rsidR="006A1BA8" w:rsidRPr="005E3251" w:rsidRDefault="006A1BA8" w:rsidP="003A741D">
            <w:pPr>
              <w:pStyle w:val="TableText0"/>
              <w:widowControl w:val="0"/>
              <w:jc w:val="center"/>
              <w:rPr>
                <w:b/>
                <w:bCs w:val="0"/>
              </w:rPr>
            </w:pPr>
            <w:r w:rsidRPr="005E3251">
              <w:rPr>
                <w:b/>
                <w:bCs w:val="0"/>
              </w:rPr>
              <w:t>&lt;0.001</w:t>
            </w:r>
          </w:p>
        </w:tc>
        <w:tc>
          <w:tcPr>
            <w:tcW w:w="548" w:type="pct"/>
            <w:vAlign w:val="center"/>
          </w:tcPr>
          <w:p w14:paraId="650D18CD" w14:textId="77777777" w:rsidR="006A1BA8" w:rsidRPr="005E3251" w:rsidRDefault="006A1BA8" w:rsidP="003A741D">
            <w:pPr>
              <w:pStyle w:val="TableText0"/>
              <w:widowControl w:val="0"/>
              <w:jc w:val="center"/>
              <w:rPr>
                <w:b/>
                <w:bCs w:val="0"/>
              </w:rPr>
            </w:pPr>
            <w:r w:rsidRPr="005E3251">
              <w:t>-</w:t>
            </w:r>
          </w:p>
        </w:tc>
        <w:tc>
          <w:tcPr>
            <w:tcW w:w="703" w:type="pct"/>
            <w:vAlign w:val="center"/>
          </w:tcPr>
          <w:p w14:paraId="4625EFC7" w14:textId="77777777" w:rsidR="006A1BA8" w:rsidRPr="005E3251" w:rsidRDefault="006A1BA8" w:rsidP="003A741D">
            <w:pPr>
              <w:pStyle w:val="TableText0"/>
              <w:widowControl w:val="0"/>
              <w:jc w:val="center"/>
              <w:rPr>
                <w:b/>
                <w:bCs w:val="0"/>
              </w:rPr>
            </w:pPr>
            <w:r w:rsidRPr="005E3251">
              <w:rPr>
                <w:b/>
                <w:bCs w:val="0"/>
              </w:rPr>
              <w:t>16.1 (5.0, 51.9), &lt;0.0001</w:t>
            </w:r>
          </w:p>
        </w:tc>
        <w:tc>
          <w:tcPr>
            <w:tcW w:w="625" w:type="pct"/>
            <w:vAlign w:val="center"/>
          </w:tcPr>
          <w:p w14:paraId="386C892C" w14:textId="77777777" w:rsidR="006A1BA8" w:rsidRPr="005E3251" w:rsidRDefault="006A1BA8" w:rsidP="003A741D">
            <w:pPr>
              <w:pStyle w:val="TableText0"/>
              <w:widowControl w:val="0"/>
              <w:jc w:val="center"/>
              <w:rPr>
                <w:b/>
                <w:bCs w:val="0"/>
              </w:rPr>
            </w:pPr>
            <w:r w:rsidRPr="005E3251">
              <w:t>-</w:t>
            </w:r>
          </w:p>
        </w:tc>
        <w:tc>
          <w:tcPr>
            <w:tcW w:w="704" w:type="pct"/>
            <w:vAlign w:val="center"/>
          </w:tcPr>
          <w:p w14:paraId="7A19E5EA" w14:textId="6C07DE90" w:rsidR="006A1BA8" w:rsidRPr="005E3251" w:rsidRDefault="006A1BA8" w:rsidP="003A741D">
            <w:pPr>
              <w:pStyle w:val="TableText0"/>
              <w:widowControl w:val="0"/>
              <w:jc w:val="center"/>
              <w:rPr>
                <w:b/>
                <w:bCs w:val="0"/>
              </w:rPr>
            </w:pPr>
            <w:r w:rsidRPr="005E3251">
              <w:rPr>
                <w:b/>
                <w:bCs w:val="0"/>
              </w:rPr>
              <w:t>3.9</w:t>
            </w:r>
            <w:r w:rsidR="00C01E01" w:rsidRPr="005E3251">
              <w:rPr>
                <w:b/>
                <w:bCs w:val="0"/>
              </w:rPr>
              <w:t xml:space="preserve"> </w:t>
            </w:r>
            <w:r w:rsidRPr="005E3251">
              <w:rPr>
                <w:b/>
                <w:bCs w:val="0"/>
              </w:rPr>
              <w:t>(1.4, 10.6), 0.008</w:t>
            </w:r>
          </w:p>
        </w:tc>
        <w:tc>
          <w:tcPr>
            <w:tcW w:w="547" w:type="pct"/>
            <w:vAlign w:val="center"/>
          </w:tcPr>
          <w:p w14:paraId="4E96426F" w14:textId="77777777" w:rsidR="006A1BA8" w:rsidRPr="005E3251" w:rsidRDefault="006A1BA8" w:rsidP="003A741D">
            <w:pPr>
              <w:pStyle w:val="TableText0"/>
              <w:widowControl w:val="0"/>
              <w:jc w:val="center"/>
            </w:pPr>
            <w:r w:rsidRPr="005E3251">
              <w:t>-</w:t>
            </w:r>
          </w:p>
        </w:tc>
      </w:tr>
      <w:tr w:rsidR="00792F9D" w:rsidRPr="005E3251" w14:paraId="016A4953" w14:textId="77777777" w:rsidTr="00792F9D">
        <w:tc>
          <w:tcPr>
            <w:tcW w:w="1171" w:type="pct"/>
            <w:shd w:val="clear" w:color="auto" w:fill="auto"/>
          </w:tcPr>
          <w:p w14:paraId="37D364B0" w14:textId="77777777" w:rsidR="006A1BA8" w:rsidRPr="005E3251" w:rsidRDefault="006A1BA8" w:rsidP="003A741D">
            <w:pPr>
              <w:pStyle w:val="TableText0"/>
              <w:widowControl w:val="0"/>
            </w:pPr>
            <w:r w:rsidRPr="005E3251">
              <w:t>Investigator rating: Any improvement, n (%)</w:t>
            </w:r>
          </w:p>
        </w:tc>
        <w:tc>
          <w:tcPr>
            <w:tcW w:w="703" w:type="pct"/>
            <w:shd w:val="clear" w:color="auto" w:fill="auto"/>
            <w:vAlign w:val="center"/>
          </w:tcPr>
          <w:p w14:paraId="49E4FD0A" w14:textId="436CD2AD" w:rsidR="006A1BA8" w:rsidRPr="005E3251" w:rsidRDefault="006A1BA8" w:rsidP="003A741D">
            <w:pPr>
              <w:pStyle w:val="TableText0"/>
              <w:widowControl w:val="0"/>
              <w:jc w:val="center"/>
            </w:pPr>
            <w:r w:rsidRPr="005E3251">
              <w:t>31</w:t>
            </w:r>
            <w:r w:rsidR="00D55FB7" w:rsidRPr="005E3251">
              <w:t xml:space="preserve"> </w:t>
            </w:r>
            <w:r w:rsidRPr="005E3251">
              <w:t>(77.5)</w:t>
            </w:r>
          </w:p>
        </w:tc>
        <w:tc>
          <w:tcPr>
            <w:tcW w:w="548" w:type="pct"/>
            <w:vAlign w:val="center"/>
          </w:tcPr>
          <w:p w14:paraId="70CC343C" w14:textId="227B8AEB" w:rsidR="006A1BA8" w:rsidRPr="005E3251" w:rsidRDefault="006A1BA8" w:rsidP="003A741D">
            <w:pPr>
              <w:pStyle w:val="TableText0"/>
              <w:widowControl w:val="0"/>
              <w:jc w:val="center"/>
            </w:pPr>
            <w:r w:rsidRPr="005E3251">
              <w:t>16 (40.0)</w:t>
            </w:r>
          </w:p>
        </w:tc>
        <w:tc>
          <w:tcPr>
            <w:tcW w:w="703" w:type="pct"/>
            <w:vAlign w:val="center"/>
          </w:tcPr>
          <w:p w14:paraId="504C7BA7" w14:textId="30993F8F" w:rsidR="006A1BA8" w:rsidRPr="005E3251" w:rsidRDefault="006A1BA8" w:rsidP="003A741D">
            <w:pPr>
              <w:pStyle w:val="TableText0"/>
              <w:widowControl w:val="0"/>
              <w:jc w:val="center"/>
            </w:pPr>
            <w:r w:rsidRPr="005E3251">
              <w:t>36</w:t>
            </w:r>
            <w:r w:rsidR="00D55FB7" w:rsidRPr="005E3251">
              <w:t xml:space="preserve"> </w:t>
            </w:r>
            <w:r w:rsidRPr="005E3251">
              <w:t>(75.0)</w:t>
            </w:r>
          </w:p>
        </w:tc>
        <w:tc>
          <w:tcPr>
            <w:tcW w:w="625" w:type="pct"/>
            <w:vAlign w:val="center"/>
          </w:tcPr>
          <w:p w14:paraId="5E156A5F" w14:textId="0F4FDCBE" w:rsidR="006A1BA8" w:rsidRPr="005E3251" w:rsidRDefault="006A1BA8" w:rsidP="003A741D">
            <w:pPr>
              <w:pStyle w:val="TableText0"/>
              <w:widowControl w:val="0"/>
              <w:jc w:val="center"/>
            </w:pPr>
            <w:r w:rsidRPr="005E3251">
              <w:t>4</w:t>
            </w:r>
            <w:r w:rsidR="00D55FB7" w:rsidRPr="005E3251">
              <w:t xml:space="preserve"> </w:t>
            </w:r>
            <w:r w:rsidRPr="005E3251">
              <w:t>(8.3)</w:t>
            </w:r>
          </w:p>
        </w:tc>
        <w:tc>
          <w:tcPr>
            <w:tcW w:w="704" w:type="pct"/>
            <w:vAlign w:val="center"/>
          </w:tcPr>
          <w:p w14:paraId="413E38B7" w14:textId="2D03FE46" w:rsidR="006A1BA8" w:rsidRPr="005E3251" w:rsidRDefault="006A1BA8" w:rsidP="003A741D">
            <w:pPr>
              <w:pStyle w:val="TableText0"/>
              <w:widowControl w:val="0"/>
              <w:jc w:val="center"/>
            </w:pPr>
            <w:r w:rsidRPr="005E3251">
              <w:t>31</w:t>
            </w:r>
            <w:r w:rsidR="00D55FB7" w:rsidRPr="005E3251">
              <w:t xml:space="preserve"> </w:t>
            </w:r>
            <w:r w:rsidRPr="005E3251">
              <w:t>(72.1)</w:t>
            </w:r>
          </w:p>
        </w:tc>
        <w:tc>
          <w:tcPr>
            <w:tcW w:w="547" w:type="pct"/>
            <w:vAlign w:val="center"/>
          </w:tcPr>
          <w:p w14:paraId="64B7FCCE" w14:textId="363A0344" w:rsidR="006A1BA8" w:rsidRPr="005E3251" w:rsidRDefault="006A1BA8" w:rsidP="003A741D">
            <w:pPr>
              <w:pStyle w:val="TableText0"/>
              <w:widowControl w:val="0"/>
              <w:jc w:val="center"/>
            </w:pPr>
            <w:r w:rsidRPr="005E3251">
              <w:t>14</w:t>
            </w:r>
            <w:r w:rsidR="00D55FB7" w:rsidRPr="005E3251">
              <w:t xml:space="preserve"> </w:t>
            </w:r>
            <w:r w:rsidRPr="005E3251">
              <w:t>(31.8)</w:t>
            </w:r>
          </w:p>
        </w:tc>
      </w:tr>
      <w:tr w:rsidR="00792F9D" w:rsidRPr="005E3251" w14:paraId="1FB2EA0F" w14:textId="77777777" w:rsidTr="00792F9D">
        <w:tc>
          <w:tcPr>
            <w:tcW w:w="1171" w:type="pct"/>
            <w:shd w:val="clear" w:color="auto" w:fill="auto"/>
          </w:tcPr>
          <w:p w14:paraId="658BAA80" w14:textId="77777777" w:rsidR="006A1BA8" w:rsidRPr="005E3251" w:rsidRDefault="006A1BA8" w:rsidP="003A741D">
            <w:pPr>
              <w:pStyle w:val="TableText0"/>
              <w:widowControl w:val="0"/>
            </w:pPr>
            <w:r w:rsidRPr="005E3251">
              <w:t>Odds ratio vs. PBO (95% CI), p-value</w:t>
            </w:r>
          </w:p>
        </w:tc>
        <w:tc>
          <w:tcPr>
            <w:tcW w:w="703" w:type="pct"/>
            <w:shd w:val="clear" w:color="auto" w:fill="auto"/>
            <w:vAlign w:val="center"/>
          </w:tcPr>
          <w:p w14:paraId="056F6443" w14:textId="77777777" w:rsidR="00D55FB7" w:rsidRPr="005E3251" w:rsidRDefault="006A1BA8" w:rsidP="003A741D">
            <w:pPr>
              <w:pStyle w:val="TableText0"/>
              <w:widowControl w:val="0"/>
              <w:jc w:val="center"/>
              <w:rPr>
                <w:b/>
                <w:bCs w:val="0"/>
              </w:rPr>
            </w:pPr>
            <w:r w:rsidRPr="005E3251">
              <w:rPr>
                <w:b/>
                <w:bCs w:val="0"/>
              </w:rPr>
              <w:t>6.9</w:t>
            </w:r>
            <w:r w:rsidR="00D55FB7" w:rsidRPr="005E3251">
              <w:rPr>
                <w:b/>
                <w:bCs w:val="0"/>
              </w:rPr>
              <w:t xml:space="preserve"> </w:t>
            </w:r>
            <w:r w:rsidRPr="005E3251">
              <w:rPr>
                <w:b/>
                <w:bCs w:val="0"/>
              </w:rPr>
              <w:t xml:space="preserve">(CI NR), </w:t>
            </w:r>
          </w:p>
          <w:p w14:paraId="65FA3303" w14:textId="1A63E5B1" w:rsidR="006A1BA8" w:rsidRPr="005E3251" w:rsidRDefault="006A1BA8" w:rsidP="003A741D">
            <w:pPr>
              <w:pStyle w:val="TableText0"/>
              <w:widowControl w:val="0"/>
              <w:jc w:val="center"/>
              <w:rPr>
                <w:b/>
                <w:bCs w:val="0"/>
              </w:rPr>
            </w:pPr>
            <w:r w:rsidRPr="005E3251">
              <w:rPr>
                <w:b/>
                <w:bCs w:val="0"/>
              </w:rPr>
              <w:t>&lt;0.001</w:t>
            </w:r>
          </w:p>
        </w:tc>
        <w:tc>
          <w:tcPr>
            <w:tcW w:w="548" w:type="pct"/>
            <w:vAlign w:val="center"/>
          </w:tcPr>
          <w:p w14:paraId="4A83F007" w14:textId="77777777" w:rsidR="006A1BA8" w:rsidRPr="005E3251" w:rsidRDefault="006A1BA8" w:rsidP="003A741D">
            <w:pPr>
              <w:pStyle w:val="TableText0"/>
              <w:widowControl w:val="0"/>
              <w:jc w:val="center"/>
              <w:rPr>
                <w:b/>
                <w:bCs w:val="0"/>
              </w:rPr>
            </w:pPr>
            <w:r w:rsidRPr="005E3251">
              <w:t>-</w:t>
            </w:r>
          </w:p>
        </w:tc>
        <w:tc>
          <w:tcPr>
            <w:tcW w:w="703" w:type="pct"/>
            <w:vAlign w:val="center"/>
          </w:tcPr>
          <w:p w14:paraId="7883C5BD" w14:textId="50E1861D" w:rsidR="006A1BA8" w:rsidRPr="005E3251" w:rsidRDefault="006A1BA8" w:rsidP="003A741D">
            <w:pPr>
              <w:pStyle w:val="TableText0"/>
              <w:widowControl w:val="0"/>
              <w:jc w:val="center"/>
              <w:rPr>
                <w:b/>
                <w:bCs w:val="0"/>
              </w:rPr>
            </w:pPr>
            <w:r w:rsidRPr="005E3251">
              <w:rPr>
                <w:b/>
                <w:bCs w:val="0"/>
              </w:rPr>
              <w:t>8.4</w:t>
            </w:r>
            <w:r w:rsidR="00C01E01" w:rsidRPr="005E3251">
              <w:rPr>
                <w:b/>
                <w:bCs w:val="0"/>
              </w:rPr>
              <w:t xml:space="preserve"> </w:t>
            </w:r>
            <w:r w:rsidRPr="005E3251">
              <w:rPr>
                <w:b/>
                <w:bCs w:val="0"/>
              </w:rPr>
              <w:t>(3.3, 21.8), &lt;0.0001</w:t>
            </w:r>
          </w:p>
        </w:tc>
        <w:tc>
          <w:tcPr>
            <w:tcW w:w="625" w:type="pct"/>
            <w:vAlign w:val="center"/>
          </w:tcPr>
          <w:p w14:paraId="7245CB49" w14:textId="77777777" w:rsidR="006A1BA8" w:rsidRPr="005E3251" w:rsidRDefault="006A1BA8" w:rsidP="003A741D">
            <w:pPr>
              <w:pStyle w:val="TableText0"/>
              <w:widowControl w:val="0"/>
              <w:jc w:val="center"/>
              <w:rPr>
                <w:b/>
                <w:bCs w:val="0"/>
              </w:rPr>
            </w:pPr>
            <w:r w:rsidRPr="005E3251">
              <w:t>-</w:t>
            </w:r>
          </w:p>
        </w:tc>
        <w:tc>
          <w:tcPr>
            <w:tcW w:w="704" w:type="pct"/>
            <w:vAlign w:val="center"/>
          </w:tcPr>
          <w:p w14:paraId="7A949173" w14:textId="77777777" w:rsidR="006A1BA8" w:rsidRPr="005E3251" w:rsidRDefault="006A1BA8" w:rsidP="003A741D">
            <w:pPr>
              <w:pStyle w:val="TableText0"/>
              <w:widowControl w:val="0"/>
              <w:jc w:val="center"/>
              <w:rPr>
                <w:b/>
                <w:bCs w:val="0"/>
              </w:rPr>
            </w:pPr>
            <w:r w:rsidRPr="005E3251">
              <w:rPr>
                <w:b/>
                <w:bCs w:val="0"/>
              </w:rPr>
              <w:t xml:space="preserve">NR, </w:t>
            </w:r>
          </w:p>
          <w:p w14:paraId="309CD234" w14:textId="77777777" w:rsidR="006A1BA8" w:rsidRPr="005E3251" w:rsidRDefault="006A1BA8" w:rsidP="003A741D">
            <w:pPr>
              <w:pStyle w:val="TableText0"/>
              <w:widowControl w:val="0"/>
              <w:jc w:val="center"/>
            </w:pPr>
            <w:r w:rsidRPr="005E3251">
              <w:rPr>
                <w:b/>
                <w:bCs w:val="0"/>
              </w:rPr>
              <w:t>&lt;0.001</w:t>
            </w:r>
          </w:p>
        </w:tc>
        <w:tc>
          <w:tcPr>
            <w:tcW w:w="547" w:type="pct"/>
            <w:vAlign w:val="center"/>
          </w:tcPr>
          <w:p w14:paraId="0B38DE40" w14:textId="77777777" w:rsidR="006A1BA8" w:rsidRPr="005E3251" w:rsidRDefault="006A1BA8" w:rsidP="003A741D">
            <w:pPr>
              <w:pStyle w:val="TableText0"/>
              <w:widowControl w:val="0"/>
              <w:jc w:val="center"/>
            </w:pPr>
            <w:r w:rsidRPr="005E3251">
              <w:t>-</w:t>
            </w:r>
          </w:p>
        </w:tc>
      </w:tr>
      <w:tr w:rsidR="006A1BA8" w:rsidRPr="005E3251" w14:paraId="3B5810A5" w14:textId="77777777" w:rsidTr="00792F9D">
        <w:tc>
          <w:tcPr>
            <w:tcW w:w="5000" w:type="pct"/>
            <w:gridSpan w:val="7"/>
            <w:shd w:val="clear" w:color="auto" w:fill="auto"/>
            <w:vAlign w:val="center"/>
          </w:tcPr>
          <w:p w14:paraId="2DCA0CC1" w14:textId="77777777" w:rsidR="006A1BA8" w:rsidRPr="005E3251" w:rsidRDefault="006A1BA8" w:rsidP="003A741D">
            <w:pPr>
              <w:pStyle w:val="TableText0"/>
              <w:widowControl w:val="0"/>
            </w:pPr>
            <w:r w:rsidRPr="005E3251">
              <w:rPr>
                <w:b/>
                <w:bCs w:val="0"/>
              </w:rPr>
              <w:t>Quality of Life in Childhood Epilepsy (QOLCE)</w:t>
            </w:r>
          </w:p>
        </w:tc>
      </w:tr>
      <w:tr w:rsidR="00792F9D" w:rsidRPr="005E3251" w14:paraId="0985DB65" w14:textId="77777777" w:rsidTr="00792F9D">
        <w:trPr>
          <w:cantSplit/>
        </w:trPr>
        <w:tc>
          <w:tcPr>
            <w:tcW w:w="1171" w:type="pct"/>
            <w:shd w:val="clear" w:color="auto" w:fill="auto"/>
            <w:vAlign w:val="center"/>
          </w:tcPr>
          <w:p w14:paraId="3C835D30" w14:textId="77777777" w:rsidR="006A1BA8" w:rsidRPr="005E3251" w:rsidRDefault="006A1BA8" w:rsidP="003A741D">
            <w:pPr>
              <w:pStyle w:val="TableText0"/>
              <w:widowControl w:val="0"/>
            </w:pPr>
            <w:r w:rsidRPr="005E3251">
              <w:t>Change from baseline, mean (SD), p-value vs. PBO</w:t>
            </w:r>
          </w:p>
        </w:tc>
        <w:tc>
          <w:tcPr>
            <w:tcW w:w="703" w:type="pct"/>
            <w:shd w:val="clear" w:color="auto" w:fill="auto"/>
            <w:vAlign w:val="center"/>
          </w:tcPr>
          <w:p w14:paraId="490BC6BA" w14:textId="77777777" w:rsidR="00FD63CF" w:rsidRPr="005E3251" w:rsidRDefault="006A1BA8" w:rsidP="003A741D">
            <w:pPr>
              <w:pStyle w:val="TableText0"/>
              <w:widowControl w:val="0"/>
              <w:jc w:val="center"/>
            </w:pPr>
            <w:r w:rsidRPr="005E3251">
              <w:t>5.8</w:t>
            </w:r>
            <w:r w:rsidR="00FD63CF" w:rsidRPr="005E3251">
              <w:t xml:space="preserve"> </w:t>
            </w:r>
            <w:r w:rsidRPr="005E3251">
              <w:t xml:space="preserve">(11.7), </w:t>
            </w:r>
          </w:p>
          <w:p w14:paraId="4BAC2687" w14:textId="66B1AB76" w:rsidR="006A1BA8" w:rsidRPr="005E3251" w:rsidRDefault="006A1BA8" w:rsidP="003A741D">
            <w:pPr>
              <w:pStyle w:val="TableText0"/>
              <w:widowControl w:val="0"/>
              <w:jc w:val="center"/>
            </w:pPr>
            <w:r w:rsidRPr="005E3251">
              <w:t>0.280</w:t>
            </w:r>
          </w:p>
        </w:tc>
        <w:tc>
          <w:tcPr>
            <w:tcW w:w="548" w:type="pct"/>
            <w:vAlign w:val="center"/>
          </w:tcPr>
          <w:p w14:paraId="3A743482" w14:textId="0B443471" w:rsidR="006A1BA8" w:rsidRPr="005E3251" w:rsidRDefault="006A1BA8" w:rsidP="003A741D">
            <w:pPr>
              <w:pStyle w:val="TableText0"/>
              <w:widowControl w:val="0"/>
              <w:jc w:val="center"/>
            </w:pPr>
            <w:r w:rsidRPr="005E3251">
              <w:t>1.5</w:t>
            </w:r>
            <w:r w:rsidR="00FD63CF" w:rsidRPr="005E3251">
              <w:t xml:space="preserve"> </w:t>
            </w:r>
            <w:r w:rsidRPr="005E3251">
              <w:t>(8.7)</w:t>
            </w:r>
          </w:p>
        </w:tc>
        <w:tc>
          <w:tcPr>
            <w:tcW w:w="703" w:type="pct"/>
            <w:vAlign w:val="center"/>
          </w:tcPr>
          <w:p w14:paraId="0F14D63B" w14:textId="77777777" w:rsidR="00FD63CF" w:rsidRPr="005E3251" w:rsidRDefault="006A1BA8" w:rsidP="003A741D">
            <w:pPr>
              <w:pStyle w:val="TableText0"/>
              <w:widowControl w:val="0"/>
              <w:jc w:val="center"/>
              <w:rPr>
                <w:b/>
                <w:bCs w:val="0"/>
              </w:rPr>
            </w:pPr>
            <w:r w:rsidRPr="005E3251">
              <w:rPr>
                <w:b/>
                <w:bCs w:val="0"/>
              </w:rPr>
              <w:t>5.5</w:t>
            </w:r>
            <w:r w:rsidR="00FD63CF" w:rsidRPr="005E3251">
              <w:rPr>
                <w:b/>
                <w:bCs w:val="0"/>
              </w:rPr>
              <w:t xml:space="preserve"> </w:t>
            </w:r>
            <w:r w:rsidRPr="005E3251">
              <w:rPr>
                <w:b/>
                <w:bCs w:val="0"/>
              </w:rPr>
              <w:t xml:space="preserve">(13.2), </w:t>
            </w:r>
          </w:p>
          <w:p w14:paraId="3D80392F" w14:textId="1B89C344" w:rsidR="006A1BA8" w:rsidRPr="005E3251" w:rsidRDefault="006A1BA8" w:rsidP="003A741D">
            <w:pPr>
              <w:pStyle w:val="TableText0"/>
              <w:widowControl w:val="0"/>
              <w:jc w:val="center"/>
              <w:rPr>
                <w:b/>
                <w:bCs w:val="0"/>
              </w:rPr>
            </w:pPr>
            <w:r w:rsidRPr="005E3251">
              <w:rPr>
                <w:b/>
                <w:bCs w:val="0"/>
              </w:rPr>
              <w:t>0.045</w:t>
            </w:r>
          </w:p>
        </w:tc>
        <w:tc>
          <w:tcPr>
            <w:tcW w:w="625" w:type="pct"/>
            <w:vAlign w:val="center"/>
          </w:tcPr>
          <w:p w14:paraId="617646FF" w14:textId="49E79704" w:rsidR="006A1BA8" w:rsidRPr="005E3251" w:rsidRDefault="006A1BA8" w:rsidP="003A741D">
            <w:pPr>
              <w:pStyle w:val="TableText0"/>
              <w:widowControl w:val="0"/>
              <w:jc w:val="center"/>
            </w:pPr>
            <w:r w:rsidRPr="005E3251">
              <w:t>1.2</w:t>
            </w:r>
            <w:r w:rsidR="00FD63CF" w:rsidRPr="005E3251">
              <w:t xml:space="preserve"> </w:t>
            </w:r>
            <w:r w:rsidRPr="005E3251">
              <w:t>(9.0)</w:t>
            </w:r>
          </w:p>
        </w:tc>
        <w:tc>
          <w:tcPr>
            <w:tcW w:w="704" w:type="pct"/>
            <w:vAlign w:val="center"/>
          </w:tcPr>
          <w:p w14:paraId="235A5733" w14:textId="3E88AF58" w:rsidR="006A1BA8" w:rsidRPr="005E3251" w:rsidRDefault="006A1BA8" w:rsidP="003A741D">
            <w:pPr>
              <w:pStyle w:val="TableText0"/>
              <w:widowControl w:val="0"/>
              <w:jc w:val="center"/>
            </w:pPr>
            <w:r w:rsidRPr="005E3251">
              <w:t>-3.5</w:t>
            </w:r>
            <w:r w:rsidR="00FD63CF" w:rsidRPr="005E3251">
              <w:t xml:space="preserve"> </w:t>
            </w:r>
            <w:r w:rsidRPr="005E3251">
              <w:t>(10.3), 0.191</w:t>
            </w:r>
          </w:p>
        </w:tc>
        <w:tc>
          <w:tcPr>
            <w:tcW w:w="547" w:type="pct"/>
            <w:vAlign w:val="center"/>
          </w:tcPr>
          <w:p w14:paraId="579851C5" w14:textId="0A71C412" w:rsidR="006A1BA8" w:rsidRPr="005E3251" w:rsidRDefault="006A1BA8" w:rsidP="003A741D">
            <w:pPr>
              <w:pStyle w:val="TableText0"/>
              <w:widowControl w:val="0"/>
              <w:jc w:val="center"/>
            </w:pPr>
            <w:r w:rsidRPr="005E3251">
              <w:t>0.1</w:t>
            </w:r>
            <w:r w:rsidR="00FD63CF" w:rsidRPr="005E3251">
              <w:t xml:space="preserve"> </w:t>
            </w:r>
            <w:r w:rsidRPr="005E3251">
              <w:t>(8.5)</w:t>
            </w:r>
          </w:p>
        </w:tc>
      </w:tr>
      <w:tr w:rsidR="006A1BA8" w:rsidRPr="005E3251" w14:paraId="48658CAA" w14:textId="77777777" w:rsidTr="00792F9D">
        <w:trPr>
          <w:cantSplit/>
        </w:trPr>
        <w:tc>
          <w:tcPr>
            <w:tcW w:w="5000" w:type="pct"/>
            <w:gridSpan w:val="7"/>
            <w:shd w:val="clear" w:color="auto" w:fill="auto"/>
            <w:vAlign w:val="center"/>
          </w:tcPr>
          <w:p w14:paraId="6F3E6996" w14:textId="77777777" w:rsidR="006A1BA8" w:rsidRPr="005E3251" w:rsidRDefault="006A1BA8" w:rsidP="003A741D">
            <w:pPr>
              <w:pStyle w:val="TableText0"/>
              <w:widowControl w:val="0"/>
            </w:pPr>
            <w:r w:rsidRPr="005E3251">
              <w:rPr>
                <w:b/>
                <w:bCs w:val="0"/>
              </w:rPr>
              <w:t>Paediatric Quality of Life Inventory (PedsQL) generic core – Total score</w:t>
            </w:r>
          </w:p>
        </w:tc>
      </w:tr>
      <w:tr w:rsidR="00792F9D" w:rsidRPr="005E3251" w14:paraId="3CA1685F" w14:textId="77777777" w:rsidTr="00792F9D">
        <w:trPr>
          <w:cantSplit/>
        </w:trPr>
        <w:tc>
          <w:tcPr>
            <w:tcW w:w="1171" w:type="pct"/>
            <w:shd w:val="clear" w:color="auto" w:fill="auto"/>
            <w:vAlign w:val="center"/>
          </w:tcPr>
          <w:p w14:paraId="7AD22242" w14:textId="77777777" w:rsidR="006A1BA8" w:rsidRPr="005E3251" w:rsidRDefault="006A1BA8" w:rsidP="003A741D">
            <w:pPr>
              <w:pStyle w:val="TableText0"/>
              <w:widowControl w:val="0"/>
            </w:pPr>
            <w:r w:rsidRPr="005E3251">
              <w:t>Change from baseline, mean (SD), p-value vs. PBO</w:t>
            </w:r>
          </w:p>
        </w:tc>
        <w:tc>
          <w:tcPr>
            <w:tcW w:w="703" w:type="pct"/>
            <w:shd w:val="clear" w:color="auto" w:fill="auto"/>
            <w:vAlign w:val="center"/>
          </w:tcPr>
          <w:p w14:paraId="6F8A5FD5" w14:textId="77777777" w:rsidR="00FD63CF" w:rsidRPr="005E3251" w:rsidRDefault="006A1BA8" w:rsidP="003A741D">
            <w:pPr>
              <w:pStyle w:val="TableText0"/>
              <w:widowControl w:val="0"/>
              <w:jc w:val="center"/>
              <w:rPr>
                <w:b/>
                <w:bCs w:val="0"/>
              </w:rPr>
            </w:pPr>
            <w:r w:rsidRPr="005E3251">
              <w:rPr>
                <w:b/>
                <w:bCs w:val="0"/>
              </w:rPr>
              <w:t>5.9</w:t>
            </w:r>
            <w:r w:rsidR="00FD63CF" w:rsidRPr="005E3251">
              <w:rPr>
                <w:b/>
                <w:bCs w:val="0"/>
              </w:rPr>
              <w:t xml:space="preserve"> </w:t>
            </w:r>
            <w:r w:rsidRPr="005E3251">
              <w:rPr>
                <w:b/>
                <w:bCs w:val="0"/>
              </w:rPr>
              <w:t>(15.1),</w:t>
            </w:r>
          </w:p>
          <w:p w14:paraId="45314077" w14:textId="50FC064C" w:rsidR="006A1BA8" w:rsidRPr="005E3251" w:rsidRDefault="006A1BA8" w:rsidP="003A741D">
            <w:pPr>
              <w:pStyle w:val="TableText0"/>
              <w:widowControl w:val="0"/>
              <w:jc w:val="center"/>
              <w:rPr>
                <w:b/>
                <w:bCs w:val="0"/>
              </w:rPr>
            </w:pPr>
            <w:r w:rsidRPr="005E3251">
              <w:rPr>
                <w:b/>
                <w:bCs w:val="0"/>
              </w:rPr>
              <w:t xml:space="preserve"> 0.020</w:t>
            </w:r>
          </w:p>
        </w:tc>
        <w:tc>
          <w:tcPr>
            <w:tcW w:w="548" w:type="pct"/>
            <w:vAlign w:val="center"/>
          </w:tcPr>
          <w:p w14:paraId="72DDF9ED" w14:textId="77395A95" w:rsidR="006A1BA8" w:rsidRPr="005E3251" w:rsidRDefault="006A1BA8" w:rsidP="003A741D">
            <w:pPr>
              <w:pStyle w:val="TableText0"/>
              <w:widowControl w:val="0"/>
              <w:jc w:val="center"/>
            </w:pPr>
            <w:r w:rsidRPr="005E3251">
              <w:t>–1.6</w:t>
            </w:r>
            <w:r w:rsidR="00FD63CF" w:rsidRPr="005E3251">
              <w:t xml:space="preserve"> </w:t>
            </w:r>
            <w:r w:rsidRPr="005E3251">
              <w:t>(10.4)</w:t>
            </w:r>
          </w:p>
        </w:tc>
        <w:tc>
          <w:tcPr>
            <w:tcW w:w="703" w:type="pct"/>
            <w:vAlign w:val="center"/>
          </w:tcPr>
          <w:p w14:paraId="46567885" w14:textId="77777777" w:rsidR="00FD63CF" w:rsidRPr="005E3251" w:rsidRDefault="006A1BA8" w:rsidP="003A741D">
            <w:pPr>
              <w:pStyle w:val="TableText0"/>
              <w:widowControl w:val="0"/>
              <w:jc w:val="center"/>
            </w:pPr>
            <w:r w:rsidRPr="005E3251">
              <w:t>2.1</w:t>
            </w:r>
            <w:r w:rsidR="00FD63CF" w:rsidRPr="005E3251">
              <w:t xml:space="preserve"> </w:t>
            </w:r>
            <w:r w:rsidRPr="005E3251">
              <w:t xml:space="preserve">(14.7), </w:t>
            </w:r>
          </w:p>
          <w:p w14:paraId="031562B3" w14:textId="243CAA1A" w:rsidR="006A1BA8" w:rsidRPr="005E3251" w:rsidRDefault="006A1BA8" w:rsidP="003A741D">
            <w:pPr>
              <w:pStyle w:val="TableText0"/>
              <w:widowControl w:val="0"/>
              <w:jc w:val="center"/>
            </w:pPr>
            <w:r w:rsidRPr="005E3251">
              <w:t>0.908</w:t>
            </w:r>
          </w:p>
        </w:tc>
        <w:tc>
          <w:tcPr>
            <w:tcW w:w="625" w:type="pct"/>
            <w:vAlign w:val="center"/>
          </w:tcPr>
          <w:p w14:paraId="26FD03A3" w14:textId="1F274038" w:rsidR="006A1BA8" w:rsidRPr="005E3251" w:rsidRDefault="006A1BA8" w:rsidP="003A741D">
            <w:pPr>
              <w:pStyle w:val="TableText0"/>
              <w:widowControl w:val="0"/>
              <w:jc w:val="center"/>
            </w:pPr>
            <w:r w:rsidRPr="005E3251">
              <w:t>1.9</w:t>
            </w:r>
            <w:r w:rsidR="00FD63CF" w:rsidRPr="005E3251">
              <w:t xml:space="preserve"> </w:t>
            </w:r>
            <w:r w:rsidRPr="005E3251">
              <w:t>(13.3)</w:t>
            </w:r>
          </w:p>
        </w:tc>
        <w:tc>
          <w:tcPr>
            <w:tcW w:w="704" w:type="pct"/>
            <w:vAlign w:val="center"/>
          </w:tcPr>
          <w:p w14:paraId="239DA0CC" w14:textId="7BCD745E" w:rsidR="006A1BA8" w:rsidRPr="005E3251" w:rsidRDefault="006A1BA8" w:rsidP="003A741D">
            <w:pPr>
              <w:pStyle w:val="TableText0"/>
              <w:widowControl w:val="0"/>
              <w:jc w:val="center"/>
            </w:pPr>
            <w:r w:rsidRPr="005E3251">
              <w:t>-0.9</w:t>
            </w:r>
            <w:r w:rsidR="00FD63CF" w:rsidRPr="005E3251">
              <w:t xml:space="preserve"> </w:t>
            </w:r>
            <w:r w:rsidRPr="005E3251">
              <w:t>(11.8), 0.618</w:t>
            </w:r>
          </w:p>
        </w:tc>
        <w:tc>
          <w:tcPr>
            <w:tcW w:w="547" w:type="pct"/>
            <w:vAlign w:val="center"/>
          </w:tcPr>
          <w:p w14:paraId="1DC228BC" w14:textId="24DD7685" w:rsidR="006A1BA8" w:rsidRPr="005E3251" w:rsidRDefault="006A1BA8" w:rsidP="003A741D">
            <w:pPr>
              <w:pStyle w:val="TableText0"/>
              <w:widowControl w:val="0"/>
              <w:jc w:val="center"/>
            </w:pPr>
            <w:r w:rsidRPr="005E3251">
              <w:t>-0.3</w:t>
            </w:r>
            <w:r w:rsidR="00FD63CF" w:rsidRPr="005E3251">
              <w:t xml:space="preserve"> </w:t>
            </w:r>
            <w:r w:rsidRPr="005E3251">
              <w:t>(12.4)</w:t>
            </w:r>
          </w:p>
        </w:tc>
      </w:tr>
      <w:tr w:rsidR="006A1BA8" w:rsidRPr="005E3251" w14:paraId="57198476" w14:textId="77777777" w:rsidTr="00792F9D">
        <w:trPr>
          <w:cantSplit/>
        </w:trPr>
        <w:tc>
          <w:tcPr>
            <w:tcW w:w="5000" w:type="pct"/>
            <w:gridSpan w:val="7"/>
            <w:shd w:val="clear" w:color="auto" w:fill="auto"/>
            <w:vAlign w:val="center"/>
          </w:tcPr>
          <w:p w14:paraId="172DE792" w14:textId="77777777" w:rsidR="006A1BA8" w:rsidRPr="005E3251" w:rsidRDefault="006A1BA8" w:rsidP="003A741D">
            <w:pPr>
              <w:pStyle w:val="TableText0"/>
              <w:widowControl w:val="0"/>
            </w:pPr>
            <w:r w:rsidRPr="005E3251">
              <w:rPr>
                <w:b/>
                <w:bCs w:val="0"/>
              </w:rPr>
              <w:t>PedsQL Family Impact Module – Parent report – Total score</w:t>
            </w:r>
          </w:p>
        </w:tc>
      </w:tr>
      <w:tr w:rsidR="00792F9D" w:rsidRPr="005E3251" w14:paraId="21E8DBD3" w14:textId="77777777" w:rsidTr="00792F9D">
        <w:tc>
          <w:tcPr>
            <w:tcW w:w="1171" w:type="pct"/>
            <w:shd w:val="clear" w:color="auto" w:fill="auto"/>
            <w:vAlign w:val="center"/>
          </w:tcPr>
          <w:p w14:paraId="08FB7418" w14:textId="77777777" w:rsidR="006A1BA8" w:rsidRPr="005E3251" w:rsidRDefault="006A1BA8" w:rsidP="003A741D">
            <w:pPr>
              <w:pStyle w:val="TableText0"/>
              <w:widowControl w:val="0"/>
            </w:pPr>
            <w:r w:rsidRPr="005E3251">
              <w:t>Change from baseline, mean (SD), p-value vs. PBO</w:t>
            </w:r>
          </w:p>
        </w:tc>
        <w:tc>
          <w:tcPr>
            <w:tcW w:w="703" w:type="pct"/>
            <w:shd w:val="clear" w:color="auto" w:fill="auto"/>
            <w:vAlign w:val="center"/>
          </w:tcPr>
          <w:p w14:paraId="135957C5" w14:textId="77777777" w:rsidR="00FD63CF" w:rsidRPr="005E3251" w:rsidRDefault="006A1BA8" w:rsidP="003A741D">
            <w:pPr>
              <w:pStyle w:val="TableText0"/>
              <w:widowControl w:val="0"/>
              <w:jc w:val="center"/>
            </w:pPr>
            <w:r w:rsidRPr="005E3251">
              <w:t>5.4</w:t>
            </w:r>
            <w:r w:rsidR="00FD63CF" w:rsidRPr="005E3251">
              <w:t xml:space="preserve"> </w:t>
            </w:r>
            <w:r w:rsidRPr="005E3251">
              <w:t xml:space="preserve">(15.6), </w:t>
            </w:r>
          </w:p>
          <w:p w14:paraId="18C48690" w14:textId="569E5615" w:rsidR="006A1BA8" w:rsidRPr="005E3251" w:rsidRDefault="006A1BA8" w:rsidP="003A741D">
            <w:pPr>
              <w:pStyle w:val="TableText0"/>
              <w:widowControl w:val="0"/>
              <w:jc w:val="center"/>
            </w:pPr>
            <w:r w:rsidRPr="005E3251">
              <w:t>0.058</w:t>
            </w:r>
          </w:p>
        </w:tc>
        <w:tc>
          <w:tcPr>
            <w:tcW w:w="548" w:type="pct"/>
            <w:vAlign w:val="center"/>
          </w:tcPr>
          <w:p w14:paraId="5ADEC9F2" w14:textId="77777777" w:rsidR="009217D2" w:rsidRPr="005E3251" w:rsidRDefault="006A1BA8" w:rsidP="003A741D">
            <w:pPr>
              <w:pStyle w:val="TableText0"/>
              <w:widowControl w:val="0"/>
              <w:jc w:val="center"/>
            </w:pPr>
            <w:r w:rsidRPr="005E3251">
              <w:t xml:space="preserve">-4.4 </w:t>
            </w:r>
          </w:p>
          <w:p w14:paraId="466B0BD1" w14:textId="254ECB6D" w:rsidR="006A1BA8" w:rsidRPr="005E3251" w:rsidRDefault="006A1BA8" w:rsidP="003A741D">
            <w:pPr>
              <w:pStyle w:val="TableText0"/>
              <w:widowControl w:val="0"/>
              <w:jc w:val="center"/>
            </w:pPr>
            <w:r w:rsidRPr="005E3251">
              <w:t>(13.0)</w:t>
            </w:r>
          </w:p>
        </w:tc>
        <w:tc>
          <w:tcPr>
            <w:tcW w:w="703" w:type="pct"/>
            <w:vAlign w:val="center"/>
          </w:tcPr>
          <w:p w14:paraId="2B4F1507" w14:textId="77777777" w:rsidR="00D22055" w:rsidRPr="005E3251" w:rsidRDefault="006A1BA8" w:rsidP="003A741D">
            <w:pPr>
              <w:pStyle w:val="TableText0"/>
              <w:widowControl w:val="0"/>
              <w:ind w:hanging="65"/>
              <w:jc w:val="center"/>
            </w:pPr>
            <w:r w:rsidRPr="005E3251">
              <w:t xml:space="preserve">6.3 (14.6), </w:t>
            </w:r>
          </w:p>
          <w:p w14:paraId="1D6BF429" w14:textId="1ACC5113" w:rsidR="006A1BA8" w:rsidRPr="005E3251" w:rsidRDefault="006A1BA8" w:rsidP="003A741D">
            <w:pPr>
              <w:pStyle w:val="TableText0"/>
              <w:widowControl w:val="0"/>
              <w:ind w:hanging="65"/>
              <w:jc w:val="center"/>
              <w:rPr>
                <w:b/>
                <w:bCs w:val="0"/>
              </w:rPr>
            </w:pPr>
            <w:r w:rsidRPr="005E3251">
              <w:t>0.242</w:t>
            </w:r>
          </w:p>
        </w:tc>
        <w:tc>
          <w:tcPr>
            <w:tcW w:w="625" w:type="pct"/>
            <w:vAlign w:val="center"/>
          </w:tcPr>
          <w:p w14:paraId="199EAF82" w14:textId="77777777" w:rsidR="006A1BA8" w:rsidRPr="005E3251" w:rsidRDefault="006A1BA8" w:rsidP="003A741D">
            <w:pPr>
              <w:pStyle w:val="TableText0"/>
              <w:widowControl w:val="0"/>
              <w:jc w:val="center"/>
            </w:pPr>
            <w:r w:rsidRPr="005E3251">
              <w:t>1.3 (14.9)</w:t>
            </w:r>
          </w:p>
        </w:tc>
        <w:tc>
          <w:tcPr>
            <w:tcW w:w="704" w:type="pct"/>
            <w:vAlign w:val="center"/>
          </w:tcPr>
          <w:p w14:paraId="77BFD661" w14:textId="6E52755E" w:rsidR="006A1BA8" w:rsidRPr="005E3251" w:rsidRDefault="006A1BA8" w:rsidP="003A741D">
            <w:pPr>
              <w:pStyle w:val="TableText0"/>
              <w:widowControl w:val="0"/>
              <w:jc w:val="center"/>
            </w:pPr>
            <w:r w:rsidRPr="005E3251">
              <w:t>3.4 (12.3), 0.240</w:t>
            </w:r>
          </w:p>
        </w:tc>
        <w:tc>
          <w:tcPr>
            <w:tcW w:w="547" w:type="pct"/>
            <w:vAlign w:val="center"/>
          </w:tcPr>
          <w:p w14:paraId="5A9BB12C" w14:textId="6975C2A9" w:rsidR="006A1BA8" w:rsidRPr="005E3251" w:rsidRDefault="006A1BA8" w:rsidP="003A741D">
            <w:pPr>
              <w:pStyle w:val="TableText0"/>
              <w:widowControl w:val="0"/>
              <w:jc w:val="center"/>
            </w:pPr>
            <w:r w:rsidRPr="005E3251">
              <w:t>–1.2 (13.1)</w:t>
            </w:r>
          </w:p>
        </w:tc>
      </w:tr>
      <w:tr w:rsidR="006A1BA8" w:rsidRPr="005E3251" w14:paraId="7D533B3A" w14:textId="77777777" w:rsidTr="00792F9D">
        <w:tc>
          <w:tcPr>
            <w:tcW w:w="5000" w:type="pct"/>
            <w:gridSpan w:val="7"/>
            <w:shd w:val="clear" w:color="auto" w:fill="auto"/>
            <w:vAlign w:val="center"/>
          </w:tcPr>
          <w:p w14:paraId="7D45E446" w14:textId="77777777" w:rsidR="006A1BA8" w:rsidRPr="005E3251" w:rsidRDefault="006A1BA8" w:rsidP="003A741D">
            <w:pPr>
              <w:pStyle w:val="TableText0"/>
              <w:widowControl w:val="0"/>
            </w:pPr>
            <w:r w:rsidRPr="005E3251">
              <w:rPr>
                <w:b/>
                <w:bCs w:val="0"/>
              </w:rPr>
              <w:t>Caregiver QoL: (EQ-5D-5L)</w:t>
            </w:r>
          </w:p>
        </w:tc>
      </w:tr>
      <w:tr w:rsidR="00792F9D" w:rsidRPr="005E3251" w14:paraId="25D12584" w14:textId="77777777" w:rsidTr="00792F9D">
        <w:tc>
          <w:tcPr>
            <w:tcW w:w="1171" w:type="pct"/>
            <w:shd w:val="clear" w:color="auto" w:fill="auto"/>
            <w:vAlign w:val="center"/>
          </w:tcPr>
          <w:p w14:paraId="7D140C30" w14:textId="77777777" w:rsidR="006A1BA8" w:rsidRPr="005E3251" w:rsidRDefault="006A1BA8" w:rsidP="003A741D">
            <w:pPr>
              <w:pStyle w:val="TableText0"/>
              <w:widowControl w:val="0"/>
            </w:pPr>
            <w:r w:rsidRPr="005E3251">
              <w:t>Mobility – Problems, n (%)</w:t>
            </w:r>
          </w:p>
          <w:p w14:paraId="052491D7" w14:textId="77777777" w:rsidR="006A1BA8" w:rsidRPr="005E3251" w:rsidRDefault="006A1BA8" w:rsidP="003A741D">
            <w:pPr>
              <w:pStyle w:val="TableText0"/>
              <w:widowControl w:val="0"/>
            </w:pPr>
            <w:r w:rsidRPr="005E3251">
              <w:t>Baseline</w:t>
            </w:r>
          </w:p>
          <w:p w14:paraId="66FB9715" w14:textId="77777777" w:rsidR="006A1BA8" w:rsidRPr="005E3251" w:rsidRDefault="006A1BA8" w:rsidP="003A741D">
            <w:pPr>
              <w:pStyle w:val="TableText0"/>
              <w:widowControl w:val="0"/>
            </w:pPr>
            <w:r w:rsidRPr="005E3251">
              <w:t>End of study visit</w:t>
            </w:r>
          </w:p>
        </w:tc>
        <w:tc>
          <w:tcPr>
            <w:tcW w:w="703" w:type="pct"/>
            <w:shd w:val="clear" w:color="auto" w:fill="auto"/>
            <w:vAlign w:val="center"/>
          </w:tcPr>
          <w:p w14:paraId="5CDFE063" w14:textId="77777777" w:rsidR="006A1BA8" w:rsidRPr="005E3251" w:rsidRDefault="006A1BA8" w:rsidP="003A741D">
            <w:pPr>
              <w:pStyle w:val="TableText0"/>
              <w:widowControl w:val="0"/>
              <w:jc w:val="center"/>
            </w:pPr>
          </w:p>
          <w:p w14:paraId="13B0150D" w14:textId="77777777" w:rsidR="006A1BA8" w:rsidRPr="005E3251" w:rsidRDefault="006A1BA8" w:rsidP="003A741D">
            <w:pPr>
              <w:pStyle w:val="TableText0"/>
              <w:widowControl w:val="0"/>
              <w:jc w:val="center"/>
            </w:pPr>
            <w:r w:rsidRPr="005E3251">
              <w:t>21 (52.5)</w:t>
            </w:r>
          </w:p>
          <w:p w14:paraId="65245A74" w14:textId="77777777" w:rsidR="006A1BA8" w:rsidRPr="005E3251" w:rsidRDefault="006A1BA8" w:rsidP="003A741D">
            <w:pPr>
              <w:pStyle w:val="TableText0"/>
              <w:widowControl w:val="0"/>
              <w:jc w:val="center"/>
            </w:pPr>
            <w:r w:rsidRPr="005E3251">
              <w:t>18 (45.0)</w:t>
            </w:r>
          </w:p>
        </w:tc>
        <w:tc>
          <w:tcPr>
            <w:tcW w:w="548" w:type="pct"/>
            <w:vAlign w:val="center"/>
          </w:tcPr>
          <w:p w14:paraId="3EAEFFF6" w14:textId="77777777" w:rsidR="006A1BA8" w:rsidRPr="005E3251" w:rsidRDefault="006A1BA8" w:rsidP="003A741D">
            <w:pPr>
              <w:pStyle w:val="TableText0"/>
              <w:widowControl w:val="0"/>
              <w:jc w:val="center"/>
            </w:pPr>
          </w:p>
          <w:p w14:paraId="5A9E68D1" w14:textId="77777777" w:rsidR="006A1BA8" w:rsidRPr="005E3251" w:rsidRDefault="006A1BA8" w:rsidP="003A741D">
            <w:pPr>
              <w:pStyle w:val="TableText0"/>
              <w:widowControl w:val="0"/>
              <w:jc w:val="center"/>
            </w:pPr>
            <w:r w:rsidRPr="005E3251">
              <w:t>26 (65.0)</w:t>
            </w:r>
          </w:p>
          <w:p w14:paraId="0A27FBB6" w14:textId="77777777" w:rsidR="006A1BA8" w:rsidRPr="005E3251" w:rsidRDefault="006A1BA8" w:rsidP="003A741D">
            <w:pPr>
              <w:pStyle w:val="TableText0"/>
              <w:widowControl w:val="0"/>
              <w:jc w:val="center"/>
            </w:pPr>
            <w:r w:rsidRPr="005E3251">
              <w:t>21 (52.5)</w:t>
            </w:r>
          </w:p>
        </w:tc>
        <w:tc>
          <w:tcPr>
            <w:tcW w:w="703" w:type="pct"/>
            <w:vAlign w:val="center"/>
          </w:tcPr>
          <w:p w14:paraId="3AF02A2B" w14:textId="77777777" w:rsidR="006A1BA8" w:rsidRPr="005E3251" w:rsidRDefault="006A1BA8" w:rsidP="003A741D">
            <w:pPr>
              <w:pStyle w:val="TableText0"/>
              <w:widowControl w:val="0"/>
              <w:jc w:val="center"/>
            </w:pPr>
            <w:r w:rsidRPr="005E3251">
              <w:t>NR</w:t>
            </w:r>
          </w:p>
        </w:tc>
        <w:tc>
          <w:tcPr>
            <w:tcW w:w="625" w:type="pct"/>
            <w:vAlign w:val="center"/>
          </w:tcPr>
          <w:p w14:paraId="2A8E7E2D" w14:textId="77777777" w:rsidR="006A1BA8" w:rsidRPr="005E3251" w:rsidRDefault="006A1BA8" w:rsidP="003A741D">
            <w:pPr>
              <w:pStyle w:val="TableText0"/>
              <w:jc w:val="center"/>
            </w:pPr>
            <w:r w:rsidRPr="005E3251">
              <w:t>NR</w:t>
            </w:r>
          </w:p>
        </w:tc>
        <w:tc>
          <w:tcPr>
            <w:tcW w:w="704" w:type="pct"/>
            <w:vAlign w:val="center"/>
          </w:tcPr>
          <w:p w14:paraId="378B53EC" w14:textId="77777777" w:rsidR="006A1BA8" w:rsidRPr="005E3251" w:rsidRDefault="006A1BA8" w:rsidP="003A741D">
            <w:pPr>
              <w:pStyle w:val="TableText0"/>
              <w:jc w:val="center"/>
            </w:pPr>
          </w:p>
          <w:p w14:paraId="771F5AD3" w14:textId="77777777" w:rsidR="006A1BA8" w:rsidRPr="005E3251" w:rsidRDefault="006A1BA8" w:rsidP="003A741D">
            <w:pPr>
              <w:pStyle w:val="TableText0"/>
              <w:jc w:val="center"/>
            </w:pPr>
            <w:r w:rsidRPr="005E3251">
              <w:t>18 (41.9)</w:t>
            </w:r>
          </w:p>
          <w:p w14:paraId="08EC458B" w14:textId="77777777" w:rsidR="006A1BA8" w:rsidRPr="005E3251" w:rsidRDefault="006A1BA8" w:rsidP="003A741D">
            <w:pPr>
              <w:pStyle w:val="TableText0"/>
              <w:widowControl w:val="0"/>
              <w:jc w:val="center"/>
            </w:pPr>
            <w:r w:rsidRPr="005E3251">
              <w:t>13 (30.2)</w:t>
            </w:r>
          </w:p>
        </w:tc>
        <w:tc>
          <w:tcPr>
            <w:tcW w:w="547" w:type="pct"/>
            <w:vAlign w:val="center"/>
          </w:tcPr>
          <w:p w14:paraId="6B34A6C2" w14:textId="77777777" w:rsidR="006A1BA8" w:rsidRPr="005E3251" w:rsidRDefault="006A1BA8" w:rsidP="003A741D">
            <w:pPr>
              <w:pStyle w:val="TableText0"/>
              <w:jc w:val="center"/>
            </w:pPr>
          </w:p>
          <w:p w14:paraId="5DEE4255" w14:textId="77777777" w:rsidR="006A1BA8" w:rsidRPr="005E3251" w:rsidRDefault="006A1BA8" w:rsidP="003A741D">
            <w:pPr>
              <w:pStyle w:val="TableText0"/>
              <w:jc w:val="center"/>
            </w:pPr>
            <w:r w:rsidRPr="005E3251">
              <w:t>14 (31.8)</w:t>
            </w:r>
          </w:p>
          <w:p w14:paraId="1873996A" w14:textId="77777777" w:rsidR="006A1BA8" w:rsidRPr="005E3251" w:rsidRDefault="006A1BA8" w:rsidP="003A741D">
            <w:pPr>
              <w:pStyle w:val="TableText0"/>
              <w:widowControl w:val="0"/>
              <w:jc w:val="center"/>
            </w:pPr>
            <w:r w:rsidRPr="005E3251">
              <w:t>15 (34.1)</w:t>
            </w:r>
          </w:p>
        </w:tc>
      </w:tr>
      <w:tr w:rsidR="00792F9D" w:rsidRPr="005E3251" w14:paraId="0E6EB47A" w14:textId="77777777" w:rsidTr="00792F9D">
        <w:trPr>
          <w:trHeight w:val="379"/>
        </w:trPr>
        <w:tc>
          <w:tcPr>
            <w:tcW w:w="1171" w:type="pct"/>
            <w:shd w:val="clear" w:color="auto" w:fill="auto"/>
            <w:vAlign w:val="center"/>
          </w:tcPr>
          <w:p w14:paraId="639900A8" w14:textId="77777777" w:rsidR="006A1BA8" w:rsidRPr="005E3251" w:rsidRDefault="006A1BA8" w:rsidP="003A741D">
            <w:pPr>
              <w:pStyle w:val="TableText0"/>
              <w:widowControl w:val="0"/>
            </w:pPr>
            <w:r w:rsidRPr="005E3251">
              <w:t>Self-care - Problems n (%)</w:t>
            </w:r>
          </w:p>
          <w:p w14:paraId="7FBB26B6" w14:textId="77777777" w:rsidR="006A1BA8" w:rsidRPr="005E3251" w:rsidRDefault="006A1BA8" w:rsidP="003A741D">
            <w:pPr>
              <w:pStyle w:val="TableText0"/>
              <w:widowControl w:val="0"/>
            </w:pPr>
            <w:r w:rsidRPr="005E3251">
              <w:t>Baseline</w:t>
            </w:r>
          </w:p>
          <w:p w14:paraId="49C913B8" w14:textId="77777777" w:rsidR="006A1BA8" w:rsidRPr="005E3251" w:rsidRDefault="006A1BA8" w:rsidP="003A741D">
            <w:pPr>
              <w:pStyle w:val="TableText0"/>
              <w:widowControl w:val="0"/>
            </w:pPr>
            <w:r w:rsidRPr="005E3251">
              <w:t>End of study visit</w:t>
            </w:r>
          </w:p>
        </w:tc>
        <w:tc>
          <w:tcPr>
            <w:tcW w:w="703" w:type="pct"/>
            <w:shd w:val="clear" w:color="auto" w:fill="auto"/>
            <w:vAlign w:val="center"/>
          </w:tcPr>
          <w:p w14:paraId="42066092" w14:textId="77777777" w:rsidR="006A1BA8" w:rsidRPr="005E3251" w:rsidRDefault="006A1BA8" w:rsidP="003A741D">
            <w:pPr>
              <w:pStyle w:val="TableText0"/>
              <w:widowControl w:val="0"/>
              <w:jc w:val="center"/>
            </w:pPr>
          </w:p>
          <w:p w14:paraId="09B39C01" w14:textId="77777777" w:rsidR="006A1BA8" w:rsidRPr="005E3251" w:rsidRDefault="006A1BA8" w:rsidP="003A741D">
            <w:pPr>
              <w:pStyle w:val="TableText0"/>
              <w:widowControl w:val="0"/>
              <w:jc w:val="center"/>
            </w:pPr>
            <w:r w:rsidRPr="005E3251">
              <w:t>24 (60.0)</w:t>
            </w:r>
          </w:p>
          <w:p w14:paraId="4A749978" w14:textId="77777777" w:rsidR="006A1BA8" w:rsidRPr="005E3251" w:rsidRDefault="006A1BA8" w:rsidP="003A741D">
            <w:pPr>
              <w:pStyle w:val="TableText0"/>
              <w:widowControl w:val="0"/>
              <w:jc w:val="center"/>
            </w:pPr>
            <w:r w:rsidRPr="005E3251">
              <w:t>19 (47.5)</w:t>
            </w:r>
          </w:p>
        </w:tc>
        <w:tc>
          <w:tcPr>
            <w:tcW w:w="548" w:type="pct"/>
            <w:vAlign w:val="center"/>
          </w:tcPr>
          <w:p w14:paraId="763078E4" w14:textId="77777777" w:rsidR="006A1BA8" w:rsidRPr="005E3251" w:rsidRDefault="006A1BA8" w:rsidP="003A741D">
            <w:pPr>
              <w:pStyle w:val="TableText0"/>
              <w:widowControl w:val="0"/>
              <w:jc w:val="center"/>
            </w:pPr>
          </w:p>
          <w:p w14:paraId="3C9ABD09" w14:textId="77777777" w:rsidR="006A1BA8" w:rsidRPr="005E3251" w:rsidRDefault="006A1BA8" w:rsidP="003A741D">
            <w:pPr>
              <w:pStyle w:val="TableText0"/>
              <w:widowControl w:val="0"/>
              <w:jc w:val="center"/>
            </w:pPr>
            <w:r w:rsidRPr="005E3251">
              <w:t>29 (72.5)</w:t>
            </w:r>
          </w:p>
          <w:p w14:paraId="1752E600" w14:textId="77777777" w:rsidR="006A1BA8" w:rsidRPr="005E3251" w:rsidRDefault="006A1BA8" w:rsidP="003A741D">
            <w:pPr>
              <w:pStyle w:val="TableText0"/>
              <w:widowControl w:val="0"/>
              <w:jc w:val="center"/>
            </w:pPr>
            <w:r w:rsidRPr="005E3251">
              <w:t>25 (62.5)</w:t>
            </w:r>
          </w:p>
        </w:tc>
        <w:tc>
          <w:tcPr>
            <w:tcW w:w="703" w:type="pct"/>
            <w:vAlign w:val="center"/>
          </w:tcPr>
          <w:p w14:paraId="624E5EC5" w14:textId="77777777" w:rsidR="006A1BA8" w:rsidRPr="005E3251" w:rsidRDefault="006A1BA8" w:rsidP="003A741D">
            <w:pPr>
              <w:pStyle w:val="TableText0"/>
              <w:widowControl w:val="0"/>
              <w:jc w:val="center"/>
            </w:pPr>
            <w:r w:rsidRPr="005E3251">
              <w:t>NR</w:t>
            </w:r>
          </w:p>
        </w:tc>
        <w:tc>
          <w:tcPr>
            <w:tcW w:w="625" w:type="pct"/>
            <w:vAlign w:val="center"/>
          </w:tcPr>
          <w:p w14:paraId="7396A46C" w14:textId="77777777" w:rsidR="006A1BA8" w:rsidRPr="005E3251" w:rsidRDefault="006A1BA8" w:rsidP="003A741D">
            <w:pPr>
              <w:pStyle w:val="TableText0"/>
              <w:jc w:val="center"/>
            </w:pPr>
            <w:r w:rsidRPr="005E3251">
              <w:t>NR</w:t>
            </w:r>
          </w:p>
        </w:tc>
        <w:tc>
          <w:tcPr>
            <w:tcW w:w="704" w:type="pct"/>
            <w:vAlign w:val="center"/>
          </w:tcPr>
          <w:p w14:paraId="752EC2E9" w14:textId="77777777" w:rsidR="006A1BA8" w:rsidRPr="005E3251" w:rsidRDefault="006A1BA8" w:rsidP="003A741D">
            <w:pPr>
              <w:pStyle w:val="TableText0"/>
              <w:jc w:val="center"/>
            </w:pPr>
          </w:p>
          <w:p w14:paraId="1DF85244" w14:textId="77777777" w:rsidR="006A1BA8" w:rsidRPr="005E3251" w:rsidRDefault="006A1BA8" w:rsidP="003A741D">
            <w:pPr>
              <w:pStyle w:val="TableText0"/>
              <w:jc w:val="center"/>
            </w:pPr>
            <w:r w:rsidRPr="005E3251">
              <w:t>25 (58.1)</w:t>
            </w:r>
          </w:p>
          <w:p w14:paraId="5A78CAA6" w14:textId="77777777" w:rsidR="006A1BA8" w:rsidRPr="005E3251" w:rsidRDefault="006A1BA8" w:rsidP="003A741D">
            <w:pPr>
              <w:pStyle w:val="TableText0"/>
              <w:widowControl w:val="0"/>
              <w:jc w:val="center"/>
            </w:pPr>
            <w:r w:rsidRPr="005E3251">
              <w:t>25 (58.1)</w:t>
            </w:r>
          </w:p>
        </w:tc>
        <w:tc>
          <w:tcPr>
            <w:tcW w:w="547" w:type="pct"/>
            <w:vAlign w:val="center"/>
          </w:tcPr>
          <w:p w14:paraId="67033B3D" w14:textId="77777777" w:rsidR="006A1BA8" w:rsidRPr="005E3251" w:rsidRDefault="006A1BA8" w:rsidP="003A741D">
            <w:pPr>
              <w:pStyle w:val="TableText0"/>
              <w:jc w:val="center"/>
            </w:pPr>
          </w:p>
          <w:p w14:paraId="02047372" w14:textId="77777777" w:rsidR="006A1BA8" w:rsidRPr="005E3251" w:rsidRDefault="006A1BA8" w:rsidP="003A741D">
            <w:pPr>
              <w:pStyle w:val="TableText0"/>
              <w:jc w:val="center"/>
            </w:pPr>
            <w:r w:rsidRPr="005E3251">
              <w:t>22 (50.0)</w:t>
            </w:r>
          </w:p>
          <w:p w14:paraId="7FCD9F8C" w14:textId="77777777" w:rsidR="006A1BA8" w:rsidRPr="005E3251" w:rsidRDefault="006A1BA8" w:rsidP="003A741D">
            <w:pPr>
              <w:pStyle w:val="TableText0"/>
              <w:widowControl w:val="0"/>
              <w:jc w:val="center"/>
            </w:pPr>
            <w:r w:rsidRPr="005E3251">
              <w:t>31 (70.5)</w:t>
            </w:r>
          </w:p>
        </w:tc>
      </w:tr>
      <w:tr w:rsidR="00792F9D" w:rsidRPr="005E3251" w14:paraId="6615984A" w14:textId="77777777" w:rsidTr="00792F9D">
        <w:tc>
          <w:tcPr>
            <w:tcW w:w="1171" w:type="pct"/>
            <w:shd w:val="clear" w:color="auto" w:fill="auto"/>
            <w:vAlign w:val="center"/>
          </w:tcPr>
          <w:p w14:paraId="480E650A" w14:textId="77777777" w:rsidR="006A1BA8" w:rsidRPr="005E3251" w:rsidRDefault="006A1BA8" w:rsidP="003A741D">
            <w:pPr>
              <w:pStyle w:val="TableText0"/>
              <w:widowControl w:val="0"/>
            </w:pPr>
            <w:r w:rsidRPr="005E3251">
              <w:t>Usual activities - Problems n (%)</w:t>
            </w:r>
          </w:p>
          <w:p w14:paraId="6B471DBA" w14:textId="77777777" w:rsidR="006A1BA8" w:rsidRPr="005E3251" w:rsidRDefault="006A1BA8" w:rsidP="003A741D">
            <w:pPr>
              <w:pStyle w:val="TableText0"/>
              <w:widowControl w:val="0"/>
            </w:pPr>
            <w:r w:rsidRPr="005E3251">
              <w:t>Baseline</w:t>
            </w:r>
          </w:p>
          <w:p w14:paraId="224C5465" w14:textId="77777777" w:rsidR="006A1BA8" w:rsidRPr="005E3251" w:rsidRDefault="006A1BA8" w:rsidP="003A741D">
            <w:pPr>
              <w:pStyle w:val="TableText0"/>
              <w:widowControl w:val="0"/>
            </w:pPr>
            <w:r w:rsidRPr="005E3251">
              <w:t>End of study visit</w:t>
            </w:r>
          </w:p>
        </w:tc>
        <w:tc>
          <w:tcPr>
            <w:tcW w:w="703" w:type="pct"/>
            <w:shd w:val="clear" w:color="auto" w:fill="auto"/>
            <w:vAlign w:val="center"/>
          </w:tcPr>
          <w:p w14:paraId="654E68DA" w14:textId="77777777" w:rsidR="006A1BA8" w:rsidRPr="005E3251" w:rsidRDefault="006A1BA8" w:rsidP="003A741D">
            <w:pPr>
              <w:pStyle w:val="TableText0"/>
              <w:widowControl w:val="0"/>
              <w:jc w:val="center"/>
            </w:pPr>
          </w:p>
          <w:p w14:paraId="0C195BF3" w14:textId="77777777" w:rsidR="006A1BA8" w:rsidRPr="005E3251" w:rsidRDefault="006A1BA8" w:rsidP="003A741D">
            <w:pPr>
              <w:pStyle w:val="TableText0"/>
              <w:widowControl w:val="0"/>
              <w:jc w:val="center"/>
            </w:pPr>
            <w:r w:rsidRPr="005E3251">
              <w:t>25 (62.5)</w:t>
            </w:r>
          </w:p>
          <w:p w14:paraId="43E92A35" w14:textId="77777777" w:rsidR="006A1BA8" w:rsidRPr="005E3251" w:rsidRDefault="006A1BA8" w:rsidP="003A741D">
            <w:pPr>
              <w:pStyle w:val="TableText0"/>
              <w:widowControl w:val="0"/>
              <w:jc w:val="center"/>
            </w:pPr>
            <w:r w:rsidRPr="005E3251">
              <w:t>19 (47.5)</w:t>
            </w:r>
          </w:p>
        </w:tc>
        <w:tc>
          <w:tcPr>
            <w:tcW w:w="548" w:type="pct"/>
            <w:vAlign w:val="center"/>
          </w:tcPr>
          <w:p w14:paraId="6304FE2E" w14:textId="77777777" w:rsidR="006A1BA8" w:rsidRPr="005E3251" w:rsidRDefault="006A1BA8" w:rsidP="003A741D">
            <w:pPr>
              <w:pStyle w:val="TableText0"/>
              <w:widowControl w:val="0"/>
              <w:jc w:val="center"/>
            </w:pPr>
          </w:p>
          <w:p w14:paraId="51981D20" w14:textId="77777777" w:rsidR="006A1BA8" w:rsidRPr="005E3251" w:rsidRDefault="006A1BA8" w:rsidP="003A741D">
            <w:pPr>
              <w:pStyle w:val="TableText0"/>
              <w:widowControl w:val="0"/>
              <w:jc w:val="center"/>
            </w:pPr>
            <w:r w:rsidRPr="005E3251">
              <w:t>30 (75.0)</w:t>
            </w:r>
          </w:p>
          <w:p w14:paraId="53A23C7A" w14:textId="77777777" w:rsidR="006A1BA8" w:rsidRPr="005E3251" w:rsidRDefault="006A1BA8" w:rsidP="003A741D">
            <w:pPr>
              <w:pStyle w:val="TableText0"/>
              <w:widowControl w:val="0"/>
              <w:jc w:val="center"/>
            </w:pPr>
            <w:r w:rsidRPr="005E3251">
              <w:t>26 (65.0)</w:t>
            </w:r>
          </w:p>
        </w:tc>
        <w:tc>
          <w:tcPr>
            <w:tcW w:w="703" w:type="pct"/>
            <w:vAlign w:val="center"/>
          </w:tcPr>
          <w:p w14:paraId="11F6E4B9" w14:textId="77777777" w:rsidR="006A1BA8" w:rsidRPr="005E3251" w:rsidRDefault="006A1BA8" w:rsidP="003A741D">
            <w:pPr>
              <w:pStyle w:val="TableText0"/>
              <w:widowControl w:val="0"/>
              <w:jc w:val="center"/>
            </w:pPr>
            <w:r w:rsidRPr="005E3251">
              <w:t>NR</w:t>
            </w:r>
          </w:p>
        </w:tc>
        <w:tc>
          <w:tcPr>
            <w:tcW w:w="625" w:type="pct"/>
            <w:vAlign w:val="center"/>
          </w:tcPr>
          <w:p w14:paraId="47B13CDC" w14:textId="77777777" w:rsidR="006A1BA8" w:rsidRPr="005E3251" w:rsidRDefault="006A1BA8" w:rsidP="003A741D">
            <w:pPr>
              <w:pStyle w:val="TableText0"/>
              <w:jc w:val="center"/>
            </w:pPr>
            <w:r w:rsidRPr="005E3251">
              <w:t>NR</w:t>
            </w:r>
          </w:p>
        </w:tc>
        <w:tc>
          <w:tcPr>
            <w:tcW w:w="704" w:type="pct"/>
            <w:vAlign w:val="center"/>
          </w:tcPr>
          <w:p w14:paraId="7578B1D7" w14:textId="77777777" w:rsidR="006A1BA8" w:rsidRPr="005E3251" w:rsidRDefault="006A1BA8" w:rsidP="003A741D">
            <w:pPr>
              <w:pStyle w:val="TableText0"/>
              <w:jc w:val="center"/>
            </w:pPr>
          </w:p>
          <w:p w14:paraId="324B70DB" w14:textId="77777777" w:rsidR="006A1BA8" w:rsidRPr="005E3251" w:rsidRDefault="006A1BA8" w:rsidP="003A741D">
            <w:pPr>
              <w:pStyle w:val="TableText0"/>
              <w:jc w:val="center"/>
            </w:pPr>
            <w:r w:rsidRPr="005E3251">
              <w:t>20 (46.5)</w:t>
            </w:r>
          </w:p>
          <w:p w14:paraId="13353CD4" w14:textId="77777777" w:rsidR="006A1BA8" w:rsidRPr="005E3251" w:rsidRDefault="006A1BA8" w:rsidP="003A741D">
            <w:pPr>
              <w:pStyle w:val="TableText0"/>
              <w:widowControl w:val="0"/>
              <w:jc w:val="center"/>
            </w:pPr>
            <w:r w:rsidRPr="005E3251">
              <w:t>18 (41.9)</w:t>
            </w:r>
          </w:p>
        </w:tc>
        <w:tc>
          <w:tcPr>
            <w:tcW w:w="547" w:type="pct"/>
            <w:vAlign w:val="center"/>
          </w:tcPr>
          <w:p w14:paraId="7C6B5E7D" w14:textId="77777777" w:rsidR="006A1BA8" w:rsidRPr="005E3251" w:rsidRDefault="006A1BA8" w:rsidP="003A741D">
            <w:pPr>
              <w:pStyle w:val="TableText0"/>
              <w:jc w:val="center"/>
            </w:pPr>
          </w:p>
          <w:p w14:paraId="3E14DA92" w14:textId="77777777" w:rsidR="006A1BA8" w:rsidRPr="005E3251" w:rsidRDefault="006A1BA8" w:rsidP="003A741D">
            <w:pPr>
              <w:pStyle w:val="TableText0"/>
              <w:jc w:val="center"/>
            </w:pPr>
            <w:r w:rsidRPr="005E3251">
              <w:t>17 (38.6)</w:t>
            </w:r>
          </w:p>
          <w:p w14:paraId="4111E1F0" w14:textId="77777777" w:rsidR="006A1BA8" w:rsidRPr="005E3251" w:rsidRDefault="006A1BA8" w:rsidP="003A741D">
            <w:pPr>
              <w:pStyle w:val="TableText0"/>
              <w:widowControl w:val="0"/>
              <w:jc w:val="center"/>
            </w:pPr>
            <w:r w:rsidRPr="005E3251">
              <w:t>20 (45.5)</w:t>
            </w:r>
          </w:p>
        </w:tc>
      </w:tr>
      <w:tr w:rsidR="00792F9D" w:rsidRPr="005E3251" w14:paraId="3DFD6817" w14:textId="77777777" w:rsidTr="00792F9D">
        <w:tc>
          <w:tcPr>
            <w:tcW w:w="1171" w:type="pct"/>
            <w:shd w:val="clear" w:color="auto" w:fill="auto"/>
            <w:vAlign w:val="center"/>
          </w:tcPr>
          <w:p w14:paraId="6580427F" w14:textId="77777777" w:rsidR="006A1BA8" w:rsidRPr="005E3251" w:rsidRDefault="006A1BA8" w:rsidP="00253F67">
            <w:pPr>
              <w:pStyle w:val="TableText0"/>
              <w:keepNext w:val="0"/>
              <w:widowControl w:val="0"/>
            </w:pPr>
            <w:r w:rsidRPr="005E3251">
              <w:t>Pain/discomfort - Problems n (%)</w:t>
            </w:r>
          </w:p>
          <w:p w14:paraId="0483E665" w14:textId="77777777" w:rsidR="006A1BA8" w:rsidRPr="005E3251" w:rsidRDefault="006A1BA8" w:rsidP="00253F67">
            <w:pPr>
              <w:pStyle w:val="TableText0"/>
              <w:keepNext w:val="0"/>
              <w:widowControl w:val="0"/>
            </w:pPr>
            <w:r w:rsidRPr="005E3251">
              <w:t>Baseline</w:t>
            </w:r>
          </w:p>
          <w:p w14:paraId="532A6584" w14:textId="77777777" w:rsidR="006A1BA8" w:rsidRPr="005E3251" w:rsidRDefault="006A1BA8" w:rsidP="00253F67">
            <w:pPr>
              <w:pStyle w:val="TableText0"/>
              <w:keepNext w:val="0"/>
              <w:widowControl w:val="0"/>
            </w:pPr>
            <w:r w:rsidRPr="005E3251">
              <w:t>End of study visit</w:t>
            </w:r>
          </w:p>
        </w:tc>
        <w:tc>
          <w:tcPr>
            <w:tcW w:w="703" w:type="pct"/>
            <w:shd w:val="clear" w:color="auto" w:fill="auto"/>
            <w:vAlign w:val="center"/>
          </w:tcPr>
          <w:p w14:paraId="1C8554F8" w14:textId="77777777" w:rsidR="006A1BA8" w:rsidRPr="005E3251" w:rsidRDefault="006A1BA8" w:rsidP="00253F67">
            <w:pPr>
              <w:pStyle w:val="TableText0"/>
              <w:keepNext w:val="0"/>
              <w:widowControl w:val="0"/>
              <w:jc w:val="center"/>
            </w:pPr>
          </w:p>
          <w:p w14:paraId="421963AB" w14:textId="77777777" w:rsidR="006A1BA8" w:rsidRPr="005E3251" w:rsidRDefault="006A1BA8" w:rsidP="00253F67">
            <w:pPr>
              <w:pStyle w:val="TableText0"/>
              <w:keepNext w:val="0"/>
              <w:widowControl w:val="0"/>
              <w:jc w:val="center"/>
            </w:pPr>
            <w:r w:rsidRPr="005E3251">
              <w:t>21 (52.5)</w:t>
            </w:r>
          </w:p>
          <w:p w14:paraId="63116C17" w14:textId="77777777" w:rsidR="006A1BA8" w:rsidRPr="005E3251" w:rsidRDefault="006A1BA8" w:rsidP="00253F67">
            <w:pPr>
              <w:pStyle w:val="TableText0"/>
              <w:keepNext w:val="0"/>
              <w:widowControl w:val="0"/>
              <w:jc w:val="center"/>
            </w:pPr>
            <w:r w:rsidRPr="005E3251">
              <w:t>13 (32.5)</w:t>
            </w:r>
          </w:p>
        </w:tc>
        <w:tc>
          <w:tcPr>
            <w:tcW w:w="548" w:type="pct"/>
            <w:vAlign w:val="center"/>
          </w:tcPr>
          <w:p w14:paraId="2E6C8772" w14:textId="77777777" w:rsidR="006A1BA8" w:rsidRPr="005E3251" w:rsidRDefault="006A1BA8" w:rsidP="00253F67">
            <w:pPr>
              <w:pStyle w:val="TableText0"/>
              <w:keepNext w:val="0"/>
              <w:widowControl w:val="0"/>
              <w:jc w:val="center"/>
            </w:pPr>
          </w:p>
          <w:p w14:paraId="1494F922" w14:textId="77777777" w:rsidR="006A1BA8" w:rsidRPr="005E3251" w:rsidRDefault="006A1BA8" w:rsidP="00253F67">
            <w:pPr>
              <w:pStyle w:val="TableText0"/>
              <w:keepNext w:val="0"/>
              <w:widowControl w:val="0"/>
              <w:jc w:val="center"/>
            </w:pPr>
            <w:r w:rsidRPr="005E3251">
              <w:t>20 (50.0)</w:t>
            </w:r>
          </w:p>
          <w:p w14:paraId="3226433A" w14:textId="77777777" w:rsidR="006A1BA8" w:rsidRPr="005E3251" w:rsidRDefault="006A1BA8" w:rsidP="00253F67">
            <w:pPr>
              <w:pStyle w:val="TableText0"/>
              <w:keepNext w:val="0"/>
              <w:widowControl w:val="0"/>
              <w:jc w:val="center"/>
            </w:pPr>
            <w:r w:rsidRPr="005E3251">
              <w:t>18 (45.0)</w:t>
            </w:r>
          </w:p>
        </w:tc>
        <w:tc>
          <w:tcPr>
            <w:tcW w:w="703" w:type="pct"/>
            <w:vAlign w:val="center"/>
          </w:tcPr>
          <w:p w14:paraId="00EDD28E" w14:textId="77777777" w:rsidR="006A1BA8" w:rsidRPr="005E3251" w:rsidRDefault="006A1BA8" w:rsidP="00253F67">
            <w:pPr>
              <w:pStyle w:val="TableText0"/>
              <w:keepNext w:val="0"/>
              <w:widowControl w:val="0"/>
              <w:jc w:val="center"/>
            </w:pPr>
            <w:r w:rsidRPr="005E3251">
              <w:t>NR</w:t>
            </w:r>
          </w:p>
        </w:tc>
        <w:tc>
          <w:tcPr>
            <w:tcW w:w="625" w:type="pct"/>
            <w:vAlign w:val="center"/>
          </w:tcPr>
          <w:p w14:paraId="3EB333D4" w14:textId="77777777" w:rsidR="006A1BA8" w:rsidRPr="005E3251" w:rsidRDefault="006A1BA8" w:rsidP="00253F67">
            <w:pPr>
              <w:pStyle w:val="TableText0"/>
              <w:jc w:val="center"/>
            </w:pPr>
            <w:r w:rsidRPr="005E3251">
              <w:t>NR</w:t>
            </w:r>
          </w:p>
        </w:tc>
        <w:tc>
          <w:tcPr>
            <w:tcW w:w="704" w:type="pct"/>
            <w:vAlign w:val="center"/>
          </w:tcPr>
          <w:p w14:paraId="7BD8263A" w14:textId="77777777" w:rsidR="006A1BA8" w:rsidRPr="005E3251" w:rsidRDefault="006A1BA8" w:rsidP="00253F67">
            <w:pPr>
              <w:pStyle w:val="TableText0"/>
              <w:jc w:val="center"/>
            </w:pPr>
          </w:p>
          <w:p w14:paraId="2E3F7F0D" w14:textId="77777777" w:rsidR="006A1BA8" w:rsidRPr="005E3251" w:rsidRDefault="006A1BA8" w:rsidP="00253F67">
            <w:pPr>
              <w:pStyle w:val="TableText0"/>
              <w:jc w:val="center"/>
            </w:pPr>
            <w:r w:rsidRPr="005E3251">
              <w:t>4 (9.3)</w:t>
            </w:r>
          </w:p>
          <w:p w14:paraId="54F9D27D" w14:textId="77777777" w:rsidR="006A1BA8" w:rsidRPr="005E3251" w:rsidRDefault="006A1BA8" w:rsidP="00253F67">
            <w:pPr>
              <w:pStyle w:val="TableText0"/>
              <w:keepNext w:val="0"/>
              <w:widowControl w:val="0"/>
              <w:jc w:val="center"/>
            </w:pPr>
            <w:r w:rsidRPr="005E3251">
              <w:t>2 (4.7)</w:t>
            </w:r>
          </w:p>
        </w:tc>
        <w:tc>
          <w:tcPr>
            <w:tcW w:w="547" w:type="pct"/>
            <w:vAlign w:val="center"/>
          </w:tcPr>
          <w:p w14:paraId="0F0CEB2B" w14:textId="77777777" w:rsidR="006A1BA8" w:rsidRPr="005E3251" w:rsidRDefault="006A1BA8" w:rsidP="00253F67">
            <w:pPr>
              <w:pStyle w:val="TableText0"/>
              <w:jc w:val="center"/>
            </w:pPr>
          </w:p>
          <w:p w14:paraId="7DA6775B" w14:textId="77777777" w:rsidR="006A1BA8" w:rsidRPr="005E3251" w:rsidRDefault="006A1BA8" w:rsidP="00253F67">
            <w:pPr>
              <w:pStyle w:val="TableText0"/>
              <w:jc w:val="center"/>
            </w:pPr>
            <w:r w:rsidRPr="005E3251">
              <w:t>3 (6.8)</w:t>
            </w:r>
          </w:p>
          <w:p w14:paraId="763DDABC" w14:textId="77777777" w:rsidR="006A1BA8" w:rsidRPr="005E3251" w:rsidRDefault="006A1BA8" w:rsidP="00253F67">
            <w:pPr>
              <w:pStyle w:val="TableText0"/>
              <w:keepNext w:val="0"/>
              <w:widowControl w:val="0"/>
              <w:jc w:val="center"/>
            </w:pPr>
            <w:r w:rsidRPr="005E3251">
              <w:t>4 (9.1)</w:t>
            </w:r>
          </w:p>
        </w:tc>
      </w:tr>
      <w:tr w:rsidR="00792F9D" w:rsidRPr="005E3251" w14:paraId="5898A5D9" w14:textId="77777777" w:rsidTr="00792F9D">
        <w:tc>
          <w:tcPr>
            <w:tcW w:w="1171" w:type="pct"/>
            <w:shd w:val="clear" w:color="auto" w:fill="auto"/>
            <w:vAlign w:val="center"/>
          </w:tcPr>
          <w:p w14:paraId="3D8F15B2" w14:textId="77777777" w:rsidR="006A1BA8" w:rsidRPr="005E3251" w:rsidRDefault="006A1BA8" w:rsidP="00253F67">
            <w:pPr>
              <w:pStyle w:val="TableText0"/>
              <w:keepNext w:val="0"/>
              <w:widowControl w:val="0"/>
            </w:pPr>
            <w:r w:rsidRPr="005E3251">
              <w:lastRenderedPageBreak/>
              <w:t>Anxiety/depression - Problems n (%)</w:t>
            </w:r>
          </w:p>
          <w:p w14:paraId="35401140" w14:textId="77777777" w:rsidR="006A1BA8" w:rsidRPr="005E3251" w:rsidRDefault="006A1BA8" w:rsidP="00253F67">
            <w:pPr>
              <w:pStyle w:val="TableText0"/>
              <w:keepNext w:val="0"/>
              <w:widowControl w:val="0"/>
            </w:pPr>
            <w:r w:rsidRPr="005E3251">
              <w:t>Baseline</w:t>
            </w:r>
          </w:p>
          <w:p w14:paraId="75E297F1" w14:textId="77777777" w:rsidR="006A1BA8" w:rsidRPr="005E3251" w:rsidRDefault="006A1BA8" w:rsidP="00253F67">
            <w:pPr>
              <w:pStyle w:val="TableText0"/>
              <w:keepNext w:val="0"/>
              <w:widowControl w:val="0"/>
            </w:pPr>
            <w:r w:rsidRPr="005E3251">
              <w:t>End of study visit</w:t>
            </w:r>
          </w:p>
        </w:tc>
        <w:tc>
          <w:tcPr>
            <w:tcW w:w="703" w:type="pct"/>
            <w:shd w:val="clear" w:color="auto" w:fill="auto"/>
            <w:vAlign w:val="center"/>
          </w:tcPr>
          <w:p w14:paraId="10EBF4A3" w14:textId="77777777" w:rsidR="006A1BA8" w:rsidRPr="005E3251" w:rsidRDefault="006A1BA8" w:rsidP="00253F67">
            <w:pPr>
              <w:pStyle w:val="TableText0"/>
              <w:keepNext w:val="0"/>
              <w:widowControl w:val="0"/>
              <w:jc w:val="center"/>
            </w:pPr>
          </w:p>
          <w:p w14:paraId="4714BCE6" w14:textId="77777777" w:rsidR="006A1BA8" w:rsidRPr="005E3251" w:rsidRDefault="006A1BA8" w:rsidP="00253F67">
            <w:pPr>
              <w:pStyle w:val="TableText0"/>
              <w:keepNext w:val="0"/>
              <w:widowControl w:val="0"/>
              <w:jc w:val="center"/>
            </w:pPr>
            <w:r w:rsidRPr="005E3251">
              <w:t>17 (42.5)</w:t>
            </w:r>
          </w:p>
          <w:p w14:paraId="019F996D" w14:textId="77777777" w:rsidR="006A1BA8" w:rsidRPr="005E3251" w:rsidRDefault="006A1BA8" w:rsidP="00253F67">
            <w:pPr>
              <w:pStyle w:val="TableText0"/>
              <w:keepNext w:val="0"/>
              <w:widowControl w:val="0"/>
              <w:jc w:val="center"/>
            </w:pPr>
            <w:r w:rsidRPr="005E3251">
              <w:t>12 (30.0)</w:t>
            </w:r>
          </w:p>
        </w:tc>
        <w:tc>
          <w:tcPr>
            <w:tcW w:w="548" w:type="pct"/>
            <w:vAlign w:val="center"/>
          </w:tcPr>
          <w:p w14:paraId="62CDA437" w14:textId="77777777" w:rsidR="006A1BA8" w:rsidRPr="005E3251" w:rsidRDefault="006A1BA8" w:rsidP="00253F67">
            <w:pPr>
              <w:pStyle w:val="TableText0"/>
              <w:keepNext w:val="0"/>
              <w:widowControl w:val="0"/>
              <w:jc w:val="center"/>
            </w:pPr>
          </w:p>
          <w:p w14:paraId="0621C5F9" w14:textId="77777777" w:rsidR="006A1BA8" w:rsidRPr="005E3251" w:rsidRDefault="006A1BA8" w:rsidP="00253F67">
            <w:pPr>
              <w:pStyle w:val="TableText0"/>
              <w:keepNext w:val="0"/>
              <w:widowControl w:val="0"/>
              <w:jc w:val="center"/>
            </w:pPr>
            <w:r w:rsidRPr="005E3251">
              <w:t>10 (25.0)</w:t>
            </w:r>
          </w:p>
          <w:p w14:paraId="58B4A74A" w14:textId="77777777" w:rsidR="006A1BA8" w:rsidRPr="005E3251" w:rsidRDefault="006A1BA8" w:rsidP="00253F67">
            <w:pPr>
              <w:pStyle w:val="TableText0"/>
              <w:keepNext w:val="0"/>
              <w:widowControl w:val="0"/>
              <w:jc w:val="center"/>
            </w:pPr>
            <w:r w:rsidRPr="005E3251">
              <w:t>12 (30.0)</w:t>
            </w:r>
          </w:p>
        </w:tc>
        <w:tc>
          <w:tcPr>
            <w:tcW w:w="703" w:type="pct"/>
            <w:vAlign w:val="center"/>
          </w:tcPr>
          <w:p w14:paraId="2582A6D0" w14:textId="77777777" w:rsidR="006A1BA8" w:rsidRPr="005E3251" w:rsidRDefault="006A1BA8" w:rsidP="00253F67">
            <w:pPr>
              <w:pStyle w:val="TableText0"/>
              <w:keepNext w:val="0"/>
              <w:widowControl w:val="0"/>
              <w:jc w:val="center"/>
            </w:pPr>
            <w:r w:rsidRPr="005E3251">
              <w:t>NR</w:t>
            </w:r>
          </w:p>
        </w:tc>
        <w:tc>
          <w:tcPr>
            <w:tcW w:w="625" w:type="pct"/>
            <w:vAlign w:val="center"/>
          </w:tcPr>
          <w:p w14:paraId="204646BE" w14:textId="77777777" w:rsidR="006A1BA8" w:rsidRPr="005E3251" w:rsidRDefault="006A1BA8" w:rsidP="00253F67">
            <w:pPr>
              <w:pStyle w:val="TableText0"/>
              <w:jc w:val="center"/>
            </w:pPr>
            <w:r w:rsidRPr="005E3251">
              <w:t>NR</w:t>
            </w:r>
          </w:p>
        </w:tc>
        <w:tc>
          <w:tcPr>
            <w:tcW w:w="704" w:type="pct"/>
            <w:vAlign w:val="center"/>
          </w:tcPr>
          <w:p w14:paraId="43149DF2" w14:textId="77777777" w:rsidR="006A1BA8" w:rsidRPr="005E3251" w:rsidRDefault="006A1BA8" w:rsidP="00253F67">
            <w:pPr>
              <w:pStyle w:val="TableText0"/>
              <w:jc w:val="center"/>
            </w:pPr>
          </w:p>
          <w:p w14:paraId="08FC2C3A" w14:textId="77777777" w:rsidR="006A1BA8" w:rsidRPr="005E3251" w:rsidRDefault="006A1BA8" w:rsidP="00253F67">
            <w:pPr>
              <w:pStyle w:val="TableText0"/>
              <w:jc w:val="center"/>
            </w:pPr>
            <w:r w:rsidRPr="005E3251">
              <w:t>1 (2.3)</w:t>
            </w:r>
          </w:p>
          <w:p w14:paraId="4D396258" w14:textId="77777777" w:rsidR="006A1BA8" w:rsidRPr="005E3251" w:rsidRDefault="006A1BA8" w:rsidP="00253F67">
            <w:pPr>
              <w:pStyle w:val="TableText0"/>
              <w:keepNext w:val="0"/>
              <w:widowControl w:val="0"/>
              <w:jc w:val="center"/>
            </w:pPr>
            <w:r w:rsidRPr="005E3251">
              <w:t>2 (4.7)</w:t>
            </w:r>
          </w:p>
        </w:tc>
        <w:tc>
          <w:tcPr>
            <w:tcW w:w="547" w:type="pct"/>
            <w:vAlign w:val="center"/>
          </w:tcPr>
          <w:p w14:paraId="2D7EA96E" w14:textId="77777777" w:rsidR="006A1BA8" w:rsidRPr="005E3251" w:rsidRDefault="006A1BA8" w:rsidP="00253F67">
            <w:pPr>
              <w:pStyle w:val="TableText0"/>
              <w:jc w:val="center"/>
            </w:pPr>
          </w:p>
          <w:p w14:paraId="6F36A42B" w14:textId="77777777" w:rsidR="006A1BA8" w:rsidRPr="005E3251" w:rsidRDefault="006A1BA8" w:rsidP="00253F67">
            <w:pPr>
              <w:pStyle w:val="TableText0"/>
              <w:jc w:val="center"/>
            </w:pPr>
            <w:r w:rsidRPr="005E3251">
              <w:t>3 (6.8)</w:t>
            </w:r>
          </w:p>
          <w:p w14:paraId="1E450334" w14:textId="77777777" w:rsidR="006A1BA8" w:rsidRPr="005E3251" w:rsidRDefault="006A1BA8" w:rsidP="00253F67">
            <w:pPr>
              <w:pStyle w:val="TableText0"/>
              <w:keepNext w:val="0"/>
              <w:widowControl w:val="0"/>
              <w:jc w:val="center"/>
            </w:pPr>
            <w:r w:rsidRPr="005E3251">
              <w:t>5 (11.4)</w:t>
            </w:r>
          </w:p>
        </w:tc>
      </w:tr>
      <w:tr w:rsidR="00792F9D" w:rsidRPr="005E3251" w14:paraId="3A9D48DC" w14:textId="77777777" w:rsidTr="00792F9D">
        <w:tc>
          <w:tcPr>
            <w:tcW w:w="1171" w:type="pct"/>
            <w:shd w:val="clear" w:color="auto" w:fill="auto"/>
            <w:vAlign w:val="center"/>
          </w:tcPr>
          <w:p w14:paraId="731F6C5E" w14:textId="77777777" w:rsidR="006A1BA8" w:rsidRPr="005E3251" w:rsidRDefault="006A1BA8" w:rsidP="00171749">
            <w:pPr>
              <w:pStyle w:val="TableText0"/>
              <w:keepNext w:val="0"/>
              <w:widowControl w:val="0"/>
            </w:pPr>
            <w:r w:rsidRPr="005E3251">
              <w:t>EQ-5D-5L VAS, change from baseline</w:t>
            </w:r>
          </w:p>
          <w:p w14:paraId="178D39A1" w14:textId="77777777" w:rsidR="006A1BA8" w:rsidRPr="005E3251" w:rsidRDefault="006A1BA8" w:rsidP="00171749">
            <w:pPr>
              <w:pStyle w:val="TableText0"/>
              <w:keepNext w:val="0"/>
              <w:widowControl w:val="0"/>
            </w:pPr>
            <w:r w:rsidRPr="005E3251">
              <w:t xml:space="preserve">Mean (SD) </w:t>
            </w:r>
          </w:p>
          <w:p w14:paraId="1FE8831F" w14:textId="77777777" w:rsidR="006A1BA8" w:rsidRPr="005E3251" w:rsidRDefault="006A1BA8" w:rsidP="00171749">
            <w:pPr>
              <w:pStyle w:val="TableText0"/>
              <w:keepNext w:val="0"/>
              <w:widowControl w:val="0"/>
            </w:pPr>
            <w:r w:rsidRPr="005E3251">
              <w:t>Median (range)</w:t>
            </w:r>
          </w:p>
          <w:p w14:paraId="35FB077E" w14:textId="77777777" w:rsidR="006A1BA8" w:rsidRPr="005E3251" w:rsidRDefault="006A1BA8" w:rsidP="00171749">
            <w:pPr>
              <w:pStyle w:val="TableText0"/>
              <w:keepNext w:val="0"/>
              <w:widowControl w:val="0"/>
            </w:pPr>
            <w:r w:rsidRPr="005E3251">
              <w:t>p-value vs PBO</w:t>
            </w:r>
          </w:p>
        </w:tc>
        <w:tc>
          <w:tcPr>
            <w:tcW w:w="703" w:type="pct"/>
            <w:shd w:val="clear" w:color="auto" w:fill="auto"/>
            <w:vAlign w:val="center"/>
          </w:tcPr>
          <w:p w14:paraId="4D2DC9F1" w14:textId="77777777" w:rsidR="00FE058A" w:rsidRPr="005E3251" w:rsidRDefault="00FE058A" w:rsidP="00171749">
            <w:pPr>
              <w:pStyle w:val="TableText0"/>
              <w:keepNext w:val="0"/>
              <w:widowControl w:val="0"/>
              <w:jc w:val="center"/>
            </w:pPr>
          </w:p>
          <w:p w14:paraId="7123C32E" w14:textId="77777777" w:rsidR="00D22055" w:rsidRPr="005E3251" w:rsidRDefault="00D22055" w:rsidP="00171749">
            <w:pPr>
              <w:pStyle w:val="TableText0"/>
              <w:keepNext w:val="0"/>
              <w:widowControl w:val="0"/>
              <w:jc w:val="center"/>
            </w:pPr>
          </w:p>
          <w:p w14:paraId="7A5B2E55" w14:textId="61B739B5" w:rsidR="006A1BA8" w:rsidRPr="005E3251" w:rsidRDefault="006A1BA8" w:rsidP="00171749">
            <w:pPr>
              <w:pStyle w:val="TableText0"/>
              <w:keepNext w:val="0"/>
              <w:widowControl w:val="0"/>
              <w:jc w:val="center"/>
            </w:pPr>
            <w:r w:rsidRPr="005E3251">
              <w:t>7.4 (20.3)</w:t>
            </w:r>
          </w:p>
          <w:p w14:paraId="170D709D" w14:textId="77777777" w:rsidR="006A1BA8" w:rsidRPr="005E3251" w:rsidRDefault="006A1BA8" w:rsidP="00171749">
            <w:pPr>
              <w:pStyle w:val="TableText0"/>
              <w:keepNext w:val="0"/>
              <w:widowControl w:val="0"/>
              <w:jc w:val="center"/>
            </w:pPr>
            <w:r w:rsidRPr="005E3251">
              <w:t>5.0 (-29, 69)</w:t>
            </w:r>
          </w:p>
          <w:p w14:paraId="79A5E2B7" w14:textId="77777777" w:rsidR="006A1BA8" w:rsidRPr="005E3251" w:rsidRDefault="006A1BA8" w:rsidP="00171749">
            <w:pPr>
              <w:pStyle w:val="TableText0"/>
              <w:keepNext w:val="0"/>
              <w:widowControl w:val="0"/>
              <w:jc w:val="center"/>
            </w:pPr>
            <w:r w:rsidRPr="005E3251">
              <w:t>0.059</w:t>
            </w:r>
          </w:p>
        </w:tc>
        <w:tc>
          <w:tcPr>
            <w:tcW w:w="548" w:type="pct"/>
            <w:vAlign w:val="center"/>
          </w:tcPr>
          <w:p w14:paraId="2CF21546" w14:textId="77777777" w:rsidR="00FE058A" w:rsidRPr="005E3251" w:rsidRDefault="00FE058A" w:rsidP="00171749">
            <w:pPr>
              <w:pStyle w:val="TableText0"/>
              <w:keepNext w:val="0"/>
              <w:widowControl w:val="0"/>
              <w:ind w:right="-52" w:hanging="58"/>
              <w:jc w:val="center"/>
            </w:pPr>
          </w:p>
          <w:p w14:paraId="4C67D854" w14:textId="77777777" w:rsidR="00D22055" w:rsidRPr="005E3251" w:rsidRDefault="00D22055" w:rsidP="00171749">
            <w:pPr>
              <w:pStyle w:val="TableText0"/>
              <w:keepNext w:val="0"/>
              <w:widowControl w:val="0"/>
              <w:ind w:right="-52" w:hanging="58"/>
              <w:jc w:val="center"/>
            </w:pPr>
          </w:p>
          <w:p w14:paraId="6BF782B6" w14:textId="671BB4C0" w:rsidR="006A1BA8" w:rsidRPr="005E3251" w:rsidRDefault="006A1BA8" w:rsidP="00171749">
            <w:pPr>
              <w:pStyle w:val="TableText0"/>
              <w:keepNext w:val="0"/>
              <w:widowControl w:val="0"/>
              <w:ind w:right="-52" w:hanging="58"/>
              <w:jc w:val="center"/>
            </w:pPr>
            <w:r w:rsidRPr="005E3251">
              <w:t>-1.7 (25.7)</w:t>
            </w:r>
          </w:p>
          <w:p w14:paraId="115E6041" w14:textId="77777777" w:rsidR="006A1BA8" w:rsidRPr="005E3251" w:rsidRDefault="006A1BA8" w:rsidP="00171749">
            <w:pPr>
              <w:pStyle w:val="TableText0"/>
              <w:keepNext w:val="0"/>
              <w:widowControl w:val="0"/>
              <w:ind w:right="-52" w:hanging="58"/>
              <w:jc w:val="center"/>
            </w:pPr>
            <w:r w:rsidRPr="005E3251">
              <w:t>-1.5 (-76, 65)</w:t>
            </w:r>
          </w:p>
          <w:p w14:paraId="6C9F52E3" w14:textId="77777777" w:rsidR="006A1BA8" w:rsidRPr="005E3251" w:rsidRDefault="006A1BA8" w:rsidP="00171749">
            <w:pPr>
              <w:pStyle w:val="TableText0"/>
              <w:keepNext w:val="0"/>
              <w:widowControl w:val="0"/>
              <w:ind w:right="-52" w:hanging="58"/>
              <w:jc w:val="center"/>
            </w:pPr>
            <w:r w:rsidRPr="005E3251">
              <w:t>-</w:t>
            </w:r>
          </w:p>
        </w:tc>
        <w:tc>
          <w:tcPr>
            <w:tcW w:w="703" w:type="pct"/>
            <w:vAlign w:val="center"/>
          </w:tcPr>
          <w:p w14:paraId="74B4D21D" w14:textId="77777777" w:rsidR="00FE058A" w:rsidRPr="005E3251" w:rsidRDefault="00FE058A" w:rsidP="00171749">
            <w:pPr>
              <w:pStyle w:val="TableText0"/>
              <w:keepNext w:val="0"/>
              <w:widowControl w:val="0"/>
              <w:jc w:val="center"/>
            </w:pPr>
          </w:p>
          <w:p w14:paraId="42CA5D7E" w14:textId="77777777" w:rsidR="00D22055" w:rsidRPr="005E3251" w:rsidRDefault="00D22055" w:rsidP="00171749">
            <w:pPr>
              <w:pStyle w:val="TableText0"/>
              <w:keepNext w:val="0"/>
              <w:widowControl w:val="0"/>
              <w:jc w:val="center"/>
            </w:pPr>
          </w:p>
          <w:p w14:paraId="373BADED" w14:textId="5C4C430B" w:rsidR="006A1BA8" w:rsidRPr="005E3251" w:rsidRDefault="006A1BA8" w:rsidP="00171749">
            <w:pPr>
              <w:pStyle w:val="TableText0"/>
              <w:keepNext w:val="0"/>
              <w:widowControl w:val="0"/>
              <w:jc w:val="center"/>
            </w:pPr>
            <w:r w:rsidRPr="005E3251">
              <w:t>5.9 (30.1)</w:t>
            </w:r>
          </w:p>
          <w:p w14:paraId="078C2076" w14:textId="77777777" w:rsidR="006A1BA8" w:rsidRPr="005E3251" w:rsidRDefault="006A1BA8" w:rsidP="00171749">
            <w:pPr>
              <w:pStyle w:val="TableText0"/>
              <w:keepNext w:val="0"/>
              <w:widowControl w:val="0"/>
              <w:jc w:val="center"/>
            </w:pPr>
            <w:r w:rsidRPr="005E3251">
              <w:t>NR</w:t>
            </w:r>
          </w:p>
          <w:p w14:paraId="25C60DA9" w14:textId="1C0EF8C8" w:rsidR="006A1BA8" w:rsidRPr="005E3251" w:rsidRDefault="006A1BA8" w:rsidP="00171749">
            <w:pPr>
              <w:pStyle w:val="TableText0"/>
              <w:keepNext w:val="0"/>
              <w:widowControl w:val="0"/>
              <w:jc w:val="center"/>
            </w:pPr>
            <w:r w:rsidRPr="005E3251">
              <w:t>0.79</w:t>
            </w:r>
            <w:r w:rsidR="000B23E8" w:rsidRPr="005E3251">
              <w:t>7</w:t>
            </w:r>
          </w:p>
        </w:tc>
        <w:tc>
          <w:tcPr>
            <w:tcW w:w="625" w:type="pct"/>
            <w:vAlign w:val="center"/>
          </w:tcPr>
          <w:p w14:paraId="1AB8F72A" w14:textId="77777777" w:rsidR="00FE058A" w:rsidRPr="005E3251" w:rsidRDefault="00FE058A" w:rsidP="00171749">
            <w:pPr>
              <w:pStyle w:val="TableCentre"/>
              <w:widowControl w:val="0"/>
              <w:ind w:left="-58" w:right="-204" w:hanging="142"/>
              <w:rPr>
                <w:rFonts w:ascii="Arial Narrow" w:hAnsi="Arial Narrow" w:cstheme="majorBidi"/>
                <w:bCs/>
                <w:szCs w:val="24"/>
                <w:lang w:eastAsia="en-AU" w:bidi="ar-SA"/>
              </w:rPr>
            </w:pPr>
          </w:p>
          <w:p w14:paraId="1823FB1A" w14:textId="77777777" w:rsidR="00D22055" w:rsidRPr="005E3251" w:rsidRDefault="00D22055" w:rsidP="00171749">
            <w:pPr>
              <w:pStyle w:val="TableCentre"/>
              <w:widowControl w:val="0"/>
              <w:ind w:left="-58" w:right="-204" w:hanging="142"/>
              <w:rPr>
                <w:rFonts w:ascii="Arial Narrow" w:hAnsi="Arial Narrow" w:cstheme="majorBidi"/>
                <w:bCs/>
                <w:szCs w:val="24"/>
                <w:lang w:eastAsia="en-AU" w:bidi="ar-SA"/>
              </w:rPr>
            </w:pPr>
          </w:p>
          <w:p w14:paraId="3A06C81D" w14:textId="30BB40FD" w:rsidR="006A1BA8" w:rsidRPr="005E3251" w:rsidRDefault="006A1BA8" w:rsidP="00171749">
            <w:pPr>
              <w:pStyle w:val="TableCentre"/>
              <w:widowControl w:val="0"/>
              <w:ind w:left="-58" w:right="-204" w:hanging="142"/>
              <w:rPr>
                <w:rFonts w:ascii="Arial Narrow" w:hAnsi="Arial Narrow" w:cstheme="majorBidi"/>
                <w:bCs/>
                <w:szCs w:val="24"/>
                <w:lang w:eastAsia="en-AU" w:bidi="ar-SA"/>
              </w:rPr>
            </w:pPr>
            <w:r w:rsidRPr="005E3251">
              <w:rPr>
                <w:rFonts w:ascii="Arial Narrow" w:hAnsi="Arial Narrow" w:cstheme="majorBidi"/>
                <w:bCs/>
                <w:szCs w:val="24"/>
                <w:lang w:eastAsia="en-AU" w:bidi="ar-SA"/>
              </w:rPr>
              <w:t>9.0 (26.2)</w:t>
            </w:r>
          </w:p>
          <w:p w14:paraId="3137D175" w14:textId="77777777" w:rsidR="006A1BA8" w:rsidRPr="005E3251" w:rsidRDefault="006A1BA8" w:rsidP="00171749">
            <w:pPr>
              <w:pStyle w:val="TableText0"/>
              <w:keepNext w:val="0"/>
              <w:widowControl w:val="0"/>
              <w:ind w:left="-58" w:right="-204" w:hanging="142"/>
              <w:jc w:val="center"/>
            </w:pPr>
            <w:r w:rsidRPr="005E3251">
              <w:t>-1.5 (-76, 65)</w:t>
            </w:r>
          </w:p>
          <w:p w14:paraId="456B55F0" w14:textId="77777777" w:rsidR="006A1BA8" w:rsidRPr="005E3251" w:rsidRDefault="006A1BA8" w:rsidP="00171749">
            <w:pPr>
              <w:pStyle w:val="TableText0"/>
              <w:jc w:val="center"/>
            </w:pPr>
            <w:r w:rsidRPr="005E3251">
              <w:t>-</w:t>
            </w:r>
          </w:p>
        </w:tc>
        <w:tc>
          <w:tcPr>
            <w:tcW w:w="704" w:type="pct"/>
            <w:vAlign w:val="center"/>
          </w:tcPr>
          <w:p w14:paraId="12444488" w14:textId="77777777" w:rsidR="00FE058A" w:rsidRPr="005E3251" w:rsidRDefault="00FE058A" w:rsidP="00171749">
            <w:pPr>
              <w:pStyle w:val="TableText0"/>
              <w:jc w:val="center"/>
            </w:pPr>
          </w:p>
          <w:p w14:paraId="0B87C5AB" w14:textId="77777777" w:rsidR="00D22055" w:rsidRPr="005E3251" w:rsidRDefault="00D22055" w:rsidP="00171749">
            <w:pPr>
              <w:pStyle w:val="TableText0"/>
              <w:jc w:val="center"/>
            </w:pPr>
          </w:p>
          <w:p w14:paraId="41CCA943" w14:textId="3828DA1C" w:rsidR="006A1BA8" w:rsidRPr="005E3251" w:rsidRDefault="006A1BA8" w:rsidP="00171749">
            <w:pPr>
              <w:pStyle w:val="TableText0"/>
              <w:jc w:val="center"/>
            </w:pPr>
            <w:r w:rsidRPr="005E3251">
              <w:t>9.4 (27.6)</w:t>
            </w:r>
          </w:p>
          <w:p w14:paraId="63863758" w14:textId="77777777" w:rsidR="006A1BA8" w:rsidRPr="005E3251" w:rsidRDefault="006A1BA8" w:rsidP="00171749">
            <w:pPr>
              <w:pStyle w:val="TableText0"/>
              <w:jc w:val="center"/>
            </w:pPr>
            <w:r w:rsidRPr="005E3251">
              <w:t>0.5 (-32, 60)</w:t>
            </w:r>
          </w:p>
          <w:p w14:paraId="2F061A2A" w14:textId="77777777" w:rsidR="006A1BA8" w:rsidRPr="005E3251" w:rsidRDefault="006A1BA8" w:rsidP="00171749">
            <w:pPr>
              <w:pStyle w:val="TableText0"/>
              <w:keepNext w:val="0"/>
              <w:widowControl w:val="0"/>
              <w:jc w:val="center"/>
            </w:pPr>
            <w:r w:rsidRPr="005E3251">
              <w:t>0.423</w:t>
            </w:r>
          </w:p>
        </w:tc>
        <w:tc>
          <w:tcPr>
            <w:tcW w:w="547" w:type="pct"/>
            <w:vAlign w:val="center"/>
          </w:tcPr>
          <w:p w14:paraId="486D8230" w14:textId="77777777" w:rsidR="00FE058A" w:rsidRPr="005E3251" w:rsidRDefault="00FE058A" w:rsidP="00171749">
            <w:pPr>
              <w:pStyle w:val="TableText0"/>
              <w:jc w:val="center"/>
            </w:pPr>
          </w:p>
          <w:p w14:paraId="1761F1B1" w14:textId="77777777" w:rsidR="00D22055" w:rsidRPr="005E3251" w:rsidRDefault="00D22055" w:rsidP="00171749">
            <w:pPr>
              <w:pStyle w:val="TableText0"/>
              <w:jc w:val="center"/>
            </w:pPr>
          </w:p>
          <w:p w14:paraId="18268604" w14:textId="3830EFD5" w:rsidR="006A1BA8" w:rsidRPr="005E3251" w:rsidRDefault="006A1BA8" w:rsidP="00171749">
            <w:pPr>
              <w:pStyle w:val="TableText0"/>
              <w:jc w:val="center"/>
            </w:pPr>
            <w:r w:rsidRPr="005E3251">
              <w:t>1.6 (26.0)</w:t>
            </w:r>
          </w:p>
          <w:p w14:paraId="18F0093E" w14:textId="1116095E" w:rsidR="006A1BA8" w:rsidRPr="005E3251" w:rsidRDefault="006A1BA8" w:rsidP="00171749">
            <w:pPr>
              <w:pStyle w:val="TableText0"/>
              <w:ind w:right="-81" w:hanging="59"/>
              <w:jc w:val="center"/>
            </w:pPr>
            <w:r w:rsidRPr="005E3251">
              <w:t>0 (-71, 50)</w:t>
            </w:r>
          </w:p>
          <w:p w14:paraId="4B9F556E" w14:textId="77777777" w:rsidR="006A1BA8" w:rsidRPr="005E3251" w:rsidRDefault="006A1BA8" w:rsidP="00171749">
            <w:pPr>
              <w:pStyle w:val="TableText0"/>
              <w:keepNext w:val="0"/>
              <w:widowControl w:val="0"/>
              <w:jc w:val="center"/>
            </w:pPr>
            <w:r w:rsidRPr="005E3251">
              <w:t>-</w:t>
            </w:r>
          </w:p>
        </w:tc>
      </w:tr>
    </w:tbl>
    <w:p w14:paraId="6205F13D" w14:textId="1888E2D5" w:rsidR="00F82160" w:rsidRPr="005E3251" w:rsidRDefault="00CE7338" w:rsidP="00F82160">
      <w:pPr>
        <w:pStyle w:val="TableFigureFooter"/>
        <w:rPr>
          <w:rFonts w:eastAsia="Calibri"/>
        </w:rPr>
      </w:pPr>
      <w:r w:rsidRPr="005E3251">
        <w:t>Source: Table 2-27, p74, Table 2-33, p78, Table 2-40, p83 of the submission, p143 of Study 3 CSR.</w:t>
      </w:r>
      <w:r w:rsidRPr="005E3251">
        <w:rPr>
          <w:rFonts w:eastAsia="Calibri"/>
        </w:rPr>
        <w:t xml:space="preserve"> Odds ratios of CGI-I scores from Study 1 were extracted from </w:t>
      </w:r>
      <w:r w:rsidRPr="005E3251">
        <w:t xml:space="preserve">Table 27, p115 and Table 28, p117 of Study 1 CSR of Study 1 CSR. </w:t>
      </w:r>
      <w:r w:rsidRPr="005E3251">
        <w:rPr>
          <w:rFonts w:eastAsia="Calibri"/>
        </w:rPr>
        <w:t>PedsQL Family impact score for Study 3 extracted from p146 of Study 3 CSR. EQ-5D-5L VAS scores for Study 3 extracted from p147 of Study 3 CSR.</w:t>
      </w:r>
    </w:p>
    <w:p w14:paraId="7DD7F873" w14:textId="31749F09" w:rsidR="00F82160" w:rsidRPr="005E3251" w:rsidRDefault="00CE7338" w:rsidP="00F82160">
      <w:pPr>
        <w:pStyle w:val="TableFigureFooter"/>
        <w:rPr>
          <w:rFonts w:eastAsia="Calibri"/>
        </w:rPr>
      </w:pPr>
      <w:r w:rsidRPr="005E3251">
        <w:t xml:space="preserve">CGI-C= Clinical Global Impression of Change; CGI-I= Clinical Global Impression – Improvement; CSF = convulsive seizure frequency; EQ-5D-5L= </w:t>
      </w:r>
      <w:proofErr w:type="spellStart"/>
      <w:r w:rsidRPr="005E3251">
        <w:t>EuroQOL</w:t>
      </w:r>
      <w:proofErr w:type="spellEnd"/>
      <w:r w:rsidRPr="005E3251">
        <w:t xml:space="preserve"> –5 Dimensions – 5 Levels scale produced by the European Quality of Life Group; FFA = fenfluramine; </w:t>
      </w:r>
      <w:r w:rsidR="00905966" w:rsidRPr="005E3251">
        <w:t>NR= not reported</w:t>
      </w:r>
      <w:r w:rsidR="00782652" w:rsidRPr="005E3251">
        <w:t xml:space="preserve">; </w:t>
      </w:r>
      <w:r w:rsidRPr="005E3251">
        <w:t>PedsQL= Paediatric Quality of Life Inventory; PBO = placebo; QoL = quality of life; QOLCE = Quality of Life in Childhood Epilepsy; SD= standard deviation</w:t>
      </w:r>
      <w:r w:rsidR="00990C69" w:rsidRPr="005E3251">
        <w:t>; STP =stiripentol</w:t>
      </w:r>
      <w:r w:rsidRPr="005E3251">
        <w:t>.</w:t>
      </w:r>
    </w:p>
    <w:p w14:paraId="7AAA2373" w14:textId="69DDD50B" w:rsidR="00CE7338" w:rsidRPr="005E3251" w:rsidRDefault="00CE7338" w:rsidP="00CE7338">
      <w:pPr>
        <w:pStyle w:val="3-BodyText"/>
      </w:pPr>
      <w:r w:rsidRPr="005E3251">
        <w:t>The Study 1 and Study 3 trials reported statistically significant improvement in parent and investigator Clinical Global Impression - Improvement (CGI-I) rating after 14</w:t>
      </w:r>
      <w:r w:rsidR="003A741D">
        <w:t> </w:t>
      </w:r>
      <w:r w:rsidRPr="005E3251">
        <w:t xml:space="preserve">weeks of follow-up in fenfluramine 0.7 mg/kg/day (without stiripentol) compared to placebo. The fenfluramine trials claimed that a rating of </w:t>
      </w:r>
      <w:r w:rsidR="00FE55D4" w:rsidRPr="005E3251">
        <w:t>‘</w:t>
      </w:r>
      <w:r w:rsidRPr="005E3251">
        <w:t>very much improved</w:t>
      </w:r>
      <w:r w:rsidR="00FE55D4" w:rsidRPr="005E3251">
        <w:t>’</w:t>
      </w:r>
      <w:r w:rsidRPr="005E3251">
        <w:t xml:space="preserve"> or </w:t>
      </w:r>
      <w:r w:rsidR="00FE55D4" w:rsidRPr="005E3251">
        <w:t>‘</w:t>
      </w:r>
      <w:r w:rsidRPr="005E3251">
        <w:t>much improved</w:t>
      </w:r>
      <w:r w:rsidR="00FE55D4" w:rsidRPr="005E3251">
        <w:t>’</w:t>
      </w:r>
      <w:r w:rsidRPr="005E3251">
        <w:t xml:space="preserve"> in the CGI-I was a clinically meaningful improvement.</w:t>
      </w:r>
      <w:bookmarkStart w:id="40" w:name="_Hlk174481235"/>
    </w:p>
    <w:p w14:paraId="6C1EDCB9" w14:textId="5678DBAA" w:rsidR="00CE7338" w:rsidRPr="005E3251" w:rsidRDefault="00CE7338" w:rsidP="00CE7338">
      <w:pPr>
        <w:pStyle w:val="3-BodyText"/>
      </w:pPr>
      <w:bookmarkStart w:id="41" w:name="_Hlk174481134"/>
      <w:bookmarkEnd w:id="40"/>
      <w:r w:rsidRPr="005E3251">
        <w:t xml:space="preserve">The fenfluramine open-label extension study also reported an increase in the proportion of parents/caregivers rating </w:t>
      </w:r>
      <w:r w:rsidR="00EF7A99" w:rsidRPr="005E3251">
        <w:t>‘</w:t>
      </w:r>
      <w:r w:rsidRPr="005E3251">
        <w:t>much or very much improved</w:t>
      </w:r>
      <w:r w:rsidR="00057126" w:rsidRPr="005E3251">
        <w:t>’</w:t>
      </w:r>
      <w:r w:rsidRPr="005E3251">
        <w:t xml:space="preserve"> from 50.5% in </w:t>
      </w:r>
      <w:r w:rsidRPr="005E3251" w:rsidDel="00A90E26">
        <w:t>month</w:t>
      </w:r>
      <w:r w:rsidRPr="005E3251">
        <w:t> 1 of the open-label extension period, to 62.5% over the 3 years of follow-up.</w:t>
      </w:r>
    </w:p>
    <w:bookmarkEnd w:id="41"/>
    <w:p w14:paraId="77069F69" w14:textId="5427D1F6" w:rsidR="00CE7338" w:rsidRPr="005E3251" w:rsidRDefault="00CE7338" w:rsidP="00CE7338">
      <w:pPr>
        <w:pStyle w:val="3-BodyText"/>
      </w:pPr>
      <w:r w:rsidRPr="005E3251">
        <w:t>Only the Study 3 trial reported a significant</w:t>
      </w:r>
      <w:r w:rsidR="0076690A" w:rsidRPr="005E3251">
        <w:t xml:space="preserve"> </w:t>
      </w:r>
      <w:r w:rsidRPr="005E3251">
        <w:t>change from baseline than placebo, in the Quality of Life in Childhood Epilepsy (QOLCE) scores in the fenfluramine 0.7 mg/kg/day (without stiripentol) treatment arm (mean 5.5 (SD 13.2)). The QOLCE instrument was specific to epilepsy and, therefore, was sensitive to the impact of epilepsy on</w:t>
      </w:r>
      <w:r w:rsidR="00796678">
        <w:t xml:space="preserve"> quality of life</w:t>
      </w:r>
      <w:r w:rsidRPr="005E3251">
        <w:t xml:space="preserve"> </w:t>
      </w:r>
      <w:r w:rsidR="00796678">
        <w:t>(</w:t>
      </w:r>
      <w:r w:rsidRPr="005E3251">
        <w:t>QoL</w:t>
      </w:r>
      <w:r w:rsidR="00796678">
        <w:t>)</w:t>
      </w:r>
      <w:r w:rsidRPr="005E3251">
        <w:t>.</w:t>
      </w:r>
      <w:r w:rsidRPr="005E3251">
        <w:rPr>
          <w:rStyle w:val="FootnoteReference"/>
        </w:rPr>
        <w:footnoteReference w:id="11"/>
      </w:r>
      <w:r w:rsidRPr="005E3251">
        <w:t xml:space="preserve"> However, the effect sizes were small (the scale was scored from 0 to 100) and it is unclear whether the differences were clinically meaningful. Further, the follow-up duration of these trials was likely too short to observe meaningful change in quality</w:t>
      </w:r>
      <w:r w:rsidR="00321627">
        <w:t xml:space="preserve"> </w:t>
      </w:r>
      <w:r w:rsidRPr="005E3251">
        <w:t>of</w:t>
      </w:r>
      <w:r w:rsidR="00321627">
        <w:t xml:space="preserve"> </w:t>
      </w:r>
      <w:r w:rsidRPr="005E3251">
        <w:t xml:space="preserve">life measures. </w:t>
      </w:r>
    </w:p>
    <w:p w14:paraId="3753E47A" w14:textId="54D163ED" w:rsidR="002A6B0A" w:rsidRPr="005E3251" w:rsidRDefault="002A6B0A" w:rsidP="00CE7338">
      <w:pPr>
        <w:pStyle w:val="5-SubsectionSubheading"/>
        <w:rPr>
          <w:color w:val="auto"/>
        </w:rPr>
      </w:pPr>
      <w:bookmarkStart w:id="42" w:name="_Toc177562904"/>
      <w:r w:rsidRPr="005E3251">
        <w:rPr>
          <w:color w:val="auto"/>
        </w:rPr>
        <w:t>Meta-analyses</w:t>
      </w:r>
      <w:bookmarkEnd w:id="42"/>
    </w:p>
    <w:p w14:paraId="55D9B644" w14:textId="68952AF6" w:rsidR="004E3C0D" w:rsidRPr="005E3251" w:rsidRDefault="004E3C0D" w:rsidP="00253F67">
      <w:pPr>
        <w:pStyle w:val="3-BodyText"/>
      </w:pPr>
      <w:r w:rsidRPr="005E3251">
        <w:t>The submission presented random-effects meta-analyses to pool data from the treatment arms randomised to the same drug dose for the 3 treatments (fenfluramine, cannabidiol and stiripentol) to inform the indirect treatment comparisons</w:t>
      </w:r>
      <w:r w:rsidR="008552AE" w:rsidRPr="005E3251">
        <w:t>.</w:t>
      </w:r>
    </w:p>
    <w:p w14:paraId="4E6F09F5" w14:textId="39E4CAB7" w:rsidR="004E3C0D" w:rsidRPr="005E3251" w:rsidRDefault="000E3E8A" w:rsidP="004E3C0D">
      <w:pPr>
        <w:pStyle w:val="3-BodyText"/>
      </w:pPr>
      <w:r w:rsidRPr="005E3251">
        <w:rPr>
          <w:noProof/>
        </w:rPr>
        <w:lastRenderedPageBreak/>
        <w:fldChar w:fldCharType="begin" w:fldLock="1"/>
      </w:r>
      <w:r w:rsidRPr="005E3251">
        <w:rPr>
          <w:noProof/>
        </w:rPr>
        <w:instrText xml:space="preserve"> REF _Ref176275332 \h </w:instrText>
      </w:r>
      <w:r w:rsidR="005E3251" w:rsidRPr="005E3251">
        <w:rPr>
          <w:noProof/>
        </w:rPr>
        <w:instrText xml:space="preserve"> \* MERGEFORMAT </w:instrText>
      </w:r>
      <w:r w:rsidRPr="005E3251">
        <w:rPr>
          <w:noProof/>
        </w:rPr>
      </w:r>
      <w:r w:rsidRPr="005E3251">
        <w:rPr>
          <w:noProof/>
        </w:rPr>
        <w:fldChar w:fldCharType="separate"/>
      </w:r>
      <w:r w:rsidR="00D72887" w:rsidRPr="005E3251">
        <w:t xml:space="preserve">Table </w:t>
      </w:r>
      <w:r w:rsidR="00D72887">
        <w:rPr>
          <w:noProof/>
        </w:rPr>
        <w:t>7</w:t>
      </w:r>
      <w:r w:rsidRPr="005E3251">
        <w:rPr>
          <w:noProof/>
        </w:rPr>
        <w:fldChar w:fldCharType="end"/>
      </w:r>
      <w:r w:rsidR="008552AE" w:rsidRPr="005E3251">
        <w:t xml:space="preserve"> </w:t>
      </w:r>
      <w:r w:rsidR="004E3C0D" w:rsidRPr="005E3251">
        <w:t xml:space="preserve">presents the meta-analyses of fenfluramine, cannabidiol and stiripentol treatment arms, for the outcome of change in 28-day </w:t>
      </w:r>
      <w:r w:rsidR="00157D66" w:rsidRPr="005E3251">
        <w:t>CSF</w:t>
      </w:r>
      <w:r w:rsidR="004E3C0D" w:rsidRPr="005E3251">
        <w:t xml:space="preserve"> from baseline.</w:t>
      </w:r>
    </w:p>
    <w:p w14:paraId="344CE43B" w14:textId="2DFBFF5F" w:rsidR="008552AE" w:rsidRPr="005E3251" w:rsidRDefault="008552AE" w:rsidP="008552AE">
      <w:pPr>
        <w:pStyle w:val="Caption"/>
      </w:pPr>
      <w:bookmarkStart w:id="43" w:name="_Ref176275332"/>
      <w:r w:rsidRPr="005E3251">
        <w:t xml:space="preserve">Table </w:t>
      </w:r>
      <w:r w:rsidR="00D72887">
        <w:fldChar w:fldCharType="begin" w:fldLock="1"/>
      </w:r>
      <w:r w:rsidR="00D72887">
        <w:instrText xml:space="preserve"> SEQ Table \* ARABIC </w:instrText>
      </w:r>
      <w:r w:rsidR="00D72887">
        <w:fldChar w:fldCharType="separate"/>
      </w:r>
      <w:r w:rsidR="00D72887">
        <w:rPr>
          <w:noProof/>
        </w:rPr>
        <w:t>7</w:t>
      </w:r>
      <w:r w:rsidR="00D72887">
        <w:rPr>
          <w:noProof/>
        </w:rPr>
        <w:fldChar w:fldCharType="end"/>
      </w:r>
      <w:bookmarkEnd w:id="43"/>
      <w:r w:rsidRPr="005E3251">
        <w:t xml:space="preserve"> Results of meta-analyses for the outcome of change in 28-day </w:t>
      </w:r>
      <w:r w:rsidR="00157D66" w:rsidRPr="005E3251">
        <w:t>CSF</w:t>
      </w:r>
      <w:r w:rsidRPr="005E3251">
        <w:t xml:space="preserve"> from baseline across fenfluramine, cannabidiol a</w:t>
      </w:r>
      <w:r w:rsidR="00516AB2" w:rsidRPr="005E3251">
        <w:t>n</w:t>
      </w:r>
      <w:r w:rsidRPr="005E3251">
        <w:t>d stiripentol trials</w:t>
      </w:r>
    </w:p>
    <w:tbl>
      <w:tblPr>
        <w:tblpPr w:leftFromText="180" w:rightFromText="180" w:vertAnchor="text" w:horzAnchor="margin" w:tblpY="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3468"/>
        <w:gridCol w:w="3351"/>
      </w:tblGrid>
      <w:tr w:rsidR="004E3C0D" w:rsidRPr="005E3251" w14:paraId="6B46B703" w14:textId="77777777" w:rsidTr="00253F67">
        <w:trPr>
          <w:tblHeader/>
        </w:trPr>
        <w:tc>
          <w:tcPr>
            <w:tcW w:w="1219" w:type="pct"/>
            <w:vAlign w:val="center"/>
          </w:tcPr>
          <w:p w14:paraId="7262E47F" w14:textId="77777777" w:rsidR="004E3C0D" w:rsidRPr="005E3251" w:rsidRDefault="004E3C0D" w:rsidP="00F60417">
            <w:pPr>
              <w:pStyle w:val="In-tableHeading"/>
              <w:keepLines/>
            </w:pPr>
            <w:r w:rsidRPr="005E3251">
              <w:t>Population</w:t>
            </w:r>
          </w:p>
        </w:tc>
        <w:tc>
          <w:tcPr>
            <w:tcW w:w="1923" w:type="pct"/>
            <w:vAlign w:val="center"/>
          </w:tcPr>
          <w:p w14:paraId="56E4BF7E" w14:textId="77777777" w:rsidR="004E3C0D" w:rsidRPr="005E3251" w:rsidRDefault="004E3C0D" w:rsidP="00F60417">
            <w:pPr>
              <w:pStyle w:val="In-tableHeading"/>
              <w:keepLines/>
            </w:pPr>
            <w:r w:rsidRPr="005E3251">
              <w:t>Trial ID</w:t>
            </w:r>
          </w:p>
        </w:tc>
        <w:tc>
          <w:tcPr>
            <w:tcW w:w="1858" w:type="pct"/>
            <w:vAlign w:val="center"/>
          </w:tcPr>
          <w:p w14:paraId="20931938" w14:textId="77777777" w:rsidR="004E3C0D" w:rsidRPr="005E3251" w:rsidRDefault="004E3C0D" w:rsidP="00747E9B">
            <w:pPr>
              <w:pStyle w:val="TableText0"/>
              <w:keepNext w:val="0"/>
              <w:widowControl w:val="0"/>
              <w:jc w:val="center"/>
              <w:rPr>
                <w:b/>
                <w:bCs w:val="0"/>
              </w:rPr>
            </w:pPr>
            <w:r w:rsidRPr="005E3251">
              <w:rPr>
                <w:b/>
                <w:bCs w:val="0"/>
              </w:rPr>
              <w:t>Active treatment</w:t>
            </w:r>
          </w:p>
          <w:p w14:paraId="463B4805" w14:textId="77777777" w:rsidR="004E3C0D" w:rsidRPr="005E3251" w:rsidRDefault="004E3C0D" w:rsidP="00747E9B">
            <w:pPr>
              <w:pStyle w:val="TableText0"/>
              <w:keepNext w:val="0"/>
              <w:widowControl w:val="0"/>
              <w:jc w:val="center"/>
            </w:pPr>
            <w:r w:rsidRPr="005E3251">
              <w:rPr>
                <w:b/>
                <w:bCs w:val="0"/>
              </w:rPr>
              <w:t>LS mean % difference from baseline compared to placebo (95% CI)</w:t>
            </w:r>
          </w:p>
        </w:tc>
      </w:tr>
      <w:tr w:rsidR="004E3C0D" w:rsidRPr="005E3251" w14:paraId="48CB8A75" w14:textId="77777777" w:rsidTr="00747E9B">
        <w:tc>
          <w:tcPr>
            <w:tcW w:w="1219" w:type="pct"/>
            <w:vMerge w:val="restart"/>
          </w:tcPr>
          <w:p w14:paraId="0828430B" w14:textId="1973FA11" w:rsidR="00E70AED" w:rsidRPr="005E3251" w:rsidRDefault="004E3C0D" w:rsidP="00747E9B">
            <w:pPr>
              <w:pStyle w:val="TableText0"/>
              <w:keepLines/>
              <w:rPr>
                <w:b/>
                <w:bCs w:val="0"/>
              </w:rPr>
            </w:pPr>
            <w:r w:rsidRPr="005E3251">
              <w:rPr>
                <w:b/>
                <w:bCs w:val="0"/>
              </w:rPr>
              <w:t xml:space="preserve">FFA 0.7 mg/kg/day </w:t>
            </w:r>
          </w:p>
          <w:p w14:paraId="12E7EE12" w14:textId="6551A4B3" w:rsidR="004E3C0D" w:rsidRPr="005E3251" w:rsidRDefault="004E3C0D" w:rsidP="00747E9B">
            <w:pPr>
              <w:pStyle w:val="TableText0"/>
              <w:keepLines/>
              <w:rPr>
                <w:b/>
                <w:bCs w:val="0"/>
              </w:rPr>
            </w:pPr>
            <w:r w:rsidRPr="005E3251">
              <w:rPr>
                <w:b/>
                <w:bCs w:val="0"/>
              </w:rPr>
              <w:t>(- STP)</w:t>
            </w:r>
          </w:p>
        </w:tc>
        <w:tc>
          <w:tcPr>
            <w:tcW w:w="1923" w:type="pct"/>
            <w:vAlign w:val="center"/>
          </w:tcPr>
          <w:p w14:paraId="66A4E54E" w14:textId="77777777" w:rsidR="004E3C0D" w:rsidRPr="005E3251" w:rsidRDefault="004E3C0D" w:rsidP="00F60417">
            <w:pPr>
              <w:pStyle w:val="TableText0"/>
              <w:keepLines/>
              <w:rPr>
                <w:rFonts w:ascii="Times" w:hAnsi="Times"/>
              </w:rPr>
            </w:pPr>
            <w:r w:rsidRPr="005E3251">
              <w:t>Study 1</w:t>
            </w:r>
          </w:p>
        </w:tc>
        <w:tc>
          <w:tcPr>
            <w:tcW w:w="1858" w:type="pct"/>
          </w:tcPr>
          <w:p w14:paraId="5EFDC716" w14:textId="6A767F39" w:rsidR="004E3C0D" w:rsidRPr="005E3251" w:rsidRDefault="004E3C0D" w:rsidP="00F60417">
            <w:pPr>
              <w:pStyle w:val="TableText0"/>
              <w:keepLines/>
              <w:jc w:val="center"/>
              <w:rPr>
                <w:rFonts w:cs="Calibri"/>
                <w:szCs w:val="20"/>
              </w:rPr>
            </w:pPr>
            <w:r w:rsidRPr="005E3251">
              <w:rPr>
                <w:rFonts w:cs="Calibri"/>
                <w:szCs w:val="20"/>
              </w:rPr>
              <w:t>-62.3 (-74.</w:t>
            </w:r>
            <w:r w:rsidR="003D3808" w:rsidRPr="005E3251">
              <w:rPr>
                <w:rFonts w:cs="Calibri"/>
                <w:szCs w:val="20"/>
              </w:rPr>
              <w:t>9</w:t>
            </w:r>
            <w:r w:rsidRPr="005E3251">
              <w:rPr>
                <w:rFonts w:cs="Calibri"/>
                <w:szCs w:val="20"/>
              </w:rPr>
              <w:t>, -49.</w:t>
            </w:r>
            <w:r w:rsidR="003D3808" w:rsidRPr="005E3251">
              <w:rPr>
                <w:rFonts w:cs="Calibri"/>
                <w:szCs w:val="20"/>
              </w:rPr>
              <w:t>8</w:t>
            </w:r>
            <w:r w:rsidRPr="005E3251">
              <w:rPr>
                <w:rFonts w:cs="Calibri"/>
                <w:szCs w:val="20"/>
              </w:rPr>
              <w:t>)</w:t>
            </w:r>
            <w:r w:rsidR="00B82439" w:rsidRPr="005E3251">
              <w:rPr>
                <w:rFonts w:cs="Calibri"/>
                <w:szCs w:val="20"/>
              </w:rPr>
              <w:t xml:space="preserve"> </w:t>
            </w:r>
            <w:r w:rsidRPr="005E3251">
              <w:rPr>
                <w:rFonts w:cs="Calibri"/>
                <w:szCs w:val="20"/>
                <w:vertAlign w:val="superscript"/>
              </w:rPr>
              <w:t>a</w:t>
            </w:r>
          </w:p>
        </w:tc>
      </w:tr>
      <w:tr w:rsidR="004E3C0D" w:rsidRPr="005E3251" w14:paraId="40D0D7CA" w14:textId="77777777" w:rsidTr="00747E9B">
        <w:tc>
          <w:tcPr>
            <w:tcW w:w="1219" w:type="pct"/>
            <w:vMerge/>
          </w:tcPr>
          <w:p w14:paraId="438B80D2" w14:textId="77777777" w:rsidR="004E3C0D" w:rsidRPr="005E3251" w:rsidRDefault="004E3C0D" w:rsidP="00747E9B">
            <w:pPr>
              <w:pStyle w:val="TableText0"/>
              <w:keepLines/>
            </w:pPr>
          </w:p>
        </w:tc>
        <w:tc>
          <w:tcPr>
            <w:tcW w:w="1923" w:type="pct"/>
            <w:vAlign w:val="center"/>
          </w:tcPr>
          <w:p w14:paraId="59D9DBB8" w14:textId="77777777" w:rsidR="004E3C0D" w:rsidRPr="005E3251" w:rsidRDefault="004E3C0D" w:rsidP="00F60417">
            <w:pPr>
              <w:pStyle w:val="TableText0"/>
              <w:keepLines/>
              <w:rPr>
                <w:rFonts w:ascii="Times" w:hAnsi="Times"/>
              </w:rPr>
            </w:pPr>
            <w:r w:rsidRPr="005E3251">
              <w:t>Study 3</w:t>
            </w:r>
          </w:p>
        </w:tc>
        <w:tc>
          <w:tcPr>
            <w:tcW w:w="1858" w:type="pct"/>
            <w:vAlign w:val="center"/>
          </w:tcPr>
          <w:p w14:paraId="15CEFD1C" w14:textId="7A0446B5" w:rsidR="004E3C0D" w:rsidRPr="005E3251" w:rsidRDefault="004E3C0D" w:rsidP="00F60417">
            <w:pPr>
              <w:pStyle w:val="TableText0"/>
              <w:keepLines/>
              <w:jc w:val="center"/>
            </w:pPr>
            <w:r w:rsidRPr="005E3251">
              <w:t>-64.80 (-76.0, -53.6)</w:t>
            </w:r>
            <w:r w:rsidRPr="005E3251">
              <w:rPr>
                <w:rFonts w:cs="Calibri"/>
                <w:szCs w:val="20"/>
                <w:vertAlign w:val="superscript"/>
              </w:rPr>
              <w:t xml:space="preserve"> a</w:t>
            </w:r>
          </w:p>
        </w:tc>
      </w:tr>
      <w:tr w:rsidR="004E3C0D" w:rsidRPr="005E3251" w14:paraId="6E58713C" w14:textId="77777777" w:rsidTr="00747E9B">
        <w:tc>
          <w:tcPr>
            <w:tcW w:w="1219" w:type="pct"/>
            <w:vMerge/>
          </w:tcPr>
          <w:p w14:paraId="26F33833" w14:textId="77777777" w:rsidR="004E3C0D" w:rsidRPr="005E3251" w:rsidRDefault="004E3C0D" w:rsidP="00747E9B">
            <w:pPr>
              <w:pStyle w:val="TableText0"/>
              <w:keepLines/>
            </w:pPr>
          </w:p>
        </w:tc>
        <w:tc>
          <w:tcPr>
            <w:tcW w:w="1923" w:type="pct"/>
            <w:vAlign w:val="center"/>
          </w:tcPr>
          <w:p w14:paraId="5BBFD1DF" w14:textId="114D121B" w:rsidR="004E3C0D" w:rsidRPr="005E3251" w:rsidRDefault="004E3C0D" w:rsidP="00F60417">
            <w:pPr>
              <w:pStyle w:val="TableText0"/>
              <w:keepLines/>
              <w:rPr>
                <w:rFonts w:ascii="Times" w:hAnsi="Times"/>
              </w:rPr>
            </w:pPr>
            <w:r w:rsidRPr="005E3251">
              <w:t>Meta-analysis results</w:t>
            </w:r>
          </w:p>
        </w:tc>
        <w:tc>
          <w:tcPr>
            <w:tcW w:w="1858" w:type="pct"/>
            <w:vAlign w:val="center"/>
          </w:tcPr>
          <w:p w14:paraId="68E32D94" w14:textId="3FB1FDA3" w:rsidR="004E3C0D" w:rsidRPr="005E3251" w:rsidRDefault="004E3C0D" w:rsidP="00F60417">
            <w:pPr>
              <w:pStyle w:val="TableText0"/>
              <w:keepLines/>
              <w:jc w:val="center"/>
              <w:rPr>
                <w:rFonts w:ascii="Times" w:hAnsi="Times"/>
                <w:b/>
                <w:bCs w:val="0"/>
              </w:rPr>
            </w:pPr>
            <w:r w:rsidRPr="005E3251">
              <w:rPr>
                <w:b/>
                <w:bCs w:val="0"/>
              </w:rPr>
              <w:t>-63.</w:t>
            </w:r>
            <w:r w:rsidR="003D3808" w:rsidRPr="005E3251">
              <w:rPr>
                <w:b/>
                <w:bCs w:val="0"/>
              </w:rPr>
              <w:t>7</w:t>
            </w:r>
            <w:r w:rsidRPr="005E3251">
              <w:rPr>
                <w:b/>
                <w:bCs w:val="0"/>
              </w:rPr>
              <w:t xml:space="preserve"> (-72.</w:t>
            </w:r>
            <w:r w:rsidR="003D3808" w:rsidRPr="005E3251">
              <w:rPr>
                <w:b/>
                <w:bCs w:val="0"/>
              </w:rPr>
              <w:t>1</w:t>
            </w:r>
            <w:r w:rsidRPr="005E3251">
              <w:rPr>
                <w:b/>
                <w:bCs w:val="0"/>
              </w:rPr>
              <w:t>, -55.3)</w:t>
            </w:r>
          </w:p>
        </w:tc>
      </w:tr>
      <w:tr w:rsidR="004E3C0D" w:rsidRPr="005E3251" w14:paraId="6DB44E4E" w14:textId="77777777" w:rsidTr="00747E9B">
        <w:tc>
          <w:tcPr>
            <w:tcW w:w="1219" w:type="pct"/>
            <w:vMerge/>
          </w:tcPr>
          <w:p w14:paraId="51FD0F45" w14:textId="77777777" w:rsidR="004E3C0D" w:rsidRPr="005E3251" w:rsidRDefault="004E3C0D" w:rsidP="00747E9B">
            <w:pPr>
              <w:pStyle w:val="TableText0"/>
              <w:keepLines/>
            </w:pPr>
          </w:p>
        </w:tc>
        <w:tc>
          <w:tcPr>
            <w:tcW w:w="1923" w:type="pct"/>
            <w:vAlign w:val="center"/>
          </w:tcPr>
          <w:p w14:paraId="743FA94C" w14:textId="77777777" w:rsidR="004E3C0D" w:rsidRPr="005E3251" w:rsidRDefault="004E3C0D" w:rsidP="00F60417">
            <w:pPr>
              <w:pStyle w:val="TableText0"/>
              <w:keepLines/>
              <w:rPr>
                <w:rFonts w:ascii="Times" w:hAnsi="Times"/>
              </w:rPr>
            </w:pPr>
            <w:r w:rsidRPr="005E3251">
              <w:t>I</w:t>
            </w:r>
            <w:r w:rsidRPr="005E3251">
              <w:rPr>
                <w:vertAlign w:val="superscript"/>
              </w:rPr>
              <w:t>2</w:t>
            </w:r>
            <w:r w:rsidRPr="005E3251">
              <w:t xml:space="preserve"> with 95% uncertainty interval</w:t>
            </w:r>
          </w:p>
        </w:tc>
        <w:tc>
          <w:tcPr>
            <w:tcW w:w="1858" w:type="pct"/>
            <w:vAlign w:val="center"/>
          </w:tcPr>
          <w:p w14:paraId="494EC3A4" w14:textId="77777777" w:rsidR="004E3C0D" w:rsidRPr="005E3251" w:rsidRDefault="004E3C0D" w:rsidP="00F60417">
            <w:pPr>
              <w:pStyle w:val="TableText0"/>
              <w:keepLines/>
              <w:jc w:val="center"/>
            </w:pPr>
            <w:r w:rsidRPr="005E3251">
              <w:t>0.0%</w:t>
            </w:r>
          </w:p>
        </w:tc>
      </w:tr>
      <w:tr w:rsidR="004E3C0D" w:rsidRPr="005E3251" w14:paraId="4A63178B" w14:textId="77777777" w:rsidTr="00747E9B">
        <w:tc>
          <w:tcPr>
            <w:tcW w:w="1219" w:type="pct"/>
            <w:vMerge w:val="restart"/>
          </w:tcPr>
          <w:p w14:paraId="19AB4E4A" w14:textId="54BC4490" w:rsidR="00E70AED" w:rsidRPr="005E3251" w:rsidRDefault="004E3C0D" w:rsidP="00747E9B">
            <w:pPr>
              <w:pStyle w:val="TableText0"/>
              <w:keepLines/>
              <w:rPr>
                <w:b/>
                <w:bCs w:val="0"/>
              </w:rPr>
            </w:pPr>
            <w:r w:rsidRPr="005E3251">
              <w:rPr>
                <w:b/>
                <w:bCs w:val="0"/>
              </w:rPr>
              <w:t xml:space="preserve">FFA 0.4 mg/kg/day </w:t>
            </w:r>
          </w:p>
          <w:p w14:paraId="392CFD79" w14:textId="0291425B" w:rsidR="004E3C0D" w:rsidRPr="005E3251" w:rsidRDefault="004E3C0D" w:rsidP="00747E9B">
            <w:pPr>
              <w:pStyle w:val="TableText0"/>
              <w:keepLines/>
              <w:rPr>
                <w:b/>
                <w:bCs w:val="0"/>
              </w:rPr>
            </w:pPr>
            <w:r w:rsidRPr="005E3251">
              <w:rPr>
                <w:b/>
                <w:bCs w:val="0"/>
              </w:rPr>
              <w:t>(+ STP)</w:t>
            </w:r>
          </w:p>
        </w:tc>
        <w:tc>
          <w:tcPr>
            <w:tcW w:w="1923" w:type="pct"/>
            <w:vAlign w:val="center"/>
          </w:tcPr>
          <w:p w14:paraId="0E04DD9B" w14:textId="77777777" w:rsidR="004E3C0D" w:rsidRPr="005E3251" w:rsidRDefault="004E3C0D" w:rsidP="00F60417">
            <w:pPr>
              <w:pStyle w:val="TableText0"/>
              <w:keepLines/>
              <w:rPr>
                <w:rFonts w:ascii="Times" w:hAnsi="Times"/>
              </w:rPr>
            </w:pPr>
            <w:r w:rsidRPr="005E3251">
              <w:t>Study 2</w:t>
            </w:r>
          </w:p>
        </w:tc>
        <w:tc>
          <w:tcPr>
            <w:tcW w:w="1858" w:type="pct"/>
          </w:tcPr>
          <w:p w14:paraId="6BB64432" w14:textId="7B7E9856" w:rsidR="004E3C0D" w:rsidRPr="005E3251" w:rsidRDefault="004E3C0D" w:rsidP="00F60417">
            <w:pPr>
              <w:pStyle w:val="TableText0"/>
              <w:keepLines/>
              <w:jc w:val="center"/>
              <w:rPr>
                <w:rFonts w:cs="Calibri"/>
                <w:szCs w:val="20"/>
              </w:rPr>
            </w:pPr>
            <w:r w:rsidRPr="005E3251">
              <w:rPr>
                <w:rFonts w:cs="Calibri"/>
                <w:szCs w:val="20"/>
              </w:rPr>
              <w:t>-54.0 (-69.8, -38.2)</w:t>
            </w:r>
            <w:r w:rsidR="0086405D" w:rsidRPr="005E3251">
              <w:rPr>
                <w:rFonts w:cs="Calibri"/>
                <w:szCs w:val="20"/>
              </w:rPr>
              <w:t xml:space="preserve"> </w:t>
            </w:r>
            <w:r w:rsidRPr="005E3251">
              <w:rPr>
                <w:rFonts w:cs="Calibri"/>
                <w:szCs w:val="20"/>
                <w:vertAlign w:val="superscript"/>
              </w:rPr>
              <w:t>a</w:t>
            </w:r>
          </w:p>
        </w:tc>
      </w:tr>
      <w:tr w:rsidR="004E3C0D" w:rsidRPr="005E3251" w14:paraId="4DB3618B" w14:textId="77777777" w:rsidTr="00747E9B">
        <w:tc>
          <w:tcPr>
            <w:tcW w:w="1219" w:type="pct"/>
            <w:vMerge/>
          </w:tcPr>
          <w:p w14:paraId="568B0031" w14:textId="77777777" w:rsidR="004E3C0D" w:rsidRPr="005E3251" w:rsidRDefault="004E3C0D" w:rsidP="00747E9B">
            <w:pPr>
              <w:pStyle w:val="TableText0"/>
              <w:keepLines/>
            </w:pPr>
          </w:p>
        </w:tc>
        <w:tc>
          <w:tcPr>
            <w:tcW w:w="1923" w:type="pct"/>
            <w:vAlign w:val="center"/>
          </w:tcPr>
          <w:p w14:paraId="2D9349B1" w14:textId="559F2F57" w:rsidR="004E3C0D" w:rsidRPr="005E3251" w:rsidRDefault="004E3C0D" w:rsidP="00F60417">
            <w:pPr>
              <w:pStyle w:val="TableText0"/>
              <w:keepLines/>
              <w:rPr>
                <w:rFonts w:ascii="Times" w:hAnsi="Times"/>
              </w:rPr>
            </w:pPr>
            <w:r w:rsidRPr="005E3251">
              <w:t>Meta-analysis results</w:t>
            </w:r>
            <w:r w:rsidR="0086405D" w:rsidRPr="005E3251">
              <w:t xml:space="preserve"> [results from one trial]</w:t>
            </w:r>
          </w:p>
        </w:tc>
        <w:tc>
          <w:tcPr>
            <w:tcW w:w="1858" w:type="pct"/>
            <w:vAlign w:val="center"/>
          </w:tcPr>
          <w:p w14:paraId="067EE8BD" w14:textId="7336DDD6" w:rsidR="004E3C0D" w:rsidRPr="005E3251" w:rsidRDefault="004E3C0D" w:rsidP="00F60417">
            <w:pPr>
              <w:pStyle w:val="TableText0"/>
              <w:keepLines/>
              <w:jc w:val="center"/>
              <w:rPr>
                <w:rFonts w:ascii="Times" w:hAnsi="Times"/>
                <w:b/>
                <w:bCs w:val="0"/>
              </w:rPr>
            </w:pPr>
            <w:r w:rsidRPr="005E3251">
              <w:rPr>
                <w:rFonts w:cs="Calibri"/>
                <w:b/>
                <w:bCs w:val="0"/>
                <w:szCs w:val="20"/>
              </w:rPr>
              <w:t>-54.0 (-69.8, -38.2)</w:t>
            </w:r>
            <w:r w:rsidR="0086405D" w:rsidRPr="005E3251">
              <w:rPr>
                <w:rFonts w:cs="Calibri"/>
                <w:b/>
                <w:bCs w:val="0"/>
                <w:szCs w:val="20"/>
              </w:rPr>
              <w:t xml:space="preserve"> </w:t>
            </w:r>
          </w:p>
        </w:tc>
      </w:tr>
      <w:tr w:rsidR="004E3C0D" w:rsidRPr="005E3251" w14:paraId="06C112D9" w14:textId="77777777" w:rsidTr="00747E9B">
        <w:tc>
          <w:tcPr>
            <w:tcW w:w="1219" w:type="pct"/>
            <w:vMerge/>
          </w:tcPr>
          <w:p w14:paraId="75B1E4E3" w14:textId="77777777" w:rsidR="004E3C0D" w:rsidRPr="005E3251" w:rsidRDefault="004E3C0D" w:rsidP="00747E9B">
            <w:pPr>
              <w:pStyle w:val="TableText0"/>
              <w:keepLines/>
            </w:pPr>
          </w:p>
        </w:tc>
        <w:tc>
          <w:tcPr>
            <w:tcW w:w="1923" w:type="pct"/>
            <w:vAlign w:val="center"/>
          </w:tcPr>
          <w:p w14:paraId="44A6DF09" w14:textId="77777777" w:rsidR="004E3C0D" w:rsidRPr="005E3251" w:rsidRDefault="004E3C0D" w:rsidP="00F60417">
            <w:pPr>
              <w:pStyle w:val="TableText0"/>
              <w:keepLines/>
              <w:rPr>
                <w:rFonts w:ascii="Times" w:hAnsi="Times"/>
              </w:rPr>
            </w:pPr>
            <w:r w:rsidRPr="005E3251">
              <w:t>I</w:t>
            </w:r>
            <w:r w:rsidRPr="005E3251">
              <w:rPr>
                <w:vertAlign w:val="superscript"/>
              </w:rPr>
              <w:t>2</w:t>
            </w:r>
            <w:r w:rsidRPr="005E3251">
              <w:t xml:space="preserve"> with 95% uncertainty interval</w:t>
            </w:r>
          </w:p>
        </w:tc>
        <w:tc>
          <w:tcPr>
            <w:tcW w:w="1858" w:type="pct"/>
            <w:vAlign w:val="center"/>
          </w:tcPr>
          <w:p w14:paraId="50C73ECD" w14:textId="56E7ED14" w:rsidR="004E3C0D" w:rsidRPr="005E3251" w:rsidRDefault="007A1D07" w:rsidP="00F60417">
            <w:pPr>
              <w:pStyle w:val="TableText0"/>
              <w:keepLines/>
              <w:jc w:val="center"/>
            </w:pPr>
            <w:r w:rsidRPr="005E3251">
              <w:t>NA</w:t>
            </w:r>
          </w:p>
        </w:tc>
      </w:tr>
      <w:tr w:rsidR="004E3C0D" w:rsidRPr="005E3251" w14:paraId="22E3EE27" w14:textId="77777777" w:rsidTr="00747E9B">
        <w:tc>
          <w:tcPr>
            <w:tcW w:w="1219" w:type="pct"/>
            <w:vMerge w:val="restart"/>
          </w:tcPr>
          <w:p w14:paraId="37FCB02D" w14:textId="1A7EF541" w:rsidR="004E3C0D" w:rsidRPr="005E3251" w:rsidRDefault="004E3C0D" w:rsidP="00747E9B">
            <w:pPr>
              <w:pStyle w:val="TableText0"/>
              <w:keepLines/>
              <w:rPr>
                <w:rFonts w:ascii="Times" w:hAnsi="Times"/>
                <w:b/>
                <w:bCs w:val="0"/>
              </w:rPr>
            </w:pPr>
            <w:r w:rsidRPr="005E3251">
              <w:rPr>
                <w:b/>
                <w:bCs w:val="0"/>
              </w:rPr>
              <w:t>CBD 10 mg/kg/day (±STP)</w:t>
            </w:r>
          </w:p>
        </w:tc>
        <w:tc>
          <w:tcPr>
            <w:tcW w:w="1923" w:type="pct"/>
            <w:vAlign w:val="center"/>
          </w:tcPr>
          <w:p w14:paraId="73FF81AA" w14:textId="1393820D" w:rsidR="004E3C0D" w:rsidRPr="005E3251" w:rsidRDefault="00CE7CE5" w:rsidP="00F60417">
            <w:pPr>
              <w:pStyle w:val="TableText0"/>
              <w:keepLines/>
              <w:rPr>
                <w:rFonts w:ascii="Times" w:hAnsi="Times"/>
              </w:rPr>
            </w:pPr>
            <w:r w:rsidRPr="005E3251">
              <w:t>GWP</w:t>
            </w:r>
            <w:r w:rsidR="004E3C0D" w:rsidRPr="005E3251">
              <w:t>CARE1</w:t>
            </w:r>
          </w:p>
        </w:tc>
        <w:tc>
          <w:tcPr>
            <w:tcW w:w="1858" w:type="pct"/>
            <w:vAlign w:val="center"/>
          </w:tcPr>
          <w:p w14:paraId="2C1E565D" w14:textId="1725FA69" w:rsidR="004E3C0D" w:rsidRPr="005E3251" w:rsidRDefault="004E3C0D" w:rsidP="00F60417">
            <w:pPr>
              <w:pStyle w:val="TableText0"/>
              <w:keepLines/>
              <w:jc w:val="center"/>
            </w:pPr>
            <w:r w:rsidRPr="005E3251">
              <w:t>-29.8 (-48.7, -10.</w:t>
            </w:r>
            <w:r w:rsidR="003D3808" w:rsidRPr="005E3251">
              <w:t>9</w:t>
            </w:r>
            <w:r w:rsidRPr="005E3251">
              <w:t>)</w:t>
            </w:r>
            <w:r w:rsidRPr="005E3251">
              <w:rPr>
                <w:rFonts w:cs="Calibri"/>
                <w:szCs w:val="20"/>
                <w:vertAlign w:val="superscript"/>
              </w:rPr>
              <w:t xml:space="preserve"> b</w:t>
            </w:r>
          </w:p>
        </w:tc>
      </w:tr>
      <w:tr w:rsidR="004E3C0D" w:rsidRPr="005E3251" w14:paraId="51F1DEDD" w14:textId="77777777" w:rsidTr="00747E9B">
        <w:tc>
          <w:tcPr>
            <w:tcW w:w="1219" w:type="pct"/>
            <w:vMerge/>
          </w:tcPr>
          <w:p w14:paraId="1D3402C5" w14:textId="77777777" w:rsidR="004E3C0D" w:rsidRPr="005E3251" w:rsidRDefault="004E3C0D" w:rsidP="00747E9B">
            <w:pPr>
              <w:pStyle w:val="TableText0"/>
              <w:keepLines/>
            </w:pPr>
          </w:p>
        </w:tc>
        <w:tc>
          <w:tcPr>
            <w:tcW w:w="1923" w:type="pct"/>
            <w:vAlign w:val="center"/>
          </w:tcPr>
          <w:p w14:paraId="6F5B06AC" w14:textId="629336A4" w:rsidR="004E3C0D" w:rsidRPr="005E3251" w:rsidRDefault="004E3C0D" w:rsidP="00F60417">
            <w:pPr>
              <w:pStyle w:val="TableText0"/>
              <w:keepLines/>
              <w:rPr>
                <w:rFonts w:ascii="Times" w:hAnsi="Times"/>
              </w:rPr>
            </w:pPr>
            <w:r w:rsidRPr="005E3251">
              <w:t xml:space="preserve">Meta-analysis </w:t>
            </w:r>
            <w:r w:rsidR="003A771D" w:rsidRPr="005E3251">
              <w:t>results</w:t>
            </w:r>
            <w:r w:rsidR="0086405D" w:rsidRPr="005E3251">
              <w:t xml:space="preserve"> [results from one trial]</w:t>
            </w:r>
          </w:p>
        </w:tc>
        <w:tc>
          <w:tcPr>
            <w:tcW w:w="1858" w:type="pct"/>
            <w:vAlign w:val="center"/>
          </w:tcPr>
          <w:p w14:paraId="121BDCCA" w14:textId="54E5607E" w:rsidR="004E3C0D" w:rsidRPr="005E3251" w:rsidRDefault="004E3C0D" w:rsidP="00F60417">
            <w:pPr>
              <w:pStyle w:val="TableText0"/>
              <w:keepLines/>
              <w:jc w:val="center"/>
              <w:rPr>
                <w:rFonts w:ascii="Times" w:hAnsi="Times"/>
                <w:b/>
                <w:bCs w:val="0"/>
              </w:rPr>
            </w:pPr>
            <w:r w:rsidRPr="005E3251">
              <w:rPr>
                <w:b/>
                <w:bCs w:val="0"/>
              </w:rPr>
              <w:t>-29.8 (-48.7, -10.9)</w:t>
            </w:r>
          </w:p>
        </w:tc>
      </w:tr>
      <w:tr w:rsidR="004E3C0D" w:rsidRPr="005E3251" w14:paraId="71215CC9" w14:textId="77777777" w:rsidTr="00747E9B">
        <w:tc>
          <w:tcPr>
            <w:tcW w:w="1219" w:type="pct"/>
            <w:vMerge/>
          </w:tcPr>
          <w:p w14:paraId="46FFA7F1" w14:textId="77777777" w:rsidR="004E3C0D" w:rsidRPr="005E3251" w:rsidRDefault="004E3C0D" w:rsidP="00747E9B">
            <w:pPr>
              <w:pStyle w:val="TableText0"/>
              <w:keepLines/>
            </w:pPr>
          </w:p>
        </w:tc>
        <w:tc>
          <w:tcPr>
            <w:tcW w:w="1923" w:type="pct"/>
            <w:vAlign w:val="center"/>
          </w:tcPr>
          <w:p w14:paraId="58DA925B" w14:textId="77777777" w:rsidR="004E3C0D" w:rsidRPr="005E3251" w:rsidRDefault="004E3C0D" w:rsidP="00F60417">
            <w:pPr>
              <w:pStyle w:val="TableText0"/>
              <w:keepLines/>
              <w:rPr>
                <w:rFonts w:ascii="Times" w:hAnsi="Times"/>
              </w:rPr>
            </w:pPr>
            <w:r w:rsidRPr="005E3251">
              <w:t>I</w:t>
            </w:r>
            <w:r w:rsidRPr="005E3251">
              <w:rPr>
                <w:vertAlign w:val="superscript"/>
              </w:rPr>
              <w:t>2</w:t>
            </w:r>
            <w:r w:rsidRPr="005E3251">
              <w:t xml:space="preserve"> with 95% uncertainty interval</w:t>
            </w:r>
          </w:p>
        </w:tc>
        <w:tc>
          <w:tcPr>
            <w:tcW w:w="1858" w:type="pct"/>
            <w:vAlign w:val="center"/>
          </w:tcPr>
          <w:p w14:paraId="542D83AD" w14:textId="5E531FD3" w:rsidR="004E3C0D" w:rsidRPr="005E3251" w:rsidRDefault="007A1D07" w:rsidP="00F60417">
            <w:pPr>
              <w:pStyle w:val="TableText0"/>
              <w:keepLines/>
              <w:jc w:val="center"/>
              <w:rPr>
                <w:rFonts w:ascii="Times" w:hAnsi="Times"/>
              </w:rPr>
            </w:pPr>
            <w:r w:rsidRPr="005E3251">
              <w:t>NA</w:t>
            </w:r>
          </w:p>
        </w:tc>
      </w:tr>
      <w:tr w:rsidR="004E3C0D" w:rsidRPr="005E3251" w14:paraId="044656E4" w14:textId="77777777" w:rsidTr="00747E9B">
        <w:tc>
          <w:tcPr>
            <w:tcW w:w="1219" w:type="pct"/>
            <w:vMerge w:val="restart"/>
          </w:tcPr>
          <w:p w14:paraId="27F17C2A" w14:textId="50787E41" w:rsidR="004E3C0D" w:rsidRPr="005E3251" w:rsidRDefault="004E3C0D" w:rsidP="00747E9B">
            <w:pPr>
              <w:pStyle w:val="TableText0"/>
              <w:keepLines/>
              <w:rPr>
                <w:rFonts w:ascii="Times" w:hAnsi="Times"/>
                <w:b/>
                <w:bCs w:val="0"/>
              </w:rPr>
            </w:pPr>
            <w:r w:rsidRPr="005E3251">
              <w:rPr>
                <w:b/>
                <w:bCs w:val="0"/>
              </w:rPr>
              <w:t>CBD 20 mg/kg/day (±STP)</w:t>
            </w:r>
          </w:p>
        </w:tc>
        <w:tc>
          <w:tcPr>
            <w:tcW w:w="1923" w:type="pct"/>
            <w:vAlign w:val="center"/>
          </w:tcPr>
          <w:p w14:paraId="76351585" w14:textId="39905523" w:rsidR="004E3C0D" w:rsidRPr="005E3251" w:rsidRDefault="00CE7CE5" w:rsidP="00F60417">
            <w:pPr>
              <w:pStyle w:val="TableText0"/>
              <w:keepLines/>
              <w:rPr>
                <w:rFonts w:ascii="Times" w:hAnsi="Times"/>
              </w:rPr>
            </w:pPr>
            <w:r w:rsidRPr="005E3251">
              <w:t>GWP</w:t>
            </w:r>
            <w:r w:rsidR="004E3C0D" w:rsidRPr="005E3251">
              <w:t>CARE1</w:t>
            </w:r>
          </w:p>
        </w:tc>
        <w:tc>
          <w:tcPr>
            <w:tcW w:w="1858" w:type="pct"/>
            <w:vAlign w:val="center"/>
          </w:tcPr>
          <w:p w14:paraId="6D878D58" w14:textId="41F0DEC8" w:rsidR="004E3C0D" w:rsidRPr="005E3251" w:rsidRDefault="004E3C0D" w:rsidP="00F60417">
            <w:pPr>
              <w:pStyle w:val="TableText0"/>
              <w:keepLines/>
              <w:jc w:val="center"/>
              <w:rPr>
                <w:rFonts w:ascii="Times" w:hAnsi="Times"/>
              </w:rPr>
            </w:pPr>
            <w:r w:rsidRPr="005E3251">
              <w:t>-22.0 (-45.2, 1.2)</w:t>
            </w:r>
            <w:r w:rsidRPr="005E3251">
              <w:rPr>
                <w:rFonts w:cs="Calibri"/>
                <w:szCs w:val="20"/>
                <w:vertAlign w:val="superscript"/>
              </w:rPr>
              <w:t xml:space="preserve"> a</w:t>
            </w:r>
          </w:p>
        </w:tc>
      </w:tr>
      <w:tr w:rsidR="004E3C0D" w:rsidRPr="005E3251" w14:paraId="7F9FE9C9" w14:textId="77777777" w:rsidTr="00747E9B">
        <w:tc>
          <w:tcPr>
            <w:tcW w:w="1219" w:type="pct"/>
            <w:vMerge/>
          </w:tcPr>
          <w:p w14:paraId="19802E4A" w14:textId="77777777" w:rsidR="004E3C0D" w:rsidRPr="005E3251" w:rsidRDefault="004E3C0D" w:rsidP="00747E9B">
            <w:pPr>
              <w:pStyle w:val="TableText0"/>
              <w:keepLines/>
            </w:pPr>
          </w:p>
        </w:tc>
        <w:tc>
          <w:tcPr>
            <w:tcW w:w="1923" w:type="pct"/>
            <w:vAlign w:val="center"/>
          </w:tcPr>
          <w:p w14:paraId="657C8EF8" w14:textId="711EEB2A" w:rsidR="004E3C0D" w:rsidRPr="005E3251" w:rsidRDefault="00CE7CE5" w:rsidP="00F60417">
            <w:pPr>
              <w:pStyle w:val="TableText0"/>
              <w:keepLines/>
              <w:rPr>
                <w:rFonts w:ascii="Times" w:hAnsi="Times"/>
              </w:rPr>
            </w:pPr>
            <w:r w:rsidRPr="005E3251">
              <w:t>GWP</w:t>
            </w:r>
            <w:r w:rsidR="004E3C0D" w:rsidRPr="005E3251">
              <w:t>CARE2</w:t>
            </w:r>
          </w:p>
        </w:tc>
        <w:tc>
          <w:tcPr>
            <w:tcW w:w="1858" w:type="pct"/>
            <w:vAlign w:val="center"/>
          </w:tcPr>
          <w:p w14:paraId="7685A1DF" w14:textId="69EC0583" w:rsidR="004E3C0D" w:rsidRPr="005E3251" w:rsidRDefault="004E3C0D" w:rsidP="00F60417">
            <w:pPr>
              <w:pStyle w:val="TableText0"/>
              <w:keepLines/>
              <w:jc w:val="center"/>
              <w:rPr>
                <w:rFonts w:ascii="Times" w:hAnsi="Times"/>
              </w:rPr>
            </w:pPr>
            <w:r w:rsidRPr="005E3251">
              <w:t>-25.7 (-45.</w:t>
            </w:r>
            <w:r w:rsidR="003D3808" w:rsidRPr="005E3251">
              <w:t>9</w:t>
            </w:r>
            <w:r w:rsidRPr="005E3251">
              <w:t>, -5.</w:t>
            </w:r>
            <w:r w:rsidR="003D3808" w:rsidRPr="005E3251">
              <w:t>6</w:t>
            </w:r>
            <w:r w:rsidRPr="005E3251">
              <w:t>)</w:t>
            </w:r>
            <w:r w:rsidRPr="005E3251">
              <w:rPr>
                <w:rFonts w:cs="Calibri"/>
                <w:szCs w:val="20"/>
                <w:vertAlign w:val="superscript"/>
              </w:rPr>
              <w:t xml:space="preserve"> b</w:t>
            </w:r>
          </w:p>
        </w:tc>
      </w:tr>
      <w:tr w:rsidR="004E3C0D" w:rsidRPr="005E3251" w14:paraId="6C271963" w14:textId="77777777" w:rsidTr="00747E9B">
        <w:tc>
          <w:tcPr>
            <w:tcW w:w="1219" w:type="pct"/>
            <w:vMerge/>
          </w:tcPr>
          <w:p w14:paraId="34D8B4F0" w14:textId="77777777" w:rsidR="004E3C0D" w:rsidRPr="005E3251" w:rsidRDefault="004E3C0D" w:rsidP="00747E9B">
            <w:pPr>
              <w:pStyle w:val="TableText0"/>
              <w:keepLines/>
            </w:pPr>
          </w:p>
        </w:tc>
        <w:tc>
          <w:tcPr>
            <w:tcW w:w="1923" w:type="pct"/>
            <w:vAlign w:val="center"/>
          </w:tcPr>
          <w:p w14:paraId="78A22AD5" w14:textId="4786E882" w:rsidR="004E3C0D" w:rsidRPr="005E3251" w:rsidRDefault="004E3C0D" w:rsidP="00F60417">
            <w:pPr>
              <w:pStyle w:val="TableText0"/>
              <w:keepLines/>
              <w:rPr>
                <w:rFonts w:ascii="Times" w:hAnsi="Times"/>
              </w:rPr>
            </w:pPr>
            <w:r w:rsidRPr="005E3251">
              <w:t xml:space="preserve">Meta-analysis </w:t>
            </w:r>
            <w:r w:rsidR="003A771D" w:rsidRPr="005E3251">
              <w:t>results</w:t>
            </w:r>
          </w:p>
        </w:tc>
        <w:tc>
          <w:tcPr>
            <w:tcW w:w="1858" w:type="pct"/>
            <w:vAlign w:val="center"/>
          </w:tcPr>
          <w:p w14:paraId="005230CF" w14:textId="4BE85B9A" w:rsidR="004E3C0D" w:rsidRPr="005E3251" w:rsidRDefault="004E3C0D" w:rsidP="00F60417">
            <w:pPr>
              <w:pStyle w:val="TableText0"/>
              <w:keepLines/>
              <w:jc w:val="center"/>
              <w:rPr>
                <w:rFonts w:ascii="Times" w:hAnsi="Times"/>
                <w:b/>
                <w:bCs w:val="0"/>
              </w:rPr>
            </w:pPr>
            <w:r w:rsidRPr="005E3251">
              <w:rPr>
                <w:b/>
                <w:bCs w:val="0"/>
              </w:rPr>
              <w:t>-24.1 (-39.3, -8.9)</w:t>
            </w:r>
          </w:p>
        </w:tc>
      </w:tr>
      <w:tr w:rsidR="004E3C0D" w:rsidRPr="005E3251" w14:paraId="3E6DEAAB" w14:textId="77777777" w:rsidTr="00747E9B">
        <w:tc>
          <w:tcPr>
            <w:tcW w:w="1219" w:type="pct"/>
            <w:vMerge/>
          </w:tcPr>
          <w:p w14:paraId="3305E0E8" w14:textId="77777777" w:rsidR="004E3C0D" w:rsidRPr="005E3251" w:rsidRDefault="004E3C0D" w:rsidP="00747E9B">
            <w:pPr>
              <w:pStyle w:val="TableText0"/>
              <w:keepLines/>
            </w:pPr>
          </w:p>
        </w:tc>
        <w:tc>
          <w:tcPr>
            <w:tcW w:w="1923" w:type="pct"/>
            <w:vAlign w:val="center"/>
          </w:tcPr>
          <w:p w14:paraId="0391E267" w14:textId="77777777" w:rsidR="004E3C0D" w:rsidRPr="005E3251" w:rsidRDefault="004E3C0D" w:rsidP="00F60417">
            <w:pPr>
              <w:pStyle w:val="TableText0"/>
              <w:keepLines/>
            </w:pPr>
            <w:r w:rsidRPr="005E3251">
              <w:t>I</w:t>
            </w:r>
            <w:r w:rsidRPr="005E3251">
              <w:rPr>
                <w:vertAlign w:val="superscript"/>
              </w:rPr>
              <w:t>2</w:t>
            </w:r>
            <w:r w:rsidRPr="005E3251">
              <w:t xml:space="preserve"> with 95% uncertainty interval</w:t>
            </w:r>
          </w:p>
        </w:tc>
        <w:tc>
          <w:tcPr>
            <w:tcW w:w="1858" w:type="pct"/>
            <w:vAlign w:val="center"/>
          </w:tcPr>
          <w:p w14:paraId="0EA72CCA" w14:textId="5EEBE96D" w:rsidR="004E3C0D" w:rsidRPr="005E3251" w:rsidRDefault="004E3C0D" w:rsidP="00F60417">
            <w:pPr>
              <w:pStyle w:val="TableText0"/>
              <w:keepLines/>
              <w:jc w:val="center"/>
            </w:pPr>
            <w:r w:rsidRPr="005E3251">
              <w:t>0.0</w:t>
            </w:r>
            <w:r w:rsidR="00207661" w:rsidRPr="005E3251">
              <w:t>%</w:t>
            </w:r>
          </w:p>
        </w:tc>
      </w:tr>
      <w:tr w:rsidR="004E3C0D" w:rsidRPr="005E3251" w14:paraId="79AB501F" w14:textId="77777777" w:rsidTr="00747E9B">
        <w:tc>
          <w:tcPr>
            <w:tcW w:w="1219" w:type="pct"/>
            <w:vMerge w:val="restart"/>
          </w:tcPr>
          <w:p w14:paraId="19D07F2F" w14:textId="1D92A430" w:rsidR="00E70AED" w:rsidRPr="005E3251" w:rsidRDefault="004E3C0D" w:rsidP="00747E9B">
            <w:pPr>
              <w:pStyle w:val="TableText0"/>
              <w:keepLines/>
              <w:rPr>
                <w:b/>
                <w:bCs w:val="0"/>
              </w:rPr>
            </w:pPr>
            <w:r w:rsidRPr="005E3251">
              <w:rPr>
                <w:b/>
                <w:bCs w:val="0"/>
              </w:rPr>
              <w:t>STP 50 mg/kg/day</w:t>
            </w:r>
          </w:p>
        </w:tc>
        <w:tc>
          <w:tcPr>
            <w:tcW w:w="1923" w:type="pct"/>
            <w:vAlign w:val="center"/>
          </w:tcPr>
          <w:p w14:paraId="6EABF87A" w14:textId="77777777" w:rsidR="004E3C0D" w:rsidRPr="005E3251" w:rsidRDefault="004E3C0D" w:rsidP="00F60417">
            <w:pPr>
              <w:pStyle w:val="TableText0"/>
              <w:keepLines/>
              <w:rPr>
                <w:b/>
                <w:bCs w:val="0"/>
              </w:rPr>
            </w:pPr>
            <w:r w:rsidRPr="005E3251">
              <w:t>STICLO- France</w:t>
            </w:r>
          </w:p>
        </w:tc>
        <w:tc>
          <w:tcPr>
            <w:tcW w:w="1858" w:type="pct"/>
            <w:vAlign w:val="center"/>
          </w:tcPr>
          <w:p w14:paraId="56684852" w14:textId="3B1001BF" w:rsidR="004E3C0D" w:rsidRPr="005E3251" w:rsidRDefault="004E3C0D" w:rsidP="00F60417">
            <w:pPr>
              <w:pStyle w:val="TableText0"/>
              <w:keepLines/>
              <w:jc w:val="center"/>
            </w:pPr>
            <w:r w:rsidRPr="005E3251">
              <w:t>-74.1 (-104.4, -43.</w:t>
            </w:r>
            <w:r w:rsidR="003D3808" w:rsidRPr="005E3251">
              <w:t>8</w:t>
            </w:r>
            <w:r w:rsidRPr="005E3251">
              <w:t>)</w:t>
            </w:r>
            <w:r w:rsidRPr="005E3251">
              <w:rPr>
                <w:vertAlign w:val="superscript"/>
              </w:rPr>
              <w:t xml:space="preserve"> c</w:t>
            </w:r>
          </w:p>
        </w:tc>
      </w:tr>
      <w:tr w:rsidR="004E3C0D" w:rsidRPr="005E3251" w14:paraId="277A2210" w14:textId="77777777" w:rsidTr="00253F67">
        <w:tc>
          <w:tcPr>
            <w:tcW w:w="1219" w:type="pct"/>
            <w:vMerge/>
            <w:vAlign w:val="center"/>
          </w:tcPr>
          <w:p w14:paraId="3C2DA967" w14:textId="77777777" w:rsidR="004E3C0D" w:rsidRPr="005E3251" w:rsidRDefault="004E3C0D" w:rsidP="00F60417">
            <w:pPr>
              <w:pStyle w:val="TableText0"/>
              <w:keepLines/>
            </w:pPr>
          </w:p>
        </w:tc>
        <w:tc>
          <w:tcPr>
            <w:tcW w:w="1923" w:type="pct"/>
            <w:vAlign w:val="center"/>
          </w:tcPr>
          <w:p w14:paraId="3EC89CE0" w14:textId="77777777" w:rsidR="004E3C0D" w:rsidRPr="005E3251" w:rsidRDefault="004E3C0D" w:rsidP="00F60417">
            <w:pPr>
              <w:pStyle w:val="TableText0"/>
              <w:keepLines/>
            </w:pPr>
            <w:r w:rsidRPr="005E3251">
              <w:t>STICLO-Italy</w:t>
            </w:r>
          </w:p>
        </w:tc>
        <w:tc>
          <w:tcPr>
            <w:tcW w:w="1858" w:type="pct"/>
            <w:vAlign w:val="center"/>
          </w:tcPr>
          <w:p w14:paraId="313709A7" w14:textId="230B88DF" w:rsidR="004E3C0D" w:rsidRPr="005E3251" w:rsidRDefault="004E3C0D" w:rsidP="00F60417">
            <w:pPr>
              <w:pStyle w:val="TableText0"/>
              <w:keepLines/>
              <w:jc w:val="center"/>
            </w:pPr>
            <w:r w:rsidRPr="005E3251">
              <w:t>-61.2 (-101.7, -20.</w:t>
            </w:r>
            <w:r w:rsidR="003D3808" w:rsidRPr="005E3251">
              <w:t>6</w:t>
            </w:r>
            <w:r w:rsidRPr="005E3251">
              <w:t xml:space="preserve">) </w:t>
            </w:r>
            <w:r w:rsidRPr="005E3251">
              <w:rPr>
                <w:vertAlign w:val="superscript"/>
              </w:rPr>
              <w:t>c</w:t>
            </w:r>
          </w:p>
        </w:tc>
      </w:tr>
      <w:tr w:rsidR="004E3C0D" w:rsidRPr="005E3251" w14:paraId="707D88DB" w14:textId="77777777" w:rsidTr="00253F67">
        <w:tc>
          <w:tcPr>
            <w:tcW w:w="1219" w:type="pct"/>
            <w:vMerge/>
            <w:vAlign w:val="center"/>
          </w:tcPr>
          <w:p w14:paraId="137983DA" w14:textId="77777777" w:rsidR="004E3C0D" w:rsidRPr="005E3251" w:rsidRDefault="004E3C0D" w:rsidP="00F60417">
            <w:pPr>
              <w:pStyle w:val="TableText0"/>
              <w:keepLines/>
            </w:pPr>
          </w:p>
        </w:tc>
        <w:tc>
          <w:tcPr>
            <w:tcW w:w="1923" w:type="pct"/>
            <w:vAlign w:val="center"/>
          </w:tcPr>
          <w:p w14:paraId="37C3F2F9" w14:textId="1DB17A90" w:rsidR="004E3C0D" w:rsidRPr="005E3251" w:rsidRDefault="004E3C0D" w:rsidP="00F60417">
            <w:pPr>
              <w:pStyle w:val="TableText0"/>
              <w:keepLines/>
            </w:pPr>
            <w:r w:rsidRPr="005E3251">
              <w:t xml:space="preserve">Meta-analysis </w:t>
            </w:r>
            <w:r w:rsidR="003A771D" w:rsidRPr="005E3251">
              <w:t>results</w:t>
            </w:r>
          </w:p>
        </w:tc>
        <w:tc>
          <w:tcPr>
            <w:tcW w:w="1858" w:type="pct"/>
            <w:vAlign w:val="center"/>
          </w:tcPr>
          <w:p w14:paraId="734D1DCF" w14:textId="6233D77C" w:rsidR="004E3C0D" w:rsidRPr="005E3251" w:rsidRDefault="004E3C0D" w:rsidP="00F60417">
            <w:pPr>
              <w:pStyle w:val="TableText0"/>
              <w:keepLines/>
              <w:jc w:val="center"/>
              <w:rPr>
                <w:b/>
                <w:bCs w:val="0"/>
              </w:rPr>
            </w:pPr>
            <w:r w:rsidRPr="005E3251">
              <w:rPr>
                <w:b/>
                <w:bCs w:val="0"/>
              </w:rPr>
              <w:t>-70.4 (-94.7, -46.</w:t>
            </w:r>
            <w:r w:rsidR="003D3808" w:rsidRPr="005E3251">
              <w:rPr>
                <w:b/>
                <w:bCs w:val="0"/>
              </w:rPr>
              <w:t>1</w:t>
            </w:r>
            <w:r w:rsidRPr="005E3251">
              <w:rPr>
                <w:b/>
                <w:bCs w:val="0"/>
              </w:rPr>
              <w:t>)</w:t>
            </w:r>
            <w:r w:rsidRPr="005E3251">
              <w:rPr>
                <w:b/>
                <w:bCs w:val="0"/>
                <w:vertAlign w:val="superscript"/>
              </w:rPr>
              <w:t xml:space="preserve"> c</w:t>
            </w:r>
          </w:p>
        </w:tc>
      </w:tr>
      <w:tr w:rsidR="004E3C0D" w:rsidRPr="005E3251" w14:paraId="2A957A94" w14:textId="77777777" w:rsidTr="00253F67">
        <w:tc>
          <w:tcPr>
            <w:tcW w:w="1219" w:type="pct"/>
            <w:vMerge/>
            <w:vAlign w:val="center"/>
          </w:tcPr>
          <w:p w14:paraId="1AF820BD" w14:textId="77777777" w:rsidR="004E3C0D" w:rsidRPr="005E3251" w:rsidRDefault="004E3C0D" w:rsidP="00F60417">
            <w:pPr>
              <w:pStyle w:val="TableText0"/>
              <w:keepLines/>
            </w:pPr>
          </w:p>
        </w:tc>
        <w:tc>
          <w:tcPr>
            <w:tcW w:w="1923" w:type="pct"/>
            <w:vAlign w:val="center"/>
          </w:tcPr>
          <w:p w14:paraId="3C0CAAC8" w14:textId="77777777" w:rsidR="004E3C0D" w:rsidRPr="005E3251" w:rsidRDefault="004E3C0D" w:rsidP="00F60417">
            <w:pPr>
              <w:pStyle w:val="TableText0"/>
              <w:keepLines/>
            </w:pPr>
            <w:r w:rsidRPr="005E3251">
              <w:t>I</w:t>
            </w:r>
            <w:r w:rsidRPr="005E3251">
              <w:rPr>
                <w:vertAlign w:val="superscript"/>
              </w:rPr>
              <w:t>2</w:t>
            </w:r>
            <w:r w:rsidRPr="005E3251">
              <w:t xml:space="preserve"> with 95% uncertainty interval</w:t>
            </w:r>
          </w:p>
        </w:tc>
        <w:tc>
          <w:tcPr>
            <w:tcW w:w="1858" w:type="pct"/>
            <w:vAlign w:val="center"/>
          </w:tcPr>
          <w:p w14:paraId="4D00965E" w14:textId="77777777" w:rsidR="004E3C0D" w:rsidRPr="005E3251" w:rsidRDefault="004E3C0D" w:rsidP="00F60417">
            <w:pPr>
              <w:pStyle w:val="TableText0"/>
              <w:keepLines/>
              <w:jc w:val="center"/>
            </w:pPr>
            <w:r w:rsidRPr="005E3251">
              <w:t>NR</w:t>
            </w:r>
          </w:p>
        </w:tc>
      </w:tr>
    </w:tbl>
    <w:p w14:paraId="438C3EDB" w14:textId="77777777" w:rsidR="004E3C0D" w:rsidRPr="005E3251" w:rsidRDefault="004E3C0D" w:rsidP="004E3C0D">
      <w:pPr>
        <w:pStyle w:val="FooterTableFigure"/>
        <w:rPr>
          <w:rFonts w:eastAsia="Calibri"/>
        </w:rPr>
      </w:pPr>
      <w:r w:rsidRPr="005E3251">
        <w:t xml:space="preserve">Source: Table compiled during the evaluation using Section 2.6.3.1, p119 of the submission. </w:t>
      </w:r>
      <w:r w:rsidRPr="005E3251">
        <w:rPr>
          <w:rFonts w:eastAsia="Calibri"/>
          <w:b/>
        </w:rPr>
        <w:t>Bold</w:t>
      </w:r>
      <w:r w:rsidRPr="005E3251">
        <w:rPr>
          <w:rFonts w:eastAsia="Calibri"/>
        </w:rPr>
        <w:t xml:space="preserve"> indicates statistically significant results.</w:t>
      </w:r>
    </w:p>
    <w:p w14:paraId="76542F26" w14:textId="77777777" w:rsidR="004E3C0D" w:rsidRPr="005E3251" w:rsidRDefault="004E3C0D" w:rsidP="00F60417">
      <w:pPr>
        <w:pStyle w:val="FooterTableFigure"/>
        <w:keepNext/>
        <w:rPr>
          <w:rFonts w:eastAsia="Calibri"/>
        </w:rPr>
      </w:pPr>
      <w:r w:rsidRPr="005E3251">
        <w:rPr>
          <w:rFonts w:eastAsia="Calibri"/>
        </w:rPr>
        <w:t>CBD = cannabidiol; CI = confidence interval; CSF = convulsive seizure frequency; FFA =fenfluramine; LS = least square; n = number of participants with event; N = total participants in group; NA= not applicable; STP = stiripentol.</w:t>
      </w:r>
    </w:p>
    <w:p w14:paraId="16A1AB9C" w14:textId="20892AF1" w:rsidR="004E3C0D" w:rsidRPr="005E3251" w:rsidRDefault="004E3C0D" w:rsidP="00F60417">
      <w:pPr>
        <w:pStyle w:val="FooterTableFigure"/>
        <w:keepNext/>
      </w:pPr>
      <w:r w:rsidRPr="005E3251">
        <w:rPr>
          <w:vertAlign w:val="superscript"/>
        </w:rPr>
        <w:t xml:space="preserve">a </w:t>
      </w:r>
      <w:r w:rsidRPr="005E3251">
        <w:t>ANCOVA model.</w:t>
      </w:r>
      <w:r w:rsidR="007A1D07" w:rsidRPr="005E3251">
        <w:t xml:space="preserve"> </w:t>
      </w:r>
    </w:p>
    <w:p w14:paraId="53413B3D" w14:textId="470FA75F" w:rsidR="004E3C0D" w:rsidRPr="005E3251" w:rsidRDefault="004E3C0D" w:rsidP="00F60417">
      <w:pPr>
        <w:pStyle w:val="FooterTableFigure"/>
        <w:keepNext/>
      </w:pPr>
      <w:r w:rsidRPr="005E3251">
        <w:rPr>
          <w:vertAlign w:val="superscript"/>
        </w:rPr>
        <w:t xml:space="preserve">b </w:t>
      </w:r>
      <w:r w:rsidRPr="005E3251">
        <w:t>Negative binomial regression model.</w:t>
      </w:r>
      <w:r w:rsidR="007A1D07" w:rsidRPr="005E3251">
        <w:t xml:space="preserve"> </w:t>
      </w:r>
    </w:p>
    <w:p w14:paraId="088A7C83" w14:textId="0C50713D" w:rsidR="004E3C0D" w:rsidRPr="005E3251" w:rsidRDefault="004E3C0D" w:rsidP="00AE292D">
      <w:pPr>
        <w:pStyle w:val="FooterTableFigure"/>
        <w:rPr>
          <w:rFonts w:cs="Calibri"/>
          <w:szCs w:val="20"/>
          <w:vertAlign w:val="superscript"/>
        </w:rPr>
      </w:pPr>
      <w:r w:rsidRPr="005E3251">
        <w:rPr>
          <w:rFonts w:cs="Calibri"/>
          <w:szCs w:val="20"/>
          <w:vertAlign w:val="superscript"/>
        </w:rPr>
        <w:t xml:space="preserve">c </w:t>
      </w:r>
      <w:r w:rsidRPr="005E3251">
        <w:rPr>
          <w:rFonts w:cs="Calibri"/>
          <w:szCs w:val="20"/>
        </w:rPr>
        <w:t xml:space="preserve">The submission calculated mean difference </w:t>
      </w:r>
      <w:r w:rsidR="004C3169" w:rsidRPr="005E3251">
        <w:rPr>
          <w:rFonts w:cs="Calibri"/>
          <w:szCs w:val="20"/>
        </w:rPr>
        <w:t xml:space="preserve">in 30-day </w:t>
      </w:r>
      <w:r w:rsidR="00157D66" w:rsidRPr="005E3251">
        <w:rPr>
          <w:rFonts w:cs="Calibri"/>
          <w:szCs w:val="20"/>
        </w:rPr>
        <w:t>CSF</w:t>
      </w:r>
      <w:r w:rsidR="004C3169" w:rsidRPr="005E3251">
        <w:rPr>
          <w:rFonts w:cs="Calibri"/>
          <w:szCs w:val="20"/>
        </w:rPr>
        <w:t xml:space="preserve"> </w:t>
      </w:r>
      <w:r w:rsidRPr="005E3251">
        <w:rPr>
          <w:rFonts w:cs="Calibri"/>
          <w:szCs w:val="20"/>
        </w:rPr>
        <w:t>using Mann-Whitney U test but did not report the workings of the method used (Table A-9, p9, Appendix 1 of the submission). This result was not reported in the trial publication.</w:t>
      </w:r>
    </w:p>
    <w:p w14:paraId="20AF0D38" w14:textId="7BEDB503" w:rsidR="004E3C0D" w:rsidRPr="005E3251" w:rsidRDefault="000E3E8A" w:rsidP="00253F67">
      <w:pPr>
        <w:pStyle w:val="3-BodyText"/>
      </w:pPr>
      <w:r w:rsidRPr="005E3251">
        <w:fldChar w:fldCharType="begin" w:fldLock="1"/>
      </w:r>
      <w:r w:rsidRPr="005E3251">
        <w:instrText xml:space="preserve"> REF _Ref176275558 \h </w:instrText>
      </w:r>
      <w:r w:rsidR="005E3251" w:rsidRPr="005E3251">
        <w:instrText xml:space="preserve"> \* MERGEFORMAT </w:instrText>
      </w:r>
      <w:r w:rsidRPr="005E3251">
        <w:fldChar w:fldCharType="separate"/>
      </w:r>
      <w:r w:rsidR="00D72887" w:rsidRPr="005E3251">
        <w:t xml:space="preserve">Table </w:t>
      </w:r>
      <w:r w:rsidR="00D72887">
        <w:rPr>
          <w:noProof/>
        </w:rPr>
        <w:t>8</w:t>
      </w:r>
      <w:r w:rsidRPr="005E3251">
        <w:fldChar w:fldCharType="end"/>
      </w:r>
      <w:r w:rsidRPr="005E3251">
        <w:t xml:space="preserve"> </w:t>
      </w:r>
      <w:r w:rsidR="004E3C0D" w:rsidRPr="005E3251">
        <w:t xml:space="preserve">presents the meta-analyses of fenfluramine, cannabidiol and stiripentol treatment arms, for the outcome of responder analyses for proportion of participants with for ≥50%, ≥25%, and ≥75% reduction in monthly </w:t>
      </w:r>
      <w:r w:rsidR="00157D66" w:rsidRPr="005E3251">
        <w:t>CSF</w:t>
      </w:r>
      <w:r w:rsidR="004E3C0D" w:rsidRPr="005E3251">
        <w:t xml:space="preserve"> from baseline.</w:t>
      </w:r>
      <w:r w:rsidR="004A0C66" w:rsidRPr="005E3251">
        <w:t xml:space="preserve"> </w:t>
      </w:r>
      <w:r w:rsidR="004E3C0D" w:rsidRPr="005E3251">
        <w:t xml:space="preserve">The submission did not report the responder analyses for a 100% reduction in seizure frequency because the placebo event rates were zero in all of the trials, preventing any meaningful statistical comparisons from being conducted. </w:t>
      </w:r>
    </w:p>
    <w:p w14:paraId="2F683198" w14:textId="0905A804" w:rsidR="004A0C66" w:rsidRPr="005E3251" w:rsidRDefault="004A0C66" w:rsidP="00BE6DBC">
      <w:pPr>
        <w:pStyle w:val="Caption"/>
      </w:pPr>
      <w:bookmarkStart w:id="44" w:name="_Ref176275558"/>
      <w:r w:rsidRPr="005E3251">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8</w:t>
      </w:r>
      <w:r w:rsidR="00D72887">
        <w:rPr>
          <w:noProof/>
        </w:rPr>
        <w:fldChar w:fldCharType="end"/>
      </w:r>
      <w:bookmarkEnd w:id="44"/>
      <w:r w:rsidRPr="005E3251">
        <w:t xml:space="preserve"> Results of meta-analyses for the outcome of responder analyses for ≥50%, ≥25%, and ≥75% reduction in monthly </w:t>
      </w:r>
      <w:r w:rsidR="00157D66" w:rsidRPr="005E3251">
        <w:t>CSF</w:t>
      </w:r>
      <w:r w:rsidRPr="005E3251">
        <w:t xml:space="preserve"> from baseline across fenfluramine, cannabidiol and stiripentol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68"/>
        <w:gridCol w:w="1088"/>
        <w:gridCol w:w="857"/>
        <w:gridCol w:w="1229"/>
        <w:gridCol w:w="1229"/>
        <w:gridCol w:w="1146"/>
      </w:tblGrid>
      <w:tr w:rsidR="003416F9" w:rsidRPr="005E3251" w14:paraId="2E40B744" w14:textId="77777777" w:rsidTr="003416F9">
        <w:trPr>
          <w:trHeight w:val="70"/>
          <w:tblHeader/>
        </w:trPr>
        <w:tc>
          <w:tcPr>
            <w:tcW w:w="813" w:type="pct"/>
            <w:vMerge w:val="restart"/>
            <w:tcMar>
              <w:left w:w="28" w:type="dxa"/>
              <w:right w:w="28" w:type="dxa"/>
            </w:tcMar>
            <w:vAlign w:val="center"/>
            <w:hideMark/>
          </w:tcPr>
          <w:p w14:paraId="312F2193" w14:textId="77777777" w:rsidR="004E3C0D" w:rsidRPr="005E3251" w:rsidRDefault="004E3C0D" w:rsidP="00BE6DBC">
            <w:pPr>
              <w:pStyle w:val="In-tableHeading"/>
              <w:keepLines/>
            </w:pPr>
            <w:r w:rsidRPr="005E3251">
              <w:t>Trial</w:t>
            </w:r>
          </w:p>
        </w:tc>
        <w:tc>
          <w:tcPr>
            <w:tcW w:w="970" w:type="pct"/>
            <w:vMerge w:val="restart"/>
            <w:tcMar>
              <w:left w:w="28" w:type="dxa"/>
              <w:right w:w="28" w:type="dxa"/>
            </w:tcMar>
            <w:vAlign w:val="center"/>
            <w:hideMark/>
          </w:tcPr>
          <w:p w14:paraId="7827E43C" w14:textId="77777777" w:rsidR="004E3C0D" w:rsidRPr="005E3251" w:rsidRDefault="004E3C0D" w:rsidP="00BE6DBC">
            <w:pPr>
              <w:pStyle w:val="TableText0"/>
              <w:keepLines/>
              <w:jc w:val="center"/>
              <w:rPr>
                <w:b/>
                <w:bCs w:val="0"/>
              </w:rPr>
            </w:pPr>
            <w:r w:rsidRPr="005E3251">
              <w:rPr>
                <w:b/>
                <w:bCs w:val="0"/>
              </w:rPr>
              <w:t>Intervention</w:t>
            </w:r>
          </w:p>
        </w:tc>
        <w:tc>
          <w:tcPr>
            <w:tcW w:w="583" w:type="pct"/>
            <w:vMerge w:val="restart"/>
            <w:shd w:val="clear" w:color="auto" w:fill="auto"/>
            <w:noWrap/>
            <w:tcMar>
              <w:left w:w="28" w:type="dxa"/>
              <w:right w:w="28" w:type="dxa"/>
            </w:tcMar>
            <w:vAlign w:val="center"/>
            <w:hideMark/>
          </w:tcPr>
          <w:p w14:paraId="2D6BB7DA" w14:textId="77777777" w:rsidR="004E3C0D" w:rsidRPr="005E3251" w:rsidRDefault="004E3C0D" w:rsidP="00BE6DBC">
            <w:pPr>
              <w:pStyle w:val="TableText0"/>
              <w:keepLines/>
              <w:jc w:val="center"/>
              <w:rPr>
                <w:b/>
                <w:bCs w:val="0"/>
              </w:rPr>
            </w:pPr>
            <w:r w:rsidRPr="005E3251">
              <w:rPr>
                <w:b/>
                <w:bCs w:val="0"/>
              </w:rPr>
              <w:t>Treatment arm</w:t>
            </w:r>
          </w:p>
          <w:p w14:paraId="1878E8F6" w14:textId="77777777" w:rsidR="004E3C0D" w:rsidRPr="005E3251" w:rsidRDefault="004E3C0D" w:rsidP="00BE6DBC">
            <w:pPr>
              <w:pStyle w:val="TableText0"/>
              <w:keepLines/>
              <w:jc w:val="center"/>
              <w:rPr>
                <w:b/>
                <w:bCs w:val="0"/>
              </w:rPr>
            </w:pPr>
            <w:r w:rsidRPr="005E3251">
              <w:rPr>
                <w:b/>
                <w:bCs w:val="0"/>
              </w:rPr>
              <w:t>n/N (%)</w:t>
            </w:r>
          </w:p>
        </w:tc>
        <w:tc>
          <w:tcPr>
            <w:tcW w:w="480" w:type="pct"/>
            <w:vMerge w:val="restart"/>
            <w:shd w:val="clear" w:color="auto" w:fill="auto"/>
            <w:noWrap/>
            <w:tcMar>
              <w:left w:w="28" w:type="dxa"/>
              <w:right w:w="28" w:type="dxa"/>
            </w:tcMar>
            <w:vAlign w:val="center"/>
            <w:hideMark/>
          </w:tcPr>
          <w:p w14:paraId="718DD2C5" w14:textId="0BFA2E07" w:rsidR="004E3C0D" w:rsidRPr="005E3251" w:rsidRDefault="004E3C0D" w:rsidP="00BE6DBC">
            <w:pPr>
              <w:pStyle w:val="TableText0"/>
              <w:keepLines/>
              <w:jc w:val="center"/>
              <w:rPr>
                <w:b/>
                <w:bCs w:val="0"/>
              </w:rPr>
            </w:pPr>
            <w:proofErr w:type="spellStart"/>
            <w:r w:rsidRPr="005E3251">
              <w:rPr>
                <w:b/>
                <w:bCs w:val="0"/>
              </w:rPr>
              <w:t>Placebo</w:t>
            </w:r>
            <w:r w:rsidR="00625CEF" w:rsidRPr="005E3251">
              <w:rPr>
                <w:b/>
                <w:bCs w:val="0"/>
                <w:vertAlign w:val="superscript"/>
              </w:rPr>
              <w:t>b</w:t>
            </w:r>
            <w:proofErr w:type="spellEnd"/>
          </w:p>
          <w:p w14:paraId="68DBD29D" w14:textId="77777777" w:rsidR="004E3C0D" w:rsidRPr="005E3251" w:rsidRDefault="004E3C0D" w:rsidP="00BE6DBC">
            <w:pPr>
              <w:pStyle w:val="TableText0"/>
              <w:keepLines/>
              <w:jc w:val="center"/>
              <w:rPr>
                <w:b/>
                <w:bCs w:val="0"/>
              </w:rPr>
            </w:pPr>
            <w:r w:rsidRPr="005E3251">
              <w:rPr>
                <w:b/>
                <w:bCs w:val="0"/>
              </w:rPr>
              <w:t>n/N (%)</w:t>
            </w:r>
          </w:p>
        </w:tc>
        <w:tc>
          <w:tcPr>
            <w:tcW w:w="2153" w:type="pct"/>
            <w:gridSpan w:val="3"/>
            <w:shd w:val="clear" w:color="auto" w:fill="auto"/>
            <w:noWrap/>
            <w:tcMar>
              <w:left w:w="28" w:type="dxa"/>
              <w:right w:w="28" w:type="dxa"/>
            </w:tcMar>
            <w:vAlign w:val="bottom"/>
            <w:hideMark/>
          </w:tcPr>
          <w:p w14:paraId="542BC566" w14:textId="77777777" w:rsidR="004E3C0D" w:rsidRPr="005E3251" w:rsidRDefault="004E3C0D" w:rsidP="00BE6DBC">
            <w:pPr>
              <w:pStyle w:val="In-tableHeading"/>
              <w:keepLines/>
            </w:pPr>
            <w:r w:rsidRPr="005E3251">
              <w:t>Relative and absolute difference vs Placebo</w:t>
            </w:r>
          </w:p>
        </w:tc>
      </w:tr>
      <w:tr w:rsidR="00682CD7" w:rsidRPr="005E3251" w14:paraId="31175BB7" w14:textId="77777777" w:rsidTr="003416F9">
        <w:trPr>
          <w:trHeight w:val="297"/>
          <w:tblHeader/>
        </w:trPr>
        <w:tc>
          <w:tcPr>
            <w:tcW w:w="813" w:type="pct"/>
            <w:vMerge/>
            <w:tcMar>
              <w:left w:w="28" w:type="dxa"/>
              <w:right w:w="28" w:type="dxa"/>
            </w:tcMar>
            <w:vAlign w:val="center"/>
          </w:tcPr>
          <w:p w14:paraId="03C3840C" w14:textId="77777777" w:rsidR="004E3C0D" w:rsidRPr="005E3251" w:rsidRDefault="004E3C0D" w:rsidP="00BE6DBC">
            <w:pPr>
              <w:pStyle w:val="In-tableHeading"/>
              <w:keepLines/>
            </w:pPr>
          </w:p>
        </w:tc>
        <w:tc>
          <w:tcPr>
            <w:tcW w:w="970" w:type="pct"/>
            <w:vMerge/>
            <w:tcMar>
              <w:left w:w="28" w:type="dxa"/>
              <w:right w:w="28" w:type="dxa"/>
            </w:tcMar>
            <w:vAlign w:val="center"/>
          </w:tcPr>
          <w:p w14:paraId="7EAD79C0" w14:textId="77777777" w:rsidR="004E3C0D" w:rsidRPr="005E3251" w:rsidRDefault="004E3C0D" w:rsidP="00BE6DBC">
            <w:pPr>
              <w:pStyle w:val="In-tableHeading"/>
              <w:keepLines/>
            </w:pPr>
          </w:p>
        </w:tc>
        <w:tc>
          <w:tcPr>
            <w:tcW w:w="583" w:type="pct"/>
            <w:vMerge/>
            <w:shd w:val="clear" w:color="auto" w:fill="auto"/>
            <w:noWrap/>
            <w:tcMar>
              <w:left w:w="28" w:type="dxa"/>
              <w:right w:w="28" w:type="dxa"/>
            </w:tcMar>
            <w:vAlign w:val="bottom"/>
          </w:tcPr>
          <w:p w14:paraId="6024C032" w14:textId="77777777" w:rsidR="004E3C0D" w:rsidRPr="005E3251" w:rsidRDefault="004E3C0D" w:rsidP="00BE6DBC">
            <w:pPr>
              <w:pStyle w:val="In-tableHeading"/>
              <w:keepLines/>
            </w:pPr>
          </w:p>
        </w:tc>
        <w:tc>
          <w:tcPr>
            <w:tcW w:w="480" w:type="pct"/>
            <w:vMerge/>
            <w:shd w:val="clear" w:color="auto" w:fill="auto"/>
            <w:noWrap/>
            <w:tcMar>
              <w:left w:w="28" w:type="dxa"/>
              <w:right w:w="28" w:type="dxa"/>
            </w:tcMar>
            <w:vAlign w:val="bottom"/>
          </w:tcPr>
          <w:p w14:paraId="7CEE2B55" w14:textId="77777777" w:rsidR="004E3C0D" w:rsidRPr="005E3251" w:rsidRDefault="004E3C0D" w:rsidP="00BE6DBC">
            <w:pPr>
              <w:pStyle w:val="In-tableHeading"/>
              <w:keepLines/>
            </w:pPr>
          </w:p>
        </w:tc>
        <w:tc>
          <w:tcPr>
            <w:tcW w:w="758" w:type="pct"/>
            <w:shd w:val="clear" w:color="auto" w:fill="auto"/>
            <w:noWrap/>
            <w:tcMar>
              <w:left w:w="28" w:type="dxa"/>
              <w:right w:w="28" w:type="dxa"/>
            </w:tcMar>
            <w:vAlign w:val="center"/>
          </w:tcPr>
          <w:p w14:paraId="58014EAB" w14:textId="77777777" w:rsidR="004E3C0D" w:rsidRPr="005E3251" w:rsidRDefault="004E3C0D" w:rsidP="00BE6DBC">
            <w:pPr>
              <w:pStyle w:val="TableText0"/>
              <w:keepLines/>
              <w:jc w:val="center"/>
              <w:rPr>
                <w:b/>
                <w:bCs w:val="0"/>
              </w:rPr>
            </w:pPr>
            <w:r w:rsidRPr="005E3251">
              <w:rPr>
                <w:b/>
                <w:bCs w:val="0"/>
              </w:rPr>
              <w:t>OR (95% CI)</w:t>
            </w:r>
          </w:p>
        </w:tc>
        <w:tc>
          <w:tcPr>
            <w:tcW w:w="716" w:type="pct"/>
            <w:shd w:val="clear" w:color="auto" w:fill="auto"/>
            <w:noWrap/>
            <w:tcMar>
              <w:left w:w="28" w:type="dxa"/>
              <w:right w:w="28" w:type="dxa"/>
            </w:tcMar>
            <w:vAlign w:val="center"/>
          </w:tcPr>
          <w:p w14:paraId="4533DA73" w14:textId="77777777" w:rsidR="004E3C0D" w:rsidRPr="005E3251" w:rsidRDefault="004E3C0D" w:rsidP="00BE6DBC">
            <w:pPr>
              <w:pStyle w:val="TableText0"/>
              <w:keepLines/>
              <w:jc w:val="center"/>
              <w:rPr>
                <w:b/>
                <w:bCs w:val="0"/>
              </w:rPr>
            </w:pPr>
            <w:r w:rsidRPr="005E3251">
              <w:rPr>
                <w:b/>
                <w:bCs w:val="0"/>
              </w:rPr>
              <w:t>RR (95% CI)</w:t>
            </w:r>
          </w:p>
        </w:tc>
        <w:tc>
          <w:tcPr>
            <w:tcW w:w="679" w:type="pct"/>
            <w:shd w:val="clear" w:color="auto" w:fill="auto"/>
            <w:noWrap/>
            <w:tcMar>
              <w:left w:w="28" w:type="dxa"/>
              <w:right w:w="28" w:type="dxa"/>
            </w:tcMar>
            <w:vAlign w:val="center"/>
          </w:tcPr>
          <w:p w14:paraId="71504FEE" w14:textId="77777777" w:rsidR="004E3C0D" w:rsidRPr="005E3251" w:rsidRDefault="004E3C0D" w:rsidP="00BE6DBC">
            <w:pPr>
              <w:pStyle w:val="TableText0"/>
              <w:keepLines/>
              <w:jc w:val="center"/>
              <w:rPr>
                <w:b/>
                <w:bCs w:val="0"/>
              </w:rPr>
            </w:pPr>
            <w:r w:rsidRPr="005E3251">
              <w:rPr>
                <w:b/>
                <w:bCs w:val="0"/>
              </w:rPr>
              <w:t>RD (95% CI)</w:t>
            </w:r>
          </w:p>
        </w:tc>
      </w:tr>
      <w:tr w:rsidR="004E3C0D" w:rsidRPr="005E3251" w14:paraId="2205B811" w14:textId="77777777" w:rsidTr="003A771D">
        <w:trPr>
          <w:trHeight w:val="70"/>
        </w:trPr>
        <w:tc>
          <w:tcPr>
            <w:tcW w:w="5000" w:type="pct"/>
            <w:gridSpan w:val="7"/>
            <w:shd w:val="clear" w:color="auto" w:fill="auto"/>
            <w:noWrap/>
            <w:tcMar>
              <w:left w:w="28" w:type="dxa"/>
              <w:right w:w="28" w:type="dxa"/>
            </w:tcMar>
            <w:vAlign w:val="bottom"/>
            <w:hideMark/>
          </w:tcPr>
          <w:p w14:paraId="682657DD" w14:textId="77777777" w:rsidR="004E3C0D" w:rsidRPr="005E3251" w:rsidRDefault="004E3C0D" w:rsidP="00BE6DBC">
            <w:pPr>
              <w:pStyle w:val="TableText0"/>
              <w:keepLines/>
              <w:rPr>
                <w:b/>
                <w:bCs w:val="0"/>
              </w:rPr>
            </w:pPr>
            <w:r w:rsidRPr="005E3251">
              <w:rPr>
                <w:b/>
                <w:bCs w:val="0"/>
              </w:rPr>
              <w:t>≥50% reduction from baseline monthly CSF</w:t>
            </w:r>
          </w:p>
        </w:tc>
      </w:tr>
      <w:tr w:rsidR="00682CD7" w:rsidRPr="005E3251" w14:paraId="02A30912" w14:textId="77777777" w:rsidTr="003416F9">
        <w:trPr>
          <w:trHeight w:val="297"/>
        </w:trPr>
        <w:tc>
          <w:tcPr>
            <w:tcW w:w="813" w:type="pct"/>
            <w:shd w:val="clear" w:color="auto" w:fill="auto"/>
            <w:noWrap/>
            <w:tcMar>
              <w:left w:w="28" w:type="dxa"/>
              <w:right w:w="28" w:type="dxa"/>
            </w:tcMar>
            <w:vAlign w:val="center"/>
            <w:hideMark/>
          </w:tcPr>
          <w:p w14:paraId="5073248A" w14:textId="77777777" w:rsidR="004E3C0D" w:rsidRPr="005E3251" w:rsidRDefault="004E3C0D" w:rsidP="00BE6DBC">
            <w:pPr>
              <w:pStyle w:val="TableText0"/>
              <w:keepLines/>
            </w:pPr>
            <w:r w:rsidRPr="005E3251">
              <w:t>Study 1</w:t>
            </w:r>
          </w:p>
        </w:tc>
        <w:tc>
          <w:tcPr>
            <w:tcW w:w="970" w:type="pct"/>
            <w:shd w:val="clear" w:color="auto" w:fill="auto"/>
            <w:noWrap/>
            <w:tcMar>
              <w:left w:w="28" w:type="dxa"/>
              <w:right w:w="28" w:type="dxa"/>
            </w:tcMar>
            <w:vAlign w:val="center"/>
            <w:hideMark/>
          </w:tcPr>
          <w:p w14:paraId="07FDD78E" w14:textId="77777777" w:rsidR="00654B1A" w:rsidRDefault="004E3C0D" w:rsidP="00BE6DBC">
            <w:pPr>
              <w:pStyle w:val="TableText0"/>
              <w:keepLines/>
              <w:jc w:val="center"/>
            </w:pPr>
            <w:r w:rsidRPr="005E3251">
              <w:t xml:space="preserve">FFA 0.7 mg/kg/day </w:t>
            </w:r>
          </w:p>
          <w:p w14:paraId="6C4D9D18" w14:textId="1F9A92C8" w:rsidR="004E3C0D" w:rsidRPr="005E3251" w:rsidRDefault="004E3C0D" w:rsidP="00BE6DBC">
            <w:pPr>
              <w:pStyle w:val="TableText0"/>
              <w:keepLines/>
              <w:jc w:val="center"/>
            </w:pPr>
            <w:r w:rsidRPr="005E3251">
              <w:t>(- STP)</w:t>
            </w:r>
          </w:p>
        </w:tc>
        <w:tc>
          <w:tcPr>
            <w:tcW w:w="583" w:type="pct"/>
            <w:shd w:val="clear" w:color="auto" w:fill="auto"/>
            <w:noWrap/>
            <w:tcMar>
              <w:left w:w="28" w:type="dxa"/>
              <w:right w:w="28" w:type="dxa"/>
            </w:tcMar>
            <w:vAlign w:val="center"/>
            <w:hideMark/>
          </w:tcPr>
          <w:p w14:paraId="78908F30" w14:textId="77777777" w:rsidR="004E3C0D" w:rsidRPr="005E3251" w:rsidRDefault="004E3C0D" w:rsidP="00BE6DBC">
            <w:pPr>
              <w:pStyle w:val="TableText0"/>
              <w:keepLines/>
              <w:jc w:val="center"/>
            </w:pPr>
            <w:r w:rsidRPr="005E3251">
              <w:t>27/40 (67.5)</w:t>
            </w:r>
          </w:p>
        </w:tc>
        <w:tc>
          <w:tcPr>
            <w:tcW w:w="480" w:type="pct"/>
            <w:shd w:val="clear" w:color="auto" w:fill="auto"/>
            <w:noWrap/>
            <w:tcMar>
              <w:left w:w="28" w:type="dxa"/>
              <w:right w:w="28" w:type="dxa"/>
            </w:tcMar>
            <w:vAlign w:val="center"/>
            <w:hideMark/>
          </w:tcPr>
          <w:p w14:paraId="5CD20CD0" w14:textId="77777777" w:rsidR="004E3C0D" w:rsidRPr="005E3251" w:rsidRDefault="004E3C0D" w:rsidP="00BE6DBC">
            <w:pPr>
              <w:pStyle w:val="TableText0"/>
              <w:keepLines/>
              <w:jc w:val="center"/>
            </w:pPr>
            <w:r w:rsidRPr="005E3251">
              <w:t>5/40 (12.5)</w:t>
            </w:r>
          </w:p>
        </w:tc>
        <w:tc>
          <w:tcPr>
            <w:tcW w:w="758" w:type="pct"/>
            <w:shd w:val="clear" w:color="auto" w:fill="auto"/>
            <w:noWrap/>
            <w:tcMar>
              <w:left w:w="28" w:type="dxa"/>
              <w:right w:w="28" w:type="dxa"/>
            </w:tcMar>
            <w:vAlign w:val="center"/>
            <w:hideMark/>
          </w:tcPr>
          <w:p w14:paraId="1C3350B7" w14:textId="77777777" w:rsidR="004C065A" w:rsidRPr="005E3251" w:rsidRDefault="004E3C0D" w:rsidP="00BE6DBC">
            <w:pPr>
              <w:pStyle w:val="TableText0"/>
              <w:keepLines/>
              <w:jc w:val="center"/>
              <w:rPr>
                <w:b/>
                <w:bCs w:val="0"/>
              </w:rPr>
            </w:pPr>
            <w:r w:rsidRPr="005E3251">
              <w:rPr>
                <w:b/>
                <w:bCs w:val="0"/>
              </w:rPr>
              <w:t xml:space="preserve">14.54 </w:t>
            </w:r>
          </w:p>
          <w:p w14:paraId="01426274" w14:textId="7A4DF816" w:rsidR="004E3C0D" w:rsidRPr="005E3251" w:rsidRDefault="004E3C0D" w:rsidP="00BE6DBC">
            <w:pPr>
              <w:pStyle w:val="TableText0"/>
              <w:keepLines/>
              <w:jc w:val="center"/>
              <w:rPr>
                <w:b/>
                <w:bCs w:val="0"/>
              </w:rPr>
            </w:pPr>
            <w:r w:rsidRPr="005E3251">
              <w:rPr>
                <w:b/>
                <w:bCs w:val="0"/>
              </w:rPr>
              <w:t>(4.62, 45.78)</w:t>
            </w:r>
          </w:p>
        </w:tc>
        <w:tc>
          <w:tcPr>
            <w:tcW w:w="716" w:type="pct"/>
            <w:shd w:val="clear" w:color="auto" w:fill="auto"/>
            <w:noWrap/>
            <w:tcMar>
              <w:left w:w="28" w:type="dxa"/>
              <w:right w:w="28" w:type="dxa"/>
            </w:tcMar>
            <w:vAlign w:val="center"/>
            <w:hideMark/>
          </w:tcPr>
          <w:p w14:paraId="79830DDF" w14:textId="77777777" w:rsidR="00682CD7" w:rsidRPr="005E3251" w:rsidRDefault="004E3C0D" w:rsidP="00BE6DBC">
            <w:pPr>
              <w:pStyle w:val="TableText0"/>
              <w:keepLines/>
              <w:jc w:val="center"/>
              <w:rPr>
                <w:b/>
                <w:bCs w:val="0"/>
              </w:rPr>
            </w:pPr>
            <w:r w:rsidRPr="005E3251">
              <w:rPr>
                <w:b/>
                <w:bCs w:val="0"/>
              </w:rPr>
              <w:t xml:space="preserve">5.40 </w:t>
            </w:r>
          </w:p>
          <w:p w14:paraId="6AC7BC47" w14:textId="025B095E" w:rsidR="004E3C0D" w:rsidRPr="005E3251" w:rsidRDefault="004E3C0D" w:rsidP="00BE6DBC">
            <w:pPr>
              <w:pStyle w:val="TableText0"/>
              <w:keepLines/>
              <w:jc w:val="center"/>
              <w:rPr>
                <w:b/>
                <w:bCs w:val="0"/>
              </w:rPr>
            </w:pPr>
            <w:r w:rsidRPr="005E3251">
              <w:rPr>
                <w:b/>
                <w:bCs w:val="0"/>
              </w:rPr>
              <w:t>(2.31, 12.60)</w:t>
            </w:r>
          </w:p>
        </w:tc>
        <w:tc>
          <w:tcPr>
            <w:tcW w:w="679" w:type="pct"/>
            <w:shd w:val="clear" w:color="auto" w:fill="auto"/>
            <w:noWrap/>
            <w:tcMar>
              <w:left w:w="28" w:type="dxa"/>
              <w:right w:w="28" w:type="dxa"/>
            </w:tcMar>
            <w:vAlign w:val="center"/>
            <w:hideMark/>
          </w:tcPr>
          <w:p w14:paraId="5CCF3094" w14:textId="77777777" w:rsidR="00682CD7" w:rsidRPr="005E3251" w:rsidRDefault="004E3C0D" w:rsidP="00BE6DBC">
            <w:pPr>
              <w:pStyle w:val="TableText0"/>
              <w:keepLines/>
              <w:jc w:val="center"/>
              <w:rPr>
                <w:b/>
                <w:bCs w:val="0"/>
              </w:rPr>
            </w:pPr>
            <w:r w:rsidRPr="005E3251">
              <w:rPr>
                <w:b/>
                <w:bCs w:val="0"/>
              </w:rPr>
              <w:t xml:space="preserve">0.55 </w:t>
            </w:r>
          </w:p>
          <w:p w14:paraId="0B8EDC38" w14:textId="5B801C6C" w:rsidR="004E3C0D" w:rsidRPr="005E3251" w:rsidRDefault="004E3C0D" w:rsidP="00BE6DBC">
            <w:pPr>
              <w:pStyle w:val="TableText0"/>
              <w:keepLines/>
              <w:jc w:val="center"/>
              <w:rPr>
                <w:b/>
                <w:bCs w:val="0"/>
              </w:rPr>
            </w:pPr>
            <w:r w:rsidRPr="005E3251">
              <w:rPr>
                <w:b/>
                <w:bCs w:val="0"/>
              </w:rPr>
              <w:t>(0.37, 0.73)</w:t>
            </w:r>
          </w:p>
        </w:tc>
      </w:tr>
      <w:tr w:rsidR="00682CD7" w:rsidRPr="005E3251" w14:paraId="5FDA2D5C" w14:textId="77777777" w:rsidTr="003416F9">
        <w:trPr>
          <w:trHeight w:val="297"/>
        </w:trPr>
        <w:tc>
          <w:tcPr>
            <w:tcW w:w="813" w:type="pct"/>
            <w:shd w:val="clear" w:color="auto" w:fill="auto"/>
            <w:noWrap/>
            <w:tcMar>
              <w:left w:w="28" w:type="dxa"/>
              <w:right w:w="28" w:type="dxa"/>
            </w:tcMar>
            <w:vAlign w:val="center"/>
            <w:hideMark/>
          </w:tcPr>
          <w:p w14:paraId="439F97E8" w14:textId="77777777" w:rsidR="004E3C0D" w:rsidRPr="005E3251" w:rsidRDefault="004E3C0D" w:rsidP="00BE6DBC">
            <w:pPr>
              <w:pStyle w:val="TableText0"/>
              <w:keepLines/>
            </w:pPr>
            <w:r w:rsidRPr="005E3251">
              <w:t>Study 3</w:t>
            </w:r>
          </w:p>
        </w:tc>
        <w:tc>
          <w:tcPr>
            <w:tcW w:w="970" w:type="pct"/>
            <w:shd w:val="clear" w:color="auto" w:fill="auto"/>
            <w:noWrap/>
            <w:tcMar>
              <w:left w:w="28" w:type="dxa"/>
              <w:right w:w="28" w:type="dxa"/>
            </w:tcMar>
            <w:vAlign w:val="center"/>
            <w:hideMark/>
          </w:tcPr>
          <w:p w14:paraId="4C34E507" w14:textId="77777777" w:rsidR="00654B1A" w:rsidRDefault="004E3C0D" w:rsidP="00BE6DBC">
            <w:pPr>
              <w:pStyle w:val="TableText0"/>
              <w:keepLines/>
              <w:jc w:val="center"/>
            </w:pPr>
            <w:r w:rsidRPr="005E3251">
              <w:t xml:space="preserve">FFA 0.7 mg/kg/day </w:t>
            </w:r>
          </w:p>
          <w:p w14:paraId="5C938B1B" w14:textId="296614B3" w:rsidR="004E3C0D" w:rsidRPr="005E3251" w:rsidRDefault="004E3C0D" w:rsidP="00BE6DBC">
            <w:pPr>
              <w:pStyle w:val="TableText0"/>
              <w:keepLines/>
              <w:jc w:val="center"/>
            </w:pPr>
            <w:r w:rsidRPr="005E3251">
              <w:t>(- STP)</w:t>
            </w:r>
          </w:p>
        </w:tc>
        <w:tc>
          <w:tcPr>
            <w:tcW w:w="583" w:type="pct"/>
            <w:shd w:val="clear" w:color="auto" w:fill="auto"/>
            <w:noWrap/>
            <w:tcMar>
              <w:left w:w="28" w:type="dxa"/>
              <w:right w:w="28" w:type="dxa"/>
            </w:tcMar>
            <w:vAlign w:val="center"/>
            <w:hideMark/>
          </w:tcPr>
          <w:p w14:paraId="234C63E7" w14:textId="77777777" w:rsidR="004E3C0D" w:rsidRPr="005E3251" w:rsidRDefault="004E3C0D" w:rsidP="00BE6DBC">
            <w:pPr>
              <w:pStyle w:val="TableText0"/>
              <w:keepLines/>
              <w:jc w:val="center"/>
            </w:pPr>
            <w:r w:rsidRPr="005E3251">
              <w:t>35/48 (72.9)</w:t>
            </w:r>
          </w:p>
        </w:tc>
        <w:tc>
          <w:tcPr>
            <w:tcW w:w="480" w:type="pct"/>
            <w:shd w:val="clear" w:color="auto" w:fill="auto"/>
            <w:noWrap/>
            <w:tcMar>
              <w:left w:w="28" w:type="dxa"/>
              <w:right w:w="28" w:type="dxa"/>
            </w:tcMar>
            <w:vAlign w:val="center"/>
            <w:hideMark/>
          </w:tcPr>
          <w:p w14:paraId="44A14745" w14:textId="77777777" w:rsidR="004E3C0D" w:rsidRPr="005E3251" w:rsidRDefault="004E3C0D" w:rsidP="00BE6DBC">
            <w:pPr>
              <w:pStyle w:val="TableText0"/>
              <w:keepLines/>
              <w:jc w:val="center"/>
            </w:pPr>
            <w:r w:rsidRPr="005E3251">
              <w:t>3/48 (6.3)</w:t>
            </w:r>
          </w:p>
        </w:tc>
        <w:tc>
          <w:tcPr>
            <w:tcW w:w="758" w:type="pct"/>
            <w:shd w:val="clear" w:color="auto" w:fill="auto"/>
            <w:noWrap/>
            <w:tcMar>
              <w:left w:w="28" w:type="dxa"/>
              <w:right w:w="28" w:type="dxa"/>
            </w:tcMar>
            <w:vAlign w:val="center"/>
            <w:hideMark/>
          </w:tcPr>
          <w:p w14:paraId="0DBFBFB5" w14:textId="77777777" w:rsidR="00682CD7" w:rsidRPr="005E3251" w:rsidRDefault="004E3C0D" w:rsidP="00BE6DBC">
            <w:pPr>
              <w:pStyle w:val="TableText0"/>
              <w:keepLines/>
              <w:jc w:val="center"/>
              <w:rPr>
                <w:b/>
                <w:bCs w:val="0"/>
              </w:rPr>
            </w:pPr>
            <w:r w:rsidRPr="005E3251">
              <w:rPr>
                <w:b/>
                <w:bCs w:val="0"/>
              </w:rPr>
              <w:t xml:space="preserve">40.38 </w:t>
            </w:r>
          </w:p>
          <w:p w14:paraId="7A37FE4D" w14:textId="1796C2E6" w:rsidR="004E3C0D" w:rsidRPr="005E3251" w:rsidRDefault="004E3C0D" w:rsidP="00BE6DBC">
            <w:pPr>
              <w:pStyle w:val="TableText0"/>
              <w:keepLines/>
              <w:jc w:val="center"/>
              <w:rPr>
                <w:b/>
                <w:bCs w:val="0"/>
              </w:rPr>
            </w:pPr>
            <w:r w:rsidRPr="005E3251">
              <w:rPr>
                <w:b/>
                <w:bCs w:val="0"/>
              </w:rPr>
              <w:t>(10.67, 152.83)</w:t>
            </w:r>
          </w:p>
        </w:tc>
        <w:tc>
          <w:tcPr>
            <w:tcW w:w="716" w:type="pct"/>
            <w:shd w:val="clear" w:color="auto" w:fill="auto"/>
            <w:noWrap/>
            <w:tcMar>
              <w:left w:w="28" w:type="dxa"/>
              <w:right w:w="28" w:type="dxa"/>
            </w:tcMar>
            <w:vAlign w:val="center"/>
            <w:hideMark/>
          </w:tcPr>
          <w:p w14:paraId="444587EA" w14:textId="77777777" w:rsidR="00682CD7" w:rsidRPr="005E3251" w:rsidRDefault="004E3C0D" w:rsidP="00BE6DBC">
            <w:pPr>
              <w:pStyle w:val="TableText0"/>
              <w:keepLines/>
              <w:jc w:val="center"/>
              <w:rPr>
                <w:b/>
                <w:bCs w:val="0"/>
              </w:rPr>
            </w:pPr>
            <w:r w:rsidRPr="005E3251">
              <w:rPr>
                <w:b/>
                <w:bCs w:val="0"/>
              </w:rPr>
              <w:t xml:space="preserve">11.67 </w:t>
            </w:r>
          </w:p>
          <w:p w14:paraId="5123C0D0" w14:textId="0E8CA293" w:rsidR="004E3C0D" w:rsidRPr="005E3251" w:rsidRDefault="004E3C0D" w:rsidP="00BE6DBC">
            <w:pPr>
              <w:pStyle w:val="TableText0"/>
              <w:keepLines/>
              <w:jc w:val="center"/>
              <w:rPr>
                <w:b/>
                <w:bCs w:val="0"/>
              </w:rPr>
            </w:pPr>
            <w:r w:rsidRPr="005E3251">
              <w:rPr>
                <w:b/>
                <w:bCs w:val="0"/>
              </w:rPr>
              <w:t>(3.85, 35.37)</w:t>
            </w:r>
          </w:p>
        </w:tc>
        <w:tc>
          <w:tcPr>
            <w:tcW w:w="679" w:type="pct"/>
            <w:shd w:val="clear" w:color="auto" w:fill="auto"/>
            <w:noWrap/>
            <w:tcMar>
              <w:left w:w="28" w:type="dxa"/>
              <w:right w:w="28" w:type="dxa"/>
            </w:tcMar>
            <w:vAlign w:val="center"/>
            <w:hideMark/>
          </w:tcPr>
          <w:p w14:paraId="17AD0535" w14:textId="77777777" w:rsidR="00682CD7" w:rsidRPr="005E3251" w:rsidRDefault="004E3C0D" w:rsidP="00BE6DBC">
            <w:pPr>
              <w:pStyle w:val="TableText0"/>
              <w:keepLines/>
              <w:jc w:val="center"/>
              <w:rPr>
                <w:b/>
                <w:bCs w:val="0"/>
              </w:rPr>
            </w:pPr>
            <w:r w:rsidRPr="005E3251">
              <w:rPr>
                <w:b/>
                <w:bCs w:val="0"/>
              </w:rPr>
              <w:t xml:space="preserve">0.67 </w:t>
            </w:r>
          </w:p>
          <w:p w14:paraId="63A8DAAE" w14:textId="0525D6C5" w:rsidR="004E3C0D" w:rsidRPr="005E3251" w:rsidRDefault="004E3C0D" w:rsidP="00BE6DBC">
            <w:pPr>
              <w:pStyle w:val="TableText0"/>
              <w:keepLines/>
              <w:jc w:val="center"/>
              <w:rPr>
                <w:b/>
                <w:bCs w:val="0"/>
              </w:rPr>
            </w:pPr>
            <w:r w:rsidRPr="005E3251">
              <w:rPr>
                <w:b/>
                <w:bCs w:val="0"/>
              </w:rPr>
              <w:t>(0.52, 0.81)</w:t>
            </w:r>
          </w:p>
        </w:tc>
      </w:tr>
      <w:tr w:rsidR="003416F9" w:rsidRPr="005E3251" w14:paraId="353A2B2C" w14:textId="77777777" w:rsidTr="003416F9">
        <w:trPr>
          <w:trHeight w:val="297"/>
        </w:trPr>
        <w:tc>
          <w:tcPr>
            <w:tcW w:w="2847" w:type="pct"/>
            <w:gridSpan w:val="4"/>
            <w:shd w:val="clear" w:color="auto" w:fill="auto"/>
            <w:noWrap/>
            <w:tcMar>
              <w:left w:w="28" w:type="dxa"/>
              <w:right w:w="28" w:type="dxa"/>
            </w:tcMar>
            <w:vAlign w:val="center"/>
          </w:tcPr>
          <w:p w14:paraId="500B0EB1" w14:textId="77777777" w:rsidR="004E3C0D" w:rsidRPr="005E3251" w:rsidRDefault="004E3C0D" w:rsidP="00BE6DBC">
            <w:pPr>
              <w:pStyle w:val="TableText0"/>
              <w:keepLines/>
            </w:pPr>
            <w:r w:rsidRPr="005E3251">
              <w:t>Pooled estimates for FFA 0.7 mg/kg/day (- STP) used in indirect comparison</w:t>
            </w:r>
          </w:p>
        </w:tc>
        <w:tc>
          <w:tcPr>
            <w:tcW w:w="758" w:type="pct"/>
            <w:shd w:val="clear" w:color="auto" w:fill="auto"/>
            <w:noWrap/>
            <w:tcMar>
              <w:left w:w="28" w:type="dxa"/>
              <w:right w:w="28" w:type="dxa"/>
            </w:tcMar>
            <w:vAlign w:val="center"/>
          </w:tcPr>
          <w:p w14:paraId="46482B1B" w14:textId="77777777" w:rsidR="00682CD7" w:rsidRPr="005E3251" w:rsidRDefault="004E3C0D" w:rsidP="00BE6DBC">
            <w:pPr>
              <w:pStyle w:val="TableText0"/>
              <w:keepLines/>
              <w:jc w:val="center"/>
              <w:rPr>
                <w:b/>
                <w:bCs w:val="0"/>
              </w:rPr>
            </w:pPr>
            <w:r w:rsidRPr="005E3251">
              <w:rPr>
                <w:b/>
                <w:bCs w:val="0"/>
              </w:rPr>
              <w:t xml:space="preserve">22.87 </w:t>
            </w:r>
          </w:p>
          <w:p w14:paraId="533F8832" w14:textId="0C3E1F6C" w:rsidR="004E3C0D" w:rsidRPr="005E3251" w:rsidRDefault="004E3C0D" w:rsidP="00BE6DBC">
            <w:pPr>
              <w:pStyle w:val="TableText0"/>
              <w:keepLines/>
              <w:jc w:val="center"/>
              <w:rPr>
                <w:b/>
                <w:bCs w:val="0"/>
              </w:rPr>
            </w:pPr>
            <w:r w:rsidRPr="005E3251">
              <w:rPr>
                <w:b/>
                <w:bCs w:val="0"/>
              </w:rPr>
              <w:t>(8.46, 61.83)</w:t>
            </w:r>
          </w:p>
        </w:tc>
        <w:tc>
          <w:tcPr>
            <w:tcW w:w="716" w:type="pct"/>
            <w:shd w:val="clear" w:color="auto" w:fill="auto"/>
            <w:noWrap/>
            <w:tcMar>
              <w:left w:w="28" w:type="dxa"/>
              <w:right w:w="28" w:type="dxa"/>
            </w:tcMar>
            <w:vAlign w:val="center"/>
          </w:tcPr>
          <w:p w14:paraId="7A11FEAE" w14:textId="77777777" w:rsidR="00682CD7" w:rsidRPr="005E3251" w:rsidRDefault="004E3C0D" w:rsidP="00BE6DBC">
            <w:pPr>
              <w:pStyle w:val="TableText0"/>
              <w:keepLines/>
              <w:jc w:val="center"/>
              <w:rPr>
                <w:b/>
                <w:bCs w:val="0"/>
              </w:rPr>
            </w:pPr>
            <w:r w:rsidRPr="005E3251">
              <w:rPr>
                <w:b/>
                <w:bCs w:val="0"/>
              </w:rPr>
              <w:t>7.28</w:t>
            </w:r>
          </w:p>
          <w:p w14:paraId="4758D595" w14:textId="44B1F508" w:rsidR="004E3C0D" w:rsidRPr="005E3251" w:rsidRDefault="004E3C0D" w:rsidP="00BE6DBC">
            <w:pPr>
              <w:pStyle w:val="TableText0"/>
              <w:keepLines/>
              <w:jc w:val="center"/>
              <w:rPr>
                <w:b/>
                <w:bCs w:val="0"/>
              </w:rPr>
            </w:pPr>
            <w:r w:rsidRPr="005E3251">
              <w:rPr>
                <w:b/>
                <w:bCs w:val="0"/>
              </w:rPr>
              <w:t xml:space="preserve"> (3.49, 15.19)</w:t>
            </w:r>
          </w:p>
        </w:tc>
        <w:tc>
          <w:tcPr>
            <w:tcW w:w="679" w:type="pct"/>
            <w:shd w:val="clear" w:color="auto" w:fill="auto"/>
            <w:noWrap/>
            <w:tcMar>
              <w:left w:w="28" w:type="dxa"/>
              <w:right w:w="28" w:type="dxa"/>
            </w:tcMar>
            <w:vAlign w:val="center"/>
          </w:tcPr>
          <w:p w14:paraId="4010C747" w14:textId="77777777" w:rsidR="00682CD7" w:rsidRPr="005E3251" w:rsidRDefault="004E3C0D" w:rsidP="00BE6DBC">
            <w:pPr>
              <w:pStyle w:val="TableText0"/>
              <w:keepLines/>
              <w:jc w:val="center"/>
              <w:rPr>
                <w:b/>
                <w:bCs w:val="0"/>
              </w:rPr>
            </w:pPr>
            <w:r w:rsidRPr="005E3251">
              <w:rPr>
                <w:b/>
                <w:bCs w:val="0"/>
              </w:rPr>
              <w:t xml:space="preserve">0.62 </w:t>
            </w:r>
          </w:p>
          <w:p w14:paraId="360692CA" w14:textId="6C3172DF" w:rsidR="004E3C0D" w:rsidRPr="005E3251" w:rsidRDefault="004E3C0D" w:rsidP="00BE6DBC">
            <w:pPr>
              <w:pStyle w:val="TableText0"/>
              <w:keepLines/>
              <w:jc w:val="center"/>
              <w:rPr>
                <w:b/>
                <w:bCs w:val="0"/>
              </w:rPr>
            </w:pPr>
            <w:r w:rsidRPr="005E3251">
              <w:rPr>
                <w:b/>
                <w:bCs w:val="0"/>
              </w:rPr>
              <w:t>(0.51, 0.73)</w:t>
            </w:r>
          </w:p>
        </w:tc>
      </w:tr>
      <w:tr w:rsidR="00682CD7" w:rsidRPr="005E3251" w14:paraId="2FA7202B" w14:textId="77777777" w:rsidTr="003416F9">
        <w:trPr>
          <w:trHeight w:val="297"/>
        </w:trPr>
        <w:tc>
          <w:tcPr>
            <w:tcW w:w="813" w:type="pct"/>
            <w:shd w:val="clear" w:color="auto" w:fill="auto"/>
            <w:noWrap/>
            <w:tcMar>
              <w:left w:w="28" w:type="dxa"/>
              <w:right w:w="28" w:type="dxa"/>
            </w:tcMar>
            <w:vAlign w:val="center"/>
            <w:hideMark/>
          </w:tcPr>
          <w:p w14:paraId="1396FE05" w14:textId="77777777" w:rsidR="004E3C0D" w:rsidRPr="005E3251" w:rsidRDefault="004E3C0D" w:rsidP="00BE6DBC">
            <w:pPr>
              <w:pStyle w:val="TableText0"/>
              <w:keepLines/>
            </w:pPr>
            <w:r w:rsidRPr="005E3251">
              <w:t>Study 2</w:t>
            </w:r>
          </w:p>
        </w:tc>
        <w:tc>
          <w:tcPr>
            <w:tcW w:w="970" w:type="pct"/>
            <w:shd w:val="clear" w:color="auto" w:fill="auto"/>
            <w:noWrap/>
            <w:tcMar>
              <w:left w:w="28" w:type="dxa"/>
              <w:right w:w="28" w:type="dxa"/>
            </w:tcMar>
            <w:vAlign w:val="center"/>
            <w:hideMark/>
          </w:tcPr>
          <w:p w14:paraId="67F159A3" w14:textId="77777777" w:rsidR="00654B1A" w:rsidRDefault="004E3C0D" w:rsidP="00BE6DBC">
            <w:pPr>
              <w:pStyle w:val="TableText0"/>
              <w:keepLines/>
              <w:jc w:val="center"/>
            </w:pPr>
            <w:r w:rsidRPr="005E3251">
              <w:t>FFA 0.4 mg/kg/day</w:t>
            </w:r>
          </w:p>
          <w:p w14:paraId="229BC0C9" w14:textId="1543DFE7" w:rsidR="004E3C0D" w:rsidRPr="005E3251" w:rsidRDefault="004E3C0D" w:rsidP="00BE6DBC">
            <w:pPr>
              <w:pStyle w:val="TableText0"/>
              <w:keepLines/>
              <w:jc w:val="center"/>
            </w:pPr>
            <w:r w:rsidRPr="005E3251">
              <w:t xml:space="preserve"> (+ STP)</w:t>
            </w:r>
          </w:p>
        </w:tc>
        <w:tc>
          <w:tcPr>
            <w:tcW w:w="583" w:type="pct"/>
            <w:shd w:val="clear" w:color="auto" w:fill="auto"/>
            <w:noWrap/>
            <w:tcMar>
              <w:left w:w="28" w:type="dxa"/>
              <w:right w:w="28" w:type="dxa"/>
            </w:tcMar>
            <w:vAlign w:val="center"/>
            <w:hideMark/>
          </w:tcPr>
          <w:p w14:paraId="4C3FB6FC" w14:textId="77777777" w:rsidR="004E3C0D" w:rsidRPr="005E3251" w:rsidRDefault="004E3C0D" w:rsidP="00BE6DBC">
            <w:pPr>
              <w:pStyle w:val="TableText0"/>
              <w:keepLines/>
              <w:jc w:val="center"/>
            </w:pPr>
            <w:r w:rsidRPr="005E3251">
              <w:t>23/43 (53.5)</w:t>
            </w:r>
          </w:p>
        </w:tc>
        <w:tc>
          <w:tcPr>
            <w:tcW w:w="480" w:type="pct"/>
            <w:shd w:val="clear" w:color="auto" w:fill="auto"/>
            <w:noWrap/>
            <w:tcMar>
              <w:left w:w="28" w:type="dxa"/>
              <w:right w:w="28" w:type="dxa"/>
            </w:tcMar>
            <w:vAlign w:val="center"/>
            <w:hideMark/>
          </w:tcPr>
          <w:p w14:paraId="435BC4D4" w14:textId="77777777" w:rsidR="004E3C0D" w:rsidRPr="005E3251" w:rsidRDefault="004E3C0D" w:rsidP="00BE6DBC">
            <w:pPr>
              <w:pStyle w:val="TableText0"/>
              <w:keepLines/>
              <w:jc w:val="center"/>
            </w:pPr>
            <w:r w:rsidRPr="005E3251">
              <w:t>2/44 (4.5)</w:t>
            </w:r>
          </w:p>
        </w:tc>
        <w:tc>
          <w:tcPr>
            <w:tcW w:w="758" w:type="pct"/>
            <w:shd w:val="clear" w:color="auto" w:fill="auto"/>
            <w:noWrap/>
            <w:tcMar>
              <w:left w:w="28" w:type="dxa"/>
              <w:right w:w="28" w:type="dxa"/>
            </w:tcMar>
            <w:vAlign w:val="center"/>
            <w:hideMark/>
          </w:tcPr>
          <w:p w14:paraId="17049F94" w14:textId="77777777" w:rsidR="00682CD7" w:rsidRPr="005E3251" w:rsidRDefault="004E3C0D" w:rsidP="00BE6DBC">
            <w:pPr>
              <w:pStyle w:val="TableText0"/>
              <w:keepLines/>
              <w:jc w:val="center"/>
              <w:rPr>
                <w:b/>
                <w:bCs w:val="0"/>
              </w:rPr>
            </w:pPr>
            <w:r w:rsidRPr="005E3251">
              <w:rPr>
                <w:b/>
                <w:bCs w:val="0"/>
              </w:rPr>
              <w:t xml:space="preserve">24.15 </w:t>
            </w:r>
          </w:p>
          <w:p w14:paraId="329AC658" w14:textId="1656B258" w:rsidR="004E3C0D" w:rsidRPr="005E3251" w:rsidRDefault="004E3C0D" w:rsidP="00BE6DBC">
            <w:pPr>
              <w:pStyle w:val="TableText0"/>
              <w:keepLines/>
              <w:jc w:val="center"/>
              <w:rPr>
                <w:b/>
                <w:bCs w:val="0"/>
              </w:rPr>
            </w:pPr>
            <w:r w:rsidRPr="005E3251">
              <w:rPr>
                <w:b/>
                <w:bCs w:val="0"/>
              </w:rPr>
              <w:t>(5.18, 112.64)</w:t>
            </w:r>
          </w:p>
        </w:tc>
        <w:tc>
          <w:tcPr>
            <w:tcW w:w="716" w:type="pct"/>
            <w:shd w:val="clear" w:color="auto" w:fill="auto"/>
            <w:noWrap/>
            <w:tcMar>
              <w:left w:w="28" w:type="dxa"/>
              <w:right w:w="28" w:type="dxa"/>
            </w:tcMar>
            <w:vAlign w:val="center"/>
            <w:hideMark/>
          </w:tcPr>
          <w:p w14:paraId="30FF3544" w14:textId="77777777" w:rsidR="00682CD7" w:rsidRPr="005E3251" w:rsidRDefault="004E3C0D" w:rsidP="00BE6DBC">
            <w:pPr>
              <w:pStyle w:val="TableText0"/>
              <w:keepLines/>
              <w:jc w:val="center"/>
              <w:rPr>
                <w:b/>
                <w:bCs w:val="0"/>
              </w:rPr>
            </w:pPr>
            <w:r w:rsidRPr="005E3251">
              <w:rPr>
                <w:b/>
                <w:bCs w:val="0"/>
              </w:rPr>
              <w:t xml:space="preserve">11.77 </w:t>
            </w:r>
          </w:p>
          <w:p w14:paraId="76B7E2D3" w14:textId="5F1B2FA2" w:rsidR="004E3C0D" w:rsidRPr="005E3251" w:rsidRDefault="004E3C0D" w:rsidP="00BE6DBC">
            <w:pPr>
              <w:pStyle w:val="TableText0"/>
              <w:keepLines/>
              <w:jc w:val="center"/>
              <w:rPr>
                <w:b/>
                <w:bCs w:val="0"/>
              </w:rPr>
            </w:pPr>
            <w:r w:rsidRPr="005E3251">
              <w:rPr>
                <w:b/>
                <w:bCs w:val="0"/>
              </w:rPr>
              <w:t>(2.95, 46.89)</w:t>
            </w:r>
          </w:p>
        </w:tc>
        <w:tc>
          <w:tcPr>
            <w:tcW w:w="679" w:type="pct"/>
            <w:shd w:val="clear" w:color="auto" w:fill="auto"/>
            <w:noWrap/>
            <w:tcMar>
              <w:left w:w="28" w:type="dxa"/>
              <w:right w:w="28" w:type="dxa"/>
            </w:tcMar>
            <w:vAlign w:val="center"/>
            <w:hideMark/>
          </w:tcPr>
          <w:p w14:paraId="6EC32296" w14:textId="77777777" w:rsidR="00682CD7" w:rsidRPr="005E3251" w:rsidRDefault="004E3C0D" w:rsidP="00BE6DBC">
            <w:pPr>
              <w:pStyle w:val="TableText0"/>
              <w:keepLines/>
              <w:jc w:val="center"/>
              <w:rPr>
                <w:b/>
                <w:bCs w:val="0"/>
              </w:rPr>
            </w:pPr>
            <w:r w:rsidRPr="005E3251">
              <w:rPr>
                <w:b/>
                <w:bCs w:val="0"/>
              </w:rPr>
              <w:t xml:space="preserve">0.49 </w:t>
            </w:r>
          </w:p>
          <w:p w14:paraId="0785B616" w14:textId="4154D6D9" w:rsidR="004E3C0D" w:rsidRPr="005E3251" w:rsidRDefault="004E3C0D" w:rsidP="00BE6DBC">
            <w:pPr>
              <w:pStyle w:val="TableText0"/>
              <w:keepLines/>
              <w:jc w:val="center"/>
              <w:rPr>
                <w:b/>
                <w:bCs w:val="0"/>
              </w:rPr>
            </w:pPr>
            <w:r w:rsidRPr="005E3251">
              <w:rPr>
                <w:b/>
                <w:bCs w:val="0"/>
              </w:rPr>
              <w:t>(0.33, 0.65)</w:t>
            </w:r>
          </w:p>
        </w:tc>
      </w:tr>
      <w:tr w:rsidR="003416F9" w:rsidRPr="005E3251" w14:paraId="62A7C5BA" w14:textId="77777777" w:rsidTr="003416F9">
        <w:trPr>
          <w:trHeight w:val="297"/>
        </w:trPr>
        <w:tc>
          <w:tcPr>
            <w:tcW w:w="2847" w:type="pct"/>
            <w:gridSpan w:val="4"/>
            <w:shd w:val="clear" w:color="auto" w:fill="auto"/>
            <w:noWrap/>
            <w:tcMar>
              <w:left w:w="28" w:type="dxa"/>
              <w:right w:w="28" w:type="dxa"/>
            </w:tcMar>
            <w:vAlign w:val="center"/>
          </w:tcPr>
          <w:p w14:paraId="3989D19C" w14:textId="77777777" w:rsidR="004E3C0D" w:rsidRPr="005E3251" w:rsidRDefault="004E3C0D" w:rsidP="00BE6DBC">
            <w:pPr>
              <w:pStyle w:val="TableText0"/>
              <w:keepLines/>
            </w:pPr>
            <w:r w:rsidRPr="005E3251">
              <w:t>Pooled estimates for FFA 0.4 mg/kg/day (+STP) used in indirect comparison</w:t>
            </w:r>
          </w:p>
        </w:tc>
        <w:tc>
          <w:tcPr>
            <w:tcW w:w="758" w:type="pct"/>
            <w:shd w:val="clear" w:color="auto" w:fill="auto"/>
            <w:noWrap/>
            <w:tcMar>
              <w:left w:w="28" w:type="dxa"/>
              <w:right w:w="28" w:type="dxa"/>
            </w:tcMar>
            <w:vAlign w:val="center"/>
          </w:tcPr>
          <w:p w14:paraId="0AE7BC66" w14:textId="77777777" w:rsidR="00682CD7" w:rsidRPr="005E3251" w:rsidRDefault="004E3C0D" w:rsidP="00BE6DBC">
            <w:pPr>
              <w:pStyle w:val="TableText0"/>
              <w:keepLines/>
              <w:jc w:val="center"/>
              <w:rPr>
                <w:b/>
                <w:bCs w:val="0"/>
              </w:rPr>
            </w:pPr>
            <w:r w:rsidRPr="005E3251">
              <w:rPr>
                <w:b/>
                <w:bCs w:val="0"/>
              </w:rPr>
              <w:t xml:space="preserve">24.15 </w:t>
            </w:r>
          </w:p>
          <w:p w14:paraId="773B2C27" w14:textId="7DC1B272" w:rsidR="004E3C0D" w:rsidRPr="005E3251" w:rsidRDefault="004E3C0D" w:rsidP="00BE6DBC">
            <w:pPr>
              <w:pStyle w:val="TableText0"/>
              <w:keepLines/>
              <w:jc w:val="center"/>
              <w:rPr>
                <w:b/>
                <w:bCs w:val="0"/>
              </w:rPr>
            </w:pPr>
            <w:r w:rsidRPr="005E3251">
              <w:rPr>
                <w:b/>
                <w:bCs w:val="0"/>
              </w:rPr>
              <w:t>(5.18, 112.64)</w:t>
            </w:r>
          </w:p>
        </w:tc>
        <w:tc>
          <w:tcPr>
            <w:tcW w:w="716" w:type="pct"/>
            <w:shd w:val="clear" w:color="auto" w:fill="auto"/>
            <w:noWrap/>
            <w:tcMar>
              <w:left w:w="28" w:type="dxa"/>
              <w:right w:w="28" w:type="dxa"/>
            </w:tcMar>
            <w:vAlign w:val="center"/>
          </w:tcPr>
          <w:p w14:paraId="35626B53" w14:textId="77777777" w:rsidR="00682CD7" w:rsidRPr="005E3251" w:rsidRDefault="004E3C0D" w:rsidP="00BE6DBC">
            <w:pPr>
              <w:pStyle w:val="TableText0"/>
              <w:keepLines/>
              <w:jc w:val="center"/>
              <w:rPr>
                <w:b/>
                <w:bCs w:val="0"/>
              </w:rPr>
            </w:pPr>
            <w:r w:rsidRPr="005E3251">
              <w:rPr>
                <w:b/>
                <w:bCs w:val="0"/>
              </w:rPr>
              <w:t xml:space="preserve">11.77 </w:t>
            </w:r>
          </w:p>
          <w:p w14:paraId="3419D63F" w14:textId="082CAFD6" w:rsidR="004E3C0D" w:rsidRPr="005E3251" w:rsidRDefault="004E3C0D" w:rsidP="00BE6DBC">
            <w:pPr>
              <w:pStyle w:val="TableText0"/>
              <w:keepLines/>
              <w:jc w:val="center"/>
              <w:rPr>
                <w:b/>
                <w:bCs w:val="0"/>
              </w:rPr>
            </w:pPr>
            <w:r w:rsidRPr="005E3251">
              <w:rPr>
                <w:b/>
                <w:bCs w:val="0"/>
              </w:rPr>
              <w:t>(2.95, 46.89)</w:t>
            </w:r>
          </w:p>
        </w:tc>
        <w:tc>
          <w:tcPr>
            <w:tcW w:w="679" w:type="pct"/>
            <w:shd w:val="clear" w:color="auto" w:fill="auto"/>
            <w:noWrap/>
            <w:tcMar>
              <w:left w:w="28" w:type="dxa"/>
              <w:right w:w="28" w:type="dxa"/>
            </w:tcMar>
            <w:vAlign w:val="center"/>
          </w:tcPr>
          <w:p w14:paraId="098224E2" w14:textId="77777777" w:rsidR="00682CD7" w:rsidRPr="005E3251" w:rsidRDefault="004E3C0D" w:rsidP="00BE6DBC">
            <w:pPr>
              <w:pStyle w:val="TableText0"/>
              <w:keepLines/>
              <w:jc w:val="center"/>
              <w:rPr>
                <w:b/>
                <w:bCs w:val="0"/>
              </w:rPr>
            </w:pPr>
            <w:r w:rsidRPr="005E3251">
              <w:rPr>
                <w:b/>
                <w:bCs w:val="0"/>
              </w:rPr>
              <w:t xml:space="preserve">0.49 </w:t>
            </w:r>
          </w:p>
          <w:p w14:paraId="5E3CEEF3" w14:textId="6D12E904" w:rsidR="004E3C0D" w:rsidRPr="005E3251" w:rsidRDefault="004E3C0D" w:rsidP="00BE6DBC">
            <w:pPr>
              <w:pStyle w:val="TableText0"/>
              <w:keepLines/>
              <w:jc w:val="center"/>
              <w:rPr>
                <w:b/>
                <w:bCs w:val="0"/>
              </w:rPr>
            </w:pPr>
            <w:r w:rsidRPr="005E3251">
              <w:rPr>
                <w:b/>
                <w:bCs w:val="0"/>
              </w:rPr>
              <w:t>(0.33, 0.65)</w:t>
            </w:r>
          </w:p>
        </w:tc>
      </w:tr>
      <w:tr w:rsidR="00682CD7" w:rsidRPr="005E3251" w14:paraId="153D43F5" w14:textId="77777777" w:rsidTr="003416F9">
        <w:trPr>
          <w:trHeight w:val="297"/>
        </w:trPr>
        <w:tc>
          <w:tcPr>
            <w:tcW w:w="813" w:type="pct"/>
            <w:shd w:val="clear" w:color="auto" w:fill="auto"/>
            <w:noWrap/>
            <w:tcMar>
              <w:left w:w="28" w:type="dxa"/>
              <w:right w:w="28" w:type="dxa"/>
            </w:tcMar>
            <w:vAlign w:val="center"/>
            <w:hideMark/>
          </w:tcPr>
          <w:p w14:paraId="59596E86" w14:textId="77777777" w:rsidR="004E3C0D" w:rsidRPr="005E3251" w:rsidRDefault="004E3C0D" w:rsidP="00253F67">
            <w:pPr>
              <w:pStyle w:val="TableText0"/>
              <w:keepNext w:val="0"/>
              <w:widowControl w:val="0"/>
            </w:pPr>
            <w:r w:rsidRPr="005E3251">
              <w:t>GWPCARE1</w:t>
            </w:r>
          </w:p>
        </w:tc>
        <w:tc>
          <w:tcPr>
            <w:tcW w:w="970" w:type="pct"/>
            <w:shd w:val="clear" w:color="auto" w:fill="auto"/>
            <w:noWrap/>
            <w:tcMar>
              <w:left w:w="28" w:type="dxa"/>
              <w:right w:w="28" w:type="dxa"/>
            </w:tcMar>
            <w:vAlign w:val="center"/>
            <w:hideMark/>
          </w:tcPr>
          <w:p w14:paraId="1C69BBFD" w14:textId="77777777" w:rsidR="00654B1A" w:rsidRDefault="004E3C0D" w:rsidP="00253F67">
            <w:pPr>
              <w:pStyle w:val="TableText0"/>
              <w:keepNext w:val="0"/>
              <w:widowControl w:val="0"/>
              <w:jc w:val="center"/>
            </w:pPr>
            <w:r w:rsidRPr="005E3251">
              <w:t>CBD 20 mg/kg/day</w:t>
            </w:r>
          </w:p>
          <w:p w14:paraId="56F1F17B" w14:textId="19EFB7C5" w:rsidR="004E3C0D" w:rsidRPr="005E3251" w:rsidRDefault="004E3C0D" w:rsidP="00253F67">
            <w:pPr>
              <w:pStyle w:val="TableText0"/>
              <w:keepNext w:val="0"/>
              <w:widowControl w:val="0"/>
              <w:jc w:val="center"/>
            </w:pPr>
            <w:r w:rsidRPr="005E3251">
              <w:t xml:space="preserve"> (+/- STP)</w:t>
            </w:r>
          </w:p>
        </w:tc>
        <w:tc>
          <w:tcPr>
            <w:tcW w:w="583" w:type="pct"/>
            <w:shd w:val="clear" w:color="auto" w:fill="auto"/>
            <w:noWrap/>
            <w:tcMar>
              <w:left w:w="28" w:type="dxa"/>
              <w:right w:w="28" w:type="dxa"/>
            </w:tcMar>
            <w:vAlign w:val="center"/>
            <w:hideMark/>
          </w:tcPr>
          <w:p w14:paraId="1AC9DD9E" w14:textId="77777777" w:rsidR="004E3C0D" w:rsidRPr="005E3251" w:rsidRDefault="004E3C0D" w:rsidP="00253F67">
            <w:pPr>
              <w:pStyle w:val="TableText0"/>
              <w:keepNext w:val="0"/>
              <w:widowControl w:val="0"/>
              <w:jc w:val="center"/>
            </w:pPr>
            <w:r w:rsidRPr="005E3251">
              <w:t>26/61 (42.6)</w:t>
            </w:r>
          </w:p>
        </w:tc>
        <w:tc>
          <w:tcPr>
            <w:tcW w:w="480" w:type="pct"/>
            <w:shd w:val="clear" w:color="auto" w:fill="auto"/>
            <w:noWrap/>
            <w:tcMar>
              <w:left w:w="28" w:type="dxa"/>
              <w:right w:w="28" w:type="dxa"/>
            </w:tcMar>
            <w:vAlign w:val="center"/>
            <w:hideMark/>
          </w:tcPr>
          <w:p w14:paraId="4D47B962" w14:textId="77777777" w:rsidR="004E3C0D" w:rsidRPr="005E3251" w:rsidRDefault="004E3C0D" w:rsidP="00253F67">
            <w:pPr>
              <w:pStyle w:val="TableText0"/>
              <w:keepNext w:val="0"/>
              <w:widowControl w:val="0"/>
              <w:jc w:val="center"/>
            </w:pPr>
            <w:r w:rsidRPr="005E3251">
              <w:t>16/59 (27.1)</w:t>
            </w:r>
          </w:p>
        </w:tc>
        <w:tc>
          <w:tcPr>
            <w:tcW w:w="758" w:type="pct"/>
            <w:shd w:val="clear" w:color="auto" w:fill="auto"/>
            <w:noWrap/>
            <w:tcMar>
              <w:left w:w="28" w:type="dxa"/>
              <w:right w:w="28" w:type="dxa"/>
            </w:tcMar>
            <w:vAlign w:val="center"/>
            <w:hideMark/>
          </w:tcPr>
          <w:p w14:paraId="3F1BA38E" w14:textId="77777777" w:rsidR="00682CD7" w:rsidRPr="005E3251" w:rsidRDefault="004E3C0D" w:rsidP="00253F67">
            <w:pPr>
              <w:pStyle w:val="TableText0"/>
              <w:keepNext w:val="0"/>
              <w:widowControl w:val="0"/>
              <w:jc w:val="center"/>
            </w:pPr>
            <w:r w:rsidRPr="005E3251">
              <w:t>2.00</w:t>
            </w:r>
          </w:p>
          <w:p w14:paraId="539FCD47" w14:textId="202824E2" w:rsidR="004E3C0D" w:rsidRPr="005E3251" w:rsidRDefault="004E3C0D" w:rsidP="00253F67">
            <w:pPr>
              <w:pStyle w:val="TableText0"/>
              <w:keepNext w:val="0"/>
              <w:widowControl w:val="0"/>
              <w:jc w:val="center"/>
            </w:pPr>
            <w:r w:rsidRPr="005E3251">
              <w:t xml:space="preserve"> (0.93, 4.30)</w:t>
            </w:r>
          </w:p>
        </w:tc>
        <w:tc>
          <w:tcPr>
            <w:tcW w:w="716" w:type="pct"/>
            <w:shd w:val="clear" w:color="auto" w:fill="auto"/>
            <w:noWrap/>
            <w:tcMar>
              <w:left w:w="28" w:type="dxa"/>
              <w:right w:w="28" w:type="dxa"/>
            </w:tcMar>
            <w:vAlign w:val="center"/>
            <w:hideMark/>
          </w:tcPr>
          <w:p w14:paraId="13701324" w14:textId="77777777" w:rsidR="00682CD7" w:rsidRPr="005E3251" w:rsidRDefault="004E3C0D" w:rsidP="00253F67">
            <w:pPr>
              <w:pStyle w:val="TableText0"/>
              <w:keepNext w:val="0"/>
              <w:widowControl w:val="0"/>
              <w:jc w:val="center"/>
            </w:pPr>
            <w:r w:rsidRPr="005E3251">
              <w:t xml:space="preserve">1.57 </w:t>
            </w:r>
          </w:p>
          <w:p w14:paraId="3492ED1E" w14:textId="67A0808A" w:rsidR="004E3C0D" w:rsidRPr="005E3251" w:rsidRDefault="004E3C0D" w:rsidP="00253F67">
            <w:pPr>
              <w:pStyle w:val="TableText0"/>
              <w:keepNext w:val="0"/>
              <w:widowControl w:val="0"/>
              <w:jc w:val="center"/>
            </w:pPr>
            <w:r w:rsidRPr="005E3251">
              <w:t>(0.94, 2.62)</w:t>
            </w:r>
          </w:p>
        </w:tc>
        <w:tc>
          <w:tcPr>
            <w:tcW w:w="679" w:type="pct"/>
            <w:shd w:val="clear" w:color="auto" w:fill="auto"/>
            <w:noWrap/>
            <w:tcMar>
              <w:left w:w="28" w:type="dxa"/>
              <w:right w:w="28" w:type="dxa"/>
            </w:tcMar>
            <w:vAlign w:val="center"/>
            <w:hideMark/>
          </w:tcPr>
          <w:p w14:paraId="23553AAE" w14:textId="77777777" w:rsidR="00682CD7" w:rsidRPr="005E3251" w:rsidRDefault="004E3C0D" w:rsidP="00253F67">
            <w:pPr>
              <w:pStyle w:val="TableText0"/>
              <w:keepNext w:val="0"/>
              <w:widowControl w:val="0"/>
              <w:jc w:val="center"/>
            </w:pPr>
            <w:r w:rsidRPr="005E3251">
              <w:t xml:space="preserve">0.16 </w:t>
            </w:r>
          </w:p>
          <w:p w14:paraId="039F66F4" w14:textId="3AD548C3" w:rsidR="004E3C0D" w:rsidRPr="005E3251" w:rsidRDefault="004E3C0D" w:rsidP="00253F67">
            <w:pPr>
              <w:pStyle w:val="TableText0"/>
              <w:keepNext w:val="0"/>
              <w:widowControl w:val="0"/>
              <w:jc w:val="center"/>
            </w:pPr>
            <w:r w:rsidRPr="005E3251">
              <w:t>(-0.01, 0.32)</w:t>
            </w:r>
          </w:p>
        </w:tc>
      </w:tr>
      <w:tr w:rsidR="00682CD7" w:rsidRPr="005E3251" w14:paraId="38BD1181" w14:textId="77777777" w:rsidTr="003416F9">
        <w:trPr>
          <w:trHeight w:val="297"/>
        </w:trPr>
        <w:tc>
          <w:tcPr>
            <w:tcW w:w="813" w:type="pct"/>
            <w:shd w:val="clear" w:color="auto" w:fill="auto"/>
            <w:noWrap/>
            <w:tcMar>
              <w:left w:w="28" w:type="dxa"/>
              <w:right w:w="28" w:type="dxa"/>
            </w:tcMar>
            <w:vAlign w:val="center"/>
            <w:hideMark/>
          </w:tcPr>
          <w:p w14:paraId="6A64D303" w14:textId="77777777" w:rsidR="004E3C0D" w:rsidRPr="005E3251" w:rsidRDefault="004E3C0D" w:rsidP="00253F67">
            <w:pPr>
              <w:pStyle w:val="TableText0"/>
              <w:keepNext w:val="0"/>
              <w:widowControl w:val="0"/>
            </w:pPr>
            <w:r w:rsidRPr="005E3251">
              <w:t>GWPCARE2</w:t>
            </w:r>
          </w:p>
        </w:tc>
        <w:tc>
          <w:tcPr>
            <w:tcW w:w="970" w:type="pct"/>
            <w:shd w:val="clear" w:color="auto" w:fill="auto"/>
            <w:noWrap/>
            <w:tcMar>
              <w:left w:w="28" w:type="dxa"/>
              <w:right w:w="28" w:type="dxa"/>
            </w:tcMar>
            <w:vAlign w:val="center"/>
            <w:hideMark/>
          </w:tcPr>
          <w:p w14:paraId="2789E5CB" w14:textId="77777777" w:rsidR="00654B1A" w:rsidRDefault="004E3C0D" w:rsidP="00253F67">
            <w:pPr>
              <w:pStyle w:val="TableText0"/>
              <w:keepNext w:val="0"/>
              <w:widowControl w:val="0"/>
              <w:jc w:val="center"/>
            </w:pPr>
            <w:r w:rsidRPr="005E3251">
              <w:t>CBD 20 mg/kg/day</w:t>
            </w:r>
          </w:p>
          <w:p w14:paraId="38FFFF18" w14:textId="3F908D4F" w:rsidR="004E3C0D" w:rsidRPr="005E3251" w:rsidRDefault="004E3C0D" w:rsidP="00253F67">
            <w:pPr>
              <w:pStyle w:val="TableText0"/>
              <w:keepNext w:val="0"/>
              <w:widowControl w:val="0"/>
              <w:jc w:val="center"/>
            </w:pPr>
            <w:r w:rsidRPr="005E3251">
              <w:t xml:space="preserve"> (+/- STP)</w:t>
            </w:r>
          </w:p>
        </w:tc>
        <w:tc>
          <w:tcPr>
            <w:tcW w:w="583" w:type="pct"/>
            <w:shd w:val="clear" w:color="auto" w:fill="auto"/>
            <w:noWrap/>
            <w:tcMar>
              <w:left w:w="28" w:type="dxa"/>
              <w:right w:w="28" w:type="dxa"/>
            </w:tcMar>
            <w:vAlign w:val="center"/>
            <w:hideMark/>
          </w:tcPr>
          <w:p w14:paraId="4FEA0FDD" w14:textId="77777777" w:rsidR="004E3C0D" w:rsidRPr="005E3251" w:rsidRDefault="004E3C0D" w:rsidP="00253F67">
            <w:pPr>
              <w:pStyle w:val="TableText0"/>
              <w:keepNext w:val="0"/>
              <w:widowControl w:val="0"/>
              <w:jc w:val="center"/>
            </w:pPr>
            <w:r w:rsidRPr="005E3251">
              <w:t>33/67 (49.3)</w:t>
            </w:r>
          </w:p>
        </w:tc>
        <w:tc>
          <w:tcPr>
            <w:tcW w:w="480" w:type="pct"/>
            <w:shd w:val="clear" w:color="auto" w:fill="auto"/>
            <w:noWrap/>
            <w:tcMar>
              <w:left w:w="28" w:type="dxa"/>
              <w:right w:w="28" w:type="dxa"/>
            </w:tcMar>
            <w:vAlign w:val="center"/>
            <w:hideMark/>
          </w:tcPr>
          <w:p w14:paraId="616F6A73" w14:textId="77777777" w:rsidR="004E3C0D" w:rsidRPr="005E3251" w:rsidRDefault="004E3C0D" w:rsidP="00253F67">
            <w:pPr>
              <w:pStyle w:val="TableText0"/>
              <w:keepNext w:val="0"/>
              <w:widowControl w:val="0"/>
              <w:jc w:val="center"/>
            </w:pPr>
            <w:r w:rsidRPr="005E3251">
              <w:t>17/65 (26.2)</w:t>
            </w:r>
          </w:p>
        </w:tc>
        <w:tc>
          <w:tcPr>
            <w:tcW w:w="758" w:type="pct"/>
            <w:shd w:val="clear" w:color="auto" w:fill="auto"/>
            <w:noWrap/>
            <w:tcMar>
              <w:left w:w="28" w:type="dxa"/>
              <w:right w:w="28" w:type="dxa"/>
            </w:tcMar>
            <w:vAlign w:val="center"/>
            <w:hideMark/>
          </w:tcPr>
          <w:p w14:paraId="6A47D585" w14:textId="77777777" w:rsidR="00682CD7" w:rsidRPr="005E3251" w:rsidRDefault="004E3C0D" w:rsidP="00253F67">
            <w:pPr>
              <w:pStyle w:val="TableText0"/>
              <w:keepNext w:val="0"/>
              <w:widowControl w:val="0"/>
              <w:jc w:val="center"/>
              <w:rPr>
                <w:b/>
                <w:bCs w:val="0"/>
              </w:rPr>
            </w:pPr>
            <w:r w:rsidRPr="005E3251">
              <w:rPr>
                <w:b/>
                <w:bCs w:val="0"/>
              </w:rPr>
              <w:t xml:space="preserve">2.74 </w:t>
            </w:r>
          </w:p>
          <w:p w14:paraId="0A539D77" w14:textId="6327006A" w:rsidR="004E3C0D" w:rsidRPr="005E3251" w:rsidRDefault="004E3C0D" w:rsidP="00253F67">
            <w:pPr>
              <w:pStyle w:val="TableText0"/>
              <w:keepNext w:val="0"/>
              <w:widowControl w:val="0"/>
              <w:jc w:val="center"/>
              <w:rPr>
                <w:b/>
                <w:bCs w:val="0"/>
              </w:rPr>
            </w:pPr>
            <w:r w:rsidRPr="005E3251">
              <w:rPr>
                <w:b/>
                <w:bCs w:val="0"/>
              </w:rPr>
              <w:t>(1.32, 5.70)</w:t>
            </w:r>
          </w:p>
        </w:tc>
        <w:tc>
          <w:tcPr>
            <w:tcW w:w="716" w:type="pct"/>
            <w:shd w:val="clear" w:color="auto" w:fill="auto"/>
            <w:noWrap/>
            <w:tcMar>
              <w:left w:w="28" w:type="dxa"/>
              <w:right w:w="28" w:type="dxa"/>
            </w:tcMar>
            <w:vAlign w:val="center"/>
            <w:hideMark/>
          </w:tcPr>
          <w:p w14:paraId="18743D2F" w14:textId="77777777" w:rsidR="00682CD7" w:rsidRPr="005E3251" w:rsidRDefault="004E3C0D" w:rsidP="00253F67">
            <w:pPr>
              <w:pStyle w:val="TableText0"/>
              <w:keepNext w:val="0"/>
              <w:widowControl w:val="0"/>
              <w:jc w:val="center"/>
              <w:rPr>
                <w:b/>
                <w:bCs w:val="0"/>
              </w:rPr>
            </w:pPr>
            <w:r w:rsidRPr="005E3251">
              <w:rPr>
                <w:b/>
                <w:bCs w:val="0"/>
              </w:rPr>
              <w:t xml:space="preserve">1.88 </w:t>
            </w:r>
          </w:p>
          <w:p w14:paraId="44CC8FFC" w14:textId="13A76902" w:rsidR="004E3C0D" w:rsidRPr="005E3251" w:rsidRDefault="004E3C0D" w:rsidP="00253F67">
            <w:pPr>
              <w:pStyle w:val="TableText0"/>
              <w:keepNext w:val="0"/>
              <w:widowControl w:val="0"/>
              <w:jc w:val="center"/>
              <w:rPr>
                <w:b/>
                <w:bCs w:val="0"/>
              </w:rPr>
            </w:pPr>
            <w:r w:rsidRPr="005E3251">
              <w:rPr>
                <w:b/>
                <w:bCs w:val="0"/>
              </w:rPr>
              <w:t>(1.17, 3.03)</w:t>
            </w:r>
          </w:p>
        </w:tc>
        <w:tc>
          <w:tcPr>
            <w:tcW w:w="679" w:type="pct"/>
            <w:shd w:val="clear" w:color="auto" w:fill="auto"/>
            <w:noWrap/>
            <w:tcMar>
              <w:left w:w="28" w:type="dxa"/>
              <w:right w:w="28" w:type="dxa"/>
            </w:tcMar>
            <w:vAlign w:val="center"/>
            <w:hideMark/>
          </w:tcPr>
          <w:p w14:paraId="25DEB91F" w14:textId="77777777" w:rsidR="00682CD7" w:rsidRPr="005E3251" w:rsidRDefault="004E3C0D" w:rsidP="00253F67">
            <w:pPr>
              <w:pStyle w:val="TableText0"/>
              <w:keepNext w:val="0"/>
              <w:widowControl w:val="0"/>
              <w:jc w:val="center"/>
              <w:rPr>
                <w:b/>
                <w:bCs w:val="0"/>
              </w:rPr>
            </w:pPr>
            <w:r w:rsidRPr="005E3251">
              <w:rPr>
                <w:b/>
                <w:bCs w:val="0"/>
              </w:rPr>
              <w:t xml:space="preserve">0.23 </w:t>
            </w:r>
          </w:p>
          <w:p w14:paraId="76BC8166" w14:textId="7BA28BEB" w:rsidR="004E3C0D" w:rsidRPr="005E3251" w:rsidRDefault="004E3C0D" w:rsidP="00253F67">
            <w:pPr>
              <w:pStyle w:val="TableText0"/>
              <w:keepNext w:val="0"/>
              <w:widowControl w:val="0"/>
              <w:jc w:val="center"/>
              <w:rPr>
                <w:b/>
                <w:bCs w:val="0"/>
              </w:rPr>
            </w:pPr>
            <w:r w:rsidRPr="005E3251">
              <w:rPr>
                <w:b/>
                <w:bCs w:val="0"/>
              </w:rPr>
              <w:t>(0.07, 0.39)</w:t>
            </w:r>
          </w:p>
        </w:tc>
      </w:tr>
      <w:tr w:rsidR="003416F9" w:rsidRPr="005E3251" w14:paraId="460821C3" w14:textId="77777777" w:rsidTr="003416F9">
        <w:trPr>
          <w:trHeight w:val="297"/>
        </w:trPr>
        <w:tc>
          <w:tcPr>
            <w:tcW w:w="2847" w:type="pct"/>
            <w:gridSpan w:val="4"/>
            <w:shd w:val="clear" w:color="auto" w:fill="auto"/>
            <w:noWrap/>
            <w:tcMar>
              <w:left w:w="28" w:type="dxa"/>
              <w:right w:w="28" w:type="dxa"/>
            </w:tcMar>
            <w:vAlign w:val="center"/>
          </w:tcPr>
          <w:p w14:paraId="4855479F" w14:textId="77777777" w:rsidR="004E3C0D" w:rsidRPr="005E3251" w:rsidRDefault="004E3C0D" w:rsidP="00253F67">
            <w:pPr>
              <w:pStyle w:val="TableText0"/>
              <w:keepNext w:val="0"/>
              <w:widowControl w:val="0"/>
            </w:pPr>
            <w:r w:rsidRPr="005E3251">
              <w:t>Pooled estimates for CBD 20 mg/kg/day (+/-STP) used in indirect comparison</w:t>
            </w:r>
          </w:p>
        </w:tc>
        <w:tc>
          <w:tcPr>
            <w:tcW w:w="758" w:type="pct"/>
            <w:shd w:val="clear" w:color="auto" w:fill="auto"/>
            <w:noWrap/>
            <w:tcMar>
              <w:left w:w="28" w:type="dxa"/>
              <w:right w:w="28" w:type="dxa"/>
            </w:tcMar>
            <w:vAlign w:val="center"/>
          </w:tcPr>
          <w:p w14:paraId="69F80E5A" w14:textId="77777777" w:rsidR="00682CD7" w:rsidRPr="005E3251" w:rsidRDefault="004E3C0D" w:rsidP="00253F67">
            <w:pPr>
              <w:pStyle w:val="TableText0"/>
              <w:keepNext w:val="0"/>
              <w:widowControl w:val="0"/>
              <w:jc w:val="center"/>
              <w:rPr>
                <w:b/>
                <w:bCs w:val="0"/>
              </w:rPr>
            </w:pPr>
            <w:r w:rsidRPr="005E3251">
              <w:rPr>
                <w:b/>
                <w:bCs w:val="0"/>
              </w:rPr>
              <w:t xml:space="preserve">2.36 </w:t>
            </w:r>
          </w:p>
          <w:p w14:paraId="0AA97CBA" w14:textId="7D8171CF" w:rsidR="004E3C0D" w:rsidRPr="005E3251" w:rsidRDefault="004E3C0D" w:rsidP="00253F67">
            <w:pPr>
              <w:pStyle w:val="TableText0"/>
              <w:keepNext w:val="0"/>
              <w:widowControl w:val="0"/>
              <w:jc w:val="center"/>
              <w:rPr>
                <w:b/>
                <w:bCs w:val="0"/>
              </w:rPr>
            </w:pPr>
            <w:r w:rsidRPr="005E3251">
              <w:rPr>
                <w:b/>
                <w:bCs w:val="0"/>
              </w:rPr>
              <w:t>(1.39, 4.00)</w:t>
            </w:r>
          </w:p>
        </w:tc>
        <w:tc>
          <w:tcPr>
            <w:tcW w:w="716" w:type="pct"/>
            <w:shd w:val="clear" w:color="auto" w:fill="auto"/>
            <w:noWrap/>
            <w:tcMar>
              <w:left w:w="28" w:type="dxa"/>
              <w:right w:w="28" w:type="dxa"/>
            </w:tcMar>
            <w:vAlign w:val="center"/>
          </w:tcPr>
          <w:p w14:paraId="4B49DBCE" w14:textId="77777777" w:rsidR="00682CD7" w:rsidRPr="005E3251" w:rsidRDefault="004E3C0D" w:rsidP="00253F67">
            <w:pPr>
              <w:pStyle w:val="TableText0"/>
              <w:keepNext w:val="0"/>
              <w:widowControl w:val="0"/>
              <w:jc w:val="center"/>
              <w:rPr>
                <w:b/>
                <w:bCs w:val="0"/>
              </w:rPr>
            </w:pPr>
            <w:r w:rsidRPr="005E3251">
              <w:rPr>
                <w:b/>
                <w:bCs w:val="0"/>
              </w:rPr>
              <w:t xml:space="preserve">1.73 </w:t>
            </w:r>
          </w:p>
          <w:p w14:paraId="23229682" w14:textId="22D11CC8" w:rsidR="004E3C0D" w:rsidRPr="005E3251" w:rsidRDefault="004E3C0D" w:rsidP="00253F67">
            <w:pPr>
              <w:pStyle w:val="TableText0"/>
              <w:keepNext w:val="0"/>
              <w:widowControl w:val="0"/>
              <w:jc w:val="center"/>
              <w:rPr>
                <w:b/>
                <w:bCs w:val="0"/>
              </w:rPr>
            </w:pPr>
            <w:r w:rsidRPr="005E3251">
              <w:rPr>
                <w:b/>
                <w:bCs w:val="0"/>
              </w:rPr>
              <w:t>(1.22, 2.45)</w:t>
            </w:r>
          </w:p>
        </w:tc>
        <w:tc>
          <w:tcPr>
            <w:tcW w:w="679" w:type="pct"/>
            <w:shd w:val="clear" w:color="auto" w:fill="auto"/>
            <w:noWrap/>
            <w:tcMar>
              <w:left w:w="28" w:type="dxa"/>
              <w:right w:w="28" w:type="dxa"/>
            </w:tcMar>
            <w:vAlign w:val="center"/>
          </w:tcPr>
          <w:p w14:paraId="583D01DD" w14:textId="77777777" w:rsidR="00682CD7" w:rsidRPr="005E3251" w:rsidRDefault="004E3C0D" w:rsidP="00253F67">
            <w:pPr>
              <w:pStyle w:val="TableText0"/>
              <w:keepNext w:val="0"/>
              <w:widowControl w:val="0"/>
              <w:jc w:val="center"/>
              <w:rPr>
                <w:b/>
                <w:bCs w:val="0"/>
              </w:rPr>
            </w:pPr>
            <w:r w:rsidRPr="005E3251">
              <w:rPr>
                <w:b/>
                <w:bCs w:val="0"/>
              </w:rPr>
              <w:t xml:space="preserve">0.19 </w:t>
            </w:r>
          </w:p>
          <w:p w14:paraId="00F4AFC7" w14:textId="2A09E258" w:rsidR="004E3C0D" w:rsidRPr="005E3251" w:rsidRDefault="004E3C0D" w:rsidP="00253F67">
            <w:pPr>
              <w:pStyle w:val="TableText0"/>
              <w:keepNext w:val="0"/>
              <w:widowControl w:val="0"/>
              <w:jc w:val="center"/>
              <w:rPr>
                <w:b/>
                <w:bCs w:val="0"/>
              </w:rPr>
            </w:pPr>
            <w:r w:rsidRPr="005E3251">
              <w:rPr>
                <w:b/>
                <w:bCs w:val="0"/>
              </w:rPr>
              <w:t>(0.08, 0.31)</w:t>
            </w:r>
          </w:p>
        </w:tc>
      </w:tr>
      <w:tr w:rsidR="00682CD7" w:rsidRPr="005E3251" w14:paraId="40781FB1" w14:textId="77777777" w:rsidTr="003416F9">
        <w:trPr>
          <w:trHeight w:val="297"/>
        </w:trPr>
        <w:tc>
          <w:tcPr>
            <w:tcW w:w="813" w:type="pct"/>
            <w:shd w:val="clear" w:color="auto" w:fill="auto"/>
            <w:noWrap/>
            <w:tcMar>
              <w:left w:w="28" w:type="dxa"/>
              <w:right w:w="28" w:type="dxa"/>
            </w:tcMar>
            <w:vAlign w:val="center"/>
            <w:hideMark/>
          </w:tcPr>
          <w:p w14:paraId="4103FFB8" w14:textId="77777777" w:rsidR="004E3C0D" w:rsidRPr="005E3251" w:rsidRDefault="004E3C0D" w:rsidP="00253F67">
            <w:pPr>
              <w:pStyle w:val="TableText0"/>
              <w:keepNext w:val="0"/>
              <w:widowControl w:val="0"/>
            </w:pPr>
            <w:r w:rsidRPr="005E3251">
              <w:t>GWPCARE2</w:t>
            </w:r>
          </w:p>
        </w:tc>
        <w:tc>
          <w:tcPr>
            <w:tcW w:w="970" w:type="pct"/>
            <w:shd w:val="clear" w:color="auto" w:fill="auto"/>
            <w:noWrap/>
            <w:tcMar>
              <w:left w:w="28" w:type="dxa"/>
              <w:right w:w="28" w:type="dxa"/>
            </w:tcMar>
            <w:vAlign w:val="center"/>
            <w:hideMark/>
          </w:tcPr>
          <w:p w14:paraId="7FBB4DC7" w14:textId="77777777" w:rsidR="00654B1A" w:rsidRDefault="004E3C0D" w:rsidP="00253F67">
            <w:pPr>
              <w:pStyle w:val="TableText0"/>
              <w:keepNext w:val="0"/>
              <w:widowControl w:val="0"/>
              <w:jc w:val="center"/>
            </w:pPr>
            <w:r w:rsidRPr="005E3251">
              <w:t xml:space="preserve">CBD 10 mg/kg/day </w:t>
            </w:r>
          </w:p>
          <w:p w14:paraId="51761EE4" w14:textId="2A28F13C" w:rsidR="004E3C0D" w:rsidRPr="005E3251" w:rsidRDefault="004E3C0D" w:rsidP="00253F67">
            <w:pPr>
              <w:pStyle w:val="TableText0"/>
              <w:keepNext w:val="0"/>
              <w:widowControl w:val="0"/>
              <w:jc w:val="center"/>
            </w:pPr>
            <w:r w:rsidRPr="005E3251">
              <w:t>(+/- STP)</w:t>
            </w:r>
          </w:p>
        </w:tc>
        <w:tc>
          <w:tcPr>
            <w:tcW w:w="583" w:type="pct"/>
            <w:shd w:val="clear" w:color="auto" w:fill="auto"/>
            <w:noWrap/>
            <w:tcMar>
              <w:left w:w="28" w:type="dxa"/>
              <w:right w:w="28" w:type="dxa"/>
            </w:tcMar>
            <w:vAlign w:val="center"/>
            <w:hideMark/>
          </w:tcPr>
          <w:p w14:paraId="3B8C03FE" w14:textId="77777777" w:rsidR="004E3C0D" w:rsidRPr="005E3251" w:rsidRDefault="004E3C0D" w:rsidP="00253F67">
            <w:pPr>
              <w:pStyle w:val="TableText0"/>
              <w:keepNext w:val="0"/>
              <w:widowControl w:val="0"/>
              <w:jc w:val="center"/>
            </w:pPr>
            <w:r w:rsidRPr="005E3251">
              <w:t>29/66 (43.9)</w:t>
            </w:r>
          </w:p>
        </w:tc>
        <w:tc>
          <w:tcPr>
            <w:tcW w:w="480" w:type="pct"/>
            <w:shd w:val="clear" w:color="auto" w:fill="auto"/>
            <w:noWrap/>
            <w:tcMar>
              <w:left w:w="28" w:type="dxa"/>
              <w:right w:w="28" w:type="dxa"/>
            </w:tcMar>
            <w:vAlign w:val="center"/>
            <w:hideMark/>
          </w:tcPr>
          <w:p w14:paraId="05820816" w14:textId="77777777" w:rsidR="004E3C0D" w:rsidRPr="005E3251" w:rsidRDefault="004E3C0D" w:rsidP="00253F67">
            <w:pPr>
              <w:pStyle w:val="TableText0"/>
              <w:keepNext w:val="0"/>
              <w:widowControl w:val="0"/>
              <w:jc w:val="center"/>
            </w:pPr>
            <w:r w:rsidRPr="005E3251">
              <w:t>17/65 (26.2)</w:t>
            </w:r>
          </w:p>
        </w:tc>
        <w:tc>
          <w:tcPr>
            <w:tcW w:w="758" w:type="pct"/>
            <w:shd w:val="clear" w:color="auto" w:fill="auto"/>
            <w:noWrap/>
            <w:tcMar>
              <w:left w:w="28" w:type="dxa"/>
              <w:right w:w="28" w:type="dxa"/>
            </w:tcMar>
            <w:vAlign w:val="center"/>
            <w:hideMark/>
          </w:tcPr>
          <w:p w14:paraId="5C318B9D" w14:textId="77777777" w:rsidR="00682CD7" w:rsidRPr="005E3251" w:rsidRDefault="004E3C0D" w:rsidP="00253F67">
            <w:pPr>
              <w:pStyle w:val="TableText0"/>
              <w:keepNext w:val="0"/>
              <w:widowControl w:val="0"/>
              <w:jc w:val="center"/>
              <w:rPr>
                <w:b/>
                <w:bCs w:val="0"/>
              </w:rPr>
            </w:pPr>
            <w:r w:rsidRPr="005E3251">
              <w:rPr>
                <w:b/>
                <w:bCs w:val="0"/>
              </w:rPr>
              <w:t xml:space="preserve">2.21 </w:t>
            </w:r>
          </w:p>
          <w:p w14:paraId="687CDB2D" w14:textId="0F76D0B6" w:rsidR="004E3C0D" w:rsidRPr="005E3251" w:rsidRDefault="004E3C0D" w:rsidP="00253F67">
            <w:pPr>
              <w:pStyle w:val="TableText0"/>
              <w:keepNext w:val="0"/>
              <w:widowControl w:val="0"/>
              <w:jc w:val="center"/>
              <w:rPr>
                <w:b/>
                <w:bCs w:val="0"/>
              </w:rPr>
            </w:pPr>
            <w:r w:rsidRPr="005E3251">
              <w:rPr>
                <w:b/>
                <w:bCs w:val="0"/>
              </w:rPr>
              <w:t>(1.06, 4.62)</w:t>
            </w:r>
          </w:p>
        </w:tc>
        <w:tc>
          <w:tcPr>
            <w:tcW w:w="716" w:type="pct"/>
            <w:shd w:val="clear" w:color="auto" w:fill="auto"/>
            <w:noWrap/>
            <w:tcMar>
              <w:left w:w="28" w:type="dxa"/>
              <w:right w:w="28" w:type="dxa"/>
            </w:tcMar>
            <w:vAlign w:val="center"/>
            <w:hideMark/>
          </w:tcPr>
          <w:p w14:paraId="7D2425CD" w14:textId="77777777" w:rsidR="00682CD7" w:rsidRPr="005E3251" w:rsidRDefault="004E3C0D" w:rsidP="00253F67">
            <w:pPr>
              <w:pStyle w:val="TableText0"/>
              <w:keepNext w:val="0"/>
              <w:widowControl w:val="0"/>
              <w:jc w:val="center"/>
              <w:rPr>
                <w:b/>
                <w:bCs w:val="0"/>
              </w:rPr>
            </w:pPr>
            <w:r w:rsidRPr="005E3251">
              <w:rPr>
                <w:b/>
                <w:bCs w:val="0"/>
              </w:rPr>
              <w:t xml:space="preserve">1.68 </w:t>
            </w:r>
          </w:p>
          <w:p w14:paraId="18F14D7A" w14:textId="58F2FEC1" w:rsidR="004E3C0D" w:rsidRPr="005E3251" w:rsidRDefault="004E3C0D" w:rsidP="00253F67">
            <w:pPr>
              <w:pStyle w:val="TableText0"/>
              <w:keepNext w:val="0"/>
              <w:widowControl w:val="0"/>
              <w:jc w:val="center"/>
              <w:rPr>
                <w:b/>
                <w:bCs w:val="0"/>
              </w:rPr>
            </w:pPr>
            <w:r w:rsidRPr="005E3251">
              <w:rPr>
                <w:b/>
                <w:bCs w:val="0"/>
              </w:rPr>
              <w:t>(1.03, 2.75)</w:t>
            </w:r>
          </w:p>
        </w:tc>
        <w:tc>
          <w:tcPr>
            <w:tcW w:w="679" w:type="pct"/>
            <w:shd w:val="clear" w:color="auto" w:fill="auto"/>
            <w:noWrap/>
            <w:tcMar>
              <w:left w:w="28" w:type="dxa"/>
              <w:right w:w="28" w:type="dxa"/>
            </w:tcMar>
            <w:vAlign w:val="center"/>
            <w:hideMark/>
          </w:tcPr>
          <w:p w14:paraId="77DFAA4A" w14:textId="77777777" w:rsidR="00682CD7" w:rsidRPr="005E3251" w:rsidRDefault="004E3C0D" w:rsidP="00253F67">
            <w:pPr>
              <w:pStyle w:val="TableText0"/>
              <w:keepNext w:val="0"/>
              <w:widowControl w:val="0"/>
              <w:jc w:val="center"/>
              <w:rPr>
                <w:b/>
                <w:bCs w:val="0"/>
              </w:rPr>
            </w:pPr>
            <w:r w:rsidRPr="005E3251">
              <w:rPr>
                <w:b/>
                <w:bCs w:val="0"/>
              </w:rPr>
              <w:t xml:space="preserve">0.18 </w:t>
            </w:r>
          </w:p>
          <w:p w14:paraId="7C360C05" w14:textId="78D3FEB7" w:rsidR="004E3C0D" w:rsidRPr="005E3251" w:rsidRDefault="004E3C0D" w:rsidP="00253F67">
            <w:pPr>
              <w:pStyle w:val="TableText0"/>
              <w:keepNext w:val="0"/>
              <w:widowControl w:val="0"/>
              <w:jc w:val="center"/>
              <w:rPr>
                <w:b/>
                <w:bCs w:val="0"/>
              </w:rPr>
            </w:pPr>
            <w:r w:rsidRPr="005E3251">
              <w:rPr>
                <w:b/>
                <w:bCs w:val="0"/>
              </w:rPr>
              <w:t>(0.02, 0.34)</w:t>
            </w:r>
          </w:p>
        </w:tc>
      </w:tr>
      <w:tr w:rsidR="003416F9" w:rsidRPr="005E3251" w14:paraId="6D1A600C" w14:textId="77777777" w:rsidTr="003416F9">
        <w:trPr>
          <w:trHeight w:val="297"/>
        </w:trPr>
        <w:tc>
          <w:tcPr>
            <w:tcW w:w="2847" w:type="pct"/>
            <w:gridSpan w:val="4"/>
            <w:shd w:val="clear" w:color="auto" w:fill="auto"/>
            <w:noWrap/>
            <w:tcMar>
              <w:left w:w="28" w:type="dxa"/>
              <w:right w:w="28" w:type="dxa"/>
            </w:tcMar>
            <w:vAlign w:val="center"/>
          </w:tcPr>
          <w:p w14:paraId="5B649726" w14:textId="77777777" w:rsidR="004E3C0D" w:rsidRPr="005E3251" w:rsidRDefault="004E3C0D" w:rsidP="00253F67">
            <w:pPr>
              <w:pStyle w:val="TableText0"/>
              <w:keepNext w:val="0"/>
              <w:widowControl w:val="0"/>
            </w:pPr>
            <w:r w:rsidRPr="005E3251">
              <w:t>Pooled estimates for CBD mg/kg/day (+/-STP) used in indirect comparison</w:t>
            </w:r>
          </w:p>
        </w:tc>
        <w:tc>
          <w:tcPr>
            <w:tcW w:w="758" w:type="pct"/>
            <w:shd w:val="clear" w:color="auto" w:fill="auto"/>
            <w:noWrap/>
            <w:tcMar>
              <w:left w:w="28" w:type="dxa"/>
              <w:right w:w="28" w:type="dxa"/>
            </w:tcMar>
            <w:vAlign w:val="center"/>
          </w:tcPr>
          <w:p w14:paraId="243BFD9F" w14:textId="77777777" w:rsidR="00682CD7" w:rsidRPr="005E3251" w:rsidRDefault="004E3C0D" w:rsidP="00253F67">
            <w:pPr>
              <w:pStyle w:val="TableText0"/>
              <w:keepNext w:val="0"/>
              <w:widowControl w:val="0"/>
              <w:jc w:val="center"/>
              <w:rPr>
                <w:b/>
                <w:bCs w:val="0"/>
              </w:rPr>
            </w:pPr>
            <w:r w:rsidRPr="005E3251">
              <w:rPr>
                <w:b/>
                <w:bCs w:val="0"/>
              </w:rPr>
              <w:t xml:space="preserve">2.21 </w:t>
            </w:r>
          </w:p>
          <w:p w14:paraId="3D078271" w14:textId="79C5618B" w:rsidR="004E3C0D" w:rsidRPr="005E3251" w:rsidRDefault="004E3C0D" w:rsidP="00253F67">
            <w:pPr>
              <w:pStyle w:val="TableText0"/>
              <w:keepNext w:val="0"/>
              <w:widowControl w:val="0"/>
              <w:jc w:val="center"/>
              <w:rPr>
                <w:b/>
                <w:bCs w:val="0"/>
              </w:rPr>
            </w:pPr>
            <w:r w:rsidRPr="005E3251">
              <w:rPr>
                <w:b/>
                <w:bCs w:val="0"/>
              </w:rPr>
              <w:t>(1.06, 4.62)</w:t>
            </w:r>
          </w:p>
        </w:tc>
        <w:tc>
          <w:tcPr>
            <w:tcW w:w="716" w:type="pct"/>
            <w:shd w:val="clear" w:color="auto" w:fill="auto"/>
            <w:noWrap/>
            <w:tcMar>
              <w:left w:w="28" w:type="dxa"/>
              <w:right w:w="28" w:type="dxa"/>
            </w:tcMar>
            <w:vAlign w:val="center"/>
          </w:tcPr>
          <w:p w14:paraId="5D937748" w14:textId="77777777" w:rsidR="00682CD7" w:rsidRPr="005E3251" w:rsidRDefault="004E3C0D" w:rsidP="00253F67">
            <w:pPr>
              <w:pStyle w:val="TableText0"/>
              <w:keepNext w:val="0"/>
              <w:widowControl w:val="0"/>
              <w:jc w:val="center"/>
              <w:rPr>
                <w:b/>
                <w:bCs w:val="0"/>
              </w:rPr>
            </w:pPr>
            <w:r w:rsidRPr="005E3251">
              <w:rPr>
                <w:b/>
                <w:bCs w:val="0"/>
              </w:rPr>
              <w:t xml:space="preserve">1.68 </w:t>
            </w:r>
          </w:p>
          <w:p w14:paraId="642409A2" w14:textId="084F198A" w:rsidR="004E3C0D" w:rsidRPr="005E3251" w:rsidRDefault="004E3C0D" w:rsidP="00253F67">
            <w:pPr>
              <w:pStyle w:val="TableText0"/>
              <w:keepNext w:val="0"/>
              <w:widowControl w:val="0"/>
              <w:jc w:val="center"/>
              <w:rPr>
                <w:b/>
                <w:bCs w:val="0"/>
              </w:rPr>
            </w:pPr>
            <w:r w:rsidRPr="005E3251">
              <w:rPr>
                <w:b/>
                <w:bCs w:val="0"/>
              </w:rPr>
              <w:t>(1.03, 2.75)</w:t>
            </w:r>
          </w:p>
        </w:tc>
        <w:tc>
          <w:tcPr>
            <w:tcW w:w="679" w:type="pct"/>
            <w:shd w:val="clear" w:color="auto" w:fill="auto"/>
            <w:noWrap/>
            <w:tcMar>
              <w:left w:w="28" w:type="dxa"/>
              <w:right w:w="28" w:type="dxa"/>
            </w:tcMar>
            <w:vAlign w:val="center"/>
          </w:tcPr>
          <w:p w14:paraId="5552FA9F" w14:textId="77777777" w:rsidR="00682CD7" w:rsidRPr="005E3251" w:rsidRDefault="004E3C0D" w:rsidP="00253F67">
            <w:pPr>
              <w:pStyle w:val="TableText0"/>
              <w:keepNext w:val="0"/>
              <w:widowControl w:val="0"/>
              <w:jc w:val="center"/>
              <w:rPr>
                <w:b/>
                <w:bCs w:val="0"/>
              </w:rPr>
            </w:pPr>
            <w:r w:rsidRPr="005E3251">
              <w:rPr>
                <w:b/>
                <w:bCs w:val="0"/>
              </w:rPr>
              <w:t xml:space="preserve">0.18 </w:t>
            </w:r>
          </w:p>
          <w:p w14:paraId="55926ADC" w14:textId="1E3E4111" w:rsidR="004E3C0D" w:rsidRPr="005E3251" w:rsidRDefault="004E3C0D" w:rsidP="00253F67">
            <w:pPr>
              <w:pStyle w:val="TableText0"/>
              <w:keepNext w:val="0"/>
              <w:widowControl w:val="0"/>
              <w:jc w:val="center"/>
              <w:rPr>
                <w:b/>
                <w:bCs w:val="0"/>
              </w:rPr>
            </w:pPr>
            <w:r w:rsidRPr="005E3251">
              <w:rPr>
                <w:b/>
                <w:bCs w:val="0"/>
              </w:rPr>
              <w:t>(0.02, 0.34)</w:t>
            </w:r>
          </w:p>
        </w:tc>
      </w:tr>
      <w:tr w:rsidR="00682CD7" w:rsidRPr="005E3251" w14:paraId="0FBDB138" w14:textId="77777777" w:rsidTr="00E13FBE">
        <w:trPr>
          <w:trHeight w:val="283"/>
        </w:trPr>
        <w:tc>
          <w:tcPr>
            <w:tcW w:w="813" w:type="pct"/>
            <w:shd w:val="clear" w:color="auto" w:fill="auto"/>
            <w:noWrap/>
            <w:tcMar>
              <w:left w:w="28" w:type="dxa"/>
              <w:right w:w="28" w:type="dxa"/>
            </w:tcMar>
            <w:vAlign w:val="center"/>
          </w:tcPr>
          <w:p w14:paraId="27E39C4E" w14:textId="5FABF244" w:rsidR="004E3C0D" w:rsidRPr="005E3251" w:rsidRDefault="004E3C0D" w:rsidP="00253F67">
            <w:pPr>
              <w:pStyle w:val="TableText0"/>
              <w:keepNext w:val="0"/>
              <w:widowControl w:val="0"/>
            </w:pPr>
            <w:r w:rsidRPr="005E3251">
              <w:t>STICLO- France &amp; Italy</w:t>
            </w:r>
          </w:p>
        </w:tc>
        <w:tc>
          <w:tcPr>
            <w:tcW w:w="970" w:type="pct"/>
            <w:shd w:val="clear" w:color="auto" w:fill="auto"/>
            <w:noWrap/>
            <w:tcMar>
              <w:left w:w="28" w:type="dxa"/>
              <w:right w:w="28" w:type="dxa"/>
            </w:tcMar>
            <w:vAlign w:val="center"/>
          </w:tcPr>
          <w:p w14:paraId="61F01E32" w14:textId="3ABC2A34" w:rsidR="004E3C0D" w:rsidRPr="005E3251" w:rsidRDefault="004E3C0D" w:rsidP="00253F67">
            <w:pPr>
              <w:pStyle w:val="TableText0"/>
              <w:keepNext w:val="0"/>
              <w:widowControl w:val="0"/>
              <w:jc w:val="center"/>
            </w:pPr>
            <w:r w:rsidRPr="005E3251">
              <w:t>STP 50 mg/kg/day</w:t>
            </w:r>
          </w:p>
        </w:tc>
        <w:tc>
          <w:tcPr>
            <w:tcW w:w="583" w:type="pct"/>
            <w:shd w:val="clear" w:color="auto" w:fill="auto"/>
            <w:noWrap/>
            <w:tcMar>
              <w:left w:w="28" w:type="dxa"/>
              <w:right w:w="28" w:type="dxa"/>
            </w:tcMar>
            <w:vAlign w:val="center"/>
          </w:tcPr>
          <w:p w14:paraId="53C35767" w14:textId="70D1C695" w:rsidR="004E3C0D" w:rsidRPr="005E3251" w:rsidRDefault="004E3C0D" w:rsidP="00253F67">
            <w:pPr>
              <w:pStyle w:val="TableText0"/>
              <w:keepNext w:val="0"/>
              <w:widowControl w:val="0"/>
              <w:jc w:val="center"/>
            </w:pPr>
            <w:r w:rsidRPr="005E3251">
              <w:t>23/32 (71.9)</w:t>
            </w:r>
          </w:p>
        </w:tc>
        <w:tc>
          <w:tcPr>
            <w:tcW w:w="480" w:type="pct"/>
            <w:shd w:val="clear" w:color="auto" w:fill="auto"/>
            <w:noWrap/>
            <w:tcMar>
              <w:left w:w="28" w:type="dxa"/>
              <w:right w:w="28" w:type="dxa"/>
            </w:tcMar>
            <w:vAlign w:val="center"/>
          </w:tcPr>
          <w:p w14:paraId="07FCF233" w14:textId="54D0FEF4" w:rsidR="004E3C0D" w:rsidRPr="005E3251" w:rsidRDefault="004E3C0D" w:rsidP="00253F67">
            <w:pPr>
              <w:pStyle w:val="TableText0"/>
              <w:keepNext w:val="0"/>
              <w:widowControl w:val="0"/>
              <w:jc w:val="center"/>
            </w:pPr>
            <w:r w:rsidRPr="005E3251">
              <w:t>2/29 (6.9)</w:t>
            </w:r>
          </w:p>
        </w:tc>
        <w:tc>
          <w:tcPr>
            <w:tcW w:w="758" w:type="pct"/>
            <w:shd w:val="clear" w:color="auto" w:fill="auto"/>
            <w:noWrap/>
            <w:tcMar>
              <w:left w:w="28" w:type="dxa"/>
              <w:right w:w="28" w:type="dxa"/>
            </w:tcMar>
            <w:vAlign w:val="center"/>
          </w:tcPr>
          <w:p w14:paraId="303A33C2" w14:textId="3F83054A" w:rsidR="00682CD7" w:rsidRPr="005E3251" w:rsidRDefault="004E3C0D" w:rsidP="00253F67">
            <w:pPr>
              <w:pStyle w:val="TableText0"/>
              <w:keepNext w:val="0"/>
              <w:widowControl w:val="0"/>
              <w:jc w:val="center"/>
              <w:rPr>
                <w:b/>
                <w:bCs w:val="0"/>
              </w:rPr>
            </w:pPr>
            <w:r w:rsidRPr="005E3251">
              <w:rPr>
                <w:b/>
                <w:bCs w:val="0"/>
              </w:rPr>
              <w:t xml:space="preserve">34.5 </w:t>
            </w:r>
          </w:p>
          <w:p w14:paraId="0DE43199" w14:textId="206EC6E5" w:rsidR="004E3C0D" w:rsidRPr="005E3251" w:rsidRDefault="004E3C0D" w:rsidP="00253F67">
            <w:pPr>
              <w:pStyle w:val="TableText0"/>
              <w:keepNext w:val="0"/>
              <w:widowControl w:val="0"/>
              <w:jc w:val="center"/>
              <w:rPr>
                <w:b/>
                <w:bCs w:val="0"/>
              </w:rPr>
            </w:pPr>
            <w:r w:rsidRPr="005E3251">
              <w:rPr>
                <w:b/>
                <w:bCs w:val="0"/>
              </w:rPr>
              <w:t>(6.76, 176.08)</w:t>
            </w:r>
          </w:p>
        </w:tc>
        <w:tc>
          <w:tcPr>
            <w:tcW w:w="716" w:type="pct"/>
            <w:shd w:val="clear" w:color="auto" w:fill="auto"/>
            <w:noWrap/>
            <w:tcMar>
              <w:left w:w="28" w:type="dxa"/>
              <w:right w:w="28" w:type="dxa"/>
            </w:tcMar>
            <w:vAlign w:val="center"/>
          </w:tcPr>
          <w:p w14:paraId="31EA0E70" w14:textId="69DC4538" w:rsidR="00682CD7" w:rsidRPr="005E3251" w:rsidRDefault="004E3C0D" w:rsidP="00253F67">
            <w:pPr>
              <w:pStyle w:val="TableText0"/>
              <w:keepNext w:val="0"/>
              <w:widowControl w:val="0"/>
              <w:jc w:val="center"/>
              <w:rPr>
                <w:b/>
                <w:bCs w:val="0"/>
              </w:rPr>
            </w:pPr>
            <w:r w:rsidRPr="005E3251">
              <w:rPr>
                <w:b/>
                <w:bCs w:val="0"/>
              </w:rPr>
              <w:t xml:space="preserve">10.42 </w:t>
            </w:r>
          </w:p>
          <w:p w14:paraId="064F6E5D" w14:textId="4258698F" w:rsidR="004E3C0D" w:rsidRPr="005E3251" w:rsidRDefault="004E3C0D" w:rsidP="00253F67">
            <w:pPr>
              <w:pStyle w:val="TableText0"/>
              <w:keepNext w:val="0"/>
              <w:widowControl w:val="0"/>
              <w:jc w:val="center"/>
              <w:rPr>
                <w:b/>
                <w:bCs w:val="0"/>
              </w:rPr>
            </w:pPr>
            <w:r w:rsidRPr="005E3251">
              <w:rPr>
                <w:b/>
                <w:bCs w:val="0"/>
              </w:rPr>
              <w:t>(2.69, 40.39)</w:t>
            </w:r>
          </w:p>
        </w:tc>
        <w:tc>
          <w:tcPr>
            <w:tcW w:w="679" w:type="pct"/>
            <w:shd w:val="clear" w:color="auto" w:fill="auto"/>
            <w:noWrap/>
            <w:tcMar>
              <w:left w:w="28" w:type="dxa"/>
              <w:right w:w="28" w:type="dxa"/>
            </w:tcMar>
            <w:vAlign w:val="center"/>
          </w:tcPr>
          <w:p w14:paraId="34E0C0EC" w14:textId="2404E834" w:rsidR="00682CD7" w:rsidRPr="005E3251" w:rsidRDefault="004E3C0D" w:rsidP="00253F67">
            <w:pPr>
              <w:pStyle w:val="TableText0"/>
              <w:keepNext w:val="0"/>
              <w:widowControl w:val="0"/>
              <w:jc w:val="center"/>
              <w:rPr>
                <w:b/>
                <w:bCs w:val="0"/>
              </w:rPr>
            </w:pPr>
            <w:r w:rsidRPr="005E3251">
              <w:rPr>
                <w:b/>
                <w:bCs w:val="0"/>
              </w:rPr>
              <w:t xml:space="preserve">0.65 </w:t>
            </w:r>
          </w:p>
          <w:p w14:paraId="3049869B" w14:textId="6B4CDD4B" w:rsidR="004E3C0D" w:rsidRPr="005E3251" w:rsidRDefault="004E3C0D" w:rsidP="00253F67">
            <w:pPr>
              <w:pStyle w:val="TableText0"/>
              <w:keepNext w:val="0"/>
              <w:widowControl w:val="0"/>
              <w:jc w:val="center"/>
              <w:rPr>
                <w:b/>
                <w:bCs w:val="0"/>
              </w:rPr>
            </w:pPr>
            <w:r w:rsidRPr="005E3251">
              <w:rPr>
                <w:b/>
                <w:bCs w:val="0"/>
              </w:rPr>
              <w:t>(0.47, 0.83)</w:t>
            </w:r>
          </w:p>
        </w:tc>
      </w:tr>
      <w:tr w:rsidR="003416F9" w:rsidRPr="005E3251" w14:paraId="6A6FF338" w14:textId="77777777" w:rsidTr="003416F9">
        <w:trPr>
          <w:trHeight w:val="297"/>
        </w:trPr>
        <w:tc>
          <w:tcPr>
            <w:tcW w:w="2847" w:type="pct"/>
            <w:gridSpan w:val="4"/>
            <w:shd w:val="clear" w:color="auto" w:fill="auto"/>
            <w:noWrap/>
            <w:tcMar>
              <w:left w:w="28" w:type="dxa"/>
              <w:right w:w="28" w:type="dxa"/>
            </w:tcMar>
            <w:vAlign w:val="center"/>
          </w:tcPr>
          <w:p w14:paraId="7B445AB3" w14:textId="58FA532C" w:rsidR="004E3C0D" w:rsidRPr="005E3251" w:rsidRDefault="004E3C0D" w:rsidP="00253F67">
            <w:pPr>
              <w:pStyle w:val="TableText0"/>
              <w:keepNext w:val="0"/>
              <w:widowControl w:val="0"/>
            </w:pPr>
            <w:r w:rsidRPr="005E3251">
              <w:t>Pooled estimates for STP 50 mg/kg/day used in indirect comparison</w:t>
            </w:r>
          </w:p>
        </w:tc>
        <w:tc>
          <w:tcPr>
            <w:tcW w:w="758" w:type="pct"/>
            <w:shd w:val="clear" w:color="auto" w:fill="auto"/>
            <w:noWrap/>
            <w:tcMar>
              <w:left w:w="28" w:type="dxa"/>
              <w:right w:w="28" w:type="dxa"/>
            </w:tcMar>
            <w:vAlign w:val="center"/>
          </w:tcPr>
          <w:p w14:paraId="1A84D88B" w14:textId="09DFDA69" w:rsidR="00682CD7" w:rsidRPr="005E3251" w:rsidRDefault="004E3C0D" w:rsidP="00682CD7">
            <w:pPr>
              <w:pStyle w:val="TableText0"/>
              <w:keepNext w:val="0"/>
              <w:widowControl w:val="0"/>
              <w:jc w:val="center"/>
              <w:rPr>
                <w:b/>
                <w:bCs w:val="0"/>
              </w:rPr>
            </w:pPr>
            <w:r w:rsidRPr="005E3251">
              <w:rPr>
                <w:b/>
                <w:bCs w:val="0"/>
              </w:rPr>
              <w:t xml:space="preserve">34.5 </w:t>
            </w:r>
          </w:p>
          <w:p w14:paraId="08588F6C" w14:textId="6BCAAA76" w:rsidR="004E3C0D" w:rsidRPr="005E3251" w:rsidRDefault="004E3C0D" w:rsidP="00682CD7">
            <w:pPr>
              <w:pStyle w:val="TableText0"/>
              <w:keepNext w:val="0"/>
              <w:widowControl w:val="0"/>
              <w:jc w:val="center"/>
              <w:rPr>
                <w:b/>
                <w:bCs w:val="0"/>
              </w:rPr>
            </w:pPr>
            <w:r w:rsidRPr="005E3251">
              <w:rPr>
                <w:b/>
                <w:bCs w:val="0"/>
              </w:rPr>
              <w:t>(6.76, 176.08)</w:t>
            </w:r>
          </w:p>
        </w:tc>
        <w:tc>
          <w:tcPr>
            <w:tcW w:w="716" w:type="pct"/>
            <w:shd w:val="clear" w:color="auto" w:fill="auto"/>
            <w:noWrap/>
            <w:tcMar>
              <w:left w:w="28" w:type="dxa"/>
              <w:right w:w="28" w:type="dxa"/>
            </w:tcMar>
            <w:vAlign w:val="center"/>
          </w:tcPr>
          <w:p w14:paraId="719AD6AD" w14:textId="08903195" w:rsidR="00682CD7" w:rsidRPr="005E3251" w:rsidRDefault="004E3C0D" w:rsidP="00253F67">
            <w:pPr>
              <w:pStyle w:val="TableText0"/>
              <w:keepNext w:val="0"/>
              <w:widowControl w:val="0"/>
              <w:jc w:val="center"/>
              <w:rPr>
                <w:b/>
                <w:bCs w:val="0"/>
              </w:rPr>
            </w:pPr>
            <w:r w:rsidRPr="005E3251">
              <w:rPr>
                <w:b/>
                <w:bCs w:val="0"/>
              </w:rPr>
              <w:t xml:space="preserve">10.42 </w:t>
            </w:r>
          </w:p>
          <w:p w14:paraId="4882E898" w14:textId="1ECAE05F" w:rsidR="004E3C0D" w:rsidRPr="005E3251" w:rsidRDefault="004E3C0D" w:rsidP="00253F67">
            <w:pPr>
              <w:pStyle w:val="TableText0"/>
              <w:keepNext w:val="0"/>
              <w:widowControl w:val="0"/>
              <w:jc w:val="center"/>
              <w:rPr>
                <w:b/>
                <w:bCs w:val="0"/>
              </w:rPr>
            </w:pPr>
            <w:r w:rsidRPr="005E3251">
              <w:rPr>
                <w:b/>
                <w:bCs w:val="0"/>
              </w:rPr>
              <w:t>(2.69, 40.39)</w:t>
            </w:r>
          </w:p>
        </w:tc>
        <w:tc>
          <w:tcPr>
            <w:tcW w:w="679" w:type="pct"/>
            <w:shd w:val="clear" w:color="auto" w:fill="auto"/>
            <w:noWrap/>
            <w:tcMar>
              <w:left w:w="28" w:type="dxa"/>
              <w:right w:w="28" w:type="dxa"/>
            </w:tcMar>
            <w:vAlign w:val="center"/>
          </w:tcPr>
          <w:p w14:paraId="7747DE6B" w14:textId="000577DD" w:rsidR="00682CD7" w:rsidRPr="005E3251" w:rsidRDefault="004E3C0D" w:rsidP="00253F67">
            <w:pPr>
              <w:pStyle w:val="TableText0"/>
              <w:keepNext w:val="0"/>
              <w:widowControl w:val="0"/>
              <w:jc w:val="center"/>
              <w:rPr>
                <w:b/>
                <w:bCs w:val="0"/>
              </w:rPr>
            </w:pPr>
            <w:r w:rsidRPr="005E3251">
              <w:rPr>
                <w:b/>
                <w:bCs w:val="0"/>
              </w:rPr>
              <w:t xml:space="preserve">0.65 </w:t>
            </w:r>
          </w:p>
          <w:p w14:paraId="6121D832" w14:textId="6CD4147A" w:rsidR="004E3C0D" w:rsidRPr="005E3251" w:rsidRDefault="004E3C0D" w:rsidP="00253F67">
            <w:pPr>
              <w:pStyle w:val="TableText0"/>
              <w:keepNext w:val="0"/>
              <w:widowControl w:val="0"/>
              <w:jc w:val="center"/>
              <w:rPr>
                <w:b/>
                <w:bCs w:val="0"/>
              </w:rPr>
            </w:pPr>
            <w:r w:rsidRPr="005E3251">
              <w:rPr>
                <w:b/>
                <w:bCs w:val="0"/>
              </w:rPr>
              <w:t>(0.47, 0.83)</w:t>
            </w:r>
          </w:p>
        </w:tc>
      </w:tr>
      <w:tr w:rsidR="004E3C0D" w:rsidRPr="005E3251" w14:paraId="1F350346" w14:textId="77777777" w:rsidTr="003416F9">
        <w:trPr>
          <w:trHeight w:val="283"/>
        </w:trPr>
        <w:tc>
          <w:tcPr>
            <w:tcW w:w="5000" w:type="pct"/>
            <w:gridSpan w:val="7"/>
            <w:shd w:val="clear" w:color="auto" w:fill="auto"/>
            <w:noWrap/>
            <w:tcMar>
              <w:left w:w="28" w:type="dxa"/>
              <w:right w:w="28" w:type="dxa"/>
            </w:tcMar>
            <w:vAlign w:val="bottom"/>
            <w:hideMark/>
          </w:tcPr>
          <w:p w14:paraId="63D28B40" w14:textId="77777777" w:rsidR="004E3C0D" w:rsidRPr="005E3251" w:rsidRDefault="004E3C0D" w:rsidP="00253F67">
            <w:pPr>
              <w:pStyle w:val="TableText0"/>
              <w:keepNext w:val="0"/>
              <w:widowControl w:val="0"/>
              <w:rPr>
                <w:b/>
                <w:bCs w:val="0"/>
              </w:rPr>
            </w:pPr>
            <w:r w:rsidRPr="005E3251">
              <w:rPr>
                <w:b/>
                <w:bCs w:val="0"/>
              </w:rPr>
              <w:t>≥25% reduction from baseline monthly CSF</w:t>
            </w:r>
          </w:p>
        </w:tc>
      </w:tr>
      <w:tr w:rsidR="00682CD7" w:rsidRPr="005E3251" w14:paraId="56CDF722" w14:textId="77777777" w:rsidTr="003416F9">
        <w:trPr>
          <w:trHeight w:val="297"/>
        </w:trPr>
        <w:tc>
          <w:tcPr>
            <w:tcW w:w="813" w:type="pct"/>
            <w:shd w:val="clear" w:color="auto" w:fill="auto"/>
            <w:noWrap/>
            <w:tcMar>
              <w:left w:w="28" w:type="dxa"/>
              <w:right w:w="28" w:type="dxa"/>
            </w:tcMar>
            <w:vAlign w:val="center"/>
            <w:hideMark/>
          </w:tcPr>
          <w:p w14:paraId="4FCB52EB" w14:textId="77777777" w:rsidR="004E3C0D" w:rsidRPr="005E3251" w:rsidRDefault="004E3C0D" w:rsidP="00253F67">
            <w:pPr>
              <w:pStyle w:val="TableText0"/>
              <w:keepNext w:val="0"/>
              <w:widowControl w:val="0"/>
            </w:pPr>
            <w:r w:rsidRPr="005E3251">
              <w:t>Study 1</w:t>
            </w:r>
          </w:p>
        </w:tc>
        <w:tc>
          <w:tcPr>
            <w:tcW w:w="970" w:type="pct"/>
            <w:shd w:val="clear" w:color="auto" w:fill="auto"/>
            <w:noWrap/>
            <w:tcMar>
              <w:left w:w="28" w:type="dxa"/>
              <w:right w:w="28" w:type="dxa"/>
            </w:tcMar>
            <w:vAlign w:val="center"/>
            <w:hideMark/>
          </w:tcPr>
          <w:p w14:paraId="0454DF1F" w14:textId="77777777" w:rsidR="00654B1A" w:rsidRDefault="004E3C0D" w:rsidP="00253F67">
            <w:pPr>
              <w:pStyle w:val="TableText0"/>
              <w:keepNext w:val="0"/>
              <w:widowControl w:val="0"/>
              <w:jc w:val="center"/>
            </w:pPr>
            <w:r w:rsidRPr="005E3251">
              <w:t>FFA 0.7 mg/kg/day</w:t>
            </w:r>
          </w:p>
          <w:p w14:paraId="4638EDF1" w14:textId="63E5DCCF" w:rsidR="004E3C0D" w:rsidRPr="005E3251" w:rsidRDefault="004E3C0D" w:rsidP="00253F67">
            <w:pPr>
              <w:pStyle w:val="TableText0"/>
              <w:keepNext w:val="0"/>
              <w:widowControl w:val="0"/>
              <w:jc w:val="center"/>
            </w:pPr>
            <w:r w:rsidRPr="005E3251">
              <w:t xml:space="preserve"> (- STP)</w:t>
            </w:r>
          </w:p>
        </w:tc>
        <w:tc>
          <w:tcPr>
            <w:tcW w:w="583" w:type="pct"/>
            <w:shd w:val="clear" w:color="auto" w:fill="auto"/>
            <w:noWrap/>
            <w:tcMar>
              <w:left w:w="28" w:type="dxa"/>
              <w:right w:w="28" w:type="dxa"/>
            </w:tcMar>
            <w:vAlign w:val="center"/>
            <w:hideMark/>
          </w:tcPr>
          <w:p w14:paraId="110D17F6" w14:textId="77777777" w:rsidR="004E3C0D" w:rsidRPr="005E3251" w:rsidRDefault="004E3C0D" w:rsidP="00253F67">
            <w:pPr>
              <w:pStyle w:val="TableText0"/>
              <w:keepNext w:val="0"/>
              <w:widowControl w:val="0"/>
              <w:jc w:val="center"/>
            </w:pPr>
            <w:r w:rsidRPr="005E3251">
              <w:t>36/40 (90.0)</w:t>
            </w:r>
          </w:p>
        </w:tc>
        <w:tc>
          <w:tcPr>
            <w:tcW w:w="480" w:type="pct"/>
            <w:shd w:val="clear" w:color="auto" w:fill="auto"/>
            <w:noWrap/>
            <w:tcMar>
              <w:left w:w="28" w:type="dxa"/>
              <w:right w:w="28" w:type="dxa"/>
            </w:tcMar>
            <w:vAlign w:val="center"/>
            <w:hideMark/>
          </w:tcPr>
          <w:p w14:paraId="3E5CF0F0" w14:textId="77777777" w:rsidR="004E3C0D" w:rsidRPr="005E3251" w:rsidRDefault="004E3C0D" w:rsidP="00253F67">
            <w:pPr>
              <w:pStyle w:val="TableText0"/>
              <w:keepNext w:val="0"/>
              <w:widowControl w:val="0"/>
              <w:jc w:val="center"/>
            </w:pPr>
            <w:r w:rsidRPr="005E3251">
              <w:t>14/40 (35.0)</w:t>
            </w:r>
          </w:p>
        </w:tc>
        <w:tc>
          <w:tcPr>
            <w:tcW w:w="758" w:type="pct"/>
            <w:shd w:val="clear" w:color="auto" w:fill="auto"/>
            <w:noWrap/>
            <w:tcMar>
              <w:left w:w="28" w:type="dxa"/>
              <w:right w:w="28" w:type="dxa"/>
            </w:tcMar>
            <w:vAlign w:val="center"/>
            <w:hideMark/>
          </w:tcPr>
          <w:p w14:paraId="379DFF17" w14:textId="77777777" w:rsidR="00682CD7" w:rsidRPr="005E3251" w:rsidRDefault="004E3C0D" w:rsidP="00253F67">
            <w:pPr>
              <w:pStyle w:val="TableText0"/>
              <w:keepNext w:val="0"/>
              <w:widowControl w:val="0"/>
              <w:jc w:val="center"/>
              <w:rPr>
                <w:b/>
                <w:bCs w:val="0"/>
              </w:rPr>
            </w:pPr>
            <w:r w:rsidRPr="005E3251">
              <w:rPr>
                <w:b/>
                <w:bCs w:val="0"/>
              </w:rPr>
              <w:t xml:space="preserve">16.71 </w:t>
            </w:r>
          </w:p>
          <w:p w14:paraId="0E94065A" w14:textId="41AD7CEA" w:rsidR="004E3C0D" w:rsidRPr="005E3251" w:rsidRDefault="004E3C0D" w:rsidP="00253F67">
            <w:pPr>
              <w:pStyle w:val="TableText0"/>
              <w:keepNext w:val="0"/>
              <w:widowControl w:val="0"/>
              <w:jc w:val="center"/>
              <w:rPr>
                <w:b/>
                <w:bCs w:val="0"/>
              </w:rPr>
            </w:pPr>
            <w:r w:rsidRPr="005E3251">
              <w:rPr>
                <w:b/>
                <w:bCs w:val="0"/>
              </w:rPr>
              <w:t>(4.93, 56.63)</w:t>
            </w:r>
          </w:p>
        </w:tc>
        <w:tc>
          <w:tcPr>
            <w:tcW w:w="716" w:type="pct"/>
            <w:shd w:val="clear" w:color="auto" w:fill="auto"/>
            <w:noWrap/>
            <w:tcMar>
              <w:left w:w="28" w:type="dxa"/>
              <w:right w:w="28" w:type="dxa"/>
            </w:tcMar>
            <w:vAlign w:val="center"/>
            <w:hideMark/>
          </w:tcPr>
          <w:p w14:paraId="1CAEF4B6" w14:textId="77777777" w:rsidR="00682CD7" w:rsidRPr="005E3251" w:rsidRDefault="004E3C0D" w:rsidP="00253F67">
            <w:pPr>
              <w:pStyle w:val="TableText0"/>
              <w:keepNext w:val="0"/>
              <w:widowControl w:val="0"/>
              <w:jc w:val="center"/>
              <w:rPr>
                <w:b/>
                <w:bCs w:val="0"/>
              </w:rPr>
            </w:pPr>
            <w:r w:rsidRPr="005E3251">
              <w:rPr>
                <w:b/>
                <w:bCs w:val="0"/>
              </w:rPr>
              <w:t xml:space="preserve">2.57 </w:t>
            </w:r>
          </w:p>
          <w:p w14:paraId="5FC45208" w14:textId="6C553A6A" w:rsidR="004E3C0D" w:rsidRPr="005E3251" w:rsidRDefault="004E3C0D" w:rsidP="00253F67">
            <w:pPr>
              <w:pStyle w:val="TableText0"/>
              <w:keepNext w:val="0"/>
              <w:widowControl w:val="0"/>
              <w:jc w:val="center"/>
              <w:rPr>
                <w:b/>
                <w:bCs w:val="0"/>
              </w:rPr>
            </w:pPr>
            <w:r w:rsidRPr="005E3251">
              <w:rPr>
                <w:b/>
                <w:bCs w:val="0"/>
              </w:rPr>
              <w:t>(1.66, 3.97)</w:t>
            </w:r>
          </w:p>
        </w:tc>
        <w:tc>
          <w:tcPr>
            <w:tcW w:w="679" w:type="pct"/>
            <w:shd w:val="clear" w:color="auto" w:fill="auto"/>
            <w:noWrap/>
            <w:tcMar>
              <w:left w:w="28" w:type="dxa"/>
              <w:right w:w="28" w:type="dxa"/>
            </w:tcMar>
            <w:vAlign w:val="center"/>
            <w:hideMark/>
          </w:tcPr>
          <w:p w14:paraId="68405331" w14:textId="77777777" w:rsidR="00682CD7" w:rsidRPr="005E3251" w:rsidRDefault="004E3C0D" w:rsidP="00253F67">
            <w:pPr>
              <w:pStyle w:val="TableText0"/>
              <w:keepNext w:val="0"/>
              <w:widowControl w:val="0"/>
              <w:jc w:val="center"/>
              <w:rPr>
                <w:b/>
                <w:bCs w:val="0"/>
              </w:rPr>
            </w:pPr>
            <w:r w:rsidRPr="005E3251">
              <w:rPr>
                <w:b/>
                <w:bCs w:val="0"/>
              </w:rPr>
              <w:t xml:space="preserve">0.55 </w:t>
            </w:r>
          </w:p>
          <w:p w14:paraId="098BE49C" w14:textId="4AA648B6" w:rsidR="004E3C0D" w:rsidRPr="005E3251" w:rsidRDefault="004E3C0D" w:rsidP="00253F67">
            <w:pPr>
              <w:pStyle w:val="TableText0"/>
              <w:keepNext w:val="0"/>
              <w:widowControl w:val="0"/>
              <w:jc w:val="center"/>
              <w:rPr>
                <w:b/>
                <w:bCs w:val="0"/>
              </w:rPr>
            </w:pPr>
            <w:r w:rsidRPr="005E3251">
              <w:rPr>
                <w:b/>
                <w:bCs w:val="0"/>
              </w:rPr>
              <w:t>(0.38, 0.72)</w:t>
            </w:r>
          </w:p>
        </w:tc>
      </w:tr>
      <w:tr w:rsidR="00682CD7" w:rsidRPr="005E3251" w14:paraId="19363BD6" w14:textId="77777777" w:rsidTr="003416F9">
        <w:trPr>
          <w:trHeight w:val="297"/>
        </w:trPr>
        <w:tc>
          <w:tcPr>
            <w:tcW w:w="813" w:type="pct"/>
            <w:shd w:val="clear" w:color="auto" w:fill="auto"/>
            <w:noWrap/>
            <w:tcMar>
              <w:left w:w="28" w:type="dxa"/>
              <w:right w:w="28" w:type="dxa"/>
            </w:tcMar>
            <w:vAlign w:val="center"/>
            <w:hideMark/>
          </w:tcPr>
          <w:p w14:paraId="368EB19D" w14:textId="77777777" w:rsidR="004E3C0D" w:rsidRPr="005E3251" w:rsidRDefault="004E3C0D" w:rsidP="00253F67">
            <w:pPr>
              <w:pStyle w:val="TableText0"/>
              <w:keepNext w:val="0"/>
              <w:widowControl w:val="0"/>
            </w:pPr>
            <w:r w:rsidRPr="005E3251">
              <w:t>Study 3</w:t>
            </w:r>
          </w:p>
        </w:tc>
        <w:tc>
          <w:tcPr>
            <w:tcW w:w="970" w:type="pct"/>
            <w:shd w:val="clear" w:color="auto" w:fill="auto"/>
            <w:noWrap/>
            <w:tcMar>
              <w:left w:w="28" w:type="dxa"/>
              <w:right w:w="28" w:type="dxa"/>
            </w:tcMar>
            <w:vAlign w:val="center"/>
            <w:hideMark/>
          </w:tcPr>
          <w:p w14:paraId="0DE08EC2" w14:textId="77777777" w:rsidR="00654B1A" w:rsidRDefault="004E3C0D" w:rsidP="00253F67">
            <w:pPr>
              <w:pStyle w:val="TableText0"/>
              <w:keepNext w:val="0"/>
              <w:widowControl w:val="0"/>
              <w:jc w:val="center"/>
            </w:pPr>
            <w:r w:rsidRPr="005E3251">
              <w:t xml:space="preserve">FFA 0.7 mg/kg/day </w:t>
            </w:r>
          </w:p>
          <w:p w14:paraId="1B409AD8" w14:textId="6F96F922" w:rsidR="004E3C0D" w:rsidRPr="005E3251" w:rsidRDefault="004E3C0D" w:rsidP="00253F67">
            <w:pPr>
              <w:pStyle w:val="TableText0"/>
              <w:keepNext w:val="0"/>
              <w:widowControl w:val="0"/>
              <w:jc w:val="center"/>
            </w:pPr>
            <w:r w:rsidRPr="005E3251">
              <w:t>(- STP)</w:t>
            </w:r>
          </w:p>
        </w:tc>
        <w:tc>
          <w:tcPr>
            <w:tcW w:w="583" w:type="pct"/>
            <w:shd w:val="clear" w:color="auto" w:fill="auto"/>
            <w:noWrap/>
            <w:tcMar>
              <w:left w:w="28" w:type="dxa"/>
              <w:right w:w="28" w:type="dxa"/>
            </w:tcMar>
            <w:vAlign w:val="center"/>
            <w:hideMark/>
          </w:tcPr>
          <w:p w14:paraId="18811CE6" w14:textId="77777777" w:rsidR="004E3C0D" w:rsidRPr="005E3251" w:rsidRDefault="004E3C0D" w:rsidP="00253F67">
            <w:pPr>
              <w:pStyle w:val="TableText0"/>
              <w:keepNext w:val="0"/>
              <w:widowControl w:val="0"/>
              <w:jc w:val="center"/>
            </w:pPr>
            <w:r w:rsidRPr="005E3251">
              <w:t>40/48 (83.3)</w:t>
            </w:r>
          </w:p>
        </w:tc>
        <w:tc>
          <w:tcPr>
            <w:tcW w:w="480" w:type="pct"/>
            <w:shd w:val="clear" w:color="auto" w:fill="auto"/>
            <w:noWrap/>
            <w:tcMar>
              <w:left w:w="28" w:type="dxa"/>
              <w:right w:w="28" w:type="dxa"/>
            </w:tcMar>
            <w:vAlign w:val="center"/>
            <w:hideMark/>
          </w:tcPr>
          <w:p w14:paraId="2C3E6186" w14:textId="77777777" w:rsidR="004E3C0D" w:rsidRPr="005E3251" w:rsidRDefault="004E3C0D" w:rsidP="00253F67">
            <w:pPr>
              <w:pStyle w:val="TableText0"/>
              <w:keepNext w:val="0"/>
              <w:widowControl w:val="0"/>
              <w:jc w:val="center"/>
            </w:pPr>
            <w:r w:rsidRPr="005E3251">
              <w:t>13/48 (27.1)</w:t>
            </w:r>
          </w:p>
        </w:tc>
        <w:tc>
          <w:tcPr>
            <w:tcW w:w="758" w:type="pct"/>
            <w:shd w:val="clear" w:color="auto" w:fill="auto"/>
            <w:noWrap/>
            <w:tcMar>
              <w:left w:w="28" w:type="dxa"/>
              <w:right w:w="28" w:type="dxa"/>
            </w:tcMar>
            <w:vAlign w:val="center"/>
            <w:hideMark/>
          </w:tcPr>
          <w:p w14:paraId="3EE9CF4A" w14:textId="77777777" w:rsidR="00682CD7" w:rsidRPr="005E3251" w:rsidRDefault="004E3C0D" w:rsidP="00253F67">
            <w:pPr>
              <w:pStyle w:val="TableText0"/>
              <w:keepNext w:val="0"/>
              <w:widowControl w:val="0"/>
              <w:jc w:val="center"/>
              <w:rPr>
                <w:b/>
                <w:bCs w:val="0"/>
              </w:rPr>
            </w:pPr>
            <w:r w:rsidRPr="005E3251">
              <w:rPr>
                <w:b/>
                <w:bCs w:val="0"/>
              </w:rPr>
              <w:t xml:space="preserve">13.46 </w:t>
            </w:r>
          </w:p>
          <w:p w14:paraId="70300D78" w14:textId="576AFFF2" w:rsidR="004E3C0D" w:rsidRPr="005E3251" w:rsidRDefault="004E3C0D" w:rsidP="00253F67">
            <w:pPr>
              <w:pStyle w:val="TableText0"/>
              <w:keepNext w:val="0"/>
              <w:widowControl w:val="0"/>
              <w:jc w:val="center"/>
              <w:rPr>
                <w:b/>
                <w:bCs w:val="0"/>
              </w:rPr>
            </w:pPr>
            <w:r w:rsidRPr="005E3251">
              <w:rPr>
                <w:b/>
                <w:bCs w:val="0"/>
              </w:rPr>
              <w:t>(5.00, 36.25)</w:t>
            </w:r>
          </w:p>
        </w:tc>
        <w:tc>
          <w:tcPr>
            <w:tcW w:w="716" w:type="pct"/>
            <w:shd w:val="clear" w:color="auto" w:fill="auto"/>
            <w:noWrap/>
            <w:tcMar>
              <w:left w:w="28" w:type="dxa"/>
              <w:right w:w="28" w:type="dxa"/>
            </w:tcMar>
            <w:vAlign w:val="center"/>
            <w:hideMark/>
          </w:tcPr>
          <w:p w14:paraId="7EB61E52" w14:textId="77777777" w:rsidR="00682CD7" w:rsidRPr="005E3251" w:rsidRDefault="004E3C0D" w:rsidP="00253F67">
            <w:pPr>
              <w:pStyle w:val="TableText0"/>
              <w:keepNext w:val="0"/>
              <w:widowControl w:val="0"/>
              <w:jc w:val="center"/>
              <w:rPr>
                <w:b/>
                <w:bCs w:val="0"/>
              </w:rPr>
            </w:pPr>
            <w:r w:rsidRPr="005E3251">
              <w:rPr>
                <w:b/>
                <w:bCs w:val="0"/>
              </w:rPr>
              <w:t xml:space="preserve">3.08 </w:t>
            </w:r>
          </w:p>
          <w:p w14:paraId="7E81B2D8" w14:textId="172EEFE7" w:rsidR="004E3C0D" w:rsidRPr="005E3251" w:rsidRDefault="004E3C0D" w:rsidP="00253F67">
            <w:pPr>
              <w:pStyle w:val="TableText0"/>
              <w:keepNext w:val="0"/>
              <w:widowControl w:val="0"/>
              <w:jc w:val="center"/>
              <w:rPr>
                <w:b/>
                <w:bCs w:val="0"/>
              </w:rPr>
            </w:pPr>
            <w:r w:rsidRPr="005E3251">
              <w:rPr>
                <w:b/>
                <w:bCs w:val="0"/>
              </w:rPr>
              <w:t>(1.90, 4.98)</w:t>
            </w:r>
          </w:p>
        </w:tc>
        <w:tc>
          <w:tcPr>
            <w:tcW w:w="679" w:type="pct"/>
            <w:shd w:val="clear" w:color="auto" w:fill="auto"/>
            <w:noWrap/>
            <w:tcMar>
              <w:left w:w="28" w:type="dxa"/>
              <w:right w:w="28" w:type="dxa"/>
            </w:tcMar>
            <w:vAlign w:val="center"/>
            <w:hideMark/>
          </w:tcPr>
          <w:p w14:paraId="279EB3EF" w14:textId="77777777" w:rsidR="00682CD7" w:rsidRPr="005E3251" w:rsidRDefault="004E3C0D" w:rsidP="00253F67">
            <w:pPr>
              <w:pStyle w:val="TableText0"/>
              <w:keepNext w:val="0"/>
              <w:widowControl w:val="0"/>
              <w:jc w:val="center"/>
              <w:rPr>
                <w:b/>
                <w:bCs w:val="0"/>
              </w:rPr>
            </w:pPr>
            <w:r w:rsidRPr="005E3251">
              <w:rPr>
                <w:b/>
                <w:bCs w:val="0"/>
              </w:rPr>
              <w:t xml:space="preserve">0.56 </w:t>
            </w:r>
          </w:p>
          <w:p w14:paraId="50B70B38" w14:textId="0F8CCCEF" w:rsidR="004E3C0D" w:rsidRPr="005E3251" w:rsidRDefault="004E3C0D" w:rsidP="00253F67">
            <w:pPr>
              <w:pStyle w:val="TableText0"/>
              <w:keepNext w:val="0"/>
              <w:widowControl w:val="0"/>
              <w:jc w:val="center"/>
              <w:rPr>
                <w:b/>
                <w:bCs w:val="0"/>
              </w:rPr>
            </w:pPr>
            <w:r w:rsidRPr="005E3251">
              <w:rPr>
                <w:b/>
                <w:bCs w:val="0"/>
              </w:rPr>
              <w:t>(0.40, 0.73)</w:t>
            </w:r>
          </w:p>
        </w:tc>
      </w:tr>
      <w:tr w:rsidR="003416F9" w:rsidRPr="005E3251" w14:paraId="774828F0" w14:textId="77777777" w:rsidTr="003416F9">
        <w:trPr>
          <w:trHeight w:val="297"/>
        </w:trPr>
        <w:tc>
          <w:tcPr>
            <w:tcW w:w="2847" w:type="pct"/>
            <w:gridSpan w:val="4"/>
            <w:shd w:val="clear" w:color="auto" w:fill="auto"/>
            <w:noWrap/>
            <w:tcMar>
              <w:left w:w="28" w:type="dxa"/>
              <w:right w:w="28" w:type="dxa"/>
            </w:tcMar>
            <w:vAlign w:val="center"/>
          </w:tcPr>
          <w:p w14:paraId="50A24813" w14:textId="77777777" w:rsidR="004E3C0D" w:rsidRPr="005E3251" w:rsidRDefault="004E3C0D" w:rsidP="00253F67">
            <w:pPr>
              <w:pStyle w:val="TableText0"/>
              <w:keepNext w:val="0"/>
              <w:widowControl w:val="0"/>
            </w:pPr>
            <w:r w:rsidRPr="005E3251">
              <w:t>Pooled estimates for FFA 0.7 mg/kg/day (- STP) used in indirect comparison</w:t>
            </w:r>
          </w:p>
        </w:tc>
        <w:tc>
          <w:tcPr>
            <w:tcW w:w="758" w:type="pct"/>
            <w:shd w:val="clear" w:color="auto" w:fill="auto"/>
            <w:noWrap/>
            <w:tcMar>
              <w:left w:w="28" w:type="dxa"/>
              <w:right w:w="28" w:type="dxa"/>
            </w:tcMar>
            <w:vAlign w:val="center"/>
          </w:tcPr>
          <w:p w14:paraId="7CE231A9" w14:textId="77777777" w:rsidR="00682CD7" w:rsidRPr="005E3251" w:rsidRDefault="004E3C0D" w:rsidP="00253F67">
            <w:pPr>
              <w:pStyle w:val="TableText0"/>
              <w:keepNext w:val="0"/>
              <w:widowControl w:val="0"/>
              <w:jc w:val="center"/>
              <w:rPr>
                <w:b/>
                <w:bCs w:val="0"/>
              </w:rPr>
            </w:pPr>
            <w:r w:rsidRPr="005E3251">
              <w:rPr>
                <w:b/>
                <w:bCs w:val="0"/>
              </w:rPr>
              <w:t xml:space="preserve">14.67 </w:t>
            </w:r>
          </w:p>
          <w:p w14:paraId="7CB3D7BE" w14:textId="30A9CB1F" w:rsidR="004E3C0D" w:rsidRPr="005E3251" w:rsidRDefault="004E3C0D" w:rsidP="00253F67">
            <w:pPr>
              <w:pStyle w:val="TableText0"/>
              <w:keepNext w:val="0"/>
              <w:widowControl w:val="0"/>
              <w:jc w:val="center"/>
              <w:rPr>
                <w:b/>
                <w:bCs w:val="0"/>
              </w:rPr>
            </w:pPr>
            <w:r w:rsidRPr="005E3251">
              <w:rPr>
                <w:b/>
                <w:bCs w:val="0"/>
              </w:rPr>
              <w:t>(6.80, 31.66)</w:t>
            </w:r>
          </w:p>
        </w:tc>
        <w:tc>
          <w:tcPr>
            <w:tcW w:w="716" w:type="pct"/>
            <w:shd w:val="clear" w:color="auto" w:fill="auto"/>
            <w:noWrap/>
            <w:tcMar>
              <w:left w:w="28" w:type="dxa"/>
              <w:right w:w="28" w:type="dxa"/>
            </w:tcMar>
            <w:vAlign w:val="center"/>
          </w:tcPr>
          <w:p w14:paraId="587AF639" w14:textId="77777777" w:rsidR="00682CD7" w:rsidRPr="005E3251" w:rsidRDefault="004E3C0D" w:rsidP="00253F67">
            <w:pPr>
              <w:pStyle w:val="TableText0"/>
              <w:keepNext w:val="0"/>
              <w:widowControl w:val="0"/>
              <w:jc w:val="center"/>
              <w:rPr>
                <w:b/>
                <w:bCs w:val="0"/>
              </w:rPr>
            </w:pPr>
            <w:r w:rsidRPr="005E3251">
              <w:rPr>
                <w:b/>
                <w:bCs w:val="0"/>
              </w:rPr>
              <w:t xml:space="preserve">2.79 </w:t>
            </w:r>
          </w:p>
          <w:p w14:paraId="1A6881DF" w14:textId="2FBF49B2" w:rsidR="004E3C0D" w:rsidRPr="005E3251" w:rsidRDefault="004E3C0D" w:rsidP="00253F67">
            <w:pPr>
              <w:pStyle w:val="TableText0"/>
              <w:keepNext w:val="0"/>
              <w:widowControl w:val="0"/>
              <w:jc w:val="center"/>
              <w:rPr>
                <w:b/>
                <w:bCs w:val="0"/>
              </w:rPr>
            </w:pPr>
            <w:r w:rsidRPr="005E3251">
              <w:rPr>
                <w:b/>
                <w:bCs w:val="0"/>
              </w:rPr>
              <w:t>(2.02, 3.85)</w:t>
            </w:r>
          </w:p>
        </w:tc>
        <w:tc>
          <w:tcPr>
            <w:tcW w:w="679" w:type="pct"/>
            <w:shd w:val="clear" w:color="auto" w:fill="auto"/>
            <w:noWrap/>
            <w:tcMar>
              <w:left w:w="28" w:type="dxa"/>
              <w:right w:w="28" w:type="dxa"/>
            </w:tcMar>
            <w:vAlign w:val="center"/>
          </w:tcPr>
          <w:p w14:paraId="4B927850" w14:textId="77777777" w:rsidR="00682CD7" w:rsidRPr="005E3251" w:rsidRDefault="004E3C0D" w:rsidP="00253F67">
            <w:pPr>
              <w:pStyle w:val="TableText0"/>
              <w:keepNext w:val="0"/>
              <w:widowControl w:val="0"/>
              <w:jc w:val="center"/>
              <w:rPr>
                <w:b/>
                <w:bCs w:val="0"/>
              </w:rPr>
            </w:pPr>
            <w:r w:rsidRPr="005E3251">
              <w:rPr>
                <w:b/>
                <w:bCs w:val="0"/>
              </w:rPr>
              <w:t>0.56</w:t>
            </w:r>
          </w:p>
          <w:p w14:paraId="364B0694" w14:textId="7175B44A" w:rsidR="004E3C0D" w:rsidRPr="005E3251" w:rsidRDefault="004E3C0D" w:rsidP="00253F67">
            <w:pPr>
              <w:pStyle w:val="TableText0"/>
              <w:keepNext w:val="0"/>
              <w:widowControl w:val="0"/>
              <w:jc w:val="center"/>
              <w:rPr>
                <w:b/>
                <w:bCs w:val="0"/>
              </w:rPr>
            </w:pPr>
            <w:r w:rsidRPr="005E3251">
              <w:rPr>
                <w:b/>
                <w:bCs w:val="0"/>
              </w:rPr>
              <w:t xml:space="preserve"> (0.44, 0.68)</w:t>
            </w:r>
          </w:p>
        </w:tc>
      </w:tr>
      <w:tr w:rsidR="00682CD7" w:rsidRPr="005E3251" w14:paraId="2D534F3A" w14:textId="77777777" w:rsidTr="003416F9">
        <w:trPr>
          <w:trHeight w:val="297"/>
        </w:trPr>
        <w:tc>
          <w:tcPr>
            <w:tcW w:w="813" w:type="pct"/>
            <w:shd w:val="clear" w:color="auto" w:fill="auto"/>
            <w:noWrap/>
            <w:tcMar>
              <w:left w:w="28" w:type="dxa"/>
              <w:right w:w="28" w:type="dxa"/>
            </w:tcMar>
            <w:vAlign w:val="center"/>
            <w:hideMark/>
          </w:tcPr>
          <w:p w14:paraId="265782D7" w14:textId="77777777" w:rsidR="004E3C0D" w:rsidRPr="005E3251" w:rsidRDefault="004E3C0D" w:rsidP="00253F67">
            <w:pPr>
              <w:pStyle w:val="TableText0"/>
              <w:keepNext w:val="0"/>
              <w:widowControl w:val="0"/>
            </w:pPr>
            <w:r w:rsidRPr="005E3251">
              <w:t>Study 2</w:t>
            </w:r>
          </w:p>
        </w:tc>
        <w:tc>
          <w:tcPr>
            <w:tcW w:w="970" w:type="pct"/>
            <w:shd w:val="clear" w:color="auto" w:fill="auto"/>
            <w:noWrap/>
            <w:tcMar>
              <w:left w:w="28" w:type="dxa"/>
              <w:right w:w="28" w:type="dxa"/>
            </w:tcMar>
            <w:vAlign w:val="center"/>
            <w:hideMark/>
          </w:tcPr>
          <w:p w14:paraId="06432B21" w14:textId="77777777" w:rsidR="004E3C0D" w:rsidRPr="005E3251" w:rsidRDefault="004E3C0D" w:rsidP="00253F67">
            <w:pPr>
              <w:pStyle w:val="TableText0"/>
              <w:keepNext w:val="0"/>
              <w:widowControl w:val="0"/>
              <w:jc w:val="center"/>
            </w:pPr>
            <w:r w:rsidRPr="005E3251">
              <w:t>FFA 0.4 mg/kg/day (+ STP)</w:t>
            </w:r>
          </w:p>
        </w:tc>
        <w:tc>
          <w:tcPr>
            <w:tcW w:w="583" w:type="pct"/>
            <w:shd w:val="clear" w:color="auto" w:fill="auto"/>
            <w:noWrap/>
            <w:tcMar>
              <w:left w:w="28" w:type="dxa"/>
              <w:right w:w="28" w:type="dxa"/>
            </w:tcMar>
            <w:vAlign w:val="center"/>
            <w:hideMark/>
          </w:tcPr>
          <w:p w14:paraId="59DA4D3B" w14:textId="77777777" w:rsidR="004E3C0D" w:rsidRPr="005E3251" w:rsidRDefault="004E3C0D" w:rsidP="00253F67">
            <w:pPr>
              <w:pStyle w:val="TableText0"/>
              <w:keepNext w:val="0"/>
              <w:widowControl w:val="0"/>
              <w:jc w:val="center"/>
            </w:pPr>
            <w:r w:rsidRPr="005E3251">
              <w:t>30/43 (69.8)</w:t>
            </w:r>
          </w:p>
        </w:tc>
        <w:tc>
          <w:tcPr>
            <w:tcW w:w="480" w:type="pct"/>
            <w:shd w:val="clear" w:color="auto" w:fill="auto"/>
            <w:noWrap/>
            <w:tcMar>
              <w:left w:w="28" w:type="dxa"/>
              <w:right w:w="28" w:type="dxa"/>
            </w:tcMar>
            <w:vAlign w:val="center"/>
            <w:hideMark/>
          </w:tcPr>
          <w:p w14:paraId="26D1ABC6" w14:textId="77777777" w:rsidR="004E3C0D" w:rsidRPr="005E3251" w:rsidRDefault="004E3C0D" w:rsidP="00253F67">
            <w:pPr>
              <w:pStyle w:val="TableText0"/>
              <w:keepNext w:val="0"/>
              <w:widowControl w:val="0"/>
              <w:jc w:val="center"/>
            </w:pPr>
            <w:r w:rsidRPr="005E3251">
              <w:t>12/44 (27.3)</w:t>
            </w:r>
          </w:p>
        </w:tc>
        <w:tc>
          <w:tcPr>
            <w:tcW w:w="758" w:type="pct"/>
            <w:shd w:val="clear" w:color="auto" w:fill="auto"/>
            <w:noWrap/>
            <w:tcMar>
              <w:left w:w="28" w:type="dxa"/>
              <w:right w:w="28" w:type="dxa"/>
            </w:tcMar>
            <w:vAlign w:val="center"/>
            <w:hideMark/>
          </w:tcPr>
          <w:p w14:paraId="687D8B97" w14:textId="77777777" w:rsidR="00682CD7" w:rsidRPr="005E3251" w:rsidRDefault="004E3C0D" w:rsidP="00253F67">
            <w:pPr>
              <w:pStyle w:val="TableText0"/>
              <w:keepNext w:val="0"/>
              <w:widowControl w:val="0"/>
              <w:jc w:val="center"/>
              <w:rPr>
                <w:b/>
                <w:bCs w:val="0"/>
              </w:rPr>
            </w:pPr>
            <w:r w:rsidRPr="005E3251">
              <w:rPr>
                <w:b/>
                <w:bCs w:val="0"/>
              </w:rPr>
              <w:t xml:space="preserve">6.15 </w:t>
            </w:r>
          </w:p>
          <w:p w14:paraId="54B78E84" w14:textId="63D7CA6C" w:rsidR="004E3C0D" w:rsidRPr="005E3251" w:rsidRDefault="004E3C0D" w:rsidP="00253F67">
            <w:pPr>
              <w:pStyle w:val="TableText0"/>
              <w:keepNext w:val="0"/>
              <w:widowControl w:val="0"/>
              <w:jc w:val="center"/>
              <w:rPr>
                <w:b/>
                <w:bCs w:val="0"/>
              </w:rPr>
            </w:pPr>
            <w:r w:rsidRPr="005E3251">
              <w:rPr>
                <w:b/>
                <w:bCs w:val="0"/>
              </w:rPr>
              <w:t>(2.43, 15.59)</w:t>
            </w:r>
          </w:p>
        </w:tc>
        <w:tc>
          <w:tcPr>
            <w:tcW w:w="716" w:type="pct"/>
            <w:shd w:val="clear" w:color="auto" w:fill="auto"/>
            <w:noWrap/>
            <w:tcMar>
              <w:left w:w="28" w:type="dxa"/>
              <w:right w:w="28" w:type="dxa"/>
            </w:tcMar>
            <w:vAlign w:val="center"/>
            <w:hideMark/>
          </w:tcPr>
          <w:p w14:paraId="1BC03AEA" w14:textId="77777777" w:rsidR="00682CD7" w:rsidRPr="005E3251" w:rsidRDefault="004E3C0D" w:rsidP="00253F67">
            <w:pPr>
              <w:pStyle w:val="TableText0"/>
              <w:keepNext w:val="0"/>
              <w:widowControl w:val="0"/>
              <w:jc w:val="center"/>
              <w:rPr>
                <w:b/>
                <w:bCs w:val="0"/>
              </w:rPr>
            </w:pPr>
            <w:r w:rsidRPr="005E3251">
              <w:rPr>
                <w:b/>
                <w:bCs w:val="0"/>
              </w:rPr>
              <w:t>2.56</w:t>
            </w:r>
          </w:p>
          <w:p w14:paraId="20E331A6" w14:textId="1AD941DB" w:rsidR="004E3C0D" w:rsidRPr="005E3251" w:rsidRDefault="004E3C0D" w:rsidP="00253F67">
            <w:pPr>
              <w:pStyle w:val="TableText0"/>
              <w:keepNext w:val="0"/>
              <w:widowControl w:val="0"/>
              <w:jc w:val="center"/>
              <w:rPr>
                <w:b/>
                <w:bCs w:val="0"/>
              </w:rPr>
            </w:pPr>
            <w:r w:rsidRPr="005E3251">
              <w:rPr>
                <w:b/>
                <w:bCs w:val="0"/>
              </w:rPr>
              <w:t xml:space="preserve"> (1.52, 4.31)</w:t>
            </w:r>
          </w:p>
        </w:tc>
        <w:tc>
          <w:tcPr>
            <w:tcW w:w="679" w:type="pct"/>
            <w:shd w:val="clear" w:color="auto" w:fill="auto"/>
            <w:noWrap/>
            <w:tcMar>
              <w:left w:w="28" w:type="dxa"/>
              <w:right w:w="28" w:type="dxa"/>
            </w:tcMar>
            <w:vAlign w:val="center"/>
            <w:hideMark/>
          </w:tcPr>
          <w:p w14:paraId="6210EB07" w14:textId="77777777" w:rsidR="00682CD7" w:rsidRPr="005E3251" w:rsidRDefault="004E3C0D" w:rsidP="00253F67">
            <w:pPr>
              <w:pStyle w:val="TableText0"/>
              <w:keepNext w:val="0"/>
              <w:widowControl w:val="0"/>
              <w:jc w:val="center"/>
              <w:rPr>
                <w:b/>
                <w:bCs w:val="0"/>
              </w:rPr>
            </w:pPr>
            <w:r w:rsidRPr="005E3251">
              <w:rPr>
                <w:b/>
                <w:bCs w:val="0"/>
              </w:rPr>
              <w:t>0.42</w:t>
            </w:r>
          </w:p>
          <w:p w14:paraId="46F48306" w14:textId="7A9C87C1" w:rsidR="004E3C0D" w:rsidRPr="005E3251" w:rsidRDefault="004E3C0D" w:rsidP="00253F67">
            <w:pPr>
              <w:pStyle w:val="TableText0"/>
              <w:keepNext w:val="0"/>
              <w:widowControl w:val="0"/>
              <w:jc w:val="center"/>
              <w:rPr>
                <w:b/>
                <w:bCs w:val="0"/>
              </w:rPr>
            </w:pPr>
            <w:r w:rsidRPr="005E3251">
              <w:rPr>
                <w:b/>
                <w:bCs w:val="0"/>
              </w:rPr>
              <w:t xml:space="preserve"> (0.23, 0.62)</w:t>
            </w:r>
          </w:p>
        </w:tc>
      </w:tr>
      <w:tr w:rsidR="003416F9" w:rsidRPr="005E3251" w14:paraId="768C6C40" w14:textId="77777777" w:rsidTr="003416F9">
        <w:trPr>
          <w:trHeight w:val="297"/>
        </w:trPr>
        <w:tc>
          <w:tcPr>
            <w:tcW w:w="2847" w:type="pct"/>
            <w:gridSpan w:val="4"/>
            <w:shd w:val="clear" w:color="auto" w:fill="auto"/>
            <w:noWrap/>
            <w:tcMar>
              <w:left w:w="28" w:type="dxa"/>
              <w:right w:w="28" w:type="dxa"/>
            </w:tcMar>
            <w:vAlign w:val="center"/>
          </w:tcPr>
          <w:p w14:paraId="701339EF" w14:textId="77777777" w:rsidR="004E3C0D" w:rsidRPr="005E3251" w:rsidRDefault="004E3C0D" w:rsidP="00253F67">
            <w:pPr>
              <w:pStyle w:val="TableText0"/>
              <w:keepNext w:val="0"/>
              <w:widowControl w:val="0"/>
            </w:pPr>
            <w:r w:rsidRPr="005E3251">
              <w:t>Pooled estimates for FFA 0.4 mg/kg/day (+ STP) used in indirect comparison</w:t>
            </w:r>
          </w:p>
        </w:tc>
        <w:tc>
          <w:tcPr>
            <w:tcW w:w="758" w:type="pct"/>
            <w:shd w:val="clear" w:color="auto" w:fill="auto"/>
            <w:noWrap/>
            <w:tcMar>
              <w:left w:w="28" w:type="dxa"/>
              <w:right w:w="28" w:type="dxa"/>
            </w:tcMar>
            <w:vAlign w:val="center"/>
          </w:tcPr>
          <w:p w14:paraId="5D88DFFB" w14:textId="77777777" w:rsidR="00682CD7" w:rsidRPr="005E3251" w:rsidRDefault="004E3C0D" w:rsidP="00253F67">
            <w:pPr>
              <w:pStyle w:val="TableText0"/>
              <w:keepNext w:val="0"/>
              <w:widowControl w:val="0"/>
              <w:jc w:val="center"/>
              <w:rPr>
                <w:b/>
                <w:bCs w:val="0"/>
              </w:rPr>
            </w:pPr>
            <w:r w:rsidRPr="005E3251">
              <w:rPr>
                <w:b/>
                <w:bCs w:val="0"/>
              </w:rPr>
              <w:t xml:space="preserve">6.15 </w:t>
            </w:r>
          </w:p>
          <w:p w14:paraId="2CA28C2C" w14:textId="3B0C2F8C" w:rsidR="004E3C0D" w:rsidRPr="005E3251" w:rsidRDefault="004E3C0D" w:rsidP="00253F67">
            <w:pPr>
              <w:pStyle w:val="TableText0"/>
              <w:keepNext w:val="0"/>
              <w:widowControl w:val="0"/>
              <w:jc w:val="center"/>
              <w:rPr>
                <w:b/>
                <w:bCs w:val="0"/>
              </w:rPr>
            </w:pPr>
            <w:r w:rsidRPr="005E3251">
              <w:rPr>
                <w:b/>
                <w:bCs w:val="0"/>
              </w:rPr>
              <w:t>(2.43, 15.59)</w:t>
            </w:r>
          </w:p>
        </w:tc>
        <w:tc>
          <w:tcPr>
            <w:tcW w:w="716" w:type="pct"/>
            <w:shd w:val="clear" w:color="auto" w:fill="auto"/>
            <w:noWrap/>
            <w:tcMar>
              <w:left w:w="28" w:type="dxa"/>
              <w:right w:w="28" w:type="dxa"/>
            </w:tcMar>
            <w:vAlign w:val="center"/>
          </w:tcPr>
          <w:p w14:paraId="206E44F1" w14:textId="77777777" w:rsidR="00682CD7" w:rsidRPr="005E3251" w:rsidRDefault="004E3C0D" w:rsidP="00253F67">
            <w:pPr>
              <w:pStyle w:val="TableText0"/>
              <w:keepNext w:val="0"/>
              <w:widowControl w:val="0"/>
              <w:jc w:val="center"/>
              <w:rPr>
                <w:b/>
                <w:bCs w:val="0"/>
              </w:rPr>
            </w:pPr>
            <w:r w:rsidRPr="005E3251">
              <w:rPr>
                <w:b/>
                <w:bCs w:val="0"/>
              </w:rPr>
              <w:t xml:space="preserve">2.56 </w:t>
            </w:r>
          </w:p>
          <w:p w14:paraId="72E841AF" w14:textId="341B8FF4" w:rsidR="004E3C0D" w:rsidRPr="005E3251" w:rsidRDefault="004E3C0D" w:rsidP="00253F67">
            <w:pPr>
              <w:pStyle w:val="TableText0"/>
              <w:keepNext w:val="0"/>
              <w:widowControl w:val="0"/>
              <w:jc w:val="center"/>
              <w:rPr>
                <w:b/>
                <w:bCs w:val="0"/>
              </w:rPr>
            </w:pPr>
            <w:r w:rsidRPr="005E3251">
              <w:rPr>
                <w:b/>
                <w:bCs w:val="0"/>
              </w:rPr>
              <w:t>(1.52, 4.31)</w:t>
            </w:r>
          </w:p>
        </w:tc>
        <w:tc>
          <w:tcPr>
            <w:tcW w:w="679" w:type="pct"/>
            <w:shd w:val="clear" w:color="auto" w:fill="auto"/>
            <w:noWrap/>
            <w:tcMar>
              <w:left w:w="28" w:type="dxa"/>
              <w:right w:w="28" w:type="dxa"/>
            </w:tcMar>
            <w:vAlign w:val="center"/>
          </w:tcPr>
          <w:p w14:paraId="5196686C" w14:textId="77777777" w:rsidR="00682CD7" w:rsidRPr="005E3251" w:rsidRDefault="004E3C0D" w:rsidP="00253F67">
            <w:pPr>
              <w:pStyle w:val="TableText0"/>
              <w:keepNext w:val="0"/>
              <w:widowControl w:val="0"/>
              <w:jc w:val="center"/>
              <w:rPr>
                <w:b/>
                <w:bCs w:val="0"/>
              </w:rPr>
            </w:pPr>
            <w:r w:rsidRPr="005E3251">
              <w:rPr>
                <w:b/>
                <w:bCs w:val="0"/>
              </w:rPr>
              <w:t xml:space="preserve">0.42 </w:t>
            </w:r>
          </w:p>
          <w:p w14:paraId="532CBE46" w14:textId="37624FA6" w:rsidR="004E3C0D" w:rsidRPr="005E3251" w:rsidRDefault="004E3C0D" w:rsidP="00253F67">
            <w:pPr>
              <w:pStyle w:val="TableText0"/>
              <w:keepNext w:val="0"/>
              <w:widowControl w:val="0"/>
              <w:jc w:val="center"/>
              <w:rPr>
                <w:b/>
                <w:bCs w:val="0"/>
              </w:rPr>
            </w:pPr>
            <w:r w:rsidRPr="005E3251">
              <w:rPr>
                <w:b/>
                <w:bCs w:val="0"/>
              </w:rPr>
              <w:t>(0.23, 0.62)</w:t>
            </w:r>
          </w:p>
        </w:tc>
      </w:tr>
      <w:tr w:rsidR="00682CD7" w:rsidRPr="005E3251" w14:paraId="3509FCF9" w14:textId="77777777" w:rsidTr="003416F9">
        <w:trPr>
          <w:trHeight w:val="297"/>
        </w:trPr>
        <w:tc>
          <w:tcPr>
            <w:tcW w:w="813" w:type="pct"/>
            <w:shd w:val="clear" w:color="auto" w:fill="auto"/>
            <w:noWrap/>
            <w:tcMar>
              <w:left w:w="28" w:type="dxa"/>
              <w:right w:w="28" w:type="dxa"/>
            </w:tcMar>
            <w:vAlign w:val="center"/>
            <w:hideMark/>
          </w:tcPr>
          <w:p w14:paraId="0421D7E1" w14:textId="77777777" w:rsidR="004E3C0D" w:rsidRPr="005E3251" w:rsidRDefault="004E3C0D" w:rsidP="00253F67">
            <w:pPr>
              <w:pStyle w:val="TableText0"/>
              <w:keepNext w:val="0"/>
              <w:widowControl w:val="0"/>
            </w:pPr>
            <w:r w:rsidRPr="005E3251">
              <w:t>GWPCARE1</w:t>
            </w:r>
          </w:p>
        </w:tc>
        <w:tc>
          <w:tcPr>
            <w:tcW w:w="970" w:type="pct"/>
            <w:shd w:val="clear" w:color="auto" w:fill="auto"/>
            <w:noWrap/>
            <w:tcMar>
              <w:left w:w="28" w:type="dxa"/>
              <w:right w:w="28" w:type="dxa"/>
            </w:tcMar>
            <w:vAlign w:val="center"/>
            <w:hideMark/>
          </w:tcPr>
          <w:p w14:paraId="03BB877B" w14:textId="77777777" w:rsidR="00654B1A" w:rsidRDefault="004E3C0D" w:rsidP="00253F67">
            <w:pPr>
              <w:pStyle w:val="TableText0"/>
              <w:keepNext w:val="0"/>
              <w:widowControl w:val="0"/>
              <w:jc w:val="center"/>
            </w:pPr>
            <w:r w:rsidRPr="005E3251">
              <w:t>CBD 20 mg/kg/day</w:t>
            </w:r>
          </w:p>
          <w:p w14:paraId="21637356" w14:textId="013C5CAA" w:rsidR="004E3C0D" w:rsidRPr="005E3251" w:rsidRDefault="004E3C0D" w:rsidP="00253F67">
            <w:pPr>
              <w:pStyle w:val="TableText0"/>
              <w:keepNext w:val="0"/>
              <w:widowControl w:val="0"/>
              <w:jc w:val="center"/>
            </w:pPr>
            <w:r w:rsidRPr="005E3251">
              <w:t xml:space="preserve"> (+/- STP)</w:t>
            </w:r>
          </w:p>
        </w:tc>
        <w:tc>
          <w:tcPr>
            <w:tcW w:w="583" w:type="pct"/>
            <w:shd w:val="clear" w:color="auto" w:fill="auto"/>
            <w:noWrap/>
            <w:tcMar>
              <w:left w:w="28" w:type="dxa"/>
              <w:right w:w="28" w:type="dxa"/>
            </w:tcMar>
            <w:vAlign w:val="center"/>
            <w:hideMark/>
          </w:tcPr>
          <w:p w14:paraId="7F4C5E3D" w14:textId="77777777" w:rsidR="004E3C0D" w:rsidRPr="005E3251" w:rsidRDefault="004E3C0D" w:rsidP="00253F67">
            <w:pPr>
              <w:pStyle w:val="TableText0"/>
              <w:keepNext w:val="0"/>
              <w:widowControl w:val="0"/>
              <w:jc w:val="center"/>
            </w:pPr>
            <w:r w:rsidRPr="005E3251">
              <w:t>38/61 (62.3)</w:t>
            </w:r>
          </w:p>
        </w:tc>
        <w:tc>
          <w:tcPr>
            <w:tcW w:w="480" w:type="pct"/>
            <w:shd w:val="clear" w:color="auto" w:fill="auto"/>
            <w:noWrap/>
            <w:tcMar>
              <w:left w:w="28" w:type="dxa"/>
              <w:right w:w="28" w:type="dxa"/>
            </w:tcMar>
            <w:vAlign w:val="center"/>
            <w:hideMark/>
          </w:tcPr>
          <w:p w14:paraId="2FC84C9D" w14:textId="77777777" w:rsidR="004E3C0D" w:rsidRPr="005E3251" w:rsidRDefault="004E3C0D" w:rsidP="00253F67">
            <w:pPr>
              <w:pStyle w:val="TableText0"/>
              <w:keepNext w:val="0"/>
              <w:widowControl w:val="0"/>
              <w:jc w:val="center"/>
            </w:pPr>
            <w:r w:rsidRPr="005E3251">
              <w:t>26/59 (44.1)</w:t>
            </w:r>
          </w:p>
        </w:tc>
        <w:tc>
          <w:tcPr>
            <w:tcW w:w="758" w:type="pct"/>
            <w:shd w:val="clear" w:color="auto" w:fill="auto"/>
            <w:noWrap/>
            <w:tcMar>
              <w:left w:w="28" w:type="dxa"/>
              <w:right w:w="28" w:type="dxa"/>
            </w:tcMar>
            <w:vAlign w:val="center"/>
            <w:hideMark/>
          </w:tcPr>
          <w:p w14:paraId="3A7859B9" w14:textId="77777777" w:rsidR="00682CD7" w:rsidRPr="005E3251" w:rsidRDefault="004E3C0D" w:rsidP="00253F67">
            <w:pPr>
              <w:pStyle w:val="TableText0"/>
              <w:keepNext w:val="0"/>
              <w:widowControl w:val="0"/>
              <w:jc w:val="center"/>
              <w:rPr>
                <w:b/>
                <w:bCs w:val="0"/>
              </w:rPr>
            </w:pPr>
            <w:r w:rsidRPr="005E3251">
              <w:rPr>
                <w:b/>
                <w:bCs w:val="0"/>
              </w:rPr>
              <w:t>2.1</w:t>
            </w:r>
          </w:p>
          <w:p w14:paraId="322FDFA7" w14:textId="6BD08B2E" w:rsidR="004E3C0D" w:rsidRPr="005E3251" w:rsidRDefault="004E3C0D" w:rsidP="00253F67">
            <w:pPr>
              <w:pStyle w:val="TableText0"/>
              <w:keepNext w:val="0"/>
              <w:widowControl w:val="0"/>
              <w:jc w:val="center"/>
              <w:rPr>
                <w:b/>
                <w:bCs w:val="0"/>
              </w:rPr>
            </w:pPr>
            <w:r w:rsidRPr="005E3251">
              <w:rPr>
                <w:b/>
                <w:bCs w:val="0"/>
              </w:rPr>
              <w:t xml:space="preserve"> (1.01, 4.35)</w:t>
            </w:r>
          </w:p>
        </w:tc>
        <w:tc>
          <w:tcPr>
            <w:tcW w:w="716" w:type="pct"/>
            <w:shd w:val="clear" w:color="auto" w:fill="auto"/>
            <w:noWrap/>
            <w:tcMar>
              <w:left w:w="28" w:type="dxa"/>
              <w:right w:w="28" w:type="dxa"/>
            </w:tcMar>
            <w:vAlign w:val="center"/>
            <w:hideMark/>
          </w:tcPr>
          <w:p w14:paraId="65BC4410" w14:textId="77777777" w:rsidR="00682CD7" w:rsidRPr="005E3251" w:rsidRDefault="004E3C0D" w:rsidP="00253F67">
            <w:pPr>
              <w:pStyle w:val="TableText0"/>
              <w:keepNext w:val="0"/>
              <w:widowControl w:val="0"/>
              <w:jc w:val="center"/>
            </w:pPr>
            <w:r w:rsidRPr="005E3251">
              <w:t>1.41</w:t>
            </w:r>
          </w:p>
          <w:p w14:paraId="71A3E17B" w14:textId="32905291" w:rsidR="004E3C0D" w:rsidRPr="005E3251" w:rsidRDefault="004E3C0D" w:rsidP="00253F67">
            <w:pPr>
              <w:pStyle w:val="TableText0"/>
              <w:keepNext w:val="0"/>
              <w:widowControl w:val="0"/>
              <w:jc w:val="center"/>
            </w:pPr>
            <w:r w:rsidRPr="005E3251">
              <w:t xml:space="preserve"> (1.00, 2.00)</w:t>
            </w:r>
          </w:p>
        </w:tc>
        <w:tc>
          <w:tcPr>
            <w:tcW w:w="679" w:type="pct"/>
            <w:shd w:val="clear" w:color="auto" w:fill="auto"/>
            <w:noWrap/>
            <w:tcMar>
              <w:left w:w="28" w:type="dxa"/>
              <w:right w:w="28" w:type="dxa"/>
            </w:tcMar>
            <w:vAlign w:val="center"/>
            <w:hideMark/>
          </w:tcPr>
          <w:p w14:paraId="3577A73B" w14:textId="77777777" w:rsidR="00682CD7" w:rsidRPr="005E3251" w:rsidRDefault="004E3C0D" w:rsidP="00253F67">
            <w:pPr>
              <w:pStyle w:val="TableText0"/>
              <w:keepNext w:val="0"/>
              <w:widowControl w:val="0"/>
              <w:jc w:val="center"/>
              <w:rPr>
                <w:b/>
                <w:bCs w:val="0"/>
              </w:rPr>
            </w:pPr>
            <w:r w:rsidRPr="005E3251">
              <w:rPr>
                <w:b/>
                <w:bCs w:val="0"/>
              </w:rPr>
              <w:t xml:space="preserve">0.18 </w:t>
            </w:r>
          </w:p>
          <w:p w14:paraId="370E2764" w14:textId="479EE302" w:rsidR="004E3C0D" w:rsidRPr="005E3251" w:rsidRDefault="004E3C0D" w:rsidP="00253F67">
            <w:pPr>
              <w:pStyle w:val="TableText0"/>
              <w:keepNext w:val="0"/>
              <w:widowControl w:val="0"/>
              <w:jc w:val="center"/>
              <w:rPr>
                <w:b/>
                <w:bCs w:val="0"/>
              </w:rPr>
            </w:pPr>
            <w:r w:rsidRPr="005E3251">
              <w:rPr>
                <w:b/>
                <w:bCs w:val="0"/>
              </w:rPr>
              <w:t>(0.01, 0.36)</w:t>
            </w:r>
          </w:p>
        </w:tc>
      </w:tr>
      <w:tr w:rsidR="00682CD7" w:rsidRPr="005E3251" w14:paraId="063ED412" w14:textId="77777777" w:rsidTr="003416F9">
        <w:trPr>
          <w:trHeight w:val="297"/>
        </w:trPr>
        <w:tc>
          <w:tcPr>
            <w:tcW w:w="813" w:type="pct"/>
            <w:shd w:val="clear" w:color="auto" w:fill="auto"/>
            <w:noWrap/>
            <w:tcMar>
              <w:left w:w="28" w:type="dxa"/>
              <w:right w:w="28" w:type="dxa"/>
            </w:tcMar>
            <w:vAlign w:val="center"/>
            <w:hideMark/>
          </w:tcPr>
          <w:p w14:paraId="5B3AA789" w14:textId="77777777" w:rsidR="004E3C0D" w:rsidRPr="005E3251" w:rsidRDefault="004E3C0D" w:rsidP="00253F67">
            <w:pPr>
              <w:pStyle w:val="TableText0"/>
              <w:keepNext w:val="0"/>
              <w:widowControl w:val="0"/>
            </w:pPr>
            <w:r w:rsidRPr="005E3251">
              <w:t>GWPCARE2</w:t>
            </w:r>
          </w:p>
        </w:tc>
        <w:tc>
          <w:tcPr>
            <w:tcW w:w="970" w:type="pct"/>
            <w:shd w:val="clear" w:color="auto" w:fill="auto"/>
            <w:noWrap/>
            <w:tcMar>
              <w:left w:w="28" w:type="dxa"/>
              <w:right w:w="28" w:type="dxa"/>
            </w:tcMar>
            <w:vAlign w:val="center"/>
            <w:hideMark/>
          </w:tcPr>
          <w:p w14:paraId="021127CB" w14:textId="77777777" w:rsidR="00654B1A" w:rsidRDefault="004E3C0D" w:rsidP="00253F67">
            <w:pPr>
              <w:pStyle w:val="TableText0"/>
              <w:keepNext w:val="0"/>
              <w:widowControl w:val="0"/>
              <w:jc w:val="center"/>
            </w:pPr>
            <w:r w:rsidRPr="005E3251">
              <w:t>CBD 20 mg/kg/day</w:t>
            </w:r>
          </w:p>
          <w:p w14:paraId="743A0CC1" w14:textId="0914E7E6" w:rsidR="004E3C0D" w:rsidRPr="005E3251" w:rsidRDefault="004E3C0D" w:rsidP="00253F67">
            <w:pPr>
              <w:pStyle w:val="TableText0"/>
              <w:keepNext w:val="0"/>
              <w:widowControl w:val="0"/>
              <w:jc w:val="center"/>
            </w:pPr>
            <w:r w:rsidRPr="005E3251">
              <w:t xml:space="preserve"> (+/- STP)</w:t>
            </w:r>
          </w:p>
        </w:tc>
        <w:tc>
          <w:tcPr>
            <w:tcW w:w="583" w:type="pct"/>
            <w:shd w:val="clear" w:color="auto" w:fill="auto"/>
            <w:noWrap/>
            <w:tcMar>
              <w:left w:w="28" w:type="dxa"/>
              <w:right w:w="28" w:type="dxa"/>
            </w:tcMar>
            <w:vAlign w:val="center"/>
            <w:hideMark/>
          </w:tcPr>
          <w:p w14:paraId="72084E15" w14:textId="77777777" w:rsidR="004E3C0D" w:rsidRPr="005E3251" w:rsidRDefault="004E3C0D" w:rsidP="00253F67">
            <w:pPr>
              <w:pStyle w:val="TableText0"/>
              <w:keepNext w:val="0"/>
              <w:widowControl w:val="0"/>
              <w:jc w:val="center"/>
            </w:pPr>
            <w:r w:rsidRPr="005E3251">
              <w:t>47/67 (70.1)</w:t>
            </w:r>
          </w:p>
        </w:tc>
        <w:tc>
          <w:tcPr>
            <w:tcW w:w="480" w:type="pct"/>
            <w:shd w:val="clear" w:color="auto" w:fill="auto"/>
            <w:noWrap/>
            <w:tcMar>
              <w:left w:w="28" w:type="dxa"/>
              <w:right w:w="28" w:type="dxa"/>
            </w:tcMar>
            <w:vAlign w:val="center"/>
            <w:hideMark/>
          </w:tcPr>
          <w:p w14:paraId="43A87324" w14:textId="77777777" w:rsidR="004E3C0D" w:rsidRPr="005E3251" w:rsidRDefault="004E3C0D" w:rsidP="00253F67">
            <w:pPr>
              <w:pStyle w:val="TableText0"/>
              <w:keepNext w:val="0"/>
              <w:widowControl w:val="0"/>
              <w:jc w:val="center"/>
            </w:pPr>
            <w:r w:rsidRPr="005E3251">
              <w:t>32/65 (49.2)</w:t>
            </w:r>
          </w:p>
        </w:tc>
        <w:tc>
          <w:tcPr>
            <w:tcW w:w="758" w:type="pct"/>
            <w:shd w:val="clear" w:color="auto" w:fill="auto"/>
            <w:noWrap/>
            <w:tcMar>
              <w:left w:w="28" w:type="dxa"/>
              <w:right w:w="28" w:type="dxa"/>
            </w:tcMar>
            <w:vAlign w:val="center"/>
            <w:hideMark/>
          </w:tcPr>
          <w:p w14:paraId="012CF7A1" w14:textId="77777777" w:rsidR="00682CD7" w:rsidRPr="005E3251" w:rsidRDefault="004E3C0D" w:rsidP="00253F67">
            <w:pPr>
              <w:pStyle w:val="TableText0"/>
              <w:keepNext w:val="0"/>
              <w:widowControl w:val="0"/>
              <w:jc w:val="center"/>
              <w:rPr>
                <w:b/>
                <w:bCs w:val="0"/>
              </w:rPr>
            </w:pPr>
            <w:r w:rsidRPr="005E3251">
              <w:rPr>
                <w:b/>
                <w:bCs w:val="0"/>
              </w:rPr>
              <w:t xml:space="preserve">2.42 </w:t>
            </w:r>
          </w:p>
          <w:p w14:paraId="3055FB21" w14:textId="2C09707B" w:rsidR="004E3C0D" w:rsidRPr="005E3251" w:rsidRDefault="004E3C0D" w:rsidP="00253F67">
            <w:pPr>
              <w:pStyle w:val="TableText0"/>
              <w:keepNext w:val="0"/>
              <w:widowControl w:val="0"/>
              <w:jc w:val="center"/>
              <w:rPr>
                <w:b/>
                <w:bCs w:val="0"/>
              </w:rPr>
            </w:pPr>
            <w:r w:rsidRPr="005E3251">
              <w:rPr>
                <w:b/>
                <w:bCs w:val="0"/>
              </w:rPr>
              <w:t>(1.19, 4.95)</w:t>
            </w:r>
          </w:p>
        </w:tc>
        <w:tc>
          <w:tcPr>
            <w:tcW w:w="716" w:type="pct"/>
            <w:shd w:val="clear" w:color="auto" w:fill="auto"/>
            <w:noWrap/>
            <w:tcMar>
              <w:left w:w="28" w:type="dxa"/>
              <w:right w:w="28" w:type="dxa"/>
            </w:tcMar>
            <w:vAlign w:val="center"/>
            <w:hideMark/>
          </w:tcPr>
          <w:p w14:paraId="237F1927" w14:textId="77777777" w:rsidR="00682CD7" w:rsidRPr="005E3251" w:rsidRDefault="004E3C0D" w:rsidP="00253F67">
            <w:pPr>
              <w:pStyle w:val="TableText0"/>
              <w:keepNext w:val="0"/>
              <w:widowControl w:val="0"/>
              <w:jc w:val="center"/>
              <w:rPr>
                <w:b/>
                <w:bCs w:val="0"/>
              </w:rPr>
            </w:pPr>
            <w:r w:rsidRPr="005E3251">
              <w:rPr>
                <w:b/>
                <w:bCs w:val="0"/>
              </w:rPr>
              <w:t>1.42</w:t>
            </w:r>
          </w:p>
          <w:p w14:paraId="6D8FECAA" w14:textId="54142292" w:rsidR="004E3C0D" w:rsidRPr="005E3251" w:rsidRDefault="004E3C0D" w:rsidP="00253F67">
            <w:pPr>
              <w:pStyle w:val="TableText0"/>
              <w:keepNext w:val="0"/>
              <w:widowControl w:val="0"/>
              <w:jc w:val="center"/>
              <w:rPr>
                <w:b/>
                <w:bCs w:val="0"/>
              </w:rPr>
            </w:pPr>
            <w:r w:rsidRPr="005E3251">
              <w:rPr>
                <w:b/>
                <w:bCs w:val="0"/>
              </w:rPr>
              <w:t xml:space="preserve"> (1.06, 1.91)</w:t>
            </w:r>
          </w:p>
        </w:tc>
        <w:tc>
          <w:tcPr>
            <w:tcW w:w="679" w:type="pct"/>
            <w:shd w:val="clear" w:color="auto" w:fill="auto"/>
            <w:noWrap/>
            <w:tcMar>
              <w:left w:w="28" w:type="dxa"/>
              <w:right w:w="28" w:type="dxa"/>
            </w:tcMar>
            <w:vAlign w:val="center"/>
            <w:hideMark/>
          </w:tcPr>
          <w:p w14:paraId="4B5B32F1" w14:textId="77777777" w:rsidR="00682CD7" w:rsidRPr="005E3251" w:rsidRDefault="004E3C0D" w:rsidP="00253F67">
            <w:pPr>
              <w:pStyle w:val="TableText0"/>
              <w:keepNext w:val="0"/>
              <w:widowControl w:val="0"/>
              <w:jc w:val="center"/>
              <w:rPr>
                <w:b/>
                <w:bCs w:val="0"/>
              </w:rPr>
            </w:pPr>
            <w:r w:rsidRPr="005E3251">
              <w:rPr>
                <w:b/>
                <w:bCs w:val="0"/>
              </w:rPr>
              <w:t>0.21</w:t>
            </w:r>
          </w:p>
          <w:p w14:paraId="45772121" w14:textId="173AF1CE" w:rsidR="004E3C0D" w:rsidRPr="005E3251" w:rsidRDefault="004E3C0D" w:rsidP="00253F67">
            <w:pPr>
              <w:pStyle w:val="TableText0"/>
              <w:keepNext w:val="0"/>
              <w:widowControl w:val="0"/>
              <w:jc w:val="center"/>
              <w:rPr>
                <w:b/>
                <w:bCs w:val="0"/>
              </w:rPr>
            </w:pPr>
            <w:r w:rsidRPr="005E3251">
              <w:rPr>
                <w:b/>
                <w:bCs w:val="0"/>
              </w:rPr>
              <w:t xml:space="preserve"> (0.05, 0.37)</w:t>
            </w:r>
          </w:p>
        </w:tc>
      </w:tr>
      <w:tr w:rsidR="003416F9" w:rsidRPr="005E3251" w14:paraId="00FAC53E" w14:textId="77777777" w:rsidTr="003416F9">
        <w:trPr>
          <w:trHeight w:val="297"/>
        </w:trPr>
        <w:tc>
          <w:tcPr>
            <w:tcW w:w="2847" w:type="pct"/>
            <w:gridSpan w:val="4"/>
            <w:shd w:val="clear" w:color="auto" w:fill="auto"/>
            <w:noWrap/>
            <w:tcMar>
              <w:left w:w="28" w:type="dxa"/>
              <w:right w:w="28" w:type="dxa"/>
            </w:tcMar>
            <w:vAlign w:val="center"/>
          </w:tcPr>
          <w:p w14:paraId="335A6B4A" w14:textId="77777777" w:rsidR="004E3C0D" w:rsidRPr="005E3251" w:rsidRDefault="004E3C0D" w:rsidP="00253F67">
            <w:pPr>
              <w:pStyle w:val="TableText0"/>
              <w:keepNext w:val="0"/>
              <w:widowControl w:val="0"/>
            </w:pPr>
            <w:r w:rsidRPr="005E3251">
              <w:t>Pooled estimates for CBD 20 mg/kg/day (+/- STP) used in indirect comparison</w:t>
            </w:r>
          </w:p>
        </w:tc>
        <w:tc>
          <w:tcPr>
            <w:tcW w:w="758" w:type="pct"/>
            <w:shd w:val="clear" w:color="auto" w:fill="auto"/>
            <w:noWrap/>
            <w:tcMar>
              <w:left w:w="28" w:type="dxa"/>
              <w:right w:w="28" w:type="dxa"/>
            </w:tcMar>
            <w:vAlign w:val="center"/>
          </w:tcPr>
          <w:p w14:paraId="3A025F8E" w14:textId="77777777" w:rsidR="00682CD7" w:rsidRPr="005E3251" w:rsidRDefault="004E3C0D" w:rsidP="00253F67">
            <w:pPr>
              <w:pStyle w:val="TableText0"/>
              <w:keepNext w:val="0"/>
              <w:widowControl w:val="0"/>
              <w:jc w:val="center"/>
              <w:rPr>
                <w:b/>
                <w:bCs w:val="0"/>
              </w:rPr>
            </w:pPr>
            <w:r w:rsidRPr="005E3251">
              <w:rPr>
                <w:b/>
                <w:bCs w:val="0"/>
              </w:rPr>
              <w:t>2.26</w:t>
            </w:r>
          </w:p>
          <w:p w14:paraId="2ED2CAEE" w14:textId="4BE8B8B2" w:rsidR="004E3C0D" w:rsidRPr="005E3251" w:rsidRDefault="004E3C0D" w:rsidP="00253F67">
            <w:pPr>
              <w:pStyle w:val="TableText0"/>
              <w:keepNext w:val="0"/>
              <w:widowControl w:val="0"/>
              <w:jc w:val="center"/>
              <w:rPr>
                <w:b/>
                <w:bCs w:val="0"/>
              </w:rPr>
            </w:pPr>
            <w:r w:rsidRPr="005E3251">
              <w:rPr>
                <w:b/>
                <w:bCs w:val="0"/>
              </w:rPr>
              <w:t xml:space="preserve"> (1.36, 3.76)</w:t>
            </w:r>
          </w:p>
        </w:tc>
        <w:tc>
          <w:tcPr>
            <w:tcW w:w="716" w:type="pct"/>
            <w:shd w:val="clear" w:color="auto" w:fill="auto"/>
            <w:noWrap/>
            <w:tcMar>
              <w:left w:w="28" w:type="dxa"/>
              <w:right w:w="28" w:type="dxa"/>
            </w:tcMar>
            <w:vAlign w:val="center"/>
          </w:tcPr>
          <w:p w14:paraId="287CF34F" w14:textId="77777777" w:rsidR="00682CD7" w:rsidRPr="005E3251" w:rsidRDefault="004E3C0D" w:rsidP="00253F67">
            <w:pPr>
              <w:pStyle w:val="TableText0"/>
              <w:keepNext w:val="0"/>
              <w:widowControl w:val="0"/>
              <w:jc w:val="center"/>
              <w:rPr>
                <w:b/>
                <w:bCs w:val="0"/>
              </w:rPr>
            </w:pPr>
            <w:r w:rsidRPr="005E3251">
              <w:rPr>
                <w:b/>
                <w:bCs w:val="0"/>
              </w:rPr>
              <w:t>1.42</w:t>
            </w:r>
          </w:p>
          <w:p w14:paraId="67BFC627" w14:textId="58F0C9DC" w:rsidR="004E3C0D" w:rsidRPr="005E3251" w:rsidRDefault="004E3C0D" w:rsidP="00253F67">
            <w:pPr>
              <w:pStyle w:val="TableText0"/>
              <w:keepNext w:val="0"/>
              <w:widowControl w:val="0"/>
              <w:jc w:val="center"/>
              <w:rPr>
                <w:b/>
                <w:bCs w:val="0"/>
              </w:rPr>
            </w:pPr>
            <w:r w:rsidRPr="005E3251">
              <w:rPr>
                <w:b/>
                <w:bCs w:val="0"/>
              </w:rPr>
              <w:t xml:space="preserve"> (1.14, 1.78)</w:t>
            </w:r>
          </w:p>
        </w:tc>
        <w:tc>
          <w:tcPr>
            <w:tcW w:w="679" w:type="pct"/>
            <w:shd w:val="clear" w:color="auto" w:fill="auto"/>
            <w:noWrap/>
            <w:tcMar>
              <w:left w:w="28" w:type="dxa"/>
              <w:right w:w="28" w:type="dxa"/>
            </w:tcMar>
            <w:vAlign w:val="center"/>
          </w:tcPr>
          <w:p w14:paraId="207BC332" w14:textId="77777777" w:rsidR="00682CD7" w:rsidRPr="005E3251" w:rsidRDefault="004E3C0D" w:rsidP="00253F67">
            <w:pPr>
              <w:pStyle w:val="TableText0"/>
              <w:keepNext w:val="0"/>
              <w:widowControl w:val="0"/>
              <w:jc w:val="center"/>
              <w:rPr>
                <w:b/>
                <w:bCs w:val="0"/>
              </w:rPr>
            </w:pPr>
            <w:r w:rsidRPr="005E3251">
              <w:rPr>
                <w:b/>
                <w:bCs w:val="0"/>
              </w:rPr>
              <w:t xml:space="preserve">0.20 </w:t>
            </w:r>
          </w:p>
          <w:p w14:paraId="4321C120" w14:textId="722F6D29" w:rsidR="004E3C0D" w:rsidRPr="005E3251" w:rsidRDefault="004E3C0D" w:rsidP="00253F67">
            <w:pPr>
              <w:pStyle w:val="TableText0"/>
              <w:keepNext w:val="0"/>
              <w:widowControl w:val="0"/>
              <w:jc w:val="center"/>
              <w:rPr>
                <w:b/>
                <w:bCs w:val="0"/>
              </w:rPr>
            </w:pPr>
            <w:r w:rsidRPr="005E3251">
              <w:rPr>
                <w:b/>
                <w:bCs w:val="0"/>
              </w:rPr>
              <w:t>(0.08, 0.32)</w:t>
            </w:r>
          </w:p>
        </w:tc>
      </w:tr>
      <w:tr w:rsidR="00682CD7" w:rsidRPr="005E3251" w14:paraId="385A6CC2" w14:textId="77777777" w:rsidTr="003416F9">
        <w:trPr>
          <w:trHeight w:val="297"/>
        </w:trPr>
        <w:tc>
          <w:tcPr>
            <w:tcW w:w="813" w:type="pct"/>
            <w:shd w:val="clear" w:color="auto" w:fill="auto"/>
            <w:noWrap/>
            <w:tcMar>
              <w:left w:w="28" w:type="dxa"/>
              <w:right w:w="28" w:type="dxa"/>
            </w:tcMar>
            <w:vAlign w:val="center"/>
            <w:hideMark/>
          </w:tcPr>
          <w:p w14:paraId="2F6D7C1E" w14:textId="77777777" w:rsidR="004E3C0D" w:rsidRPr="005E3251" w:rsidRDefault="004E3C0D" w:rsidP="00253F67">
            <w:pPr>
              <w:pStyle w:val="TableText0"/>
              <w:keepNext w:val="0"/>
              <w:widowControl w:val="0"/>
            </w:pPr>
            <w:r w:rsidRPr="005E3251">
              <w:t>GWPCARE2</w:t>
            </w:r>
          </w:p>
        </w:tc>
        <w:tc>
          <w:tcPr>
            <w:tcW w:w="970" w:type="pct"/>
            <w:shd w:val="clear" w:color="auto" w:fill="auto"/>
            <w:noWrap/>
            <w:tcMar>
              <w:left w:w="28" w:type="dxa"/>
              <w:right w:w="28" w:type="dxa"/>
            </w:tcMar>
            <w:vAlign w:val="center"/>
            <w:hideMark/>
          </w:tcPr>
          <w:p w14:paraId="5F921A1D" w14:textId="77777777" w:rsidR="00654B1A" w:rsidRDefault="004E3C0D" w:rsidP="00253F67">
            <w:pPr>
              <w:pStyle w:val="TableText0"/>
              <w:keepNext w:val="0"/>
              <w:widowControl w:val="0"/>
              <w:jc w:val="center"/>
            </w:pPr>
            <w:r w:rsidRPr="005E3251">
              <w:t xml:space="preserve">CBD 10 mg/kg/day </w:t>
            </w:r>
          </w:p>
          <w:p w14:paraId="163F6544" w14:textId="1320776C" w:rsidR="004E3C0D" w:rsidRPr="005E3251" w:rsidRDefault="004E3C0D" w:rsidP="00253F67">
            <w:pPr>
              <w:pStyle w:val="TableText0"/>
              <w:keepNext w:val="0"/>
              <w:widowControl w:val="0"/>
              <w:jc w:val="center"/>
            </w:pPr>
            <w:r w:rsidRPr="005E3251">
              <w:t>(+/- STP)</w:t>
            </w:r>
          </w:p>
        </w:tc>
        <w:tc>
          <w:tcPr>
            <w:tcW w:w="583" w:type="pct"/>
            <w:shd w:val="clear" w:color="auto" w:fill="auto"/>
            <w:noWrap/>
            <w:tcMar>
              <w:left w:w="28" w:type="dxa"/>
              <w:right w:w="28" w:type="dxa"/>
            </w:tcMar>
            <w:vAlign w:val="center"/>
            <w:hideMark/>
          </w:tcPr>
          <w:p w14:paraId="191CA2EE" w14:textId="77777777" w:rsidR="004E3C0D" w:rsidRPr="005E3251" w:rsidRDefault="004E3C0D" w:rsidP="00253F67">
            <w:pPr>
              <w:pStyle w:val="TableText0"/>
              <w:keepNext w:val="0"/>
              <w:widowControl w:val="0"/>
              <w:jc w:val="center"/>
            </w:pPr>
            <w:r w:rsidRPr="005E3251">
              <w:t>37/66 (56.1)</w:t>
            </w:r>
          </w:p>
        </w:tc>
        <w:tc>
          <w:tcPr>
            <w:tcW w:w="480" w:type="pct"/>
            <w:shd w:val="clear" w:color="auto" w:fill="auto"/>
            <w:noWrap/>
            <w:tcMar>
              <w:left w:w="28" w:type="dxa"/>
              <w:right w:w="28" w:type="dxa"/>
            </w:tcMar>
            <w:vAlign w:val="center"/>
            <w:hideMark/>
          </w:tcPr>
          <w:p w14:paraId="7AA34FA6" w14:textId="77777777" w:rsidR="004E3C0D" w:rsidRPr="005E3251" w:rsidRDefault="004E3C0D" w:rsidP="00253F67">
            <w:pPr>
              <w:pStyle w:val="TableText0"/>
              <w:keepNext w:val="0"/>
              <w:widowControl w:val="0"/>
              <w:jc w:val="center"/>
            </w:pPr>
            <w:r w:rsidRPr="005E3251">
              <w:t>32/65 (49.2)</w:t>
            </w:r>
          </w:p>
        </w:tc>
        <w:tc>
          <w:tcPr>
            <w:tcW w:w="758" w:type="pct"/>
            <w:shd w:val="clear" w:color="auto" w:fill="auto"/>
            <w:noWrap/>
            <w:tcMar>
              <w:left w:w="28" w:type="dxa"/>
              <w:right w:w="28" w:type="dxa"/>
            </w:tcMar>
            <w:vAlign w:val="center"/>
            <w:hideMark/>
          </w:tcPr>
          <w:p w14:paraId="5C38F47F" w14:textId="77777777" w:rsidR="00682CD7" w:rsidRPr="005E3251" w:rsidRDefault="004E3C0D" w:rsidP="00253F67">
            <w:pPr>
              <w:pStyle w:val="TableText0"/>
              <w:keepNext w:val="0"/>
              <w:widowControl w:val="0"/>
              <w:jc w:val="center"/>
            </w:pPr>
            <w:r w:rsidRPr="005E3251">
              <w:t>1.32</w:t>
            </w:r>
          </w:p>
          <w:p w14:paraId="66338AED" w14:textId="2EBE791C" w:rsidR="004E3C0D" w:rsidRPr="005E3251" w:rsidRDefault="004E3C0D" w:rsidP="00253F67">
            <w:pPr>
              <w:pStyle w:val="TableText0"/>
              <w:keepNext w:val="0"/>
              <w:widowControl w:val="0"/>
              <w:jc w:val="center"/>
            </w:pPr>
            <w:r w:rsidRPr="005E3251">
              <w:t xml:space="preserve"> (0.66, 2.62)</w:t>
            </w:r>
          </w:p>
        </w:tc>
        <w:tc>
          <w:tcPr>
            <w:tcW w:w="716" w:type="pct"/>
            <w:shd w:val="clear" w:color="auto" w:fill="auto"/>
            <w:noWrap/>
            <w:tcMar>
              <w:left w:w="28" w:type="dxa"/>
              <w:right w:w="28" w:type="dxa"/>
            </w:tcMar>
            <w:vAlign w:val="center"/>
            <w:hideMark/>
          </w:tcPr>
          <w:p w14:paraId="613C47F5" w14:textId="77777777" w:rsidR="00682CD7" w:rsidRPr="005E3251" w:rsidRDefault="004E3C0D" w:rsidP="00253F67">
            <w:pPr>
              <w:pStyle w:val="TableText0"/>
              <w:keepNext w:val="0"/>
              <w:widowControl w:val="0"/>
              <w:jc w:val="center"/>
            </w:pPr>
            <w:r w:rsidRPr="005E3251">
              <w:t xml:space="preserve">1.14 </w:t>
            </w:r>
          </w:p>
          <w:p w14:paraId="626592D1" w14:textId="51FC9065" w:rsidR="004E3C0D" w:rsidRPr="005E3251" w:rsidRDefault="004E3C0D" w:rsidP="00253F67">
            <w:pPr>
              <w:pStyle w:val="TableText0"/>
              <w:keepNext w:val="0"/>
              <w:widowControl w:val="0"/>
              <w:jc w:val="center"/>
            </w:pPr>
            <w:r w:rsidRPr="005E3251">
              <w:t>(0.82, 1.58)</w:t>
            </w:r>
          </w:p>
        </w:tc>
        <w:tc>
          <w:tcPr>
            <w:tcW w:w="679" w:type="pct"/>
            <w:shd w:val="clear" w:color="auto" w:fill="auto"/>
            <w:noWrap/>
            <w:tcMar>
              <w:left w:w="28" w:type="dxa"/>
              <w:right w:w="28" w:type="dxa"/>
            </w:tcMar>
            <w:vAlign w:val="center"/>
            <w:hideMark/>
          </w:tcPr>
          <w:p w14:paraId="475B6A0C" w14:textId="77777777" w:rsidR="00682CD7" w:rsidRPr="005E3251" w:rsidRDefault="004E3C0D" w:rsidP="00253F67">
            <w:pPr>
              <w:pStyle w:val="TableText0"/>
              <w:keepNext w:val="0"/>
              <w:widowControl w:val="0"/>
              <w:jc w:val="center"/>
            </w:pPr>
            <w:r w:rsidRPr="005E3251">
              <w:t xml:space="preserve">0.07 </w:t>
            </w:r>
          </w:p>
          <w:p w14:paraId="6DBE4B44" w14:textId="0C80E199" w:rsidR="004E3C0D" w:rsidRPr="005E3251" w:rsidRDefault="004E3C0D" w:rsidP="00253F67">
            <w:pPr>
              <w:pStyle w:val="TableText0"/>
              <w:keepNext w:val="0"/>
              <w:widowControl w:val="0"/>
              <w:jc w:val="center"/>
            </w:pPr>
            <w:r w:rsidRPr="005E3251">
              <w:t>(-0.1, 0.24)</w:t>
            </w:r>
          </w:p>
        </w:tc>
      </w:tr>
      <w:tr w:rsidR="003416F9" w:rsidRPr="005E3251" w14:paraId="12D8F48D" w14:textId="77777777" w:rsidTr="003416F9">
        <w:trPr>
          <w:trHeight w:val="297"/>
        </w:trPr>
        <w:tc>
          <w:tcPr>
            <w:tcW w:w="2847" w:type="pct"/>
            <w:gridSpan w:val="4"/>
            <w:shd w:val="clear" w:color="auto" w:fill="auto"/>
            <w:noWrap/>
            <w:tcMar>
              <w:left w:w="28" w:type="dxa"/>
              <w:right w:w="28" w:type="dxa"/>
            </w:tcMar>
            <w:vAlign w:val="center"/>
          </w:tcPr>
          <w:p w14:paraId="000B2E77" w14:textId="77777777" w:rsidR="004E3C0D" w:rsidRPr="005E3251" w:rsidRDefault="004E3C0D" w:rsidP="00253F67">
            <w:pPr>
              <w:pStyle w:val="TableText0"/>
              <w:keepNext w:val="0"/>
              <w:widowControl w:val="0"/>
            </w:pPr>
            <w:r w:rsidRPr="005E3251">
              <w:t>Pooled estimates for CBD 10 mg/kg/day (+/- STP) used in indirect comparison</w:t>
            </w:r>
          </w:p>
        </w:tc>
        <w:tc>
          <w:tcPr>
            <w:tcW w:w="758" w:type="pct"/>
            <w:shd w:val="clear" w:color="auto" w:fill="auto"/>
            <w:noWrap/>
            <w:tcMar>
              <w:left w:w="28" w:type="dxa"/>
              <w:right w:w="28" w:type="dxa"/>
            </w:tcMar>
            <w:vAlign w:val="center"/>
          </w:tcPr>
          <w:p w14:paraId="435D969C" w14:textId="77777777" w:rsidR="00682CD7" w:rsidRPr="005E3251" w:rsidRDefault="004E3C0D" w:rsidP="00253F67">
            <w:pPr>
              <w:pStyle w:val="TableText0"/>
              <w:keepNext w:val="0"/>
              <w:widowControl w:val="0"/>
              <w:jc w:val="center"/>
            </w:pPr>
            <w:r w:rsidRPr="005E3251">
              <w:t xml:space="preserve">1.32 </w:t>
            </w:r>
          </w:p>
          <w:p w14:paraId="4802327E" w14:textId="2AC42F76" w:rsidR="004E3C0D" w:rsidRPr="005E3251" w:rsidRDefault="004E3C0D" w:rsidP="00253F67">
            <w:pPr>
              <w:pStyle w:val="TableText0"/>
              <w:keepNext w:val="0"/>
              <w:widowControl w:val="0"/>
              <w:jc w:val="center"/>
              <w:rPr>
                <w:b/>
                <w:bCs w:val="0"/>
              </w:rPr>
            </w:pPr>
            <w:r w:rsidRPr="005E3251">
              <w:t>(0.66, 2.62)</w:t>
            </w:r>
          </w:p>
        </w:tc>
        <w:tc>
          <w:tcPr>
            <w:tcW w:w="716" w:type="pct"/>
            <w:shd w:val="clear" w:color="auto" w:fill="auto"/>
            <w:noWrap/>
            <w:tcMar>
              <w:left w:w="28" w:type="dxa"/>
              <w:right w:w="28" w:type="dxa"/>
            </w:tcMar>
            <w:vAlign w:val="center"/>
          </w:tcPr>
          <w:p w14:paraId="31736E79" w14:textId="77777777" w:rsidR="00682CD7" w:rsidRPr="005E3251" w:rsidRDefault="004E3C0D" w:rsidP="00253F67">
            <w:pPr>
              <w:pStyle w:val="TableText0"/>
              <w:keepNext w:val="0"/>
              <w:widowControl w:val="0"/>
              <w:jc w:val="center"/>
            </w:pPr>
            <w:r w:rsidRPr="005E3251">
              <w:t xml:space="preserve">1.14 </w:t>
            </w:r>
          </w:p>
          <w:p w14:paraId="1757EC83" w14:textId="17519FFD" w:rsidR="004E3C0D" w:rsidRPr="005E3251" w:rsidRDefault="004E3C0D" w:rsidP="00253F67">
            <w:pPr>
              <w:pStyle w:val="TableText0"/>
              <w:keepNext w:val="0"/>
              <w:widowControl w:val="0"/>
              <w:jc w:val="center"/>
              <w:rPr>
                <w:b/>
                <w:bCs w:val="0"/>
              </w:rPr>
            </w:pPr>
            <w:r w:rsidRPr="005E3251">
              <w:t>(0.82, 1.58)</w:t>
            </w:r>
          </w:p>
        </w:tc>
        <w:tc>
          <w:tcPr>
            <w:tcW w:w="679" w:type="pct"/>
            <w:shd w:val="clear" w:color="auto" w:fill="auto"/>
            <w:noWrap/>
            <w:tcMar>
              <w:left w:w="28" w:type="dxa"/>
              <w:right w:w="28" w:type="dxa"/>
            </w:tcMar>
            <w:vAlign w:val="center"/>
          </w:tcPr>
          <w:p w14:paraId="04B1C575" w14:textId="77777777" w:rsidR="00682CD7" w:rsidRPr="005E3251" w:rsidRDefault="004E3C0D" w:rsidP="00253F67">
            <w:pPr>
              <w:pStyle w:val="TableText0"/>
              <w:keepNext w:val="0"/>
              <w:widowControl w:val="0"/>
              <w:jc w:val="center"/>
            </w:pPr>
            <w:r w:rsidRPr="005E3251">
              <w:t>0.07</w:t>
            </w:r>
          </w:p>
          <w:p w14:paraId="23190B73" w14:textId="7FFC14AA" w:rsidR="004E3C0D" w:rsidRPr="005E3251" w:rsidRDefault="004E3C0D" w:rsidP="00253F67">
            <w:pPr>
              <w:pStyle w:val="TableText0"/>
              <w:keepNext w:val="0"/>
              <w:widowControl w:val="0"/>
              <w:jc w:val="center"/>
              <w:rPr>
                <w:b/>
                <w:bCs w:val="0"/>
              </w:rPr>
            </w:pPr>
            <w:r w:rsidRPr="005E3251">
              <w:t xml:space="preserve"> (-0.1, 0.24)</w:t>
            </w:r>
          </w:p>
        </w:tc>
      </w:tr>
      <w:tr w:rsidR="004E3C0D" w:rsidRPr="005E3251" w14:paraId="00A759BB" w14:textId="77777777" w:rsidTr="003416F9">
        <w:trPr>
          <w:trHeight w:val="283"/>
        </w:trPr>
        <w:tc>
          <w:tcPr>
            <w:tcW w:w="5000" w:type="pct"/>
            <w:gridSpan w:val="7"/>
            <w:shd w:val="clear" w:color="auto" w:fill="auto"/>
            <w:noWrap/>
            <w:tcMar>
              <w:left w:w="28" w:type="dxa"/>
              <w:right w:w="28" w:type="dxa"/>
            </w:tcMar>
            <w:vAlign w:val="bottom"/>
            <w:hideMark/>
          </w:tcPr>
          <w:p w14:paraId="282A7A6C" w14:textId="77777777" w:rsidR="004E3C0D" w:rsidRPr="005E3251" w:rsidRDefault="004E3C0D" w:rsidP="00253F67">
            <w:pPr>
              <w:pStyle w:val="TableText0"/>
              <w:keepNext w:val="0"/>
              <w:widowControl w:val="0"/>
              <w:rPr>
                <w:b/>
                <w:bCs w:val="0"/>
              </w:rPr>
            </w:pPr>
            <w:r w:rsidRPr="005E3251">
              <w:rPr>
                <w:b/>
                <w:bCs w:val="0"/>
              </w:rPr>
              <w:t>≥75% reduction from baseline monthly CSF</w:t>
            </w:r>
          </w:p>
        </w:tc>
      </w:tr>
      <w:tr w:rsidR="00682CD7" w:rsidRPr="005E3251" w14:paraId="38D774FD" w14:textId="77777777" w:rsidTr="003416F9">
        <w:trPr>
          <w:trHeight w:val="297"/>
        </w:trPr>
        <w:tc>
          <w:tcPr>
            <w:tcW w:w="813" w:type="pct"/>
            <w:shd w:val="clear" w:color="auto" w:fill="auto"/>
            <w:noWrap/>
            <w:tcMar>
              <w:left w:w="28" w:type="dxa"/>
              <w:right w:w="28" w:type="dxa"/>
            </w:tcMar>
            <w:vAlign w:val="center"/>
            <w:hideMark/>
          </w:tcPr>
          <w:p w14:paraId="2F29FBE7" w14:textId="77777777" w:rsidR="004E3C0D" w:rsidRPr="005E3251" w:rsidRDefault="004E3C0D" w:rsidP="00253F67">
            <w:pPr>
              <w:pStyle w:val="TableText0"/>
              <w:keepNext w:val="0"/>
              <w:widowControl w:val="0"/>
            </w:pPr>
            <w:r w:rsidRPr="005E3251">
              <w:t>Study 1</w:t>
            </w:r>
          </w:p>
        </w:tc>
        <w:tc>
          <w:tcPr>
            <w:tcW w:w="970" w:type="pct"/>
            <w:shd w:val="clear" w:color="auto" w:fill="auto"/>
            <w:noWrap/>
            <w:tcMar>
              <w:left w:w="28" w:type="dxa"/>
              <w:right w:w="28" w:type="dxa"/>
            </w:tcMar>
            <w:vAlign w:val="center"/>
            <w:hideMark/>
          </w:tcPr>
          <w:p w14:paraId="550D0531" w14:textId="77777777" w:rsidR="00654B1A" w:rsidRDefault="004E3C0D" w:rsidP="00253F67">
            <w:pPr>
              <w:pStyle w:val="TableText0"/>
              <w:keepNext w:val="0"/>
              <w:widowControl w:val="0"/>
              <w:jc w:val="center"/>
            </w:pPr>
            <w:r w:rsidRPr="005E3251">
              <w:t xml:space="preserve">FFA 0.7 mg/kg/day </w:t>
            </w:r>
          </w:p>
          <w:p w14:paraId="78B1A3C2" w14:textId="70ADC289" w:rsidR="004E3C0D" w:rsidRPr="005E3251" w:rsidRDefault="004E3C0D" w:rsidP="00253F67">
            <w:pPr>
              <w:pStyle w:val="TableText0"/>
              <w:keepNext w:val="0"/>
              <w:widowControl w:val="0"/>
              <w:jc w:val="center"/>
            </w:pPr>
            <w:r w:rsidRPr="005E3251">
              <w:t>(- STP)</w:t>
            </w:r>
          </w:p>
        </w:tc>
        <w:tc>
          <w:tcPr>
            <w:tcW w:w="583" w:type="pct"/>
            <w:shd w:val="clear" w:color="auto" w:fill="auto"/>
            <w:noWrap/>
            <w:tcMar>
              <w:left w:w="28" w:type="dxa"/>
              <w:right w:w="28" w:type="dxa"/>
            </w:tcMar>
            <w:vAlign w:val="center"/>
            <w:hideMark/>
          </w:tcPr>
          <w:p w14:paraId="51E442D2" w14:textId="77777777" w:rsidR="004E3C0D" w:rsidRPr="005E3251" w:rsidRDefault="004E3C0D" w:rsidP="00253F67">
            <w:pPr>
              <w:pStyle w:val="TableText0"/>
              <w:keepNext w:val="0"/>
              <w:widowControl w:val="0"/>
              <w:jc w:val="center"/>
            </w:pPr>
            <w:r w:rsidRPr="005E3251">
              <w:t>20/40 (50.0)</w:t>
            </w:r>
          </w:p>
        </w:tc>
        <w:tc>
          <w:tcPr>
            <w:tcW w:w="480" w:type="pct"/>
            <w:shd w:val="clear" w:color="auto" w:fill="auto"/>
            <w:noWrap/>
            <w:tcMar>
              <w:left w:w="28" w:type="dxa"/>
              <w:right w:w="28" w:type="dxa"/>
            </w:tcMar>
            <w:vAlign w:val="center"/>
            <w:hideMark/>
          </w:tcPr>
          <w:p w14:paraId="3CE465C1" w14:textId="77777777" w:rsidR="004E3C0D" w:rsidRPr="005E3251" w:rsidRDefault="004E3C0D" w:rsidP="00253F67">
            <w:pPr>
              <w:pStyle w:val="TableText0"/>
              <w:keepNext w:val="0"/>
              <w:widowControl w:val="0"/>
              <w:jc w:val="center"/>
            </w:pPr>
            <w:r w:rsidRPr="005E3251">
              <w:t>1/40 (2.5)</w:t>
            </w:r>
          </w:p>
        </w:tc>
        <w:tc>
          <w:tcPr>
            <w:tcW w:w="758" w:type="pct"/>
            <w:shd w:val="clear" w:color="auto" w:fill="auto"/>
            <w:noWrap/>
            <w:tcMar>
              <w:left w:w="28" w:type="dxa"/>
              <w:right w:w="28" w:type="dxa"/>
            </w:tcMar>
            <w:vAlign w:val="center"/>
            <w:hideMark/>
          </w:tcPr>
          <w:p w14:paraId="23F73244" w14:textId="77777777" w:rsidR="00682CD7" w:rsidRPr="005E3251" w:rsidRDefault="004E3C0D" w:rsidP="00253F67">
            <w:pPr>
              <w:pStyle w:val="TableText0"/>
              <w:keepNext w:val="0"/>
              <w:widowControl w:val="0"/>
              <w:jc w:val="center"/>
              <w:rPr>
                <w:b/>
                <w:bCs w:val="0"/>
              </w:rPr>
            </w:pPr>
            <w:r w:rsidRPr="005E3251">
              <w:rPr>
                <w:b/>
                <w:bCs w:val="0"/>
              </w:rPr>
              <w:t xml:space="preserve">39 </w:t>
            </w:r>
          </w:p>
          <w:p w14:paraId="2120736F" w14:textId="47DA7CEC" w:rsidR="004E3C0D" w:rsidRPr="005E3251" w:rsidRDefault="004E3C0D" w:rsidP="00253F67">
            <w:pPr>
              <w:pStyle w:val="TableText0"/>
              <w:keepNext w:val="0"/>
              <w:widowControl w:val="0"/>
              <w:jc w:val="center"/>
              <w:rPr>
                <w:b/>
                <w:bCs w:val="0"/>
              </w:rPr>
            </w:pPr>
            <w:r w:rsidRPr="005E3251">
              <w:rPr>
                <w:b/>
                <w:bCs w:val="0"/>
              </w:rPr>
              <w:t>(4.87, 312.01)</w:t>
            </w:r>
          </w:p>
        </w:tc>
        <w:tc>
          <w:tcPr>
            <w:tcW w:w="716" w:type="pct"/>
            <w:shd w:val="clear" w:color="auto" w:fill="auto"/>
            <w:noWrap/>
            <w:tcMar>
              <w:left w:w="28" w:type="dxa"/>
              <w:right w:w="28" w:type="dxa"/>
            </w:tcMar>
            <w:vAlign w:val="center"/>
            <w:hideMark/>
          </w:tcPr>
          <w:p w14:paraId="283823FC" w14:textId="77777777" w:rsidR="00682CD7" w:rsidRPr="005E3251" w:rsidRDefault="004E3C0D" w:rsidP="00253F67">
            <w:pPr>
              <w:pStyle w:val="TableText0"/>
              <w:keepNext w:val="0"/>
              <w:widowControl w:val="0"/>
              <w:jc w:val="center"/>
              <w:rPr>
                <w:b/>
                <w:bCs w:val="0"/>
              </w:rPr>
            </w:pPr>
            <w:r w:rsidRPr="005E3251">
              <w:rPr>
                <w:b/>
                <w:bCs w:val="0"/>
              </w:rPr>
              <w:t xml:space="preserve">20 </w:t>
            </w:r>
          </w:p>
          <w:p w14:paraId="74F92663" w14:textId="747E3159" w:rsidR="004E3C0D" w:rsidRPr="005E3251" w:rsidRDefault="004E3C0D" w:rsidP="00253F67">
            <w:pPr>
              <w:pStyle w:val="TableText0"/>
              <w:keepNext w:val="0"/>
              <w:widowControl w:val="0"/>
              <w:jc w:val="center"/>
              <w:rPr>
                <w:b/>
                <w:bCs w:val="0"/>
              </w:rPr>
            </w:pPr>
            <w:r w:rsidRPr="005E3251">
              <w:rPr>
                <w:b/>
                <w:bCs w:val="0"/>
              </w:rPr>
              <w:t>(2.82, 141.99)</w:t>
            </w:r>
          </w:p>
        </w:tc>
        <w:tc>
          <w:tcPr>
            <w:tcW w:w="679" w:type="pct"/>
            <w:shd w:val="clear" w:color="auto" w:fill="auto"/>
            <w:noWrap/>
            <w:tcMar>
              <w:left w:w="28" w:type="dxa"/>
              <w:right w:w="28" w:type="dxa"/>
            </w:tcMar>
            <w:vAlign w:val="center"/>
            <w:hideMark/>
          </w:tcPr>
          <w:p w14:paraId="046A4069" w14:textId="77777777" w:rsidR="00682CD7" w:rsidRPr="005E3251" w:rsidRDefault="004E3C0D" w:rsidP="00253F67">
            <w:pPr>
              <w:pStyle w:val="TableText0"/>
              <w:keepNext w:val="0"/>
              <w:widowControl w:val="0"/>
              <w:jc w:val="center"/>
              <w:rPr>
                <w:b/>
                <w:bCs w:val="0"/>
              </w:rPr>
            </w:pPr>
            <w:r w:rsidRPr="005E3251">
              <w:rPr>
                <w:b/>
                <w:bCs w:val="0"/>
              </w:rPr>
              <w:t>0.47</w:t>
            </w:r>
          </w:p>
          <w:p w14:paraId="1542A598" w14:textId="56F8087B" w:rsidR="004E3C0D" w:rsidRPr="005E3251" w:rsidRDefault="004E3C0D" w:rsidP="00253F67">
            <w:pPr>
              <w:pStyle w:val="TableText0"/>
              <w:keepNext w:val="0"/>
              <w:widowControl w:val="0"/>
              <w:jc w:val="center"/>
              <w:rPr>
                <w:b/>
                <w:bCs w:val="0"/>
              </w:rPr>
            </w:pPr>
            <w:r w:rsidRPr="005E3251">
              <w:rPr>
                <w:b/>
                <w:bCs w:val="0"/>
              </w:rPr>
              <w:t xml:space="preserve"> (0.31, 0.64)</w:t>
            </w:r>
          </w:p>
        </w:tc>
      </w:tr>
      <w:tr w:rsidR="00682CD7" w:rsidRPr="005E3251" w14:paraId="3F914E81" w14:textId="77777777" w:rsidTr="003416F9">
        <w:trPr>
          <w:trHeight w:val="297"/>
        </w:trPr>
        <w:tc>
          <w:tcPr>
            <w:tcW w:w="813" w:type="pct"/>
            <w:shd w:val="clear" w:color="auto" w:fill="auto"/>
            <w:noWrap/>
            <w:tcMar>
              <w:left w:w="28" w:type="dxa"/>
              <w:right w:w="28" w:type="dxa"/>
            </w:tcMar>
            <w:vAlign w:val="center"/>
            <w:hideMark/>
          </w:tcPr>
          <w:p w14:paraId="3CAFCD4D" w14:textId="77777777" w:rsidR="004E3C0D" w:rsidRPr="005E3251" w:rsidRDefault="004E3C0D" w:rsidP="00253F67">
            <w:pPr>
              <w:pStyle w:val="TableText0"/>
              <w:keepNext w:val="0"/>
              <w:widowControl w:val="0"/>
            </w:pPr>
            <w:r w:rsidRPr="005E3251">
              <w:lastRenderedPageBreak/>
              <w:t>Study 3</w:t>
            </w:r>
          </w:p>
        </w:tc>
        <w:tc>
          <w:tcPr>
            <w:tcW w:w="970" w:type="pct"/>
            <w:shd w:val="clear" w:color="auto" w:fill="auto"/>
            <w:noWrap/>
            <w:tcMar>
              <w:left w:w="28" w:type="dxa"/>
              <w:right w:w="28" w:type="dxa"/>
            </w:tcMar>
            <w:vAlign w:val="center"/>
            <w:hideMark/>
          </w:tcPr>
          <w:p w14:paraId="6B23D1DC" w14:textId="77777777" w:rsidR="00654B1A" w:rsidRDefault="004E3C0D" w:rsidP="00253F67">
            <w:pPr>
              <w:pStyle w:val="TableText0"/>
              <w:keepNext w:val="0"/>
              <w:widowControl w:val="0"/>
              <w:jc w:val="center"/>
            </w:pPr>
            <w:r w:rsidRPr="005E3251">
              <w:t xml:space="preserve">FFA 0.7 mg/kg/day </w:t>
            </w:r>
          </w:p>
          <w:p w14:paraId="3F63D013" w14:textId="3831D777" w:rsidR="004E3C0D" w:rsidRPr="005E3251" w:rsidRDefault="004E3C0D" w:rsidP="00253F67">
            <w:pPr>
              <w:pStyle w:val="TableText0"/>
              <w:keepNext w:val="0"/>
              <w:widowControl w:val="0"/>
              <w:jc w:val="center"/>
            </w:pPr>
            <w:r w:rsidRPr="005E3251">
              <w:t>(- STP)</w:t>
            </w:r>
          </w:p>
        </w:tc>
        <w:tc>
          <w:tcPr>
            <w:tcW w:w="583" w:type="pct"/>
            <w:shd w:val="clear" w:color="auto" w:fill="auto"/>
            <w:noWrap/>
            <w:tcMar>
              <w:left w:w="28" w:type="dxa"/>
              <w:right w:w="28" w:type="dxa"/>
            </w:tcMar>
            <w:vAlign w:val="center"/>
            <w:hideMark/>
          </w:tcPr>
          <w:p w14:paraId="73323F38" w14:textId="77777777" w:rsidR="004E3C0D" w:rsidRPr="005E3251" w:rsidRDefault="004E3C0D" w:rsidP="00253F67">
            <w:pPr>
              <w:pStyle w:val="TableText0"/>
              <w:keepNext w:val="0"/>
              <w:widowControl w:val="0"/>
              <w:jc w:val="center"/>
            </w:pPr>
            <w:r w:rsidRPr="005E3251">
              <w:t>23/48 (47.9)</w:t>
            </w:r>
          </w:p>
        </w:tc>
        <w:tc>
          <w:tcPr>
            <w:tcW w:w="480" w:type="pct"/>
            <w:shd w:val="clear" w:color="auto" w:fill="auto"/>
            <w:noWrap/>
            <w:tcMar>
              <w:left w:w="28" w:type="dxa"/>
              <w:right w:w="28" w:type="dxa"/>
            </w:tcMar>
            <w:vAlign w:val="center"/>
            <w:hideMark/>
          </w:tcPr>
          <w:p w14:paraId="69B02AC5" w14:textId="77777777" w:rsidR="004E3C0D" w:rsidRPr="005E3251" w:rsidRDefault="004E3C0D" w:rsidP="00253F67">
            <w:pPr>
              <w:pStyle w:val="TableText0"/>
              <w:keepNext w:val="0"/>
              <w:widowControl w:val="0"/>
              <w:jc w:val="center"/>
            </w:pPr>
            <w:r w:rsidRPr="005E3251">
              <w:t>2/48 (4.2)</w:t>
            </w:r>
          </w:p>
        </w:tc>
        <w:tc>
          <w:tcPr>
            <w:tcW w:w="758" w:type="pct"/>
            <w:shd w:val="clear" w:color="auto" w:fill="auto"/>
            <w:noWrap/>
            <w:tcMar>
              <w:left w:w="28" w:type="dxa"/>
              <w:right w:w="28" w:type="dxa"/>
            </w:tcMar>
            <w:vAlign w:val="center"/>
            <w:hideMark/>
          </w:tcPr>
          <w:p w14:paraId="04D60477" w14:textId="77777777" w:rsidR="00682CD7" w:rsidRPr="005E3251" w:rsidRDefault="004E3C0D" w:rsidP="00253F67">
            <w:pPr>
              <w:pStyle w:val="TableText0"/>
              <w:keepNext w:val="0"/>
              <w:widowControl w:val="0"/>
              <w:jc w:val="center"/>
              <w:rPr>
                <w:b/>
                <w:bCs w:val="0"/>
              </w:rPr>
            </w:pPr>
            <w:r w:rsidRPr="005E3251">
              <w:rPr>
                <w:b/>
                <w:bCs w:val="0"/>
              </w:rPr>
              <w:t>21.16</w:t>
            </w:r>
          </w:p>
          <w:p w14:paraId="2665C945" w14:textId="42A6674E" w:rsidR="004E3C0D" w:rsidRPr="005E3251" w:rsidRDefault="004E3C0D" w:rsidP="00253F67">
            <w:pPr>
              <w:pStyle w:val="TableText0"/>
              <w:keepNext w:val="0"/>
              <w:widowControl w:val="0"/>
              <w:jc w:val="center"/>
              <w:rPr>
                <w:b/>
                <w:bCs w:val="0"/>
              </w:rPr>
            </w:pPr>
            <w:r w:rsidRPr="005E3251">
              <w:rPr>
                <w:b/>
                <w:bCs w:val="0"/>
              </w:rPr>
              <w:t xml:space="preserve"> (4.61, 97.21)</w:t>
            </w:r>
          </w:p>
        </w:tc>
        <w:tc>
          <w:tcPr>
            <w:tcW w:w="716" w:type="pct"/>
            <w:shd w:val="clear" w:color="auto" w:fill="auto"/>
            <w:noWrap/>
            <w:tcMar>
              <w:left w:w="28" w:type="dxa"/>
              <w:right w:w="28" w:type="dxa"/>
            </w:tcMar>
            <w:vAlign w:val="center"/>
            <w:hideMark/>
          </w:tcPr>
          <w:p w14:paraId="13F5DB72" w14:textId="77777777" w:rsidR="00682CD7" w:rsidRPr="005E3251" w:rsidRDefault="004E3C0D" w:rsidP="00253F67">
            <w:pPr>
              <w:pStyle w:val="TableText0"/>
              <w:keepNext w:val="0"/>
              <w:widowControl w:val="0"/>
              <w:jc w:val="center"/>
              <w:rPr>
                <w:b/>
                <w:bCs w:val="0"/>
              </w:rPr>
            </w:pPr>
            <w:r w:rsidRPr="005E3251">
              <w:rPr>
                <w:b/>
                <w:bCs w:val="0"/>
              </w:rPr>
              <w:t xml:space="preserve">11.5 </w:t>
            </w:r>
          </w:p>
          <w:p w14:paraId="29E71FA7" w14:textId="0D4E67EE" w:rsidR="004E3C0D" w:rsidRPr="005E3251" w:rsidRDefault="004E3C0D" w:rsidP="00253F67">
            <w:pPr>
              <w:pStyle w:val="TableText0"/>
              <w:keepNext w:val="0"/>
              <w:widowControl w:val="0"/>
              <w:jc w:val="center"/>
              <w:rPr>
                <w:b/>
                <w:bCs w:val="0"/>
              </w:rPr>
            </w:pPr>
            <w:r w:rsidRPr="005E3251">
              <w:rPr>
                <w:b/>
                <w:bCs w:val="0"/>
              </w:rPr>
              <w:t>(2.87, 46.1)</w:t>
            </w:r>
          </w:p>
        </w:tc>
        <w:tc>
          <w:tcPr>
            <w:tcW w:w="679" w:type="pct"/>
            <w:shd w:val="clear" w:color="auto" w:fill="auto"/>
            <w:noWrap/>
            <w:tcMar>
              <w:left w:w="28" w:type="dxa"/>
              <w:right w:w="28" w:type="dxa"/>
            </w:tcMar>
            <w:vAlign w:val="center"/>
            <w:hideMark/>
          </w:tcPr>
          <w:p w14:paraId="36FE0DC3" w14:textId="77777777" w:rsidR="00682CD7" w:rsidRPr="005E3251" w:rsidRDefault="004E3C0D" w:rsidP="00253F67">
            <w:pPr>
              <w:pStyle w:val="TableText0"/>
              <w:keepNext w:val="0"/>
              <w:widowControl w:val="0"/>
              <w:jc w:val="center"/>
              <w:rPr>
                <w:b/>
                <w:bCs w:val="0"/>
              </w:rPr>
            </w:pPr>
            <w:r w:rsidRPr="005E3251">
              <w:rPr>
                <w:b/>
                <w:bCs w:val="0"/>
              </w:rPr>
              <w:t xml:space="preserve">0.44 </w:t>
            </w:r>
          </w:p>
          <w:p w14:paraId="22B61D5D" w14:textId="5BBB2EC4" w:rsidR="004E3C0D" w:rsidRPr="005E3251" w:rsidRDefault="004E3C0D" w:rsidP="00253F67">
            <w:pPr>
              <w:pStyle w:val="TableText0"/>
              <w:keepNext w:val="0"/>
              <w:widowControl w:val="0"/>
              <w:jc w:val="center"/>
              <w:rPr>
                <w:b/>
                <w:bCs w:val="0"/>
              </w:rPr>
            </w:pPr>
            <w:r w:rsidRPr="005E3251">
              <w:rPr>
                <w:b/>
                <w:bCs w:val="0"/>
              </w:rPr>
              <w:t>(0.29, 0.59)</w:t>
            </w:r>
          </w:p>
        </w:tc>
      </w:tr>
      <w:tr w:rsidR="003416F9" w:rsidRPr="005E3251" w14:paraId="2A5A9347" w14:textId="77777777" w:rsidTr="003416F9">
        <w:trPr>
          <w:trHeight w:val="297"/>
        </w:trPr>
        <w:tc>
          <w:tcPr>
            <w:tcW w:w="2847" w:type="pct"/>
            <w:gridSpan w:val="4"/>
            <w:shd w:val="clear" w:color="auto" w:fill="auto"/>
            <w:noWrap/>
            <w:tcMar>
              <w:left w:w="28" w:type="dxa"/>
              <w:right w:w="28" w:type="dxa"/>
            </w:tcMar>
            <w:vAlign w:val="center"/>
          </w:tcPr>
          <w:p w14:paraId="447D7CE9" w14:textId="77777777" w:rsidR="004E3C0D" w:rsidRPr="005E3251" w:rsidRDefault="004E3C0D" w:rsidP="00253F67">
            <w:pPr>
              <w:pStyle w:val="TableText0"/>
              <w:keepNext w:val="0"/>
              <w:widowControl w:val="0"/>
            </w:pPr>
            <w:r w:rsidRPr="005E3251">
              <w:t>Pooled estimates for FFA 0.7 mg/kg/day (- STP) used in indirect comparison</w:t>
            </w:r>
          </w:p>
        </w:tc>
        <w:tc>
          <w:tcPr>
            <w:tcW w:w="758" w:type="pct"/>
            <w:shd w:val="clear" w:color="auto" w:fill="auto"/>
            <w:noWrap/>
            <w:tcMar>
              <w:left w:w="28" w:type="dxa"/>
              <w:right w:w="28" w:type="dxa"/>
            </w:tcMar>
            <w:vAlign w:val="center"/>
          </w:tcPr>
          <w:p w14:paraId="38EE8958" w14:textId="77777777" w:rsidR="00682CD7" w:rsidRPr="005E3251" w:rsidRDefault="004E3C0D" w:rsidP="00253F67">
            <w:pPr>
              <w:pStyle w:val="TableText0"/>
              <w:keepNext w:val="0"/>
              <w:widowControl w:val="0"/>
              <w:jc w:val="center"/>
              <w:rPr>
                <w:b/>
                <w:bCs w:val="0"/>
              </w:rPr>
            </w:pPr>
            <w:r w:rsidRPr="005E3251">
              <w:rPr>
                <w:b/>
                <w:bCs w:val="0"/>
              </w:rPr>
              <w:t>26.20</w:t>
            </w:r>
          </w:p>
          <w:p w14:paraId="1D2DCC84" w14:textId="609B17D7" w:rsidR="004E3C0D" w:rsidRPr="005E3251" w:rsidRDefault="004E3C0D" w:rsidP="00253F67">
            <w:pPr>
              <w:pStyle w:val="TableText0"/>
              <w:keepNext w:val="0"/>
              <w:widowControl w:val="0"/>
              <w:jc w:val="center"/>
              <w:rPr>
                <w:b/>
                <w:bCs w:val="0"/>
              </w:rPr>
            </w:pPr>
            <w:r w:rsidRPr="005E3251">
              <w:rPr>
                <w:b/>
                <w:bCs w:val="0"/>
              </w:rPr>
              <w:t xml:space="preserve"> (7.66, 89.62)</w:t>
            </w:r>
          </w:p>
        </w:tc>
        <w:tc>
          <w:tcPr>
            <w:tcW w:w="716" w:type="pct"/>
            <w:shd w:val="clear" w:color="auto" w:fill="auto"/>
            <w:noWrap/>
            <w:tcMar>
              <w:left w:w="28" w:type="dxa"/>
              <w:right w:w="28" w:type="dxa"/>
            </w:tcMar>
            <w:vAlign w:val="center"/>
          </w:tcPr>
          <w:p w14:paraId="05E6049E" w14:textId="77777777" w:rsidR="00682CD7" w:rsidRPr="005E3251" w:rsidRDefault="004E3C0D" w:rsidP="00253F67">
            <w:pPr>
              <w:pStyle w:val="TableText0"/>
              <w:keepNext w:val="0"/>
              <w:widowControl w:val="0"/>
              <w:jc w:val="center"/>
              <w:rPr>
                <w:b/>
                <w:bCs w:val="0"/>
              </w:rPr>
            </w:pPr>
            <w:r w:rsidRPr="005E3251">
              <w:rPr>
                <w:b/>
                <w:bCs w:val="0"/>
              </w:rPr>
              <w:t xml:space="preserve">13.84 </w:t>
            </w:r>
          </w:p>
          <w:p w14:paraId="010B9D94" w14:textId="2FB9CC79" w:rsidR="004E3C0D" w:rsidRPr="005E3251" w:rsidRDefault="004E3C0D" w:rsidP="00253F67">
            <w:pPr>
              <w:pStyle w:val="TableText0"/>
              <w:keepNext w:val="0"/>
              <w:widowControl w:val="0"/>
              <w:jc w:val="center"/>
              <w:rPr>
                <w:b/>
                <w:bCs w:val="0"/>
              </w:rPr>
            </w:pPr>
            <w:r w:rsidRPr="005E3251">
              <w:rPr>
                <w:b/>
                <w:bCs w:val="0"/>
              </w:rPr>
              <w:t>(4.46, 42.96)</w:t>
            </w:r>
          </w:p>
        </w:tc>
        <w:tc>
          <w:tcPr>
            <w:tcW w:w="679" w:type="pct"/>
            <w:shd w:val="clear" w:color="auto" w:fill="auto"/>
            <w:noWrap/>
            <w:tcMar>
              <w:left w:w="28" w:type="dxa"/>
              <w:right w:w="28" w:type="dxa"/>
            </w:tcMar>
            <w:vAlign w:val="center"/>
          </w:tcPr>
          <w:p w14:paraId="1EF3E7A2" w14:textId="77777777" w:rsidR="00682CD7" w:rsidRPr="005E3251" w:rsidRDefault="004E3C0D" w:rsidP="00253F67">
            <w:pPr>
              <w:pStyle w:val="TableText0"/>
              <w:keepNext w:val="0"/>
              <w:widowControl w:val="0"/>
              <w:jc w:val="center"/>
              <w:rPr>
                <w:b/>
                <w:bCs w:val="0"/>
              </w:rPr>
            </w:pPr>
            <w:r w:rsidRPr="005E3251">
              <w:rPr>
                <w:b/>
                <w:bCs w:val="0"/>
              </w:rPr>
              <w:t xml:space="preserve">0.46 </w:t>
            </w:r>
          </w:p>
          <w:p w14:paraId="35A8DE07" w14:textId="3A245594" w:rsidR="004E3C0D" w:rsidRPr="005E3251" w:rsidRDefault="004E3C0D" w:rsidP="00253F67">
            <w:pPr>
              <w:pStyle w:val="TableText0"/>
              <w:keepNext w:val="0"/>
              <w:widowControl w:val="0"/>
              <w:jc w:val="center"/>
              <w:rPr>
                <w:b/>
                <w:bCs w:val="0"/>
              </w:rPr>
            </w:pPr>
            <w:r w:rsidRPr="005E3251">
              <w:rPr>
                <w:b/>
                <w:bCs w:val="0"/>
              </w:rPr>
              <w:t>(0.34, 0.57)</w:t>
            </w:r>
          </w:p>
        </w:tc>
      </w:tr>
      <w:tr w:rsidR="00682CD7" w:rsidRPr="005E3251" w14:paraId="2C144384" w14:textId="77777777" w:rsidTr="003416F9">
        <w:trPr>
          <w:trHeight w:val="297"/>
        </w:trPr>
        <w:tc>
          <w:tcPr>
            <w:tcW w:w="813" w:type="pct"/>
            <w:shd w:val="clear" w:color="auto" w:fill="auto"/>
            <w:noWrap/>
            <w:tcMar>
              <w:left w:w="28" w:type="dxa"/>
              <w:right w:w="28" w:type="dxa"/>
            </w:tcMar>
            <w:vAlign w:val="center"/>
            <w:hideMark/>
          </w:tcPr>
          <w:p w14:paraId="6FD0DCD6" w14:textId="77777777" w:rsidR="004E3C0D" w:rsidRPr="005E3251" w:rsidRDefault="004E3C0D" w:rsidP="00253F67">
            <w:pPr>
              <w:pStyle w:val="TableText0"/>
              <w:keepNext w:val="0"/>
              <w:widowControl w:val="0"/>
            </w:pPr>
            <w:r w:rsidRPr="005E3251">
              <w:t>Study 2</w:t>
            </w:r>
          </w:p>
        </w:tc>
        <w:tc>
          <w:tcPr>
            <w:tcW w:w="970" w:type="pct"/>
            <w:shd w:val="clear" w:color="auto" w:fill="auto"/>
            <w:noWrap/>
            <w:tcMar>
              <w:left w:w="28" w:type="dxa"/>
              <w:right w:w="28" w:type="dxa"/>
            </w:tcMar>
            <w:vAlign w:val="center"/>
            <w:hideMark/>
          </w:tcPr>
          <w:p w14:paraId="542A7F93" w14:textId="77777777" w:rsidR="00654B1A" w:rsidRDefault="004E3C0D" w:rsidP="00253F67">
            <w:pPr>
              <w:pStyle w:val="TableText0"/>
              <w:keepNext w:val="0"/>
              <w:widowControl w:val="0"/>
              <w:jc w:val="center"/>
            </w:pPr>
            <w:r w:rsidRPr="005E3251">
              <w:t>FFA 0.4 mg/kg/day</w:t>
            </w:r>
          </w:p>
          <w:p w14:paraId="3AB4F9F9" w14:textId="41F0F66D" w:rsidR="004E3C0D" w:rsidRPr="005E3251" w:rsidRDefault="004E3C0D" w:rsidP="00253F67">
            <w:pPr>
              <w:pStyle w:val="TableText0"/>
              <w:keepNext w:val="0"/>
              <w:widowControl w:val="0"/>
              <w:jc w:val="center"/>
            </w:pPr>
            <w:r w:rsidRPr="005E3251">
              <w:t xml:space="preserve"> (+ STP)</w:t>
            </w:r>
          </w:p>
        </w:tc>
        <w:tc>
          <w:tcPr>
            <w:tcW w:w="583" w:type="pct"/>
            <w:shd w:val="clear" w:color="auto" w:fill="auto"/>
            <w:noWrap/>
            <w:tcMar>
              <w:left w:w="28" w:type="dxa"/>
              <w:right w:w="28" w:type="dxa"/>
            </w:tcMar>
            <w:vAlign w:val="center"/>
            <w:hideMark/>
          </w:tcPr>
          <w:p w14:paraId="4BE6A597" w14:textId="77777777" w:rsidR="004E3C0D" w:rsidRPr="005E3251" w:rsidRDefault="004E3C0D" w:rsidP="00253F67">
            <w:pPr>
              <w:pStyle w:val="TableText0"/>
              <w:keepNext w:val="0"/>
              <w:widowControl w:val="0"/>
              <w:jc w:val="center"/>
            </w:pPr>
            <w:r w:rsidRPr="005E3251">
              <w:t>15/43 (35)</w:t>
            </w:r>
          </w:p>
        </w:tc>
        <w:tc>
          <w:tcPr>
            <w:tcW w:w="480" w:type="pct"/>
            <w:shd w:val="clear" w:color="auto" w:fill="auto"/>
            <w:noWrap/>
            <w:tcMar>
              <w:left w:w="28" w:type="dxa"/>
              <w:right w:w="28" w:type="dxa"/>
            </w:tcMar>
            <w:vAlign w:val="center"/>
            <w:hideMark/>
          </w:tcPr>
          <w:p w14:paraId="6A6B6D6A" w14:textId="77777777" w:rsidR="004E3C0D" w:rsidRPr="005E3251" w:rsidRDefault="004E3C0D" w:rsidP="00253F67">
            <w:pPr>
              <w:pStyle w:val="TableText0"/>
              <w:keepNext w:val="0"/>
              <w:widowControl w:val="0"/>
              <w:jc w:val="center"/>
            </w:pPr>
            <w:r w:rsidRPr="005E3251">
              <w:t>1/44 (2.3)</w:t>
            </w:r>
          </w:p>
        </w:tc>
        <w:tc>
          <w:tcPr>
            <w:tcW w:w="758" w:type="pct"/>
            <w:shd w:val="clear" w:color="auto" w:fill="auto"/>
            <w:noWrap/>
            <w:tcMar>
              <w:left w:w="28" w:type="dxa"/>
              <w:right w:w="28" w:type="dxa"/>
            </w:tcMar>
            <w:vAlign w:val="center"/>
            <w:hideMark/>
          </w:tcPr>
          <w:p w14:paraId="40206834" w14:textId="77777777" w:rsidR="00682CD7" w:rsidRPr="005E3251" w:rsidRDefault="004E3C0D" w:rsidP="00253F67">
            <w:pPr>
              <w:pStyle w:val="TableText0"/>
              <w:keepNext w:val="0"/>
              <w:widowControl w:val="0"/>
              <w:jc w:val="center"/>
              <w:rPr>
                <w:b/>
                <w:bCs w:val="0"/>
              </w:rPr>
            </w:pPr>
            <w:r w:rsidRPr="005E3251">
              <w:rPr>
                <w:b/>
                <w:bCs w:val="0"/>
              </w:rPr>
              <w:t xml:space="preserve">23.04 </w:t>
            </w:r>
          </w:p>
          <w:p w14:paraId="36517A5D" w14:textId="0C660026" w:rsidR="004E3C0D" w:rsidRPr="005E3251" w:rsidRDefault="004E3C0D" w:rsidP="00253F67">
            <w:pPr>
              <w:pStyle w:val="TableText0"/>
              <w:keepNext w:val="0"/>
              <w:widowControl w:val="0"/>
              <w:jc w:val="center"/>
              <w:rPr>
                <w:b/>
                <w:bCs w:val="0"/>
              </w:rPr>
            </w:pPr>
            <w:r w:rsidRPr="005E3251">
              <w:rPr>
                <w:b/>
                <w:bCs w:val="0"/>
              </w:rPr>
              <w:t>(2.88, 184.29)</w:t>
            </w:r>
          </w:p>
        </w:tc>
        <w:tc>
          <w:tcPr>
            <w:tcW w:w="716" w:type="pct"/>
            <w:shd w:val="clear" w:color="auto" w:fill="auto"/>
            <w:noWrap/>
            <w:tcMar>
              <w:left w:w="28" w:type="dxa"/>
              <w:right w:w="28" w:type="dxa"/>
            </w:tcMar>
            <w:vAlign w:val="center"/>
            <w:hideMark/>
          </w:tcPr>
          <w:p w14:paraId="4B97AD47" w14:textId="77777777" w:rsidR="00682CD7" w:rsidRPr="005E3251" w:rsidRDefault="004E3C0D" w:rsidP="00253F67">
            <w:pPr>
              <w:pStyle w:val="TableText0"/>
              <w:keepNext w:val="0"/>
              <w:widowControl w:val="0"/>
              <w:jc w:val="center"/>
              <w:rPr>
                <w:b/>
                <w:bCs w:val="0"/>
              </w:rPr>
            </w:pPr>
            <w:r w:rsidRPr="005E3251">
              <w:rPr>
                <w:b/>
                <w:bCs w:val="0"/>
              </w:rPr>
              <w:t xml:space="preserve">15.35 </w:t>
            </w:r>
          </w:p>
          <w:p w14:paraId="6ED0091D" w14:textId="2400BE77" w:rsidR="004E3C0D" w:rsidRPr="005E3251" w:rsidRDefault="004E3C0D" w:rsidP="00253F67">
            <w:pPr>
              <w:pStyle w:val="TableText0"/>
              <w:keepNext w:val="0"/>
              <w:widowControl w:val="0"/>
              <w:jc w:val="center"/>
              <w:rPr>
                <w:b/>
                <w:bCs w:val="0"/>
              </w:rPr>
            </w:pPr>
            <w:r w:rsidRPr="005E3251">
              <w:rPr>
                <w:b/>
                <w:bCs w:val="0"/>
              </w:rPr>
              <w:t>(2.12, 111.18)</w:t>
            </w:r>
          </w:p>
          <w:p w14:paraId="60C38F31" w14:textId="77777777" w:rsidR="00682CD7" w:rsidRPr="005E3251" w:rsidRDefault="004E3C0D" w:rsidP="00253F67">
            <w:pPr>
              <w:pStyle w:val="TableText0"/>
              <w:keepNext w:val="0"/>
              <w:widowControl w:val="0"/>
              <w:jc w:val="center"/>
              <w:rPr>
                <w:b/>
                <w:bCs w:val="0"/>
              </w:rPr>
            </w:pPr>
            <w:r w:rsidRPr="005E3251">
              <w:rPr>
                <w:b/>
                <w:bCs w:val="0"/>
              </w:rPr>
              <w:t xml:space="preserve">45.35 </w:t>
            </w:r>
          </w:p>
          <w:p w14:paraId="3DFA9ABE" w14:textId="78F16BDA" w:rsidR="004E3C0D" w:rsidRPr="005E3251" w:rsidRDefault="004E3C0D" w:rsidP="00253F67">
            <w:pPr>
              <w:pStyle w:val="TableText0"/>
              <w:keepNext w:val="0"/>
              <w:widowControl w:val="0"/>
              <w:jc w:val="center"/>
              <w:rPr>
                <w:b/>
                <w:bCs w:val="0"/>
              </w:rPr>
            </w:pPr>
            <w:r w:rsidRPr="005E3251">
              <w:rPr>
                <w:b/>
                <w:bCs w:val="0"/>
              </w:rPr>
              <w:t>(2.12, 111.18)</w:t>
            </w:r>
            <w:r w:rsidR="00D6227C" w:rsidRPr="005E3251">
              <w:rPr>
                <w:b/>
                <w:bCs w:val="0"/>
              </w:rPr>
              <w:t xml:space="preserve"> </w:t>
            </w:r>
            <w:r w:rsidRPr="005E3251">
              <w:rPr>
                <w:b/>
                <w:bCs w:val="0"/>
                <w:vertAlign w:val="superscript"/>
              </w:rPr>
              <w:t>a</w:t>
            </w:r>
          </w:p>
        </w:tc>
        <w:tc>
          <w:tcPr>
            <w:tcW w:w="679" w:type="pct"/>
            <w:shd w:val="clear" w:color="auto" w:fill="auto"/>
            <w:noWrap/>
            <w:tcMar>
              <w:left w:w="28" w:type="dxa"/>
              <w:right w:w="28" w:type="dxa"/>
            </w:tcMar>
            <w:vAlign w:val="center"/>
            <w:hideMark/>
          </w:tcPr>
          <w:p w14:paraId="489A56D8" w14:textId="77777777" w:rsidR="00682CD7" w:rsidRPr="005E3251" w:rsidRDefault="004E3C0D" w:rsidP="00253F67">
            <w:pPr>
              <w:pStyle w:val="TableText0"/>
              <w:keepNext w:val="0"/>
              <w:widowControl w:val="0"/>
              <w:jc w:val="center"/>
              <w:rPr>
                <w:b/>
                <w:bCs w:val="0"/>
              </w:rPr>
            </w:pPr>
            <w:r w:rsidRPr="005E3251">
              <w:rPr>
                <w:b/>
                <w:bCs w:val="0"/>
              </w:rPr>
              <w:t>0.33</w:t>
            </w:r>
          </w:p>
          <w:p w14:paraId="520F3294" w14:textId="7DA89CF5" w:rsidR="004E3C0D" w:rsidRPr="005E3251" w:rsidRDefault="004E3C0D" w:rsidP="00253F67">
            <w:pPr>
              <w:pStyle w:val="TableText0"/>
              <w:keepNext w:val="0"/>
              <w:widowControl w:val="0"/>
              <w:jc w:val="center"/>
              <w:rPr>
                <w:b/>
                <w:bCs w:val="0"/>
              </w:rPr>
            </w:pPr>
            <w:r w:rsidRPr="005E3251">
              <w:rPr>
                <w:b/>
                <w:bCs w:val="0"/>
              </w:rPr>
              <w:t xml:space="preserve"> (0.18, 0.48)</w:t>
            </w:r>
          </w:p>
        </w:tc>
      </w:tr>
      <w:tr w:rsidR="003416F9" w:rsidRPr="005E3251" w14:paraId="14003560" w14:textId="77777777" w:rsidTr="003416F9">
        <w:trPr>
          <w:trHeight w:val="297"/>
        </w:trPr>
        <w:tc>
          <w:tcPr>
            <w:tcW w:w="2847" w:type="pct"/>
            <w:gridSpan w:val="4"/>
            <w:shd w:val="clear" w:color="auto" w:fill="auto"/>
            <w:noWrap/>
            <w:tcMar>
              <w:left w:w="28" w:type="dxa"/>
              <w:right w:w="28" w:type="dxa"/>
            </w:tcMar>
            <w:vAlign w:val="center"/>
          </w:tcPr>
          <w:p w14:paraId="206EDA13" w14:textId="77777777" w:rsidR="004E3C0D" w:rsidRPr="005E3251" w:rsidRDefault="004E3C0D" w:rsidP="00253F67">
            <w:pPr>
              <w:pStyle w:val="TableText0"/>
              <w:keepNext w:val="0"/>
              <w:widowControl w:val="0"/>
            </w:pPr>
            <w:r w:rsidRPr="005E3251">
              <w:t>Pooled estimates for FFA 0.4 mg/kg/day (+ STP) used in indirect comparison</w:t>
            </w:r>
          </w:p>
        </w:tc>
        <w:tc>
          <w:tcPr>
            <w:tcW w:w="758" w:type="pct"/>
            <w:shd w:val="clear" w:color="auto" w:fill="auto"/>
            <w:noWrap/>
            <w:tcMar>
              <w:left w:w="28" w:type="dxa"/>
              <w:right w:w="28" w:type="dxa"/>
            </w:tcMar>
            <w:vAlign w:val="center"/>
          </w:tcPr>
          <w:p w14:paraId="06E01D0B" w14:textId="77777777" w:rsidR="00682CD7" w:rsidRPr="005E3251" w:rsidRDefault="004E3C0D" w:rsidP="00682CD7">
            <w:pPr>
              <w:pStyle w:val="TableText0"/>
              <w:keepNext w:val="0"/>
              <w:widowControl w:val="0"/>
              <w:jc w:val="center"/>
              <w:rPr>
                <w:b/>
                <w:bCs w:val="0"/>
              </w:rPr>
            </w:pPr>
            <w:r w:rsidRPr="005E3251">
              <w:rPr>
                <w:b/>
                <w:bCs w:val="0"/>
              </w:rPr>
              <w:t xml:space="preserve">23.04 </w:t>
            </w:r>
          </w:p>
          <w:p w14:paraId="57B0CA71" w14:textId="61FB75B9" w:rsidR="004E3C0D" w:rsidRPr="005E3251" w:rsidRDefault="004E3C0D" w:rsidP="00682CD7">
            <w:pPr>
              <w:pStyle w:val="TableText0"/>
              <w:keepNext w:val="0"/>
              <w:widowControl w:val="0"/>
              <w:jc w:val="center"/>
              <w:rPr>
                <w:b/>
                <w:bCs w:val="0"/>
              </w:rPr>
            </w:pPr>
            <w:r w:rsidRPr="005E3251">
              <w:rPr>
                <w:b/>
                <w:bCs w:val="0"/>
              </w:rPr>
              <w:t>(2.88, 184.29)</w:t>
            </w:r>
          </w:p>
        </w:tc>
        <w:tc>
          <w:tcPr>
            <w:tcW w:w="716" w:type="pct"/>
            <w:shd w:val="clear" w:color="auto" w:fill="auto"/>
            <w:noWrap/>
            <w:tcMar>
              <w:left w:w="28" w:type="dxa"/>
              <w:right w:w="28" w:type="dxa"/>
            </w:tcMar>
            <w:vAlign w:val="center"/>
          </w:tcPr>
          <w:p w14:paraId="6C4091E7" w14:textId="77777777" w:rsidR="00682CD7" w:rsidRPr="005E3251" w:rsidRDefault="004E3C0D" w:rsidP="00253F67">
            <w:pPr>
              <w:pStyle w:val="TableText0"/>
              <w:keepNext w:val="0"/>
              <w:widowControl w:val="0"/>
              <w:jc w:val="center"/>
              <w:rPr>
                <w:b/>
                <w:bCs w:val="0"/>
              </w:rPr>
            </w:pPr>
            <w:r w:rsidRPr="005E3251">
              <w:rPr>
                <w:b/>
                <w:bCs w:val="0"/>
              </w:rPr>
              <w:t xml:space="preserve">15.35 </w:t>
            </w:r>
          </w:p>
          <w:p w14:paraId="34532C17" w14:textId="114702BC" w:rsidR="004E3C0D" w:rsidRPr="005E3251" w:rsidRDefault="004E3C0D" w:rsidP="00253F67">
            <w:pPr>
              <w:pStyle w:val="TableText0"/>
              <w:keepNext w:val="0"/>
              <w:widowControl w:val="0"/>
              <w:jc w:val="center"/>
              <w:rPr>
                <w:b/>
                <w:bCs w:val="0"/>
              </w:rPr>
            </w:pPr>
            <w:r w:rsidRPr="005E3251">
              <w:rPr>
                <w:b/>
                <w:bCs w:val="0"/>
              </w:rPr>
              <w:t>(2.12, 111.18)</w:t>
            </w:r>
          </w:p>
          <w:p w14:paraId="76BF2A66" w14:textId="77777777" w:rsidR="00682CD7" w:rsidRPr="005E3251" w:rsidRDefault="004E3C0D" w:rsidP="00253F67">
            <w:pPr>
              <w:pStyle w:val="TableText0"/>
              <w:keepNext w:val="0"/>
              <w:widowControl w:val="0"/>
              <w:jc w:val="center"/>
              <w:rPr>
                <w:b/>
                <w:bCs w:val="0"/>
              </w:rPr>
            </w:pPr>
            <w:r w:rsidRPr="005E3251">
              <w:rPr>
                <w:b/>
                <w:bCs w:val="0"/>
              </w:rPr>
              <w:t xml:space="preserve">45.35 </w:t>
            </w:r>
          </w:p>
          <w:p w14:paraId="75CF3C6E" w14:textId="65472E11" w:rsidR="004E3C0D" w:rsidRPr="005E3251" w:rsidRDefault="004E3C0D" w:rsidP="00253F67">
            <w:pPr>
              <w:pStyle w:val="TableText0"/>
              <w:keepNext w:val="0"/>
              <w:widowControl w:val="0"/>
              <w:jc w:val="center"/>
              <w:rPr>
                <w:b/>
                <w:bCs w:val="0"/>
              </w:rPr>
            </w:pPr>
            <w:r w:rsidRPr="005E3251">
              <w:rPr>
                <w:b/>
                <w:bCs w:val="0"/>
              </w:rPr>
              <w:t>(2.12, 111.18)</w:t>
            </w:r>
          </w:p>
        </w:tc>
        <w:tc>
          <w:tcPr>
            <w:tcW w:w="679" w:type="pct"/>
            <w:shd w:val="clear" w:color="auto" w:fill="auto"/>
            <w:noWrap/>
            <w:tcMar>
              <w:left w:w="28" w:type="dxa"/>
              <w:right w:w="28" w:type="dxa"/>
            </w:tcMar>
            <w:vAlign w:val="center"/>
          </w:tcPr>
          <w:p w14:paraId="455C1082" w14:textId="77777777" w:rsidR="00682CD7" w:rsidRPr="005E3251" w:rsidRDefault="004E3C0D" w:rsidP="00253F67">
            <w:pPr>
              <w:pStyle w:val="TableText0"/>
              <w:keepNext w:val="0"/>
              <w:widowControl w:val="0"/>
              <w:jc w:val="center"/>
              <w:rPr>
                <w:b/>
                <w:bCs w:val="0"/>
              </w:rPr>
            </w:pPr>
            <w:r w:rsidRPr="005E3251">
              <w:rPr>
                <w:b/>
                <w:bCs w:val="0"/>
              </w:rPr>
              <w:t xml:space="preserve">0.33 </w:t>
            </w:r>
          </w:p>
          <w:p w14:paraId="2A4E2C24" w14:textId="78252DD4" w:rsidR="004E3C0D" w:rsidRPr="005E3251" w:rsidRDefault="004E3C0D" w:rsidP="00253F67">
            <w:pPr>
              <w:pStyle w:val="TableText0"/>
              <w:keepNext w:val="0"/>
              <w:widowControl w:val="0"/>
              <w:jc w:val="center"/>
              <w:rPr>
                <w:b/>
                <w:bCs w:val="0"/>
              </w:rPr>
            </w:pPr>
            <w:r w:rsidRPr="005E3251">
              <w:rPr>
                <w:b/>
                <w:bCs w:val="0"/>
              </w:rPr>
              <w:t>(0.18, 0.48)</w:t>
            </w:r>
          </w:p>
        </w:tc>
      </w:tr>
      <w:tr w:rsidR="00682CD7" w:rsidRPr="005E3251" w14:paraId="19BEAD2E" w14:textId="77777777" w:rsidTr="003416F9">
        <w:trPr>
          <w:trHeight w:val="297"/>
        </w:trPr>
        <w:tc>
          <w:tcPr>
            <w:tcW w:w="813" w:type="pct"/>
            <w:shd w:val="clear" w:color="auto" w:fill="auto"/>
            <w:noWrap/>
            <w:tcMar>
              <w:left w:w="28" w:type="dxa"/>
              <w:right w:w="28" w:type="dxa"/>
            </w:tcMar>
            <w:vAlign w:val="center"/>
            <w:hideMark/>
          </w:tcPr>
          <w:p w14:paraId="670C649C" w14:textId="77777777" w:rsidR="004E3C0D" w:rsidRPr="005E3251" w:rsidRDefault="004E3C0D" w:rsidP="00253F67">
            <w:pPr>
              <w:pStyle w:val="TableText0"/>
              <w:keepNext w:val="0"/>
              <w:widowControl w:val="0"/>
            </w:pPr>
            <w:r w:rsidRPr="005E3251">
              <w:t>GWPCARE1</w:t>
            </w:r>
          </w:p>
        </w:tc>
        <w:tc>
          <w:tcPr>
            <w:tcW w:w="970" w:type="pct"/>
            <w:shd w:val="clear" w:color="auto" w:fill="auto"/>
            <w:noWrap/>
            <w:tcMar>
              <w:left w:w="28" w:type="dxa"/>
              <w:right w:w="28" w:type="dxa"/>
            </w:tcMar>
            <w:vAlign w:val="center"/>
            <w:hideMark/>
          </w:tcPr>
          <w:p w14:paraId="11BE33E0" w14:textId="77777777" w:rsidR="00654B1A" w:rsidRDefault="004E3C0D" w:rsidP="00253F67">
            <w:pPr>
              <w:pStyle w:val="TableText0"/>
              <w:keepNext w:val="0"/>
              <w:widowControl w:val="0"/>
              <w:jc w:val="center"/>
            </w:pPr>
            <w:r w:rsidRPr="005E3251">
              <w:t xml:space="preserve">CBD 20 mg/kg/day </w:t>
            </w:r>
          </w:p>
          <w:p w14:paraId="617CB27A" w14:textId="2AAB8947" w:rsidR="004E3C0D" w:rsidRPr="005E3251" w:rsidRDefault="004E3C0D" w:rsidP="00253F67">
            <w:pPr>
              <w:pStyle w:val="TableText0"/>
              <w:keepNext w:val="0"/>
              <w:widowControl w:val="0"/>
              <w:jc w:val="center"/>
            </w:pPr>
            <w:r w:rsidRPr="005E3251">
              <w:t>(+/- STP)</w:t>
            </w:r>
          </w:p>
        </w:tc>
        <w:tc>
          <w:tcPr>
            <w:tcW w:w="583" w:type="pct"/>
            <w:shd w:val="clear" w:color="auto" w:fill="auto"/>
            <w:noWrap/>
            <w:tcMar>
              <w:left w:w="28" w:type="dxa"/>
              <w:right w:w="28" w:type="dxa"/>
            </w:tcMar>
            <w:vAlign w:val="center"/>
            <w:hideMark/>
          </w:tcPr>
          <w:p w14:paraId="07D7CB30" w14:textId="77777777" w:rsidR="004E3C0D" w:rsidRPr="005E3251" w:rsidRDefault="004E3C0D" w:rsidP="00253F67">
            <w:pPr>
              <w:pStyle w:val="TableText0"/>
              <w:keepNext w:val="0"/>
              <w:widowControl w:val="0"/>
              <w:jc w:val="center"/>
            </w:pPr>
            <w:r w:rsidRPr="005E3251">
              <w:t>14/61 (23.0)</w:t>
            </w:r>
          </w:p>
        </w:tc>
        <w:tc>
          <w:tcPr>
            <w:tcW w:w="480" w:type="pct"/>
            <w:shd w:val="clear" w:color="auto" w:fill="auto"/>
            <w:noWrap/>
            <w:tcMar>
              <w:left w:w="28" w:type="dxa"/>
              <w:right w:w="28" w:type="dxa"/>
            </w:tcMar>
            <w:vAlign w:val="center"/>
            <w:hideMark/>
          </w:tcPr>
          <w:p w14:paraId="7C9AB43F" w14:textId="77777777" w:rsidR="004E3C0D" w:rsidRPr="005E3251" w:rsidRDefault="004E3C0D" w:rsidP="00253F67">
            <w:pPr>
              <w:pStyle w:val="TableText0"/>
              <w:keepNext w:val="0"/>
              <w:widowControl w:val="0"/>
              <w:jc w:val="center"/>
            </w:pPr>
            <w:r w:rsidRPr="005E3251">
              <w:t>7/59 (11.9)</w:t>
            </w:r>
          </w:p>
        </w:tc>
        <w:tc>
          <w:tcPr>
            <w:tcW w:w="758" w:type="pct"/>
            <w:shd w:val="clear" w:color="auto" w:fill="auto"/>
            <w:noWrap/>
            <w:tcMar>
              <w:left w:w="28" w:type="dxa"/>
              <w:right w:w="28" w:type="dxa"/>
            </w:tcMar>
            <w:vAlign w:val="center"/>
            <w:hideMark/>
          </w:tcPr>
          <w:p w14:paraId="7F75F771" w14:textId="77777777" w:rsidR="00682CD7" w:rsidRPr="005E3251" w:rsidRDefault="004E3C0D" w:rsidP="00253F67">
            <w:pPr>
              <w:pStyle w:val="TableText0"/>
              <w:keepNext w:val="0"/>
              <w:widowControl w:val="0"/>
              <w:jc w:val="center"/>
            </w:pPr>
            <w:r w:rsidRPr="005E3251">
              <w:t xml:space="preserve">2.21 </w:t>
            </w:r>
          </w:p>
          <w:p w14:paraId="5601BD7C" w14:textId="2754E8DC" w:rsidR="004E3C0D" w:rsidRPr="005E3251" w:rsidRDefault="004E3C0D" w:rsidP="00253F67">
            <w:pPr>
              <w:pStyle w:val="TableText0"/>
              <w:keepNext w:val="0"/>
              <w:widowControl w:val="0"/>
              <w:jc w:val="center"/>
            </w:pPr>
            <w:r w:rsidRPr="005E3251">
              <w:t>(0.82, 5.95)</w:t>
            </w:r>
          </w:p>
        </w:tc>
        <w:tc>
          <w:tcPr>
            <w:tcW w:w="716" w:type="pct"/>
            <w:shd w:val="clear" w:color="auto" w:fill="auto"/>
            <w:noWrap/>
            <w:tcMar>
              <w:left w:w="28" w:type="dxa"/>
              <w:right w:w="28" w:type="dxa"/>
            </w:tcMar>
            <w:vAlign w:val="center"/>
            <w:hideMark/>
          </w:tcPr>
          <w:p w14:paraId="03F54830" w14:textId="77777777" w:rsidR="00682CD7" w:rsidRPr="005E3251" w:rsidRDefault="004E3C0D" w:rsidP="00253F67">
            <w:pPr>
              <w:pStyle w:val="TableText0"/>
              <w:keepNext w:val="0"/>
              <w:widowControl w:val="0"/>
              <w:jc w:val="center"/>
            </w:pPr>
            <w:r w:rsidRPr="005E3251">
              <w:t xml:space="preserve">1.93 </w:t>
            </w:r>
          </w:p>
          <w:p w14:paraId="1BCF2DC4" w14:textId="3F6AEC3A" w:rsidR="004E3C0D" w:rsidRPr="005E3251" w:rsidRDefault="004E3C0D" w:rsidP="00253F67">
            <w:pPr>
              <w:pStyle w:val="TableText0"/>
              <w:keepNext w:val="0"/>
              <w:widowControl w:val="0"/>
              <w:jc w:val="center"/>
            </w:pPr>
            <w:r w:rsidRPr="005E3251">
              <w:t>(0.84, 4.45)</w:t>
            </w:r>
          </w:p>
        </w:tc>
        <w:tc>
          <w:tcPr>
            <w:tcW w:w="679" w:type="pct"/>
            <w:shd w:val="clear" w:color="auto" w:fill="auto"/>
            <w:noWrap/>
            <w:tcMar>
              <w:left w:w="28" w:type="dxa"/>
              <w:right w:w="28" w:type="dxa"/>
            </w:tcMar>
            <w:vAlign w:val="center"/>
            <w:hideMark/>
          </w:tcPr>
          <w:p w14:paraId="7923A766" w14:textId="77777777" w:rsidR="00682CD7" w:rsidRPr="005E3251" w:rsidRDefault="004E3C0D" w:rsidP="00253F67">
            <w:pPr>
              <w:pStyle w:val="TableText0"/>
              <w:keepNext w:val="0"/>
              <w:widowControl w:val="0"/>
              <w:jc w:val="center"/>
            </w:pPr>
            <w:r w:rsidRPr="005E3251">
              <w:t xml:space="preserve">0.11 </w:t>
            </w:r>
          </w:p>
          <w:p w14:paraId="761B8B5F" w14:textId="1DE51A03" w:rsidR="004E3C0D" w:rsidRPr="005E3251" w:rsidRDefault="004E3C0D" w:rsidP="00253F67">
            <w:pPr>
              <w:pStyle w:val="TableText0"/>
              <w:keepNext w:val="0"/>
              <w:widowControl w:val="0"/>
              <w:jc w:val="center"/>
            </w:pPr>
            <w:r w:rsidRPr="005E3251">
              <w:t>(-0.02, 0.24)</w:t>
            </w:r>
          </w:p>
        </w:tc>
      </w:tr>
      <w:tr w:rsidR="00682CD7" w:rsidRPr="005E3251" w14:paraId="544D79F9" w14:textId="77777777" w:rsidTr="003416F9">
        <w:trPr>
          <w:trHeight w:val="297"/>
        </w:trPr>
        <w:tc>
          <w:tcPr>
            <w:tcW w:w="813" w:type="pct"/>
            <w:shd w:val="clear" w:color="auto" w:fill="auto"/>
            <w:noWrap/>
            <w:tcMar>
              <w:left w:w="28" w:type="dxa"/>
              <w:right w:w="28" w:type="dxa"/>
            </w:tcMar>
            <w:vAlign w:val="center"/>
            <w:hideMark/>
          </w:tcPr>
          <w:p w14:paraId="43068651" w14:textId="77777777" w:rsidR="004E3C0D" w:rsidRPr="005E3251" w:rsidRDefault="004E3C0D" w:rsidP="00253F67">
            <w:pPr>
              <w:pStyle w:val="TableText0"/>
              <w:keepNext w:val="0"/>
              <w:widowControl w:val="0"/>
            </w:pPr>
            <w:r w:rsidRPr="005E3251">
              <w:t>GWPCARE2</w:t>
            </w:r>
          </w:p>
        </w:tc>
        <w:tc>
          <w:tcPr>
            <w:tcW w:w="970" w:type="pct"/>
            <w:shd w:val="clear" w:color="auto" w:fill="auto"/>
            <w:noWrap/>
            <w:tcMar>
              <w:left w:w="28" w:type="dxa"/>
              <w:right w:w="28" w:type="dxa"/>
            </w:tcMar>
            <w:vAlign w:val="center"/>
            <w:hideMark/>
          </w:tcPr>
          <w:p w14:paraId="64F22743" w14:textId="77777777" w:rsidR="00654B1A" w:rsidRDefault="004E3C0D" w:rsidP="00253F67">
            <w:pPr>
              <w:pStyle w:val="TableText0"/>
              <w:keepNext w:val="0"/>
              <w:widowControl w:val="0"/>
              <w:jc w:val="center"/>
            </w:pPr>
            <w:r w:rsidRPr="005E3251">
              <w:t xml:space="preserve">CBD 20 mg/kg/day </w:t>
            </w:r>
          </w:p>
          <w:p w14:paraId="6C5BABA3" w14:textId="4CBF60D2" w:rsidR="004E3C0D" w:rsidRPr="005E3251" w:rsidRDefault="004E3C0D" w:rsidP="00253F67">
            <w:pPr>
              <w:pStyle w:val="TableText0"/>
              <w:keepNext w:val="0"/>
              <w:widowControl w:val="0"/>
              <w:jc w:val="center"/>
            </w:pPr>
            <w:r w:rsidRPr="005E3251">
              <w:t>(+/- STP)</w:t>
            </w:r>
          </w:p>
        </w:tc>
        <w:tc>
          <w:tcPr>
            <w:tcW w:w="583" w:type="pct"/>
            <w:shd w:val="clear" w:color="auto" w:fill="auto"/>
            <w:noWrap/>
            <w:tcMar>
              <w:left w:w="28" w:type="dxa"/>
              <w:right w:w="28" w:type="dxa"/>
            </w:tcMar>
            <w:vAlign w:val="center"/>
            <w:hideMark/>
          </w:tcPr>
          <w:p w14:paraId="13D480BB" w14:textId="77777777" w:rsidR="004E3C0D" w:rsidRPr="005E3251" w:rsidRDefault="004E3C0D" w:rsidP="00253F67">
            <w:pPr>
              <w:pStyle w:val="TableText0"/>
              <w:keepNext w:val="0"/>
              <w:widowControl w:val="0"/>
              <w:jc w:val="center"/>
            </w:pPr>
            <w:r w:rsidRPr="005E3251">
              <w:t>12/67 (17.9)</w:t>
            </w:r>
          </w:p>
        </w:tc>
        <w:tc>
          <w:tcPr>
            <w:tcW w:w="480" w:type="pct"/>
            <w:shd w:val="clear" w:color="auto" w:fill="auto"/>
            <w:noWrap/>
            <w:tcMar>
              <w:left w:w="28" w:type="dxa"/>
              <w:right w:w="28" w:type="dxa"/>
            </w:tcMar>
            <w:vAlign w:val="center"/>
            <w:hideMark/>
          </w:tcPr>
          <w:p w14:paraId="5A5B4ACB" w14:textId="77777777" w:rsidR="004E3C0D" w:rsidRPr="005E3251" w:rsidRDefault="004E3C0D" w:rsidP="00253F67">
            <w:pPr>
              <w:pStyle w:val="TableText0"/>
              <w:keepNext w:val="0"/>
              <w:widowControl w:val="0"/>
              <w:jc w:val="center"/>
            </w:pPr>
            <w:r w:rsidRPr="005E3251">
              <w:t>4/65 (6.2)</w:t>
            </w:r>
          </w:p>
        </w:tc>
        <w:tc>
          <w:tcPr>
            <w:tcW w:w="758" w:type="pct"/>
            <w:shd w:val="clear" w:color="auto" w:fill="auto"/>
            <w:noWrap/>
            <w:tcMar>
              <w:left w:w="28" w:type="dxa"/>
              <w:right w:w="28" w:type="dxa"/>
            </w:tcMar>
            <w:vAlign w:val="center"/>
            <w:hideMark/>
          </w:tcPr>
          <w:p w14:paraId="4629AAE3" w14:textId="77777777" w:rsidR="00682CD7" w:rsidRPr="005E3251" w:rsidRDefault="004E3C0D" w:rsidP="00253F67">
            <w:pPr>
              <w:pStyle w:val="TableText0"/>
              <w:keepNext w:val="0"/>
              <w:widowControl w:val="0"/>
              <w:jc w:val="center"/>
            </w:pPr>
            <w:r w:rsidRPr="005E3251">
              <w:t>3.33</w:t>
            </w:r>
          </w:p>
          <w:p w14:paraId="7B5124CF" w14:textId="495E6A87" w:rsidR="004E3C0D" w:rsidRPr="005E3251" w:rsidRDefault="004E3C0D" w:rsidP="00253F67">
            <w:pPr>
              <w:pStyle w:val="TableText0"/>
              <w:keepNext w:val="0"/>
              <w:widowControl w:val="0"/>
              <w:jc w:val="center"/>
            </w:pPr>
            <w:r w:rsidRPr="005E3251">
              <w:t xml:space="preserve"> (1.01, 10.92)</w:t>
            </w:r>
          </w:p>
        </w:tc>
        <w:tc>
          <w:tcPr>
            <w:tcW w:w="716" w:type="pct"/>
            <w:shd w:val="clear" w:color="auto" w:fill="auto"/>
            <w:noWrap/>
            <w:tcMar>
              <w:left w:w="28" w:type="dxa"/>
              <w:right w:w="28" w:type="dxa"/>
            </w:tcMar>
            <w:vAlign w:val="center"/>
            <w:hideMark/>
          </w:tcPr>
          <w:p w14:paraId="3CFC5289" w14:textId="77777777" w:rsidR="00682CD7" w:rsidRPr="005E3251" w:rsidRDefault="004E3C0D" w:rsidP="00253F67">
            <w:pPr>
              <w:pStyle w:val="TableText0"/>
              <w:keepNext w:val="0"/>
              <w:widowControl w:val="0"/>
              <w:jc w:val="center"/>
            </w:pPr>
            <w:r w:rsidRPr="005E3251">
              <w:t xml:space="preserve">2.91 </w:t>
            </w:r>
          </w:p>
          <w:p w14:paraId="72FE1BF2" w14:textId="5B6496DC" w:rsidR="004E3C0D" w:rsidRPr="005E3251" w:rsidRDefault="004E3C0D" w:rsidP="00253F67">
            <w:pPr>
              <w:pStyle w:val="TableText0"/>
              <w:keepNext w:val="0"/>
              <w:widowControl w:val="0"/>
              <w:jc w:val="center"/>
            </w:pPr>
            <w:r w:rsidRPr="005E3251">
              <w:t>(0.99, 8.56)</w:t>
            </w:r>
          </w:p>
        </w:tc>
        <w:tc>
          <w:tcPr>
            <w:tcW w:w="679" w:type="pct"/>
            <w:shd w:val="clear" w:color="auto" w:fill="auto"/>
            <w:noWrap/>
            <w:tcMar>
              <w:left w:w="28" w:type="dxa"/>
              <w:right w:w="28" w:type="dxa"/>
            </w:tcMar>
            <w:vAlign w:val="center"/>
            <w:hideMark/>
          </w:tcPr>
          <w:p w14:paraId="3E58679D" w14:textId="77777777" w:rsidR="00682CD7" w:rsidRPr="005E3251" w:rsidRDefault="004E3C0D" w:rsidP="00253F67">
            <w:pPr>
              <w:pStyle w:val="TableText0"/>
              <w:keepNext w:val="0"/>
              <w:widowControl w:val="0"/>
              <w:jc w:val="center"/>
              <w:rPr>
                <w:b/>
                <w:bCs w:val="0"/>
              </w:rPr>
            </w:pPr>
            <w:r w:rsidRPr="005E3251">
              <w:rPr>
                <w:b/>
                <w:bCs w:val="0"/>
              </w:rPr>
              <w:t xml:space="preserve">0.12 </w:t>
            </w:r>
          </w:p>
          <w:p w14:paraId="198311C5" w14:textId="57644FDB" w:rsidR="004E3C0D" w:rsidRPr="005E3251" w:rsidRDefault="004E3C0D" w:rsidP="00253F67">
            <w:pPr>
              <w:pStyle w:val="TableText0"/>
              <w:keepNext w:val="0"/>
              <w:widowControl w:val="0"/>
              <w:jc w:val="center"/>
              <w:rPr>
                <w:b/>
                <w:bCs w:val="0"/>
              </w:rPr>
            </w:pPr>
            <w:r w:rsidRPr="005E3251">
              <w:rPr>
                <w:b/>
                <w:bCs w:val="0"/>
              </w:rPr>
              <w:t>(0.01, 0.23)</w:t>
            </w:r>
          </w:p>
        </w:tc>
      </w:tr>
      <w:tr w:rsidR="003416F9" w:rsidRPr="005E3251" w14:paraId="20AF0661" w14:textId="77777777" w:rsidTr="003416F9">
        <w:trPr>
          <w:trHeight w:val="297"/>
        </w:trPr>
        <w:tc>
          <w:tcPr>
            <w:tcW w:w="2847" w:type="pct"/>
            <w:gridSpan w:val="4"/>
            <w:shd w:val="clear" w:color="auto" w:fill="auto"/>
            <w:noWrap/>
            <w:tcMar>
              <w:left w:w="28" w:type="dxa"/>
              <w:right w:w="28" w:type="dxa"/>
            </w:tcMar>
            <w:vAlign w:val="center"/>
          </w:tcPr>
          <w:p w14:paraId="3B4D2345" w14:textId="77777777" w:rsidR="004E3C0D" w:rsidRPr="005E3251" w:rsidRDefault="004E3C0D" w:rsidP="00253F67">
            <w:pPr>
              <w:pStyle w:val="TableText0"/>
              <w:keepNext w:val="0"/>
              <w:widowControl w:val="0"/>
            </w:pPr>
            <w:r w:rsidRPr="005E3251">
              <w:t>Pooled estimates for CBD 20 mg/kg/day (+/- STP) used in indirect comparison</w:t>
            </w:r>
          </w:p>
        </w:tc>
        <w:tc>
          <w:tcPr>
            <w:tcW w:w="758" w:type="pct"/>
            <w:shd w:val="clear" w:color="auto" w:fill="auto"/>
            <w:noWrap/>
            <w:tcMar>
              <w:left w:w="28" w:type="dxa"/>
              <w:right w:w="28" w:type="dxa"/>
            </w:tcMar>
            <w:vAlign w:val="center"/>
          </w:tcPr>
          <w:p w14:paraId="56F1872D" w14:textId="77777777" w:rsidR="00682CD7" w:rsidRPr="005E3251" w:rsidRDefault="004E3C0D" w:rsidP="00253F67">
            <w:pPr>
              <w:pStyle w:val="TableText0"/>
              <w:keepNext w:val="0"/>
              <w:widowControl w:val="0"/>
              <w:jc w:val="center"/>
              <w:rPr>
                <w:b/>
                <w:bCs w:val="0"/>
              </w:rPr>
            </w:pPr>
            <w:r w:rsidRPr="005E3251">
              <w:rPr>
                <w:b/>
                <w:bCs w:val="0"/>
              </w:rPr>
              <w:t xml:space="preserve">2.61 </w:t>
            </w:r>
          </w:p>
          <w:p w14:paraId="194ED16E" w14:textId="5CAC3EC9" w:rsidR="004E3C0D" w:rsidRPr="005E3251" w:rsidRDefault="004E3C0D" w:rsidP="00253F67">
            <w:pPr>
              <w:pStyle w:val="TableText0"/>
              <w:keepNext w:val="0"/>
              <w:widowControl w:val="0"/>
              <w:jc w:val="center"/>
              <w:rPr>
                <w:b/>
                <w:bCs w:val="0"/>
              </w:rPr>
            </w:pPr>
            <w:r w:rsidRPr="005E3251">
              <w:rPr>
                <w:b/>
                <w:bCs w:val="0"/>
              </w:rPr>
              <w:t>(1.22, 5.59)</w:t>
            </w:r>
          </w:p>
        </w:tc>
        <w:tc>
          <w:tcPr>
            <w:tcW w:w="716" w:type="pct"/>
            <w:shd w:val="clear" w:color="auto" w:fill="auto"/>
            <w:noWrap/>
            <w:tcMar>
              <w:left w:w="28" w:type="dxa"/>
              <w:right w:w="28" w:type="dxa"/>
            </w:tcMar>
            <w:vAlign w:val="center"/>
          </w:tcPr>
          <w:p w14:paraId="178BA99F" w14:textId="77777777" w:rsidR="00682CD7" w:rsidRPr="005E3251" w:rsidRDefault="004E3C0D" w:rsidP="00253F67">
            <w:pPr>
              <w:pStyle w:val="TableText0"/>
              <w:keepNext w:val="0"/>
              <w:widowControl w:val="0"/>
              <w:jc w:val="center"/>
              <w:rPr>
                <w:b/>
                <w:bCs w:val="0"/>
              </w:rPr>
            </w:pPr>
            <w:r w:rsidRPr="005E3251">
              <w:rPr>
                <w:b/>
                <w:bCs w:val="0"/>
              </w:rPr>
              <w:t xml:space="preserve">2.25 </w:t>
            </w:r>
          </w:p>
          <w:p w14:paraId="7FC527BF" w14:textId="23E4B1F4" w:rsidR="004E3C0D" w:rsidRPr="005E3251" w:rsidRDefault="004E3C0D" w:rsidP="00253F67">
            <w:pPr>
              <w:pStyle w:val="TableText0"/>
              <w:keepNext w:val="0"/>
              <w:widowControl w:val="0"/>
              <w:jc w:val="center"/>
              <w:rPr>
                <w:b/>
                <w:bCs w:val="0"/>
              </w:rPr>
            </w:pPr>
            <w:r w:rsidRPr="005E3251">
              <w:rPr>
                <w:b/>
                <w:bCs w:val="0"/>
              </w:rPr>
              <w:t>(1.17, 4.36)</w:t>
            </w:r>
          </w:p>
        </w:tc>
        <w:tc>
          <w:tcPr>
            <w:tcW w:w="679" w:type="pct"/>
            <w:shd w:val="clear" w:color="auto" w:fill="auto"/>
            <w:noWrap/>
            <w:tcMar>
              <w:left w:w="28" w:type="dxa"/>
              <w:right w:w="28" w:type="dxa"/>
            </w:tcMar>
            <w:vAlign w:val="center"/>
          </w:tcPr>
          <w:p w14:paraId="13DFE5AE" w14:textId="77777777" w:rsidR="00682CD7" w:rsidRPr="005E3251" w:rsidRDefault="004E3C0D" w:rsidP="00253F67">
            <w:pPr>
              <w:pStyle w:val="TableText0"/>
              <w:keepNext w:val="0"/>
              <w:widowControl w:val="0"/>
              <w:jc w:val="center"/>
              <w:rPr>
                <w:b/>
                <w:bCs w:val="0"/>
              </w:rPr>
            </w:pPr>
            <w:r w:rsidRPr="005E3251">
              <w:rPr>
                <w:b/>
                <w:bCs w:val="0"/>
              </w:rPr>
              <w:t xml:space="preserve">0.11 </w:t>
            </w:r>
          </w:p>
          <w:p w14:paraId="4992D2D5" w14:textId="63F6F347" w:rsidR="004E3C0D" w:rsidRPr="005E3251" w:rsidRDefault="004E3C0D" w:rsidP="00253F67">
            <w:pPr>
              <w:pStyle w:val="TableText0"/>
              <w:keepNext w:val="0"/>
              <w:widowControl w:val="0"/>
              <w:jc w:val="center"/>
              <w:rPr>
                <w:b/>
                <w:bCs w:val="0"/>
              </w:rPr>
            </w:pPr>
            <w:r w:rsidRPr="005E3251">
              <w:rPr>
                <w:b/>
                <w:bCs w:val="0"/>
              </w:rPr>
              <w:t>(0.03, 0.20)</w:t>
            </w:r>
          </w:p>
        </w:tc>
      </w:tr>
      <w:tr w:rsidR="00682CD7" w:rsidRPr="005E3251" w14:paraId="3F4D574C" w14:textId="77777777" w:rsidTr="003416F9">
        <w:trPr>
          <w:trHeight w:val="297"/>
        </w:trPr>
        <w:tc>
          <w:tcPr>
            <w:tcW w:w="813" w:type="pct"/>
            <w:shd w:val="clear" w:color="auto" w:fill="auto"/>
            <w:noWrap/>
            <w:tcMar>
              <w:left w:w="28" w:type="dxa"/>
              <w:right w:w="28" w:type="dxa"/>
            </w:tcMar>
            <w:vAlign w:val="center"/>
            <w:hideMark/>
          </w:tcPr>
          <w:p w14:paraId="75947846" w14:textId="77777777" w:rsidR="004E3C0D" w:rsidRPr="005E3251" w:rsidRDefault="004E3C0D" w:rsidP="00253F67">
            <w:pPr>
              <w:pStyle w:val="TableText0"/>
              <w:keepNext w:val="0"/>
              <w:widowControl w:val="0"/>
            </w:pPr>
            <w:r w:rsidRPr="005E3251">
              <w:t>GWPCARE2</w:t>
            </w:r>
          </w:p>
        </w:tc>
        <w:tc>
          <w:tcPr>
            <w:tcW w:w="970" w:type="pct"/>
            <w:shd w:val="clear" w:color="auto" w:fill="auto"/>
            <w:noWrap/>
            <w:tcMar>
              <w:left w:w="28" w:type="dxa"/>
              <w:right w:w="28" w:type="dxa"/>
            </w:tcMar>
            <w:vAlign w:val="center"/>
            <w:hideMark/>
          </w:tcPr>
          <w:p w14:paraId="27C08636" w14:textId="77777777" w:rsidR="00654B1A" w:rsidRDefault="004E3C0D" w:rsidP="00253F67">
            <w:pPr>
              <w:pStyle w:val="TableText0"/>
              <w:keepNext w:val="0"/>
              <w:widowControl w:val="0"/>
              <w:jc w:val="center"/>
            </w:pPr>
            <w:r w:rsidRPr="005E3251">
              <w:t>CBD 10 mg/kg/day</w:t>
            </w:r>
          </w:p>
          <w:p w14:paraId="5BD708BE" w14:textId="050B90D9" w:rsidR="004E3C0D" w:rsidRPr="005E3251" w:rsidRDefault="004E3C0D" w:rsidP="00253F67">
            <w:pPr>
              <w:pStyle w:val="TableText0"/>
              <w:keepNext w:val="0"/>
              <w:widowControl w:val="0"/>
              <w:jc w:val="center"/>
            </w:pPr>
            <w:r w:rsidRPr="005E3251">
              <w:t xml:space="preserve"> (+/- STP)</w:t>
            </w:r>
          </w:p>
        </w:tc>
        <w:tc>
          <w:tcPr>
            <w:tcW w:w="583" w:type="pct"/>
            <w:shd w:val="clear" w:color="auto" w:fill="auto"/>
            <w:noWrap/>
            <w:tcMar>
              <w:left w:w="28" w:type="dxa"/>
              <w:right w:w="28" w:type="dxa"/>
            </w:tcMar>
            <w:vAlign w:val="center"/>
            <w:hideMark/>
          </w:tcPr>
          <w:p w14:paraId="63774FD7" w14:textId="77777777" w:rsidR="004E3C0D" w:rsidRPr="005E3251" w:rsidRDefault="004E3C0D" w:rsidP="00253F67">
            <w:pPr>
              <w:pStyle w:val="TableText0"/>
              <w:keepNext w:val="0"/>
              <w:widowControl w:val="0"/>
              <w:jc w:val="center"/>
            </w:pPr>
            <w:r w:rsidRPr="005E3251">
              <w:t>20/66 (30.3)</w:t>
            </w:r>
          </w:p>
        </w:tc>
        <w:tc>
          <w:tcPr>
            <w:tcW w:w="480" w:type="pct"/>
            <w:shd w:val="clear" w:color="auto" w:fill="auto"/>
            <w:noWrap/>
            <w:tcMar>
              <w:left w:w="28" w:type="dxa"/>
              <w:right w:w="28" w:type="dxa"/>
            </w:tcMar>
            <w:vAlign w:val="center"/>
            <w:hideMark/>
          </w:tcPr>
          <w:p w14:paraId="733EDDBE" w14:textId="77777777" w:rsidR="004E3C0D" w:rsidRPr="005E3251" w:rsidRDefault="004E3C0D" w:rsidP="00253F67">
            <w:pPr>
              <w:pStyle w:val="TableText0"/>
              <w:keepNext w:val="0"/>
              <w:widowControl w:val="0"/>
              <w:jc w:val="center"/>
            </w:pPr>
            <w:r w:rsidRPr="005E3251">
              <w:t>4/65 (6.2)</w:t>
            </w:r>
          </w:p>
        </w:tc>
        <w:tc>
          <w:tcPr>
            <w:tcW w:w="758" w:type="pct"/>
            <w:shd w:val="clear" w:color="auto" w:fill="auto"/>
            <w:noWrap/>
            <w:tcMar>
              <w:left w:w="28" w:type="dxa"/>
              <w:right w:w="28" w:type="dxa"/>
            </w:tcMar>
            <w:vAlign w:val="center"/>
            <w:hideMark/>
          </w:tcPr>
          <w:p w14:paraId="06A94AF8" w14:textId="77777777" w:rsidR="00682CD7" w:rsidRPr="005E3251" w:rsidRDefault="004E3C0D" w:rsidP="00253F67">
            <w:pPr>
              <w:pStyle w:val="TableText0"/>
              <w:keepNext w:val="0"/>
              <w:widowControl w:val="0"/>
              <w:jc w:val="center"/>
              <w:rPr>
                <w:b/>
                <w:bCs w:val="0"/>
              </w:rPr>
            </w:pPr>
            <w:r w:rsidRPr="005E3251">
              <w:rPr>
                <w:b/>
                <w:bCs w:val="0"/>
              </w:rPr>
              <w:t xml:space="preserve">6.63 </w:t>
            </w:r>
          </w:p>
          <w:p w14:paraId="4DCDBEC7" w14:textId="1AD8B520" w:rsidR="004E3C0D" w:rsidRPr="005E3251" w:rsidRDefault="004E3C0D" w:rsidP="00253F67">
            <w:pPr>
              <w:pStyle w:val="TableText0"/>
              <w:keepNext w:val="0"/>
              <w:widowControl w:val="0"/>
              <w:jc w:val="center"/>
              <w:rPr>
                <w:b/>
                <w:bCs w:val="0"/>
              </w:rPr>
            </w:pPr>
            <w:r w:rsidRPr="005E3251">
              <w:rPr>
                <w:b/>
                <w:bCs w:val="0"/>
              </w:rPr>
              <w:t>(2.12, 20.73)</w:t>
            </w:r>
          </w:p>
        </w:tc>
        <w:tc>
          <w:tcPr>
            <w:tcW w:w="716" w:type="pct"/>
            <w:shd w:val="clear" w:color="auto" w:fill="auto"/>
            <w:noWrap/>
            <w:tcMar>
              <w:left w:w="28" w:type="dxa"/>
              <w:right w:w="28" w:type="dxa"/>
            </w:tcMar>
            <w:vAlign w:val="center"/>
            <w:hideMark/>
          </w:tcPr>
          <w:p w14:paraId="4E112569" w14:textId="77777777" w:rsidR="00682CD7" w:rsidRPr="005E3251" w:rsidRDefault="004E3C0D" w:rsidP="00253F67">
            <w:pPr>
              <w:pStyle w:val="TableText0"/>
              <w:keepNext w:val="0"/>
              <w:widowControl w:val="0"/>
              <w:jc w:val="center"/>
              <w:rPr>
                <w:b/>
                <w:bCs w:val="0"/>
              </w:rPr>
            </w:pPr>
            <w:r w:rsidRPr="005E3251">
              <w:rPr>
                <w:b/>
                <w:bCs w:val="0"/>
              </w:rPr>
              <w:t xml:space="preserve">4.92 </w:t>
            </w:r>
          </w:p>
          <w:p w14:paraId="691CC2C4" w14:textId="453CF1B2" w:rsidR="004E3C0D" w:rsidRPr="005E3251" w:rsidRDefault="004E3C0D" w:rsidP="00253F67">
            <w:pPr>
              <w:pStyle w:val="TableText0"/>
              <w:keepNext w:val="0"/>
              <w:widowControl w:val="0"/>
              <w:jc w:val="center"/>
              <w:rPr>
                <w:b/>
                <w:bCs w:val="0"/>
              </w:rPr>
            </w:pPr>
            <w:r w:rsidRPr="005E3251">
              <w:rPr>
                <w:b/>
                <w:bCs w:val="0"/>
              </w:rPr>
              <w:t>(1.78, 13.62)</w:t>
            </w:r>
          </w:p>
        </w:tc>
        <w:tc>
          <w:tcPr>
            <w:tcW w:w="679" w:type="pct"/>
            <w:shd w:val="clear" w:color="auto" w:fill="auto"/>
            <w:noWrap/>
            <w:tcMar>
              <w:left w:w="28" w:type="dxa"/>
              <w:right w:w="28" w:type="dxa"/>
            </w:tcMar>
            <w:vAlign w:val="center"/>
            <w:hideMark/>
          </w:tcPr>
          <w:p w14:paraId="39C2F35B" w14:textId="77777777" w:rsidR="00682CD7" w:rsidRPr="005E3251" w:rsidRDefault="004E3C0D" w:rsidP="00253F67">
            <w:pPr>
              <w:pStyle w:val="TableText0"/>
              <w:keepNext w:val="0"/>
              <w:widowControl w:val="0"/>
              <w:jc w:val="center"/>
              <w:rPr>
                <w:b/>
                <w:bCs w:val="0"/>
              </w:rPr>
            </w:pPr>
            <w:r w:rsidRPr="005E3251">
              <w:rPr>
                <w:b/>
                <w:bCs w:val="0"/>
              </w:rPr>
              <w:t xml:space="preserve">0.24 </w:t>
            </w:r>
          </w:p>
          <w:p w14:paraId="0F68B751" w14:textId="6C2A9C81" w:rsidR="004E3C0D" w:rsidRPr="005E3251" w:rsidRDefault="004E3C0D" w:rsidP="00253F67">
            <w:pPr>
              <w:pStyle w:val="TableText0"/>
              <w:keepNext w:val="0"/>
              <w:widowControl w:val="0"/>
              <w:jc w:val="center"/>
              <w:rPr>
                <w:b/>
                <w:bCs w:val="0"/>
              </w:rPr>
            </w:pPr>
            <w:r w:rsidRPr="005E3251">
              <w:rPr>
                <w:b/>
                <w:bCs w:val="0"/>
              </w:rPr>
              <w:t>(0.12, 0.37)</w:t>
            </w:r>
          </w:p>
        </w:tc>
      </w:tr>
      <w:tr w:rsidR="003416F9" w:rsidRPr="005E3251" w14:paraId="6EDB3D1F" w14:textId="77777777" w:rsidTr="003416F9">
        <w:trPr>
          <w:trHeight w:val="297"/>
        </w:trPr>
        <w:tc>
          <w:tcPr>
            <w:tcW w:w="2847" w:type="pct"/>
            <w:gridSpan w:val="4"/>
            <w:shd w:val="clear" w:color="auto" w:fill="auto"/>
            <w:noWrap/>
            <w:tcMar>
              <w:left w:w="28" w:type="dxa"/>
              <w:right w:w="28" w:type="dxa"/>
            </w:tcMar>
            <w:vAlign w:val="center"/>
          </w:tcPr>
          <w:p w14:paraId="151AD348" w14:textId="77777777" w:rsidR="004E3C0D" w:rsidRPr="005E3251" w:rsidRDefault="004E3C0D" w:rsidP="00253F67">
            <w:pPr>
              <w:pStyle w:val="TableText0"/>
              <w:keepNext w:val="0"/>
              <w:widowControl w:val="0"/>
            </w:pPr>
            <w:r w:rsidRPr="005E3251">
              <w:t>Pooled estimates for CBD 10 mg/kg/day (+/- STP) used in indirect comparison</w:t>
            </w:r>
          </w:p>
        </w:tc>
        <w:tc>
          <w:tcPr>
            <w:tcW w:w="758" w:type="pct"/>
            <w:shd w:val="clear" w:color="auto" w:fill="auto"/>
            <w:noWrap/>
            <w:tcMar>
              <w:left w:w="28" w:type="dxa"/>
              <w:right w:w="28" w:type="dxa"/>
            </w:tcMar>
            <w:vAlign w:val="center"/>
          </w:tcPr>
          <w:p w14:paraId="41282E5F" w14:textId="77777777" w:rsidR="004E3C0D" w:rsidRPr="005E3251" w:rsidRDefault="004E3C0D" w:rsidP="00253F67">
            <w:pPr>
              <w:pStyle w:val="TableText0"/>
              <w:keepNext w:val="0"/>
              <w:widowControl w:val="0"/>
              <w:jc w:val="center"/>
              <w:rPr>
                <w:b/>
                <w:bCs w:val="0"/>
              </w:rPr>
            </w:pPr>
            <w:r w:rsidRPr="005E3251">
              <w:rPr>
                <w:b/>
                <w:bCs w:val="0"/>
              </w:rPr>
              <w:t>6.63 (2.12, 20.73)</w:t>
            </w:r>
          </w:p>
        </w:tc>
        <w:tc>
          <w:tcPr>
            <w:tcW w:w="716" w:type="pct"/>
            <w:shd w:val="clear" w:color="auto" w:fill="auto"/>
            <w:noWrap/>
            <w:tcMar>
              <w:left w:w="28" w:type="dxa"/>
              <w:right w:w="28" w:type="dxa"/>
            </w:tcMar>
            <w:vAlign w:val="center"/>
          </w:tcPr>
          <w:p w14:paraId="3D87DBB6" w14:textId="77777777" w:rsidR="004E3C0D" w:rsidRPr="005E3251" w:rsidRDefault="004E3C0D" w:rsidP="00253F67">
            <w:pPr>
              <w:pStyle w:val="TableText0"/>
              <w:keepNext w:val="0"/>
              <w:widowControl w:val="0"/>
              <w:jc w:val="center"/>
              <w:rPr>
                <w:b/>
                <w:bCs w:val="0"/>
              </w:rPr>
            </w:pPr>
            <w:r w:rsidRPr="005E3251">
              <w:rPr>
                <w:b/>
                <w:bCs w:val="0"/>
              </w:rPr>
              <w:t>4.92 (1.78, 13.62)</w:t>
            </w:r>
          </w:p>
        </w:tc>
        <w:tc>
          <w:tcPr>
            <w:tcW w:w="679" w:type="pct"/>
            <w:shd w:val="clear" w:color="auto" w:fill="auto"/>
            <w:noWrap/>
            <w:tcMar>
              <w:left w:w="28" w:type="dxa"/>
              <w:right w:w="28" w:type="dxa"/>
            </w:tcMar>
            <w:vAlign w:val="center"/>
          </w:tcPr>
          <w:p w14:paraId="2004AFDC" w14:textId="77777777" w:rsidR="004E3C0D" w:rsidRPr="005E3251" w:rsidRDefault="004E3C0D" w:rsidP="00253F67">
            <w:pPr>
              <w:pStyle w:val="TableText0"/>
              <w:keepNext w:val="0"/>
              <w:widowControl w:val="0"/>
              <w:jc w:val="center"/>
              <w:rPr>
                <w:b/>
                <w:bCs w:val="0"/>
              </w:rPr>
            </w:pPr>
            <w:r w:rsidRPr="005E3251">
              <w:rPr>
                <w:b/>
                <w:bCs w:val="0"/>
              </w:rPr>
              <w:t>0.24 (0.12, 0.37)</w:t>
            </w:r>
          </w:p>
        </w:tc>
      </w:tr>
    </w:tbl>
    <w:p w14:paraId="6BC4C2EC" w14:textId="5672BBDA" w:rsidR="004E3C0D" w:rsidRPr="005E3251" w:rsidRDefault="004E3C0D" w:rsidP="004E3C0D">
      <w:pPr>
        <w:pStyle w:val="TableFigureFooter"/>
      </w:pPr>
      <w:r w:rsidRPr="005E3251">
        <w:t>Source: Table compiled during the evaluation using Table 2-66, p118, Section 2.6.3. pp119-129 of the submission, Table A-13, p13, Table A-14, p13 of Appendix 1 of the submission.</w:t>
      </w:r>
      <w:r w:rsidRPr="005E3251">
        <w:rPr>
          <w:rFonts w:eastAsia="Calibri"/>
          <w:b/>
          <w:bCs/>
        </w:rPr>
        <w:t xml:space="preserve"> Bold </w:t>
      </w:r>
      <w:r w:rsidRPr="005E3251">
        <w:rPr>
          <w:rFonts w:eastAsia="Calibri"/>
        </w:rPr>
        <w:t xml:space="preserve">text shows statistically significant results. </w:t>
      </w:r>
    </w:p>
    <w:p w14:paraId="7676D0E4" w14:textId="77777777" w:rsidR="004E3C0D" w:rsidRPr="005E3251" w:rsidRDefault="004E3C0D" w:rsidP="004E3C0D">
      <w:pPr>
        <w:pStyle w:val="TableFigureFooter"/>
        <w:rPr>
          <w:rFonts w:eastAsia="Calibri"/>
        </w:rPr>
      </w:pPr>
      <w:r w:rsidRPr="005E3251">
        <w:rPr>
          <w:rFonts w:eastAsia="Calibri"/>
        </w:rPr>
        <w:t>CBD = cannabidiol; CI = confidence interval; CSF = convulsive seizure frequency; FFA =fenfluramine; LS = least square; n = number of participants with event; N = total number of participants in the group; NA= not applicable; OR = Odds ratios; RR= risk ratio; RD= risk difference; STP = stiripentol.</w:t>
      </w:r>
    </w:p>
    <w:p w14:paraId="2BFD232E" w14:textId="7D8436EC" w:rsidR="00625CEF" w:rsidRPr="005E3251" w:rsidRDefault="00625CEF" w:rsidP="00D6227C">
      <w:pPr>
        <w:pStyle w:val="TableFigureFooter"/>
        <w:rPr>
          <w:rFonts w:eastAsia="Calibri"/>
        </w:rPr>
      </w:pPr>
      <w:r w:rsidRPr="005E3251">
        <w:rPr>
          <w:vertAlign w:val="superscript"/>
        </w:rPr>
        <w:t xml:space="preserve">b </w:t>
      </w:r>
      <w:r w:rsidRPr="005E3251">
        <w:t>In Study 1 and Study 3 the participants in the placebo arm did not receive stiripentol. In Study 2 all the participants in the placebo arm received stiripentol. In the GWPCARE1 and GWPCARE2 trials some participants in the placebo arm received stiripentol (42% and 36%, respectively).</w:t>
      </w:r>
    </w:p>
    <w:p w14:paraId="541E893D" w14:textId="3587D71B" w:rsidR="00CE7338" w:rsidRPr="005E3251" w:rsidRDefault="00CE7338" w:rsidP="00CE7338">
      <w:pPr>
        <w:pStyle w:val="5-SubsectionSubheading"/>
        <w:rPr>
          <w:rFonts w:ascii="Calibri" w:hAnsi="Calibri"/>
          <w:color w:val="auto"/>
        </w:rPr>
      </w:pPr>
      <w:bookmarkStart w:id="45" w:name="_Toc177562905"/>
      <w:r w:rsidRPr="005E3251">
        <w:rPr>
          <w:color w:val="auto"/>
        </w:rPr>
        <w:t>Indirect treatment comparison</w:t>
      </w:r>
      <w:bookmarkEnd w:id="45"/>
    </w:p>
    <w:p w14:paraId="45C944B4" w14:textId="525247FB" w:rsidR="00D453C6" w:rsidRPr="005E3251" w:rsidRDefault="00CE7338" w:rsidP="00EE2158">
      <w:pPr>
        <w:pStyle w:val="3-BodyText"/>
      </w:pPr>
      <w:r w:rsidRPr="005E3251">
        <w:t>In the absence of direct randomised controlled trials, the submission presented indirect treatment comparisons</w:t>
      </w:r>
      <w:r w:rsidR="0070381E" w:rsidRPr="005E3251">
        <w:t xml:space="preserve"> using placebo as a common comparator. </w:t>
      </w:r>
      <w:r w:rsidR="00785E3F" w:rsidRPr="005E3251">
        <w:t xml:space="preserve">A diagram of all </w:t>
      </w:r>
      <w:r w:rsidR="00533902" w:rsidRPr="005E3251">
        <w:t xml:space="preserve">the </w:t>
      </w:r>
      <w:r w:rsidR="00785E3F" w:rsidRPr="005E3251">
        <w:t>included drug regimens is shown in</w:t>
      </w:r>
      <w:r w:rsidR="00187628" w:rsidRPr="005E3251">
        <w:t xml:space="preserve"> </w:t>
      </w:r>
      <w:r w:rsidR="000E3E8A" w:rsidRPr="005E3251">
        <w:fldChar w:fldCharType="begin" w:fldLock="1"/>
      </w:r>
      <w:r w:rsidR="000E3E8A" w:rsidRPr="005E3251">
        <w:instrText xml:space="preserve"> REF _Ref176425111 \h </w:instrText>
      </w:r>
      <w:r w:rsidR="005E3251" w:rsidRPr="005E3251">
        <w:instrText xml:space="preserve"> \* MERGEFORMAT </w:instrText>
      </w:r>
      <w:r w:rsidR="000E3E8A" w:rsidRPr="005E3251">
        <w:fldChar w:fldCharType="separate"/>
      </w:r>
      <w:r w:rsidR="00D72887" w:rsidRPr="005E3251">
        <w:t xml:space="preserve">Figure </w:t>
      </w:r>
      <w:r w:rsidR="00D72887">
        <w:rPr>
          <w:noProof/>
        </w:rPr>
        <w:t>1</w:t>
      </w:r>
      <w:r w:rsidR="000E3E8A" w:rsidRPr="005E3251">
        <w:fldChar w:fldCharType="end"/>
      </w:r>
      <w:r w:rsidR="00785E3F" w:rsidRPr="005E3251">
        <w:t xml:space="preserve">. Each node </w:t>
      </w:r>
      <w:r w:rsidR="00533902" w:rsidRPr="005E3251">
        <w:t xml:space="preserve">in the diagram </w:t>
      </w:r>
      <w:r w:rsidR="00785E3F" w:rsidRPr="005E3251">
        <w:t>represents a drug regimen, and the lines between the nodes reflect direct comparisons.</w:t>
      </w:r>
    </w:p>
    <w:p w14:paraId="52D14670" w14:textId="65534062" w:rsidR="00A677A8" w:rsidRPr="005E3251" w:rsidRDefault="00A677A8" w:rsidP="001A6E9C">
      <w:pPr>
        <w:pStyle w:val="Caption"/>
        <w:jc w:val="left"/>
      </w:pPr>
      <w:bookmarkStart w:id="46" w:name="_Ref176425111"/>
      <w:r w:rsidRPr="005E3251">
        <w:lastRenderedPageBreak/>
        <w:t xml:space="preserve">Figure </w:t>
      </w:r>
      <w:r w:rsidR="00D72887">
        <w:fldChar w:fldCharType="begin" w:fldLock="1"/>
      </w:r>
      <w:r w:rsidR="00D72887">
        <w:instrText xml:space="preserve"> SEQ Figure \* ARABIC </w:instrText>
      </w:r>
      <w:r w:rsidR="00D72887">
        <w:fldChar w:fldCharType="separate"/>
      </w:r>
      <w:r w:rsidR="00D72887">
        <w:rPr>
          <w:noProof/>
        </w:rPr>
        <w:t>1</w:t>
      </w:r>
      <w:r w:rsidR="00D72887">
        <w:rPr>
          <w:noProof/>
        </w:rPr>
        <w:fldChar w:fldCharType="end"/>
      </w:r>
      <w:bookmarkEnd w:id="46"/>
      <w:r w:rsidRPr="005E3251">
        <w:t xml:space="preserve"> </w:t>
      </w:r>
      <w:r w:rsidR="007A1D07" w:rsidRPr="005E3251">
        <w:t>D</w:t>
      </w:r>
      <w:r w:rsidRPr="005E3251">
        <w:t xml:space="preserve">iagram of </w:t>
      </w:r>
      <w:r w:rsidR="007A1D07" w:rsidRPr="005E3251">
        <w:t xml:space="preserve">comparisons across the </w:t>
      </w:r>
      <w:r w:rsidRPr="005E3251">
        <w:t>randomised trials included in the indirect treatment comparisons</w:t>
      </w:r>
      <w:r w:rsidR="00116BF5" w:rsidRPr="005E3251">
        <w:rPr>
          <w:noProof/>
        </w:rPr>
        <w:drawing>
          <wp:inline distT="0" distB="0" distL="0" distR="0" wp14:anchorId="3D822BBA" wp14:editId="37558224">
            <wp:extent cx="3621024" cy="2802774"/>
            <wp:effectExtent l="0" t="0" r="0" b="0"/>
            <wp:docPr id="384146426" name="Picture 1" descr="A diagram of a medical mode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46426" name="Picture 1" descr="A diagram of a medical model&#10;&#10;Description automatically generated with medium confidence"/>
                    <pic:cNvPicPr/>
                  </pic:nvPicPr>
                  <pic:blipFill>
                    <a:blip r:embed="rId11"/>
                    <a:stretch>
                      <a:fillRect/>
                    </a:stretch>
                  </pic:blipFill>
                  <pic:spPr>
                    <a:xfrm>
                      <a:off x="0" y="0"/>
                      <a:ext cx="3634545" cy="2813240"/>
                    </a:xfrm>
                    <a:prstGeom prst="rect">
                      <a:avLst/>
                    </a:prstGeom>
                  </pic:spPr>
                </pic:pic>
              </a:graphicData>
            </a:graphic>
          </wp:inline>
        </w:drawing>
      </w:r>
    </w:p>
    <w:p w14:paraId="385999ED" w14:textId="77777777" w:rsidR="00945A05" w:rsidRPr="005E3251" w:rsidRDefault="00945A05" w:rsidP="00945A05">
      <w:pPr>
        <w:pStyle w:val="FooterTableFigure"/>
        <w:keepLines/>
      </w:pPr>
      <w:r w:rsidRPr="005E3251">
        <w:t>Source: Figure compiled during the evaluation from Figure 2-3, p44 of the submission, and Figure A-2 in Appendix 1 of the submission.</w:t>
      </w:r>
    </w:p>
    <w:p w14:paraId="6072FE06" w14:textId="2E083CB5" w:rsidR="00945A05" w:rsidRPr="005E3251" w:rsidRDefault="00945A05" w:rsidP="00945A05">
      <w:pPr>
        <w:pStyle w:val="FooterTableFigure"/>
        <w:keepLines/>
      </w:pPr>
      <w:r w:rsidRPr="005E3251">
        <w:t xml:space="preserve">Comparisons with stiripentol only included </w:t>
      </w:r>
      <w:r w:rsidR="00BA5B11" w:rsidRPr="005E3251">
        <w:t>fenfluramine 0.7 mg/kg/day (</w:t>
      </w:r>
      <w:r w:rsidR="000F58E2" w:rsidRPr="005E3251">
        <w:t xml:space="preserve">without stiripentol) </w:t>
      </w:r>
      <w:r w:rsidR="00BA5B11" w:rsidRPr="005E3251">
        <w:t xml:space="preserve">dose from </w:t>
      </w:r>
      <w:r w:rsidRPr="005E3251">
        <w:t>Study 1 and Study 3 trials (k=2, N=261).</w:t>
      </w:r>
    </w:p>
    <w:p w14:paraId="40E3E92D" w14:textId="2E377183" w:rsidR="00FF311C" w:rsidRPr="005E3251" w:rsidRDefault="00FF311C" w:rsidP="00945A05">
      <w:pPr>
        <w:pStyle w:val="FooterTableFigure"/>
        <w:keepLines/>
      </w:pPr>
      <w:r w:rsidRPr="005E3251">
        <w:t>k=number of randomised controlled trials, N= total number of participants across the trials</w:t>
      </w:r>
      <w:r w:rsidR="006E5600" w:rsidRPr="005E3251">
        <w:t>; STP = stiripentol</w:t>
      </w:r>
      <w:r w:rsidRPr="005E3251">
        <w:t>.</w:t>
      </w:r>
    </w:p>
    <w:p w14:paraId="486CCF0B" w14:textId="004F706F" w:rsidR="000F58E2" w:rsidRPr="005E3251" w:rsidRDefault="000F58E2" w:rsidP="0076447F">
      <w:pPr>
        <w:pStyle w:val="FooterTableFigure"/>
        <w:keepLines/>
      </w:pPr>
      <w:r w:rsidRPr="005E3251">
        <w:t>*</w:t>
      </w:r>
      <w:r w:rsidR="00E10A73" w:rsidRPr="005E3251">
        <w:t xml:space="preserve"> In Study 1 and Study 3</w:t>
      </w:r>
      <w:r w:rsidR="0076447F" w:rsidRPr="005E3251">
        <w:t xml:space="preserve"> the participants in the placebo arm did not receive</w:t>
      </w:r>
      <w:r w:rsidR="00E10A73" w:rsidRPr="005E3251">
        <w:t xml:space="preserve"> stiripentol.</w:t>
      </w:r>
      <w:r w:rsidR="0076447F" w:rsidRPr="005E3251">
        <w:t xml:space="preserve"> In Study 2 all the participants in the placebo arm received stiripentol. In the GWPCARE1 and GWPCARE2 trials </w:t>
      </w:r>
      <w:r w:rsidR="009311F9" w:rsidRPr="005E3251">
        <w:t>some participants in t</w:t>
      </w:r>
      <w:r w:rsidR="00E10A73" w:rsidRPr="005E3251">
        <w:t xml:space="preserve">he </w:t>
      </w:r>
      <w:r w:rsidR="009311F9" w:rsidRPr="005E3251">
        <w:t>placebo arm received stiripentol (</w:t>
      </w:r>
      <w:r w:rsidR="00E10A73" w:rsidRPr="005E3251">
        <w:t>42% and 36%</w:t>
      </w:r>
      <w:r w:rsidR="009311F9" w:rsidRPr="005E3251">
        <w:t>,</w:t>
      </w:r>
      <w:r w:rsidR="00E10A73" w:rsidRPr="005E3251">
        <w:t xml:space="preserve"> </w:t>
      </w:r>
      <w:r w:rsidR="009311F9" w:rsidRPr="005E3251">
        <w:t>respectively)</w:t>
      </w:r>
      <w:r w:rsidR="00E10A73" w:rsidRPr="005E3251">
        <w:t>.</w:t>
      </w:r>
    </w:p>
    <w:p w14:paraId="498AB9ED" w14:textId="510BE314" w:rsidR="00CE7338" w:rsidRPr="00550BF0" w:rsidRDefault="00695E32" w:rsidP="00CE7338">
      <w:pPr>
        <w:pStyle w:val="3-BodyText"/>
      </w:pPr>
      <w:bookmarkStart w:id="47" w:name="_Ref177393775"/>
      <w:r w:rsidRPr="00550BF0">
        <w:t>The variable inclusion/exclusion of stiripentol in the treatment arms across the fenfluramine and cannabidiol trials could introduce uncertainty in comparing the clinical effectiveness of fenfluramine vs cannabidiol. The common comparator used in the indirect comparison of fenfluramine with cannabidiol was not the same across the included trials</w:t>
      </w:r>
      <w:r w:rsidR="00AB338C" w:rsidRPr="00550BF0">
        <w:t xml:space="preserve">: </w:t>
      </w:r>
      <w:r w:rsidR="00AC2255" w:rsidRPr="00550BF0">
        <w:t>t</w:t>
      </w:r>
      <w:r w:rsidR="004F6740" w:rsidRPr="00550BF0">
        <w:t xml:space="preserve">he </w:t>
      </w:r>
      <w:r w:rsidR="00C67CD9" w:rsidRPr="00550BF0">
        <w:t>comparator</w:t>
      </w:r>
      <w:r w:rsidR="004F6740" w:rsidRPr="00550BF0">
        <w:t xml:space="preserve"> </w:t>
      </w:r>
      <w:r w:rsidR="00C67CD9" w:rsidRPr="00550BF0">
        <w:t>vs</w:t>
      </w:r>
      <w:r w:rsidR="004F6740" w:rsidRPr="00550BF0">
        <w:t xml:space="preserve"> fenfluramine </w:t>
      </w:r>
      <w:r w:rsidR="00945F98" w:rsidRPr="00550BF0">
        <w:t xml:space="preserve">0.7 mg/kg/day </w:t>
      </w:r>
      <w:r w:rsidR="004F6740" w:rsidRPr="00550BF0">
        <w:t>(</w:t>
      </w:r>
      <w:r w:rsidR="008C68E4" w:rsidRPr="00550BF0">
        <w:t xml:space="preserve">without stiripentol) </w:t>
      </w:r>
      <w:r w:rsidR="00C67CD9" w:rsidRPr="00550BF0">
        <w:t>was placebo with</w:t>
      </w:r>
      <w:r w:rsidR="007C69F7" w:rsidRPr="00550BF0">
        <w:t>out</w:t>
      </w:r>
      <w:r w:rsidR="00E452AC" w:rsidRPr="00550BF0">
        <w:t xml:space="preserve"> </w:t>
      </w:r>
      <w:r w:rsidR="00AB338C" w:rsidRPr="00550BF0">
        <w:t>stiripentol</w:t>
      </w:r>
      <w:r w:rsidR="007C69F7" w:rsidRPr="00550BF0">
        <w:t xml:space="preserve"> (0% patients received stiripentol)</w:t>
      </w:r>
      <w:r w:rsidR="00AB338C" w:rsidRPr="00550BF0">
        <w:t xml:space="preserve">, the comparator </w:t>
      </w:r>
      <w:r w:rsidR="00E452AC" w:rsidRPr="00550BF0">
        <w:t>vs</w:t>
      </w:r>
      <w:r w:rsidR="00AB338C" w:rsidRPr="00550BF0">
        <w:t xml:space="preserve"> fenfluramine 0.4 mg/kg/day (with stiripentol) </w:t>
      </w:r>
      <w:r w:rsidR="00E452AC" w:rsidRPr="00550BF0">
        <w:t>was placebo with stiripentol (</w:t>
      </w:r>
      <w:r w:rsidR="00AB338C" w:rsidRPr="00550BF0">
        <w:t xml:space="preserve">100% </w:t>
      </w:r>
      <w:r w:rsidR="00E452AC" w:rsidRPr="00550BF0">
        <w:t xml:space="preserve">participants received </w:t>
      </w:r>
      <w:r w:rsidR="00AB338C" w:rsidRPr="00550BF0">
        <w:t>stiripentol</w:t>
      </w:r>
      <w:r w:rsidR="00E452AC" w:rsidRPr="00550BF0">
        <w:t>), and</w:t>
      </w:r>
      <w:r w:rsidR="00AB338C" w:rsidRPr="00550BF0">
        <w:t xml:space="preserve"> the comparator </w:t>
      </w:r>
      <w:r w:rsidR="00E452AC" w:rsidRPr="00550BF0">
        <w:t>vs</w:t>
      </w:r>
      <w:r w:rsidR="00AB338C" w:rsidRPr="00550BF0">
        <w:t xml:space="preserve"> </w:t>
      </w:r>
      <w:r w:rsidR="00945F98" w:rsidRPr="00550BF0">
        <w:t>cannabidiol 10 and 20</w:t>
      </w:r>
      <w:r w:rsidR="00AE292D">
        <w:t> </w:t>
      </w:r>
      <w:r w:rsidR="00945F98" w:rsidRPr="00550BF0">
        <w:t>mg/kg/day</w:t>
      </w:r>
      <w:r w:rsidR="00AB338C" w:rsidRPr="00550BF0">
        <w:t xml:space="preserve"> </w:t>
      </w:r>
      <w:r w:rsidR="00E452AC" w:rsidRPr="00550BF0">
        <w:t xml:space="preserve">was placebo </w:t>
      </w:r>
      <w:r w:rsidR="007C69F7" w:rsidRPr="00550BF0">
        <w:t xml:space="preserve">of which </w:t>
      </w:r>
      <w:r w:rsidR="00945F98" w:rsidRPr="00550BF0">
        <w:t xml:space="preserve">36-42% </w:t>
      </w:r>
      <w:r w:rsidR="007C69F7" w:rsidRPr="00550BF0">
        <w:t xml:space="preserve">received </w:t>
      </w:r>
      <w:r w:rsidR="00945F98" w:rsidRPr="00550BF0">
        <w:t xml:space="preserve">stiripentol. </w:t>
      </w:r>
      <w:r w:rsidR="007C69F7" w:rsidRPr="00550BF0">
        <w:t xml:space="preserve">It is difficult to predict the direction of bias. However, </w:t>
      </w:r>
      <w:r w:rsidR="00316B3F" w:rsidRPr="00550BF0">
        <w:t>a</w:t>
      </w:r>
      <w:r w:rsidR="0047754B" w:rsidRPr="00550BF0">
        <w:t>ssuming</w:t>
      </w:r>
      <w:r w:rsidRPr="00550BF0">
        <w:t xml:space="preserve"> </w:t>
      </w:r>
      <w:r w:rsidR="007C69F7" w:rsidRPr="00550BF0">
        <w:t xml:space="preserve">that stiripentol has </w:t>
      </w:r>
      <w:r w:rsidRPr="00550BF0">
        <w:t xml:space="preserve">superior efficacy to </w:t>
      </w:r>
      <w:r w:rsidR="00AD7415" w:rsidRPr="00550BF0">
        <w:t>cannabidiol</w:t>
      </w:r>
      <w:r w:rsidR="0047754B" w:rsidRPr="00550BF0">
        <w:t xml:space="preserve"> (</w:t>
      </w:r>
      <w:r w:rsidR="00F13727" w:rsidRPr="00550BF0">
        <w:t xml:space="preserve">described in </w:t>
      </w:r>
      <w:r w:rsidR="0045755E" w:rsidRPr="00550BF0">
        <w:t>a network meta-analysis of 8 trials)</w:t>
      </w:r>
      <w:r w:rsidRPr="00550BF0">
        <w:t>,</w:t>
      </w:r>
      <w:r w:rsidR="0045755E" w:rsidRPr="00550BF0">
        <w:rPr>
          <w:rStyle w:val="FootnoteReference"/>
        </w:rPr>
        <w:t xml:space="preserve"> </w:t>
      </w:r>
      <w:r w:rsidR="0045755E" w:rsidRPr="00550BF0">
        <w:rPr>
          <w:rStyle w:val="FootnoteReference"/>
        </w:rPr>
        <w:footnoteReference w:id="12"/>
      </w:r>
      <w:r w:rsidRPr="00550BF0">
        <w:t xml:space="preserve"> it is possible that the </w:t>
      </w:r>
      <w:r w:rsidR="00A25E59" w:rsidRPr="00550BF0">
        <w:t>inclusion</w:t>
      </w:r>
      <w:r w:rsidR="003222C6" w:rsidRPr="00550BF0">
        <w:t xml:space="preserve"> of stiripentol </w:t>
      </w:r>
      <w:r w:rsidR="003B2440" w:rsidRPr="00550BF0">
        <w:t>with</w:t>
      </w:r>
      <w:r w:rsidR="003222C6" w:rsidRPr="00550BF0">
        <w:t xml:space="preserve"> </w:t>
      </w:r>
      <w:r w:rsidR="00AD7415" w:rsidRPr="00550BF0">
        <w:t>fenfluramine</w:t>
      </w:r>
      <w:r w:rsidRPr="00550BF0">
        <w:t xml:space="preserve"> in the intervention and unknown inclusion of </w:t>
      </w:r>
      <w:r w:rsidR="00AD7415" w:rsidRPr="00550BF0">
        <w:t>stiripentol</w:t>
      </w:r>
      <w:r w:rsidRPr="00550BF0">
        <w:t xml:space="preserve"> with </w:t>
      </w:r>
      <w:r w:rsidR="00AD7415" w:rsidRPr="00550BF0">
        <w:t>cannabidiol</w:t>
      </w:r>
      <w:r w:rsidRPr="00550BF0">
        <w:t xml:space="preserve"> in the indirect comparison could bias the results in favour of </w:t>
      </w:r>
      <w:r w:rsidR="00AD7415" w:rsidRPr="00550BF0">
        <w:t>fenfluramine</w:t>
      </w:r>
      <w:r w:rsidRPr="00550BF0">
        <w:t xml:space="preserve"> 0.4 mg/kg/day (</w:t>
      </w:r>
      <w:r w:rsidR="00AD7415" w:rsidRPr="00550BF0">
        <w:t>with stiripentol</w:t>
      </w:r>
      <w:r w:rsidRPr="00550BF0">
        <w:t>).</w:t>
      </w:r>
      <w:r w:rsidR="00C36181" w:rsidRPr="00550BF0">
        <w:t xml:space="preserve"> The PSCR noted this important limitation was acknowledged by the submission and reiterated that patient level data based on stiripentol use in the cannabidiol trials was not available.</w:t>
      </w:r>
      <w:bookmarkEnd w:id="47"/>
    </w:p>
    <w:p w14:paraId="65B4E76A" w14:textId="3A536E9C" w:rsidR="001D06D9" w:rsidRPr="00550BF0" w:rsidRDefault="00CE7338" w:rsidP="00CE7338">
      <w:pPr>
        <w:pStyle w:val="3-BodyText"/>
      </w:pPr>
      <w:r w:rsidRPr="00550BF0">
        <w:t>In the</w:t>
      </w:r>
      <w:r w:rsidRPr="00550BF0" w:rsidDel="00F60CFA">
        <w:t xml:space="preserve"> </w:t>
      </w:r>
      <w:r w:rsidRPr="00550BF0">
        <w:t xml:space="preserve">indirect treatment comparisons between fenfluramine and stiripentol the submission excluded a subgroup of fenfluramine trial participants who received </w:t>
      </w:r>
      <w:r w:rsidRPr="00550BF0">
        <w:lastRenderedPageBreak/>
        <w:t xml:space="preserve">fenfluramine 0.4 mg/kg/day </w:t>
      </w:r>
      <w:r w:rsidR="006465C4" w:rsidRPr="00550BF0">
        <w:t xml:space="preserve">(with </w:t>
      </w:r>
      <w:r w:rsidRPr="00550BF0">
        <w:t>stiripentol</w:t>
      </w:r>
      <w:r w:rsidR="006465C4" w:rsidRPr="00550BF0">
        <w:t>)</w:t>
      </w:r>
      <w:r w:rsidRPr="00550BF0">
        <w:t xml:space="preserve"> because it was not informative to an indirect comparison of fenfluramine and stiripentol. </w:t>
      </w:r>
    </w:p>
    <w:p w14:paraId="5AA9007E" w14:textId="47395F3B" w:rsidR="00CE7338" w:rsidRPr="005E3251" w:rsidRDefault="00CE7338" w:rsidP="00CE7338">
      <w:pPr>
        <w:pStyle w:val="3-BodyText"/>
      </w:pPr>
      <w:r w:rsidRPr="005E3251">
        <w:t>The submission presented random-effects meta-analyses to pool data from the treatment arms randomised to the same dose for the 3 treatments (fenfluramine, cannabidiol and stiripentol) to inform the indirect treatment comparisons. The method of calculating the outcomes in the individual and pooled analyses of stiripentol trials was not reported</w:t>
      </w:r>
      <w:r w:rsidR="00091A01" w:rsidRPr="005E3251">
        <w:t>, and therefore, could not be validated</w:t>
      </w:r>
      <w:r w:rsidR="005F0381" w:rsidRPr="005E3251">
        <w:t xml:space="preserve"> and it was not possible to determine how this may influence the results</w:t>
      </w:r>
      <w:r w:rsidRPr="005E3251">
        <w:t>.</w:t>
      </w:r>
      <w:r w:rsidR="00E35E67" w:rsidRPr="005E3251">
        <w:t xml:space="preserve"> </w:t>
      </w:r>
    </w:p>
    <w:p w14:paraId="2084D7CA" w14:textId="2DD1747B" w:rsidR="00CE7338" w:rsidRPr="005E3251" w:rsidRDefault="00CE7338" w:rsidP="00CE7338">
      <w:pPr>
        <w:pStyle w:val="3-BodyText"/>
      </w:pPr>
      <w:r w:rsidRPr="005E3251">
        <w:t>The submission conducted a placebo-adjusted indirect treatment comparison using the Bucher single pairwise method, with inputs derived from the consolidated efficacy outcomes from the relevant trials (described in the meta-analyses)</w:t>
      </w:r>
      <w:r w:rsidR="009105DA" w:rsidRPr="005E3251">
        <w:t>.</w:t>
      </w:r>
      <w:r w:rsidRPr="005E3251">
        <w:t xml:space="preserve"> </w:t>
      </w:r>
    </w:p>
    <w:bookmarkStart w:id="48" w:name="_Ref176441765"/>
    <w:p w14:paraId="23571715" w14:textId="23F76959" w:rsidR="00CE7338" w:rsidRPr="005E3251" w:rsidRDefault="000E3E8A" w:rsidP="00CE7338">
      <w:pPr>
        <w:pStyle w:val="3-BodyText"/>
      </w:pPr>
      <w:r w:rsidRPr="005E3251">
        <w:fldChar w:fldCharType="begin" w:fldLock="1"/>
      </w:r>
      <w:r w:rsidRPr="005E3251">
        <w:instrText xml:space="preserve"> REF _Ref174488824 \h </w:instrText>
      </w:r>
      <w:r w:rsidR="005E3251" w:rsidRPr="005E3251">
        <w:instrText xml:space="preserve"> \* MERGEFORMAT </w:instrText>
      </w:r>
      <w:r w:rsidRPr="005E3251">
        <w:fldChar w:fldCharType="separate"/>
      </w:r>
      <w:r w:rsidR="00D72887" w:rsidRPr="005E3251">
        <w:t xml:space="preserve">Table </w:t>
      </w:r>
      <w:r w:rsidR="00D72887">
        <w:rPr>
          <w:noProof/>
        </w:rPr>
        <w:t>9</w:t>
      </w:r>
      <w:r w:rsidRPr="005E3251">
        <w:fldChar w:fldCharType="end"/>
      </w:r>
      <w:r w:rsidR="00CE7338" w:rsidRPr="005E3251">
        <w:t xml:space="preserve"> presents the indirect comparison results for the change in monthly (28-day) </w:t>
      </w:r>
      <w:r w:rsidR="00157D66" w:rsidRPr="005E3251">
        <w:t>CSF</w:t>
      </w:r>
      <w:r w:rsidR="00CE7338" w:rsidRPr="005E3251">
        <w:t xml:space="preserve"> from baseline and the responder analyses for ≥50%, ≥25%, and ≥75% reduction in monthly </w:t>
      </w:r>
      <w:r w:rsidR="00157D66" w:rsidRPr="005E3251">
        <w:t>CSF</w:t>
      </w:r>
      <w:r w:rsidR="00CE7338" w:rsidRPr="005E3251">
        <w:t xml:space="preserve"> from baseline. The stiripentol trials used a 30-day period to estimate the study outcomes.</w:t>
      </w:r>
      <w:bookmarkEnd w:id="48"/>
    </w:p>
    <w:p w14:paraId="5F1D4B08" w14:textId="15E8069F" w:rsidR="00CE7338" w:rsidRPr="005E3251" w:rsidRDefault="00CE7338" w:rsidP="00CE7338">
      <w:pPr>
        <w:pStyle w:val="TableFigureHeading"/>
      </w:pPr>
      <w:bookmarkStart w:id="49" w:name="_Ref174488824"/>
      <w:r w:rsidRPr="005E3251">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9</w:t>
      </w:r>
      <w:r w:rsidR="00D72887">
        <w:rPr>
          <w:noProof/>
        </w:rPr>
        <w:fldChar w:fldCharType="end"/>
      </w:r>
      <w:bookmarkEnd w:id="49"/>
      <w:r w:rsidRPr="005E3251">
        <w:t>: Results of pairwise indirect treatment comparisons</w:t>
      </w:r>
    </w:p>
    <w:tbl>
      <w:tblPr>
        <w:tblStyle w:val="TableGrid1"/>
        <w:tblW w:w="5000" w:type="pct"/>
        <w:tblLayout w:type="fixed"/>
        <w:tblLook w:val="04A0" w:firstRow="1" w:lastRow="0" w:firstColumn="1" w:lastColumn="0" w:noHBand="0" w:noVBand="1"/>
      </w:tblPr>
      <w:tblGrid>
        <w:gridCol w:w="5241"/>
        <w:gridCol w:w="1374"/>
        <w:gridCol w:w="1194"/>
        <w:gridCol w:w="1208"/>
      </w:tblGrid>
      <w:tr w:rsidR="006B5229" w:rsidRPr="005E3251" w14:paraId="4A89F79E" w14:textId="77777777" w:rsidTr="00CD6673">
        <w:trPr>
          <w:trHeight w:val="198"/>
        </w:trPr>
        <w:tc>
          <w:tcPr>
            <w:tcW w:w="5000" w:type="pct"/>
            <w:gridSpan w:val="4"/>
            <w:shd w:val="clear" w:color="auto" w:fill="auto"/>
            <w:noWrap/>
          </w:tcPr>
          <w:p w14:paraId="01D459E9" w14:textId="77777777" w:rsidR="00CE7338" w:rsidRPr="005E3251" w:rsidRDefault="00CE7338">
            <w:pPr>
              <w:pStyle w:val="In-tableHeading"/>
              <w:rPr>
                <w:bCs/>
                <w:lang w:val="en-AU" w:eastAsia="en-AU"/>
              </w:rPr>
            </w:pPr>
            <w:r w:rsidRPr="005E3251">
              <w:rPr>
                <w:lang w:val="en-AU" w:eastAsia="en-AU"/>
              </w:rPr>
              <w:t>Continuous outcome: LS mean % difference in change from baseline monthly CSF</w:t>
            </w:r>
          </w:p>
        </w:tc>
      </w:tr>
      <w:tr w:rsidR="006B5229" w:rsidRPr="005E3251" w14:paraId="30B177AB" w14:textId="77777777" w:rsidTr="00CD6673">
        <w:trPr>
          <w:trHeight w:val="198"/>
        </w:trPr>
        <w:tc>
          <w:tcPr>
            <w:tcW w:w="2906" w:type="pct"/>
            <w:shd w:val="clear" w:color="auto" w:fill="auto"/>
            <w:noWrap/>
          </w:tcPr>
          <w:p w14:paraId="29ED362E" w14:textId="77777777" w:rsidR="00CE7338" w:rsidRPr="005E3251" w:rsidRDefault="00CE7338">
            <w:pPr>
              <w:pStyle w:val="In-tableHeading"/>
              <w:rPr>
                <w:bCs/>
                <w:lang w:val="en-AU" w:eastAsia="en-AU"/>
              </w:rPr>
            </w:pPr>
            <w:r w:rsidRPr="005E3251">
              <w:rPr>
                <w:lang w:val="en-AU" w:eastAsia="en-AU"/>
              </w:rPr>
              <w:t>Comparison</w:t>
            </w:r>
          </w:p>
        </w:tc>
        <w:tc>
          <w:tcPr>
            <w:tcW w:w="2094" w:type="pct"/>
            <w:gridSpan w:val="3"/>
            <w:shd w:val="clear" w:color="auto" w:fill="auto"/>
            <w:noWrap/>
          </w:tcPr>
          <w:p w14:paraId="0C443BA9" w14:textId="77777777" w:rsidR="00CE7338" w:rsidRPr="005E3251" w:rsidRDefault="00CE7338" w:rsidP="001A374B">
            <w:pPr>
              <w:pStyle w:val="In-tableHeading"/>
              <w:jc w:val="center"/>
              <w:rPr>
                <w:bCs/>
                <w:lang w:val="en-AU" w:eastAsia="en-AU"/>
              </w:rPr>
            </w:pPr>
            <w:r w:rsidRPr="005E3251">
              <w:rPr>
                <w:lang w:val="en-AU" w:eastAsia="en-AU"/>
              </w:rPr>
              <w:t>Estimate (95% CI)</w:t>
            </w:r>
          </w:p>
        </w:tc>
      </w:tr>
      <w:tr w:rsidR="006B5229" w:rsidRPr="005E3251" w14:paraId="57AF45D2" w14:textId="77777777" w:rsidTr="00CD6673">
        <w:trPr>
          <w:trHeight w:val="198"/>
        </w:trPr>
        <w:tc>
          <w:tcPr>
            <w:tcW w:w="2906" w:type="pct"/>
            <w:shd w:val="clear" w:color="auto" w:fill="auto"/>
            <w:noWrap/>
          </w:tcPr>
          <w:p w14:paraId="2348BA95" w14:textId="24DD3F05" w:rsidR="00CE7338" w:rsidRPr="005E3251" w:rsidRDefault="00CE7338">
            <w:pPr>
              <w:pStyle w:val="TableText0"/>
              <w:rPr>
                <w:lang w:val="en-AU" w:eastAsia="en-AU"/>
              </w:rPr>
            </w:pPr>
            <w:r w:rsidRPr="005E3251">
              <w:rPr>
                <w:lang w:val="en-AU" w:eastAsia="en-AU"/>
              </w:rPr>
              <w:t>FFA 0.7 mg/kg/day</w:t>
            </w:r>
            <w:r w:rsidR="005E4D55" w:rsidRPr="005E3251">
              <w:rPr>
                <w:lang w:val="en-AU" w:eastAsia="en-AU"/>
              </w:rPr>
              <w:t xml:space="preserve"> (-STP)</w:t>
            </w:r>
            <w:r w:rsidRPr="005E3251">
              <w:rPr>
                <w:lang w:val="en-AU" w:eastAsia="en-AU"/>
              </w:rPr>
              <w:t xml:space="preserve"> vs. CBD 20 mg/kg/day</w:t>
            </w:r>
          </w:p>
        </w:tc>
        <w:tc>
          <w:tcPr>
            <w:tcW w:w="2094" w:type="pct"/>
            <w:gridSpan w:val="3"/>
            <w:shd w:val="clear" w:color="auto" w:fill="auto"/>
            <w:noWrap/>
            <w:vAlign w:val="center"/>
          </w:tcPr>
          <w:p w14:paraId="382AA957" w14:textId="77777777" w:rsidR="00CE7338" w:rsidRPr="005E3251" w:rsidRDefault="00CE7338">
            <w:pPr>
              <w:pStyle w:val="TableText0"/>
              <w:jc w:val="center"/>
              <w:rPr>
                <w:b/>
                <w:bCs w:val="0"/>
                <w:lang w:val="en-AU" w:eastAsia="en-AU"/>
              </w:rPr>
            </w:pPr>
            <w:r w:rsidRPr="005E3251">
              <w:rPr>
                <w:b/>
                <w:bCs w:val="0"/>
                <w:lang w:val="en-AU" w:eastAsia="en-AU"/>
              </w:rPr>
              <w:t>-39.6 (-56.9, -22.3)</w:t>
            </w:r>
          </w:p>
        </w:tc>
      </w:tr>
      <w:tr w:rsidR="006B5229" w:rsidRPr="005E3251" w14:paraId="17B9BEE2" w14:textId="77777777" w:rsidTr="00CD6673">
        <w:trPr>
          <w:trHeight w:val="198"/>
        </w:trPr>
        <w:tc>
          <w:tcPr>
            <w:tcW w:w="2906" w:type="pct"/>
            <w:shd w:val="clear" w:color="auto" w:fill="auto"/>
            <w:noWrap/>
          </w:tcPr>
          <w:p w14:paraId="7A16739C" w14:textId="0F931E0F" w:rsidR="00CE7338" w:rsidRPr="005E3251" w:rsidRDefault="00CE7338">
            <w:pPr>
              <w:pStyle w:val="TableText0"/>
              <w:rPr>
                <w:lang w:val="en-AU" w:eastAsia="en-AU"/>
              </w:rPr>
            </w:pPr>
            <w:r w:rsidRPr="005E3251">
              <w:rPr>
                <w:lang w:val="en-AU" w:eastAsia="en-AU"/>
              </w:rPr>
              <w:t>FFA 0.7 mg/kg/day</w:t>
            </w:r>
            <w:r w:rsidR="005E4D55" w:rsidRPr="005E3251">
              <w:rPr>
                <w:lang w:val="en-AU" w:eastAsia="en-AU"/>
              </w:rPr>
              <w:t xml:space="preserve"> (-STP) </w:t>
            </w:r>
            <w:r w:rsidRPr="005E3251">
              <w:rPr>
                <w:lang w:val="en-AU" w:eastAsia="en-AU"/>
              </w:rPr>
              <w:t>vs. CBD 10 mg/kg/day</w:t>
            </w:r>
          </w:p>
        </w:tc>
        <w:tc>
          <w:tcPr>
            <w:tcW w:w="2094" w:type="pct"/>
            <w:gridSpan w:val="3"/>
            <w:shd w:val="clear" w:color="auto" w:fill="auto"/>
            <w:noWrap/>
          </w:tcPr>
          <w:p w14:paraId="4A5E1E35" w14:textId="77777777" w:rsidR="00CE7338" w:rsidRPr="005E3251" w:rsidRDefault="00CE7338">
            <w:pPr>
              <w:pStyle w:val="TableText0"/>
              <w:jc w:val="center"/>
              <w:rPr>
                <w:b/>
                <w:bCs w:val="0"/>
                <w:highlight w:val="yellow"/>
                <w:lang w:val="en-AU" w:eastAsia="en-AU"/>
              </w:rPr>
            </w:pPr>
            <w:r w:rsidRPr="005E3251">
              <w:rPr>
                <w:b/>
                <w:bCs w:val="0"/>
                <w:lang w:val="en-AU" w:eastAsia="en-AU"/>
              </w:rPr>
              <w:t>-33.9 (-54.6, -13.2)</w:t>
            </w:r>
          </w:p>
        </w:tc>
      </w:tr>
      <w:tr w:rsidR="006B5229" w:rsidRPr="005E3251" w14:paraId="54CA1661" w14:textId="77777777" w:rsidTr="00CD6673">
        <w:trPr>
          <w:trHeight w:val="198"/>
        </w:trPr>
        <w:tc>
          <w:tcPr>
            <w:tcW w:w="2906" w:type="pct"/>
            <w:shd w:val="clear" w:color="auto" w:fill="auto"/>
            <w:noWrap/>
          </w:tcPr>
          <w:p w14:paraId="4BDC9F98" w14:textId="67289156" w:rsidR="00CE7338" w:rsidRPr="005E3251" w:rsidRDefault="00CE7338">
            <w:pPr>
              <w:pStyle w:val="TableText0"/>
              <w:rPr>
                <w:lang w:val="en-AU" w:eastAsia="en-AU"/>
              </w:rPr>
            </w:pPr>
            <w:r w:rsidRPr="005E3251">
              <w:rPr>
                <w:lang w:val="en-AU" w:eastAsia="en-AU"/>
              </w:rPr>
              <w:t xml:space="preserve">FFA 0.4 mg/kg/day </w:t>
            </w:r>
            <w:r w:rsidR="005E4D55" w:rsidRPr="005E3251">
              <w:rPr>
                <w:lang w:val="en-AU" w:eastAsia="en-AU"/>
              </w:rPr>
              <w:t xml:space="preserve">(-STP) </w:t>
            </w:r>
            <w:r w:rsidRPr="005E3251">
              <w:rPr>
                <w:lang w:val="en-AU" w:eastAsia="en-AU"/>
              </w:rPr>
              <w:t>vs. CBD 20 mg/kg/day</w:t>
            </w:r>
          </w:p>
        </w:tc>
        <w:tc>
          <w:tcPr>
            <w:tcW w:w="2094" w:type="pct"/>
            <w:gridSpan w:val="3"/>
            <w:shd w:val="clear" w:color="auto" w:fill="auto"/>
            <w:noWrap/>
          </w:tcPr>
          <w:p w14:paraId="69E36C99" w14:textId="77777777" w:rsidR="00CE7338" w:rsidRPr="005E3251" w:rsidRDefault="00CE7338">
            <w:pPr>
              <w:pStyle w:val="TableText0"/>
              <w:jc w:val="center"/>
              <w:rPr>
                <w:b/>
                <w:bCs w:val="0"/>
                <w:highlight w:val="yellow"/>
                <w:lang w:val="en-AU" w:eastAsia="en-AU"/>
              </w:rPr>
            </w:pPr>
            <w:r w:rsidRPr="005E3251">
              <w:rPr>
                <w:b/>
                <w:bCs w:val="0"/>
                <w:lang w:val="en-AU" w:eastAsia="en-AU"/>
              </w:rPr>
              <w:t>-29.9 (-51.8, -8.0)</w:t>
            </w:r>
          </w:p>
        </w:tc>
      </w:tr>
      <w:tr w:rsidR="006B5229" w:rsidRPr="005E3251" w14:paraId="753AF002" w14:textId="77777777" w:rsidTr="00CD6673">
        <w:trPr>
          <w:trHeight w:val="198"/>
        </w:trPr>
        <w:tc>
          <w:tcPr>
            <w:tcW w:w="2906" w:type="pct"/>
            <w:shd w:val="clear" w:color="auto" w:fill="auto"/>
            <w:noWrap/>
          </w:tcPr>
          <w:p w14:paraId="67C9572F" w14:textId="614DFF47" w:rsidR="00CE7338" w:rsidRPr="005E3251" w:rsidRDefault="00CE7338">
            <w:pPr>
              <w:pStyle w:val="TableText0"/>
              <w:rPr>
                <w:lang w:val="en-AU" w:eastAsia="en-AU"/>
              </w:rPr>
            </w:pPr>
            <w:r w:rsidRPr="005E3251">
              <w:rPr>
                <w:lang w:val="en-AU" w:eastAsia="en-AU"/>
              </w:rPr>
              <w:t>FFA 0.4 mg/kg/day</w:t>
            </w:r>
            <w:r w:rsidR="005E4D55" w:rsidRPr="005E3251">
              <w:rPr>
                <w:lang w:val="en-AU" w:eastAsia="en-AU"/>
              </w:rPr>
              <w:t xml:space="preserve"> (+STP)</w:t>
            </w:r>
            <w:r w:rsidRPr="005E3251">
              <w:rPr>
                <w:lang w:val="en-AU" w:eastAsia="en-AU"/>
              </w:rPr>
              <w:t xml:space="preserve"> vs. CBD 10 mg/kg/day </w:t>
            </w:r>
          </w:p>
        </w:tc>
        <w:tc>
          <w:tcPr>
            <w:tcW w:w="2094" w:type="pct"/>
            <w:gridSpan w:val="3"/>
            <w:shd w:val="clear" w:color="auto" w:fill="auto"/>
            <w:noWrap/>
          </w:tcPr>
          <w:p w14:paraId="32229F02" w14:textId="77777777" w:rsidR="00CE7338" w:rsidRPr="005E3251" w:rsidRDefault="00CE7338">
            <w:pPr>
              <w:pStyle w:val="TableText0"/>
              <w:jc w:val="center"/>
              <w:rPr>
                <w:highlight w:val="yellow"/>
                <w:lang w:val="en-AU" w:eastAsia="en-AU"/>
              </w:rPr>
            </w:pPr>
            <w:r w:rsidRPr="005E3251">
              <w:rPr>
                <w:lang w:val="en-AU" w:eastAsia="en-AU"/>
              </w:rPr>
              <w:t>-24.2 (-48.8, 0.4)</w:t>
            </w:r>
          </w:p>
        </w:tc>
      </w:tr>
      <w:tr w:rsidR="006B5229" w:rsidRPr="005E3251" w14:paraId="10F304F3" w14:textId="77777777" w:rsidTr="00CD6673">
        <w:trPr>
          <w:trHeight w:val="198"/>
        </w:trPr>
        <w:tc>
          <w:tcPr>
            <w:tcW w:w="2906" w:type="pct"/>
            <w:shd w:val="clear" w:color="auto" w:fill="auto"/>
            <w:noWrap/>
          </w:tcPr>
          <w:p w14:paraId="71166639" w14:textId="281BAE2D" w:rsidR="00CE7338" w:rsidRPr="005E3251" w:rsidRDefault="00CE7338">
            <w:pPr>
              <w:pStyle w:val="TableText0"/>
              <w:rPr>
                <w:lang w:val="en-AU"/>
              </w:rPr>
            </w:pPr>
            <w:r w:rsidRPr="005E3251">
              <w:rPr>
                <w:lang w:val="en-AU"/>
              </w:rPr>
              <w:t xml:space="preserve">FFA 0.7 mg/kg/day </w:t>
            </w:r>
            <w:r w:rsidR="005E4D55" w:rsidRPr="005E3251">
              <w:rPr>
                <w:lang w:val="en-AU" w:eastAsia="en-AU"/>
              </w:rPr>
              <w:t xml:space="preserve">(-STP) </w:t>
            </w:r>
            <w:r w:rsidRPr="005E3251">
              <w:rPr>
                <w:lang w:val="en-AU"/>
              </w:rPr>
              <w:t>vs. STP 50 mg/kg/day</w:t>
            </w:r>
          </w:p>
        </w:tc>
        <w:tc>
          <w:tcPr>
            <w:tcW w:w="2094" w:type="pct"/>
            <w:gridSpan w:val="3"/>
            <w:shd w:val="clear" w:color="auto" w:fill="auto"/>
            <w:noWrap/>
          </w:tcPr>
          <w:p w14:paraId="035C8F53" w14:textId="77777777" w:rsidR="00CE7338" w:rsidRPr="005E3251" w:rsidRDefault="00CE7338">
            <w:pPr>
              <w:pStyle w:val="TableText0"/>
              <w:jc w:val="center"/>
              <w:rPr>
                <w:lang w:val="en-AU"/>
              </w:rPr>
            </w:pPr>
            <w:r w:rsidRPr="005E3251">
              <w:rPr>
                <w:lang w:val="en-AU"/>
              </w:rPr>
              <w:t>6.7 (-19.0, 32.4)</w:t>
            </w:r>
          </w:p>
        </w:tc>
      </w:tr>
      <w:tr w:rsidR="005D3AF2" w:rsidRPr="005E3251" w14:paraId="7A9B9016" w14:textId="77777777" w:rsidTr="00CD6673">
        <w:trPr>
          <w:trHeight w:val="198"/>
        </w:trPr>
        <w:tc>
          <w:tcPr>
            <w:tcW w:w="5000" w:type="pct"/>
            <w:gridSpan w:val="4"/>
            <w:shd w:val="clear" w:color="auto" w:fill="auto"/>
            <w:noWrap/>
          </w:tcPr>
          <w:p w14:paraId="56118EAE" w14:textId="77777777" w:rsidR="005D3AF2" w:rsidRPr="005E3251" w:rsidRDefault="005D3AF2" w:rsidP="005D3AF2">
            <w:pPr>
              <w:pStyle w:val="In-tableHeading"/>
              <w:rPr>
                <w:bCs/>
                <w:lang w:val="en-AU" w:eastAsia="en-AU"/>
              </w:rPr>
            </w:pPr>
            <w:r w:rsidRPr="005E3251">
              <w:rPr>
                <w:lang w:val="en-AU" w:eastAsia="en-AU"/>
              </w:rPr>
              <w:t>Categorical outcomes</w:t>
            </w:r>
          </w:p>
        </w:tc>
      </w:tr>
      <w:tr w:rsidR="008F5180" w:rsidRPr="005E3251" w14:paraId="28E94DC3" w14:textId="77777777" w:rsidTr="00CD6673">
        <w:trPr>
          <w:trHeight w:val="198"/>
        </w:trPr>
        <w:tc>
          <w:tcPr>
            <w:tcW w:w="2906" w:type="pct"/>
            <w:shd w:val="clear" w:color="auto" w:fill="auto"/>
            <w:noWrap/>
          </w:tcPr>
          <w:p w14:paraId="3CF384E4" w14:textId="77777777" w:rsidR="005D3AF2" w:rsidRPr="005E3251" w:rsidRDefault="005D3AF2" w:rsidP="005D3AF2">
            <w:pPr>
              <w:pStyle w:val="In-tableHeading"/>
              <w:rPr>
                <w:bCs/>
                <w:lang w:val="en-AU" w:eastAsia="en-AU"/>
              </w:rPr>
            </w:pPr>
            <w:r w:rsidRPr="005E3251">
              <w:rPr>
                <w:lang w:val="en-AU" w:eastAsia="en-AU"/>
              </w:rPr>
              <w:t>Comparison</w:t>
            </w:r>
          </w:p>
        </w:tc>
        <w:tc>
          <w:tcPr>
            <w:tcW w:w="762" w:type="pct"/>
            <w:shd w:val="clear" w:color="auto" w:fill="auto"/>
            <w:noWrap/>
          </w:tcPr>
          <w:p w14:paraId="653E040E" w14:textId="77777777" w:rsidR="005D3AF2" w:rsidRPr="005E3251" w:rsidRDefault="005D3AF2" w:rsidP="005D3AF2">
            <w:pPr>
              <w:pStyle w:val="In-tableHeading"/>
              <w:jc w:val="center"/>
              <w:rPr>
                <w:bCs/>
                <w:lang w:val="en-AU" w:eastAsia="en-AU"/>
              </w:rPr>
            </w:pPr>
            <w:r w:rsidRPr="005E3251">
              <w:rPr>
                <w:lang w:val="en-AU" w:eastAsia="en-AU"/>
              </w:rPr>
              <w:t>OR (95 % CI)</w:t>
            </w:r>
          </w:p>
        </w:tc>
        <w:tc>
          <w:tcPr>
            <w:tcW w:w="662" w:type="pct"/>
            <w:shd w:val="clear" w:color="auto" w:fill="auto"/>
            <w:noWrap/>
          </w:tcPr>
          <w:p w14:paraId="172E7623" w14:textId="77777777" w:rsidR="005D3AF2" w:rsidRPr="005E3251" w:rsidRDefault="005D3AF2" w:rsidP="005D3AF2">
            <w:pPr>
              <w:pStyle w:val="In-tableHeading"/>
              <w:jc w:val="center"/>
              <w:rPr>
                <w:bCs/>
                <w:lang w:val="en-AU" w:eastAsia="en-AU"/>
              </w:rPr>
            </w:pPr>
            <w:r w:rsidRPr="005E3251">
              <w:rPr>
                <w:lang w:val="en-AU" w:eastAsia="en-AU"/>
              </w:rPr>
              <w:t>RR (95% CI)</w:t>
            </w:r>
          </w:p>
        </w:tc>
        <w:tc>
          <w:tcPr>
            <w:tcW w:w="670" w:type="pct"/>
            <w:shd w:val="clear" w:color="auto" w:fill="auto"/>
            <w:noWrap/>
          </w:tcPr>
          <w:p w14:paraId="6C76E984" w14:textId="77777777" w:rsidR="005D3AF2" w:rsidRPr="005E3251" w:rsidRDefault="005D3AF2" w:rsidP="005D3AF2">
            <w:pPr>
              <w:pStyle w:val="In-tableHeading"/>
              <w:jc w:val="center"/>
              <w:rPr>
                <w:bCs/>
                <w:lang w:val="en-AU" w:eastAsia="en-AU"/>
              </w:rPr>
            </w:pPr>
            <w:r w:rsidRPr="005E3251">
              <w:rPr>
                <w:lang w:val="en-AU" w:eastAsia="en-AU"/>
              </w:rPr>
              <w:t>RD (95% CI)</w:t>
            </w:r>
          </w:p>
        </w:tc>
      </w:tr>
      <w:tr w:rsidR="005D3AF2" w:rsidRPr="005E3251" w14:paraId="064A7919" w14:textId="77777777" w:rsidTr="00CD6673">
        <w:trPr>
          <w:trHeight w:val="198"/>
        </w:trPr>
        <w:tc>
          <w:tcPr>
            <w:tcW w:w="5000" w:type="pct"/>
            <w:gridSpan w:val="4"/>
            <w:shd w:val="clear" w:color="auto" w:fill="auto"/>
            <w:noWrap/>
          </w:tcPr>
          <w:p w14:paraId="1958FF65" w14:textId="77777777" w:rsidR="005D3AF2" w:rsidRPr="005E3251" w:rsidRDefault="005D3AF2" w:rsidP="005D3AF2">
            <w:pPr>
              <w:pStyle w:val="In-tableHeading"/>
              <w:rPr>
                <w:bCs/>
                <w:lang w:val="en-AU" w:eastAsia="en-AU"/>
              </w:rPr>
            </w:pPr>
            <w:r w:rsidRPr="005E3251">
              <w:rPr>
                <w:lang w:val="en-AU" w:eastAsia="en-AU"/>
              </w:rPr>
              <w:t>≥50% reduction from baseline monthly CSF</w:t>
            </w:r>
          </w:p>
        </w:tc>
      </w:tr>
      <w:tr w:rsidR="008F5180" w:rsidRPr="005E3251" w14:paraId="5F1D72E8" w14:textId="77777777" w:rsidTr="00CD6673">
        <w:trPr>
          <w:trHeight w:val="198"/>
        </w:trPr>
        <w:tc>
          <w:tcPr>
            <w:tcW w:w="2906" w:type="pct"/>
            <w:shd w:val="clear" w:color="auto" w:fill="auto"/>
            <w:noWrap/>
            <w:vAlign w:val="center"/>
          </w:tcPr>
          <w:p w14:paraId="7214586B" w14:textId="77777777" w:rsidR="005D3AF2" w:rsidRPr="005E3251" w:rsidRDefault="005D3AF2" w:rsidP="00CD6673">
            <w:pPr>
              <w:pStyle w:val="TableText0"/>
              <w:rPr>
                <w:lang w:val="en-AU" w:eastAsia="en-AU"/>
              </w:rPr>
            </w:pPr>
            <w:r w:rsidRPr="005E3251">
              <w:rPr>
                <w:lang w:val="en-AU" w:eastAsia="en-AU"/>
              </w:rPr>
              <w:t>FFA 0.7 mg/kg/day vs. CBD 20 mg/kg/day</w:t>
            </w:r>
          </w:p>
        </w:tc>
        <w:tc>
          <w:tcPr>
            <w:tcW w:w="762" w:type="pct"/>
            <w:shd w:val="clear" w:color="auto" w:fill="auto"/>
            <w:noWrap/>
          </w:tcPr>
          <w:p w14:paraId="3A889FC5"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9.69 </w:t>
            </w:r>
          </w:p>
          <w:p w14:paraId="119104BF" w14:textId="062AFF16" w:rsidR="005D3AF2" w:rsidRPr="005E3251" w:rsidRDefault="005D3AF2" w:rsidP="005D3AF2">
            <w:pPr>
              <w:pStyle w:val="TableText0"/>
              <w:jc w:val="center"/>
              <w:rPr>
                <w:b/>
                <w:bCs w:val="0"/>
                <w:lang w:val="en-AU" w:eastAsia="en-AU"/>
              </w:rPr>
            </w:pPr>
            <w:r w:rsidRPr="005E3251">
              <w:rPr>
                <w:b/>
                <w:bCs w:val="0"/>
                <w:lang w:val="en-AU" w:eastAsia="en-AU"/>
              </w:rPr>
              <w:t>(3.14, 29.89)</w:t>
            </w:r>
          </w:p>
        </w:tc>
        <w:tc>
          <w:tcPr>
            <w:tcW w:w="662" w:type="pct"/>
            <w:shd w:val="clear" w:color="auto" w:fill="auto"/>
            <w:noWrap/>
          </w:tcPr>
          <w:p w14:paraId="28FB6B7B"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4.21 </w:t>
            </w:r>
          </w:p>
          <w:p w14:paraId="036FE13E" w14:textId="1502D6E9" w:rsidR="005D3AF2" w:rsidRPr="005E3251" w:rsidRDefault="005D3AF2" w:rsidP="005D3AF2">
            <w:pPr>
              <w:pStyle w:val="TableText0"/>
              <w:jc w:val="center"/>
              <w:rPr>
                <w:b/>
                <w:bCs w:val="0"/>
                <w:lang w:val="en-AU" w:eastAsia="en-AU"/>
              </w:rPr>
            </w:pPr>
            <w:r w:rsidRPr="005E3251">
              <w:rPr>
                <w:b/>
                <w:bCs w:val="0"/>
                <w:lang w:val="en-AU" w:eastAsia="en-AU"/>
              </w:rPr>
              <w:t>(1.86, 9.50)</w:t>
            </w:r>
          </w:p>
        </w:tc>
        <w:tc>
          <w:tcPr>
            <w:tcW w:w="670" w:type="pct"/>
            <w:shd w:val="clear" w:color="auto" w:fill="auto"/>
            <w:noWrap/>
          </w:tcPr>
          <w:p w14:paraId="3778357A"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0.43 </w:t>
            </w:r>
          </w:p>
          <w:p w14:paraId="7620B06E" w14:textId="4DE07869" w:rsidR="005D3AF2" w:rsidRPr="005E3251" w:rsidRDefault="005D3AF2" w:rsidP="005D3AF2">
            <w:pPr>
              <w:pStyle w:val="TableText0"/>
              <w:jc w:val="center"/>
              <w:rPr>
                <w:b/>
                <w:bCs w:val="0"/>
                <w:highlight w:val="yellow"/>
                <w:lang w:val="en-AU" w:eastAsia="en-AU"/>
              </w:rPr>
            </w:pPr>
            <w:r w:rsidRPr="005E3251">
              <w:rPr>
                <w:b/>
                <w:bCs w:val="0"/>
                <w:lang w:val="en-AU" w:eastAsia="en-AU"/>
              </w:rPr>
              <w:t>(0.27, 0.59)</w:t>
            </w:r>
          </w:p>
        </w:tc>
      </w:tr>
      <w:tr w:rsidR="008F5180" w:rsidRPr="005E3251" w14:paraId="30284CD6" w14:textId="77777777" w:rsidTr="00CD6673">
        <w:trPr>
          <w:trHeight w:val="198"/>
        </w:trPr>
        <w:tc>
          <w:tcPr>
            <w:tcW w:w="2906" w:type="pct"/>
            <w:shd w:val="clear" w:color="auto" w:fill="auto"/>
            <w:noWrap/>
            <w:vAlign w:val="center"/>
          </w:tcPr>
          <w:p w14:paraId="07CE0D5E" w14:textId="77777777" w:rsidR="005D3AF2" w:rsidRPr="005E3251" w:rsidRDefault="005D3AF2" w:rsidP="00CD6673">
            <w:pPr>
              <w:pStyle w:val="TableText0"/>
              <w:rPr>
                <w:lang w:val="en-AU" w:eastAsia="en-AU"/>
              </w:rPr>
            </w:pPr>
            <w:r w:rsidRPr="005E3251">
              <w:rPr>
                <w:lang w:val="en-AU" w:eastAsia="en-AU"/>
              </w:rPr>
              <w:t>FFA 0.7 mg/kg/day vs. CBD 10 mg/kg/day</w:t>
            </w:r>
          </w:p>
        </w:tc>
        <w:tc>
          <w:tcPr>
            <w:tcW w:w="762" w:type="pct"/>
            <w:shd w:val="clear" w:color="auto" w:fill="auto"/>
            <w:noWrap/>
          </w:tcPr>
          <w:p w14:paraId="0316825C"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10.35 </w:t>
            </w:r>
          </w:p>
          <w:p w14:paraId="06E395E2" w14:textId="3EBD669E" w:rsidR="005D3AF2" w:rsidRPr="005E3251" w:rsidRDefault="005D3AF2" w:rsidP="005D3AF2">
            <w:pPr>
              <w:pStyle w:val="TableText0"/>
              <w:jc w:val="center"/>
              <w:rPr>
                <w:b/>
                <w:bCs w:val="0"/>
                <w:highlight w:val="yellow"/>
                <w:lang w:val="en-AU" w:eastAsia="en-AU"/>
              </w:rPr>
            </w:pPr>
            <w:r w:rsidRPr="005E3251">
              <w:rPr>
                <w:b/>
                <w:bCs w:val="0"/>
                <w:lang w:val="en-AU" w:eastAsia="en-AU"/>
              </w:rPr>
              <w:t>(3.00, 35.66)</w:t>
            </w:r>
          </w:p>
        </w:tc>
        <w:tc>
          <w:tcPr>
            <w:tcW w:w="662" w:type="pct"/>
            <w:shd w:val="clear" w:color="auto" w:fill="auto"/>
            <w:noWrap/>
          </w:tcPr>
          <w:p w14:paraId="54BFA746"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4.33 </w:t>
            </w:r>
          </w:p>
          <w:p w14:paraId="63F9C48F" w14:textId="7FED7C1F" w:rsidR="005D3AF2" w:rsidRPr="005E3251" w:rsidRDefault="005D3AF2" w:rsidP="005D3AF2">
            <w:pPr>
              <w:pStyle w:val="TableText0"/>
              <w:jc w:val="center"/>
              <w:rPr>
                <w:b/>
                <w:bCs w:val="0"/>
                <w:highlight w:val="yellow"/>
                <w:lang w:val="en-AU" w:eastAsia="en-AU"/>
              </w:rPr>
            </w:pPr>
            <w:r w:rsidRPr="005E3251">
              <w:rPr>
                <w:b/>
                <w:bCs w:val="0"/>
                <w:lang w:val="en-AU" w:eastAsia="en-AU"/>
              </w:rPr>
              <w:t>(1.79, 10.49)</w:t>
            </w:r>
          </w:p>
        </w:tc>
        <w:tc>
          <w:tcPr>
            <w:tcW w:w="670" w:type="pct"/>
            <w:shd w:val="clear" w:color="auto" w:fill="auto"/>
            <w:noWrap/>
          </w:tcPr>
          <w:p w14:paraId="3C4FAFDD"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0.44 </w:t>
            </w:r>
          </w:p>
          <w:p w14:paraId="7FF68A65" w14:textId="2B822EF1" w:rsidR="005D3AF2" w:rsidRPr="005E3251" w:rsidRDefault="005D3AF2" w:rsidP="005D3AF2">
            <w:pPr>
              <w:pStyle w:val="TableText0"/>
              <w:jc w:val="center"/>
              <w:rPr>
                <w:b/>
                <w:bCs w:val="0"/>
                <w:highlight w:val="yellow"/>
                <w:lang w:val="en-AU" w:eastAsia="en-AU"/>
              </w:rPr>
            </w:pPr>
            <w:r w:rsidRPr="005E3251">
              <w:rPr>
                <w:b/>
                <w:bCs w:val="0"/>
                <w:lang w:val="en-AU" w:eastAsia="en-AU"/>
              </w:rPr>
              <w:t>(0.25, 0.63)</w:t>
            </w:r>
          </w:p>
        </w:tc>
      </w:tr>
      <w:tr w:rsidR="008F5180" w:rsidRPr="005E3251" w14:paraId="7EDA7475" w14:textId="77777777" w:rsidTr="00CD6673">
        <w:trPr>
          <w:trHeight w:val="198"/>
        </w:trPr>
        <w:tc>
          <w:tcPr>
            <w:tcW w:w="2906" w:type="pct"/>
            <w:shd w:val="clear" w:color="auto" w:fill="auto"/>
            <w:noWrap/>
            <w:vAlign w:val="center"/>
          </w:tcPr>
          <w:p w14:paraId="1518893C" w14:textId="77777777" w:rsidR="005D3AF2" w:rsidRPr="005E3251" w:rsidRDefault="005D3AF2" w:rsidP="00CD6673">
            <w:pPr>
              <w:pStyle w:val="TableText0"/>
              <w:rPr>
                <w:lang w:val="en-AU" w:eastAsia="en-AU"/>
              </w:rPr>
            </w:pPr>
            <w:r w:rsidRPr="005E3251">
              <w:rPr>
                <w:lang w:val="en-AU" w:eastAsia="en-AU"/>
              </w:rPr>
              <w:t>FFA 0.4 mg/kg/day vs. CBD 20 mg/kg/day</w:t>
            </w:r>
          </w:p>
        </w:tc>
        <w:tc>
          <w:tcPr>
            <w:tcW w:w="762" w:type="pct"/>
            <w:shd w:val="clear" w:color="auto" w:fill="auto"/>
            <w:noWrap/>
          </w:tcPr>
          <w:p w14:paraId="3AA8FF1E"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10.23 </w:t>
            </w:r>
          </w:p>
          <w:p w14:paraId="69556DF4" w14:textId="65A65F75" w:rsidR="005D3AF2" w:rsidRPr="005E3251" w:rsidRDefault="005D3AF2" w:rsidP="005D3AF2">
            <w:pPr>
              <w:pStyle w:val="TableText0"/>
              <w:jc w:val="center"/>
              <w:rPr>
                <w:b/>
                <w:bCs w:val="0"/>
                <w:lang w:val="en-AU" w:eastAsia="en-AU"/>
              </w:rPr>
            </w:pPr>
            <w:r w:rsidRPr="005E3251">
              <w:rPr>
                <w:b/>
                <w:bCs w:val="0"/>
                <w:lang w:val="en-AU" w:eastAsia="en-AU"/>
              </w:rPr>
              <w:t>(2.01, 52.12)</w:t>
            </w:r>
          </w:p>
        </w:tc>
        <w:tc>
          <w:tcPr>
            <w:tcW w:w="662" w:type="pct"/>
            <w:shd w:val="clear" w:color="auto" w:fill="auto"/>
            <w:noWrap/>
          </w:tcPr>
          <w:p w14:paraId="496D42EF"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6.80 </w:t>
            </w:r>
          </w:p>
          <w:p w14:paraId="0D681B76" w14:textId="7443003E" w:rsidR="005D3AF2" w:rsidRPr="005E3251" w:rsidRDefault="005D3AF2" w:rsidP="005D3AF2">
            <w:pPr>
              <w:pStyle w:val="TableText0"/>
              <w:jc w:val="center"/>
              <w:rPr>
                <w:b/>
                <w:bCs w:val="0"/>
                <w:lang w:val="en-AU" w:eastAsia="en-AU"/>
              </w:rPr>
            </w:pPr>
            <w:r w:rsidRPr="005E3251">
              <w:rPr>
                <w:b/>
                <w:bCs w:val="0"/>
                <w:lang w:val="en-AU" w:eastAsia="en-AU"/>
              </w:rPr>
              <w:t>(1.63, 28.32)</w:t>
            </w:r>
          </w:p>
        </w:tc>
        <w:tc>
          <w:tcPr>
            <w:tcW w:w="670" w:type="pct"/>
            <w:shd w:val="clear" w:color="auto" w:fill="auto"/>
            <w:noWrap/>
          </w:tcPr>
          <w:p w14:paraId="6DF22DF8" w14:textId="77777777" w:rsidR="005D3AF2" w:rsidRPr="005E3251" w:rsidRDefault="005D3AF2" w:rsidP="005D3AF2">
            <w:pPr>
              <w:pStyle w:val="TableText0"/>
              <w:jc w:val="center"/>
              <w:rPr>
                <w:b/>
                <w:bCs w:val="0"/>
                <w:lang w:val="en-AU" w:eastAsia="en-AU"/>
              </w:rPr>
            </w:pPr>
            <w:r w:rsidRPr="005E3251">
              <w:rPr>
                <w:b/>
                <w:bCs w:val="0"/>
                <w:lang w:val="en-AU" w:eastAsia="en-AU"/>
              </w:rPr>
              <w:t>0.30 (0.10, 0.50)</w:t>
            </w:r>
          </w:p>
        </w:tc>
      </w:tr>
      <w:tr w:rsidR="008F5180" w:rsidRPr="005E3251" w14:paraId="5A90BA76" w14:textId="77777777" w:rsidTr="00CD6673">
        <w:trPr>
          <w:trHeight w:val="198"/>
        </w:trPr>
        <w:tc>
          <w:tcPr>
            <w:tcW w:w="2906" w:type="pct"/>
            <w:shd w:val="clear" w:color="auto" w:fill="auto"/>
            <w:noWrap/>
            <w:vAlign w:val="center"/>
          </w:tcPr>
          <w:p w14:paraId="1DB2A5F7" w14:textId="77777777" w:rsidR="005D3AF2" w:rsidRPr="005E3251" w:rsidRDefault="005D3AF2" w:rsidP="00CD6673">
            <w:pPr>
              <w:pStyle w:val="TableText0"/>
              <w:rPr>
                <w:lang w:val="en-AU" w:eastAsia="en-AU"/>
              </w:rPr>
            </w:pPr>
            <w:r w:rsidRPr="005E3251">
              <w:rPr>
                <w:lang w:val="en-AU" w:eastAsia="en-AU"/>
              </w:rPr>
              <w:t xml:space="preserve">FFA 0.4 mg/kg/day vs. CBD 10 mg/kg/day </w:t>
            </w:r>
          </w:p>
        </w:tc>
        <w:tc>
          <w:tcPr>
            <w:tcW w:w="762" w:type="pct"/>
            <w:shd w:val="clear" w:color="auto" w:fill="auto"/>
            <w:noWrap/>
          </w:tcPr>
          <w:p w14:paraId="269DAD16"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10.93 </w:t>
            </w:r>
          </w:p>
          <w:p w14:paraId="6995B923" w14:textId="78D536A1" w:rsidR="005D3AF2" w:rsidRPr="005E3251" w:rsidRDefault="005D3AF2" w:rsidP="005D3AF2">
            <w:pPr>
              <w:pStyle w:val="TableText0"/>
              <w:jc w:val="center"/>
              <w:rPr>
                <w:b/>
                <w:bCs w:val="0"/>
                <w:lang w:val="en-AU" w:eastAsia="en-AU"/>
              </w:rPr>
            </w:pPr>
            <w:r w:rsidRPr="005E3251">
              <w:rPr>
                <w:b/>
                <w:bCs w:val="0"/>
                <w:lang w:val="en-AU" w:eastAsia="en-AU"/>
              </w:rPr>
              <w:t>(1.98, 60.21)</w:t>
            </w:r>
          </w:p>
        </w:tc>
        <w:tc>
          <w:tcPr>
            <w:tcW w:w="662" w:type="pct"/>
            <w:shd w:val="clear" w:color="auto" w:fill="auto"/>
            <w:noWrap/>
          </w:tcPr>
          <w:p w14:paraId="2B167B78"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7.01 </w:t>
            </w:r>
          </w:p>
          <w:p w14:paraId="2FEC6DB3" w14:textId="4971BAC2" w:rsidR="005D3AF2" w:rsidRPr="005E3251" w:rsidRDefault="005D3AF2" w:rsidP="005D3AF2">
            <w:pPr>
              <w:pStyle w:val="TableText0"/>
              <w:jc w:val="center"/>
              <w:rPr>
                <w:b/>
                <w:bCs w:val="0"/>
                <w:lang w:val="en-AU" w:eastAsia="en-AU"/>
              </w:rPr>
            </w:pPr>
            <w:r w:rsidRPr="005E3251">
              <w:rPr>
                <w:b/>
                <w:bCs w:val="0"/>
                <w:lang w:val="en-AU" w:eastAsia="en-AU"/>
              </w:rPr>
              <w:t>(1.61, 30.40)</w:t>
            </w:r>
          </w:p>
        </w:tc>
        <w:tc>
          <w:tcPr>
            <w:tcW w:w="670" w:type="pct"/>
            <w:shd w:val="clear" w:color="auto" w:fill="auto"/>
            <w:noWrap/>
          </w:tcPr>
          <w:p w14:paraId="173E8F7E"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0.31 </w:t>
            </w:r>
          </w:p>
          <w:p w14:paraId="1C393AC8" w14:textId="1C342365" w:rsidR="005D3AF2" w:rsidRPr="005E3251" w:rsidRDefault="005D3AF2" w:rsidP="005D3AF2">
            <w:pPr>
              <w:pStyle w:val="TableText0"/>
              <w:jc w:val="center"/>
              <w:rPr>
                <w:b/>
                <w:bCs w:val="0"/>
                <w:lang w:val="en-AU" w:eastAsia="en-AU"/>
              </w:rPr>
            </w:pPr>
            <w:r w:rsidRPr="005E3251">
              <w:rPr>
                <w:b/>
                <w:bCs w:val="0"/>
                <w:lang w:val="en-AU" w:eastAsia="en-AU"/>
              </w:rPr>
              <w:t>(0.08, 0.54)</w:t>
            </w:r>
          </w:p>
        </w:tc>
      </w:tr>
      <w:tr w:rsidR="008F5180" w:rsidRPr="005E3251" w14:paraId="02862412" w14:textId="77777777" w:rsidTr="00CD6673">
        <w:trPr>
          <w:trHeight w:val="198"/>
        </w:trPr>
        <w:tc>
          <w:tcPr>
            <w:tcW w:w="2906" w:type="pct"/>
            <w:shd w:val="clear" w:color="auto" w:fill="auto"/>
            <w:noWrap/>
            <w:vAlign w:val="center"/>
          </w:tcPr>
          <w:p w14:paraId="7D4E165B" w14:textId="77777777" w:rsidR="005D3AF2" w:rsidRPr="005E3251" w:rsidRDefault="005D3AF2" w:rsidP="00CD6673">
            <w:pPr>
              <w:pStyle w:val="TableText0"/>
              <w:rPr>
                <w:lang w:val="en-AU" w:eastAsia="en-AU"/>
              </w:rPr>
            </w:pPr>
            <w:r w:rsidRPr="005E3251">
              <w:rPr>
                <w:lang w:val="en-AU" w:eastAsia="en-AU"/>
              </w:rPr>
              <w:t>FFA 0.7 mg/kg/day vs. STP 50 mg/kg/day</w:t>
            </w:r>
          </w:p>
        </w:tc>
        <w:tc>
          <w:tcPr>
            <w:tcW w:w="762" w:type="pct"/>
            <w:shd w:val="clear" w:color="auto" w:fill="auto"/>
            <w:noWrap/>
          </w:tcPr>
          <w:p w14:paraId="68AA7576" w14:textId="21CCE16E" w:rsidR="00CD6673" w:rsidRPr="005E3251" w:rsidRDefault="005D3AF2" w:rsidP="005D3AF2">
            <w:pPr>
              <w:pStyle w:val="TableText0"/>
              <w:jc w:val="center"/>
              <w:rPr>
                <w:lang w:val="en-AU"/>
              </w:rPr>
            </w:pPr>
            <w:r w:rsidRPr="005E3251">
              <w:rPr>
                <w:lang w:val="en-AU"/>
              </w:rPr>
              <w:t>0.</w:t>
            </w:r>
            <w:r w:rsidR="00D776C2">
              <w:rPr>
                <w:lang w:val="en-AU"/>
              </w:rPr>
              <w:t>66</w:t>
            </w:r>
            <w:r w:rsidRPr="005E3251">
              <w:rPr>
                <w:lang w:val="en-AU"/>
              </w:rPr>
              <w:t xml:space="preserve"> </w:t>
            </w:r>
          </w:p>
          <w:p w14:paraId="37BCAAED" w14:textId="01B58C29" w:rsidR="005D3AF2" w:rsidRPr="00441345" w:rsidRDefault="005D3AF2" w:rsidP="005D3AF2">
            <w:pPr>
              <w:pStyle w:val="TableText0"/>
              <w:jc w:val="center"/>
              <w:rPr>
                <w:b/>
                <w:bCs w:val="0"/>
                <w:highlight w:val="yellow"/>
                <w:vertAlign w:val="superscript"/>
                <w:lang w:val="en-AU" w:eastAsia="en-AU"/>
              </w:rPr>
            </w:pPr>
            <w:r w:rsidRPr="005E3251">
              <w:rPr>
                <w:lang w:val="en-AU"/>
              </w:rPr>
              <w:t>(0.98, 4.47)</w:t>
            </w:r>
            <w:r w:rsidR="00203D57">
              <w:rPr>
                <w:vertAlign w:val="superscript"/>
                <w:lang w:val="en-AU"/>
              </w:rPr>
              <w:t>a</w:t>
            </w:r>
          </w:p>
        </w:tc>
        <w:tc>
          <w:tcPr>
            <w:tcW w:w="662" w:type="pct"/>
            <w:shd w:val="clear" w:color="auto" w:fill="auto"/>
            <w:noWrap/>
          </w:tcPr>
          <w:p w14:paraId="6A1A0D50" w14:textId="77777777" w:rsidR="00CD6673" w:rsidRPr="005E3251" w:rsidRDefault="005D3AF2" w:rsidP="005D3AF2">
            <w:pPr>
              <w:pStyle w:val="TableText0"/>
              <w:jc w:val="center"/>
              <w:rPr>
                <w:lang w:val="en-AU"/>
              </w:rPr>
            </w:pPr>
            <w:r w:rsidRPr="005E3251">
              <w:rPr>
                <w:lang w:val="en-AU"/>
              </w:rPr>
              <w:t xml:space="preserve">0.70 </w:t>
            </w:r>
          </w:p>
          <w:p w14:paraId="5BF62854" w14:textId="15C60E2A" w:rsidR="005D3AF2" w:rsidRPr="005E3251" w:rsidRDefault="005D3AF2" w:rsidP="005D3AF2">
            <w:pPr>
              <w:pStyle w:val="TableText0"/>
              <w:jc w:val="center"/>
              <w:rPr>
                <w:b/>
                <w:bCs w:val="0"/>
                <w:highlight w:val="yellow"/>
                <w:lang w:val="en-AU" w:eastAsia="en-AU"/>
              </w:rPr>
            </w:pPr>
            <w:r w:rsidRPr="005E3251">
              <w:rPr>
                <w:lang w:val="en-AU"/>
              </w:rPr>
              <w:t>(0.15, 3.26)</w:t>
            </w:r>
          </w:p>
        </w:tc>
        <w:tc>
          <w:tcPr>
            <w:tcW w:w="670" w:type="pct"/>
            <w:shd w:val="clear" w:color="auto" w:fill="auto"/>
            <w:noWrap/>
          </w:tcPr>
          <w:p w14:paraId="7599BB02" w14:textId="77777777" w:rsidR="00CD6673" w:rsidRPr="005E3251" w:rsidRDefault="005D3AF2" w:rsidP="005D3AF2">
            <w:pPr>
              <w:pStyle w:val="TableText0"/>
              <w:jc w:val="center"/>
              <w:rPr>
                <w:lang w:val="en-AU"/>
              </w:rPr>
            </w:pPr>
            <w:r w:rsidRPr="005E3251">
              <w:rPr>
                <w:lang w:val="en-AU"/>
              </w:rPr>
              <w:t xml:space="preserve">-0.30 </w:t>
            </w:r>
          </w:p>
          <w:p w14:paraId="0D75FD61" w14:textId="2B4AF4B0" w:rsidR="005D3AF2" w:rsidRPr="005E3251" w:rsidRDefault="005D3AF2" w:rsidP="005D3AF2">
            <w:pPr>
              <w:pStyle w:val="TableText0"/>
              <w:jc w:val="center"/>
              <w:rPr>
                <w:b/>
                <w:bCs w:val="0"/>
                <w:highlight w:val="yellow"/>
                <w:lang w:val="en-AU" w:eastAsia="en-AU"/>
              </w:rPr>
            </w:pPr>
            <w:r w:rsidRPr="005E3251">
              <w:rPr>
                <w:lang w:val="en-AU"/>
              </w:rPr>
              <w:t>(-0.24, 1.81)</w:t>
            </w:r>
          </w:p>
        </w:tc>
      </w:tr>
      <w:tr w:rsidR="005D3AF2" w:rsidRPr="005E3251" w14:paraId="177C2AF8" w14:textId="77777777" w:rsidTr="00CD6673">
        <w:trPr>
          <w:trHeight w:val="198"/>
        </w:trPr>
        <w:tc>
          <w:tcPr>
            <w:tcW w:w="5000" w:type="pct"/>
            <w:gridSpan w:val="4"/>
            <w:shd w:val="clear" w:color="auto" w:fill="auto"/>
            <w:noWrap/>
          </w:tcPr>
          <w:p w14:paraId="6F2271FF" w14:textId="42F578B0" w:rsidR="005D3AF2" w:rsidRPr="005E3251" w:rsidRDefault="005D3AF2" w:rsidP="005D3AF2">
            <w:pPr>
              <w:pStyle w:val="TableText0"/>
              <w:rPr>
                <w:b/>
                <w:bCs w:val="0"/>
                <w:lang w:val="en-AU" w:eastAsia="en-AU"/>
              </w:rPr>
            </w:pPr>
            <w:r w:rsidRPr="005E3251">
              <w:rPr>
                <w:b/>
                <w:bCs w:val="0"/>
                <w:lang w:val="en-AU" w:eastAsia="en-AU"/>
              </w:rPr>
              <w:t xml:space="preserve">≥25% reduction from baseline monthly </w:t>
            </w:r>
            <w:proofErr w:type="spellStart"/>
            <w:r w:rsidR="0071681D" w:rsidRPr="005E3251">
              <w:rPr>
                <w:b/>
                <w:bCs w:val="0"/>
                <w:lang w:val="en-AU" w:eastAsia="en-AU"/>
              </w:rPr>
              <w:t>CSF</w:t>
            </w:r>
            <w:r w:rsidR="0071681D" w:rsidRPr="005E3251">
              <w:rPr>
                <w:b/>
                <w:bCs w:val="0"/>
                <w:vertAlign w:val="superscript"/>
                <w:lang w:val="en-AU" w:eastAsia="en-AU"/>
              </w:rPr>
              <w:t>b</w:t>
            </w:r>
            <w:proofErr w:type="spellEnd"/>
          </w:p>
        </w:tc>
      </w:tr>
      <w:tr w:rsidR="008F5180" w:rsidRPr="005E3251" w14:paraId="1E9E2865" w14:textId="77777777" w:rsidTr="00CD6673">
        <w:trPr>
          <w:trHeight w:val="198"/>
        </w:trPr>
        <w:tc>
          <w:tcPr>
            <w:tcW w:w="2906" w:type="pct"/>
            <w:shd w:val="clear" w:color="auto" w:fill="auto"/>
            <w:noWrap/>
            <w:vAlign w:val="center"/>
          </w:tcPr>
          <w:p w14:paraId="118922B8" w14:textId="77777777" w:rsidR="005D3AF2" w:rsidRPr="005E3251" w:rsidRDefault="005D3AF2" w:rsidP="00CD6673">
            <w:pPr>
              <w:pStyle w:val="TableText0"/>
              <w:rPr>
                <w:lang w:val="en-AU" w:eastAsia="en-AU"/>
              </w:rPr>
            </w:pPr>
            <w:r w:rsidRPr="005E3251">
              <w:rPr>
                <w:lang w:val="en-AU" w:eastAsia="en-AU"/>
              </w:rPr>
              <w:t>FFA 0.7 mg/kg/day vs. CBD 20 mg/kg/day</w:t>
            </w:r>
          </w:p>
        </w:tc>
        <w:tc>
          <w:tcPr>
            <w:tcW w:w="762" w:type="pct"/>
            <w:shd w:val="clear" w:color="auto" w:fill="auto"/>
            <w:noWrap/>
          </w:tcPr>
          <w:p w14:paraId="4C17D80A"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6.49 </w:t>
            </w:r>
          </w:p>
          <w:p w14:paraId="5505B047" w14:textId="6D5AB67D" w:rsidR="005D3AF2" w:rsidRPr="005E3251" w:rsidRDefault="005D3AF2" w:rsidP="005D3AF2">
            <w:pPr>
              <w:pStyle w:val="TableText0"/>
              <w:jc w:val="center"/>
              <w:rPr>
                <w:b/>
                <w:bCs w:val="0"/>
                <w:lang w:val="en-AU" w:eastAsia="en-AU"/>
              </w:rPr>
            </w:pPr>
            <w:r w:rsidRPr="005E3251">
              <w:rPr>
                <w:b/>
                <w:bCs w:val="0"/>
                <w:lang w:val="en-AU" w:eastAsia="en-AU"/>
              </w:rPr>
              <w:t>(2.59, 16.25)</w:t>
            </w:r>
          </w:p>
        </w:tc>
        <w:tc>
          <w:tcPr>
            <w:tcW w:w="662" w:type="pct"/>
            <w:shd w:val="clear" w:color="auto" w:fill="auto"/>
            <w:noWrap/>
          </w:tcPr>
          <w:p w14:paraId="27C83407"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1.96 </w:t>
            </w:r>
          </w:p>
          <w:p w14:paraId="56487FEA" w14:textId="3F2C766E" w:rsidR="005D3AF2" w:rsidRPr="005E3251" w:rsidRDefault="005D3AF2" w:rsidP="005D3AF2">
            <w:pPr>
              <w:pStyle w:val="TableText0"/>
              <w:jc w:val="center"/>
              <w:rPr>
                <w:b/>
                <w:bCs w:val="0"/>
                <w:highlight w:val="yellow"/>
                <w:lang w:val="en-AU" w:eastAsia="en-AU"/>
              </w:rPr>
            </w:pPr>
            <w:r w:rsidRPr="005E3251">
              <w:rPr>
                <w:b/>
                <w:bCs w:val="0"/>
                <w:lang w:val="en-AU" w:eastAsia="en-AU"/>
              </w:rPr>
              <w:t>(1.33, 2.91)</w:t>
            </w:r>
          </w:p>
        </w:tc>
        <w:tc>
          <w:tcPr>
            <w:tcW w:w="670" w:type="pct"/>
            <w:shd w:val="clear" w:color="auto" w:fill="auto"/>
            <w:noWrap/>
          </w:tcPr>
          <w:p w14:paraId="6E9ACB11"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0.36 </w:t>
            </w:r>
          </w:p>
          <w:p w14:paraId="366011F8" w14:textId="4962CE8D" w:rsidR="005D3AF2" w:rsidRPr="005E3251" w:rsidRDefault="005D3AF2" w:rsidP="005D3AF2">
            <w:pPr>
              <w:pStyle w:val="TableText0"/>
              <w:jc w:val="center"/>
              <w:rPr>
                <w:b/>
                <w:bCs w:val="0"/>
                <w:highlight w:val="yellow"/>
                <w:lang w:val="en-AU" w:eastAsia="en-AU"/>
              </w:rPr>
            </w:pPr>
            <w:r w:rsidRPr="005E3251">
              <w:rPr>
                <w:b/>
                <w:bCs w:val="0"/>
                <w:lang w:val="en-AU" w:eastAsia="en-AU"/>
              </w:rPr>
              <w:t>(0.19, 0.53)</w:t>
            </w:r>
          </w:p>
        </w:tc>
      </w:tr>
      <w:tr w:rsidR="008F5180" w:rsidRPr="005E3251" w14:paraId="15A6FAEF" w14:textId="77777777" w:rsidTr="00CD6673">
        <w:trPr>
          <w:trHeight w:val="198"/>
        </w:trPr>
        <w:tc>
          <w:tcPr>
            <w:tcW w:w="2906" w:type="pct"/>
            <w:shd w:val="clear" w:color="auto" w:fill="auto"/>
            <w:noWrap/>
            <w:vAlign w:val="center"/>
          </w:tcPr>
          <w:p w14:paraId="3480613D" w14:textId="77777777" w:rsidR="005D3AF2" w:rsidRPr="005E3251" w:rsidRDefault="005D3AF2" w:rsidP="00CD6673">
            <w:pPr>
              <w:pStyle w:val="TableText0"/>
              <w:rPr>
                <w:lang w:val="en-AU" w:eastAsia="en-AU"/>
              </w:rPr>
            </w:pPr>
            <w:r w:rsidRPr="005E3251">
              <w:rPr>
                <w:lang w:val="en-AU" w:eastAsia="en-AU"/>
              </w:rPr>
              <w:t>FFA 0.7 mg/kg/day vs. CBD 10 mg/kg/day</w:t>
            </w:r>
          </w:p>
        </w:tc>
        <w:tc>
          <w:tcPr>
            <w:tcW w:w="762" w:type="pct"/>
            <w:shd w:val="clear" w:color="auto" w:fill="auto"/>
            <w:noWrap/>
          </w:tcPr>
          <w:p w14:paraId="2CCF09D0"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11.11 </w:t>
            </w:r>
          </w:p>
          <w:p w14:paraId="3C1F43FE" w14:textId="47A55587" w:rsidR="005D3AF2" w:rsidRPr="005E3251" w:rsidRDefault="005D3AF2" w:rsidP="005D3AF2">
            <w:pPr>
              <w:pStyle w:val="TableText0"/>
              <w:jc w:val="center"/>
              <w:rPr>
                <w:b/>
                <w:bCs w:val="0"/>
                <w:highlight w:val="yellow"/>
                <w:lang w:val="en-AU" w:eastAsia="en-AU"/>
              </w:rPr>
            </w:pPr>
            <w:r w:rsidRPr="005E3251">
              <w:rPr>
                <w:b/>
                <w:bCs w:val="0"/>
                <w:lang w:val="en-AU" w:eastAsia="en-AU"/>
              </w:rPr>
              <w:t>(3.97, 31.10)</w:t>
            </w:r>
          </w:p>
        </w:tc>
        <w:tc>
          <w:tcPr>
            <w:tcW w:w="662" w:type="pct"/>
            <w:shd w:val="clear" w:color="auto" w:fill="auto"/>
            <w:noWrap/>
          </w:tcPr>
          <w:p w14:paraId="16803128" w14:textId="77777777" w:rsidR="005D3AF2" w:rsidRPr="005E3251" w:rsidRDefault="005D3AF2" w:rsidP="005D3AF2">
            <w:pPr>
              <w:pStyle w:val="TableText0"/>
              <w:jc w:val="center"/>
              <w:rPr>
                <w:b/>
                <w:bCs w:val="0"/>
                <w:highlight w:val="yellow"/>
                <w:lang w:val="en-AU" w:eastAsia="en-AU"/>
              </w:rPr>
            </w:pPr>
            <w:r w:rsidRPr="005E3251">
              <w:rPr>
                <w:b/>
                <w:bCs w:val="0"/>
                <w:lang w:val="en-AU" w:eastAsia="en-AU"/>
              </w:rPr>
              <w:t>2.45 (1.54, 3.88)</w:t>
            </w:r>
          </w:p>
        </w:tc>
        <w:tc>
          <w:tcPr>
            <w:tcW w:w="670" w:type="pct"/>
            <w:shd w:val="clear" w:color="auto" w:fill="auto"/>
            <w:noWrap/>
          </w:tcPr>
          <w:p w14:paraId="1F1BD14D"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0.49 </w:t>
            </w:r>
          </w:p>
          <w:p w14:paraId="4EEA82C1" w14:textId="132F7803" w:rsidR="005D3AF2" w:rsidRPr="005E3251" w:rsidRDefault="005D3AF2" w:rsidP="005D3AF2">
            <w:pPr>
              <w:pStyle w:val="TableText0"/>
              <w:jc w:val="center"/>
              <w:rPr>
                <w:b/>
                <w:bCs w:val="0"/>
                <w:highlight w:val="yellow"/>
                <w:lang w:val="en-AU" w:eastAsia="en-AU"/>
              </w:rPr>
            </w:pPr>
            <w:r w:rsidRPr="005E3251">
              <w:rPr>
                <w:b/>
                <w:bCs w:val="0"/>
                <w:lang w:val="en-AU" w:eastAsia="en-AU"/>
              </w:rPr>
              <w:t>(0.28, 0.70)</w:t>
            </w:r>
          </w:p>
        </w:tc>
      </w:tr>
      <w:tr w:rsidR="008F5180" w:rsidRPr="005E3251" w14:paraId="0605770A" w14:textId="77777777" w:rsidTr="00CD6673">
        <w:trPr>
          <w:trHeight w:val="198"/>
        </w:trPr>
        <w:tc>
          <w:tcPr>
            <w:tcW w:w="2906" w:type="pct"/>
            <w:shd w:val="clear" w:color="auto" w:fill="auto"/>
            <w:noWrap/>
            <w:vAlign w:val="center"/>
          </w:tcPr>
          <w:p w14:paraId="41F56DFA" w14:textId="77777777" w:rsidR="005D3AF2" w:rsidRPr="005E3251" w:rsidRDefault="005D3AF2" w:rsidP="00CD6673">
            <w:pPr>
              <w:pStyle w:val="TableText0"/>
              <w:rPr>
                <w:lang w:val="en-AU" w:eastAsia="en-AU"/>
              </w:rPr>
            </w:pPr>
            <w:r w:rsidRPr="005E3251">
              <w:rPr>
                <w:lang w:val="en-AU" w:eastAsia="en-AU"/>
              </w:rPr>
              <w:t>FFA 0.4 mg/kg/day vs. CBD 20 mg/kg/day</w:t>
            </w:r>
          </w:p>
        </w:tc>
        <w:tc>
          <w:tcPr>
            <w:tcW w:w="762" w:type="pct"/>
            <w:shd w:val="clear" w:color="auto" w:fill="auto"/>
            <w:noWrap/>
          </w:tcPr>
          <w:p w14:paraId="1BB09520" w14:textId="77777777" w:rsidR="00CD6673" w:rsidRPr="005E3251" w:rsidRDefault="005D3AF2" w:rsidP="005D3AF2">
            <w:pPr>
              <w:pStyle w:val="TableText0"/>
              <w:jc w:val="center"/>
              <w:rPr>
                <w:lang w:val="en-AU" w:eastAsia="en-AU"/>
              </w:rPr>
            </w:pPr>
            <w:r w:rsidRPr="005E3251">
              <w:rPr>
                <w:lang w:val="en-AU" w:eastAsia="en-AU"/>
              </w:rPr>
              <w:t xml:space="preserve">2.72 </w:t>
            </w:r>
          </w:p>
          <w:p w14:paraId="7F88F0C6" w14:textId="0D589DF6" w:rsidR="005D3AF2" w:rsidRPr="005E3251" w:rsidRDefault="005D3AF2" w:rsidP="005D3AF2">
            <w:pPr>
              <w:pStyle w:val="TableText0"/>
              <w:jc w:val="center"/>
              <w:rPr>
                <w:lang w:val="en-AU" w:eastAsia="en-AU"/>
              </w:rPr>
            </w:pPr>
            <w:r w:rsidRPr="005E3251">
              <w:rPr>
                <w:lang w:val="en-AU" w:eastAsia="en-AU"/>
              </w:rPr>
              <w:t>(0.94, 7.85)</w:t>
            </w:r>
          </w:p>
        </w:tc>
        <w:tc>
          <w:tcPr>
            <w:tcW w:w="662" w:type="pct"/>
            <w:shd w:val="clear" w:color="auto" w:fill="auto"/>
            <w:noWrap/>
          </w:tcPr>
          <w:p w14:paraId="32A3632E"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1.80 </w:t>
            </w:r>
          </w:p>
          <w:p w14:paraId="4389DDC8" w14:textId="1ADD30BC" w:rsidR="005D3AF2" w:rsidRPr="005E3251" w:rsidRDefault="005D3AF2" w:rsidP="005D3AF2">
            <w:pPr>
              <w:pStyle w:val="TableText0"/>
              <w:jc w:val="center"/>
              <w:rPr>
                <w:b/>
                <w:bCs w:val="0"/>
                <w:lang w:val="en-AU" w:eastAsia="en-AU"/>
              </w:rPr>
            </w:pPr>
            <w:r w:rsidRPr="005E3251">
              <w:rPr>
                <w:b/>
                <w:bCs w:val="0"/>
                <w:lang w:val="en-AU" w:eastAsia="en-AU"/>
              </w:rPr>
              <w:t>(1.02, 3.17)</w:t>
            </w:r>
          </w:p>
        </w:tc>
        <w:tc>
          <w:tcPr>
            <w:tcW w:w="670" w:type="pct"/>
            <w:shd w:val="clear" w:color="auto" w:fill="auto"/>
            <w:noWrap/>
          </w:tcPr>
          <w:p w14:paraId="592FB0D7"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0.22 </w:t>
            </w:r>
          </w:p>
          <w:p w14:paraId="1B0E1341" w14:textId="11392AE8" w:rsidR="005D3AF2" w:rsidRPr="005E3251" w:rsidRDefault="005D3AF2" w:rsidP="005D3AF2">
            <w:pPr>
              <w:pStyle w:val="TableText0"/>
              <w:jc w:val="center"/>
              <w:rPr>
                <w:b/>
                <w:bCs w:val="0"/>
                <w:lang w:val="en-AU" w:eastAsia="en-AU"/>
              </w:rPr>
            </w:pPr>
            <w:r w:rsidRPr="005E3251">
              <w:rPr>
                <w:b/>
                <w:bCs w:val="0"/>
                <w:lang w:val="en-AU" w:eastAsia="en-AU"/>
              </w:rPr>
              <w:t>(0.08, 0.32)</w:t>
            </w:r>
          </w:p>
        </w:tc>
      </w:tr>
      <w:tr w:rsidR="008F5180" w:rsidRPr="005E3251" w14:paraId="609B56A8" w14:textId="77777777" w:rsidTr="00CD6673">
        <w:trPr>
          <w:trHeight w:val="198"/>
        </w:trPr>
        <w:tc>
          <w:tcPr>
            <w:tcW w:w="2906" w:type="pct"/>
            <w:shd w:val="clear" w:color="auto" w:fill="auto"/>
            <w:noWrap/>
            <w:vAlign w:val="center"/>
          </w:tcPr>
          <w:p w14:paraId="1AB4669E" w14:textId="77777777" w:rsidR="005D3AF2" w:rsidRPr="005E3251" w:rsidRDefault="005D3AF2" w:rsidP="00CD6673">
            <w:pPr>
              <w:pStyle w:val="TableText0"/>
              <w:rPr>
                <w:lang w:val="en-AU" w:eastAsia="en-AU"/>
              </w:rPr>
            </w:pPr>
            <w:r w:rsidRPr="005E3251">
              <w:rPr>
                <w:lang w:val="en-AU" w:eastAsia="en-AU"/>
              </w:rPr>
              <w:t xml:space="preserve">FFA 0.4 mg/kg/day vs. CBD 10 mg/kg/day </w:t>
            </w:r>
          </w:p>
        </w:tc>
        <w:tc>
          <w:tcPr>
            <w:tcW w:w="762" w:type="pct"/>
            <w:shd w:val="clear" w:color="auto" w:fill="auto"/>
            <w:noWrap/>
          </w:tcPr>
          <w:p w14:paraId="4A25E92D"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4.66 </w:t>
            </w:r>
          </w:p>
          <w:p w14:paraId="15D186C7" w14:textId="6E764444" w:rsidR="005D3AF2" w:rsidRPr="005E3251" w:rsidRDefault="005D3AF2" w:rsidP="005D3AF2">
            <w:pPr>
              <w:pStyle w:val="TableText0"/>
              <w:jc w:val="center"/>
              <w:rPr>
                <w:b/>
                <w:bCs w:val="0"/>
                <w:lang w:val="en-AU" w:eastAsia="en-AU"/>
              </w:rPr>
            </w:pPr>
            <w:r w:rsidRPr="005E3251">
              <w:rPr>
                <w:b/>
                <w:bCs w:val="0"/>
                <w:lang w:val="en-AU" w:eastAsia="en-AU"/>
              </w:rPr>
              <w:t>(1.46, 14.82)</w:t>
            </w:r>
          </w:p>
        </w:tc>
        <w:tc>
          <w:tcPr>
            <w:tcW w:w="662" w:type="pct"/>
            <w:shd w:val="clear" w:color="auto" w:fill="auto"/>
            <w:noWrap/>
          </w:tcPr>
          <w:p w14:paraId="3E376952"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2.25 </w:t>
            </w:r>
          </w:p>
          <w:p w14:paraId="222C4FCB" w14:textId="5C18CB2D" w:rsidR="005D3AF2" w:rsidRPr="005E3251" w:rsidRDefault="005D3AF2" w:rsidP="005D3AF2">
            <w:pPr>
              <w:pStyle w:val="TableText0"/>
              <w:jc w:val="center"/>
              <w:rPr>
                <w:b/>
                <w:bCs w:val="0"/>
                <w:lang w:val="en-AU" w:eastAsia="en-AU"/>
              </w:rPr>
            </w:pPr>
            <w:r w:rsidRPr="005E3251">
              <w:rPr>
                <w:b/>
                <w:bCs w:val="0"/>
                <w:lang w:val="en-AU" w:eastAsia="en-AU"/>
              </w:rPr>
              <w:t>(1.21, 4.15)</w:t>
            </w:r>
          </w:p>
        </w:tc>
        <w:tc>
          <w:tcPr>
            <w:tcW w:w="670" w:type="pct"/>
            <w:shd w:val="clear" w:color="auto" w:fill="auto"/>
            <w:noWrap/>
          </w:tcPr>
          <w:p w14:paraId="144AF138"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0.35 </w:t>
            </w:r>
          </w:p>
          <w:p w14:paraId="18FDEDE0" w14:textId="2506E34E" w:rsidR="005D3AF2" w:rsidRPr="005E3251" w:rsidRDefault="005D3AF2" w:rsidP="005D3AF2">
            <w:pPr>
              <w:pStyle w:val="TableText0"/>
              <w:jc w:val="center"/>
              <w:rPr>
                <w:b/>
                <w:bCs w:val="0"/>
                <w:lang w:val="en-AU" w:eastAsia="en-AU"/>
              </w:rPr>
            </w:pPr>
            <w:r w:rsidRPr="005E3251">
              <w:rPr>
                <w:b/>
                <w:bCs w:val="0"/>
                <w:lang w:val="en-AU" w:eastAsia="en-AU"/>
              </w:rPr>
              <w:t>(0.01, 0.69)</w:t>
            </w:r>
          </w:p>
        </w:tc>
      </w:tr>
      <w:tr w:rsidR="005D3AF2" w:rsidRPr="005E3251" w14:paraId="51597989" w14:textId="77777777" w:rsidTr="00CD6673">
        <w:trPr>
          <w:trHeight w:val="198"/>
        </w:trPr>
        <w:tc>
          <w:tcPr>
            <w:tcW w:w="5000" w:type="pct"/>
            <w:gridSpan w:val="4"/>
            <w:shd w:val="clear" w:color="auto" w:fill="auto"/>
            <w:noWrap/>
          </w:tcPr>
          <w:p w14:paraId="42585248" w14:textId="3172AAF2" w:rsidR="005D3AF2" w:rsidRPr="005E3251" w:rsidRDefault="005D3AF2" w:rsidP="005D3AF2">
            <w:pPr>
              <w:pStyle w:val="TableText0"/>
              <w:rPr>
                <w:b/>
                <w:bCs w:val="0"/>
                <w:lang w:val="en-AU" w:eastAsia="en-AU"/>
              </w:rPr>
            </w:pPr>
            <w:r w:rsidRPr="005E3251">
              <w:rPr>
                <w:b/>
                <w:bCs w:val="0"/>
                <w:lang w:val="en-AU" w:eastAsia="en-AU"/>
              </w:rPr>
              <w:t xml:space="preserve">≥75% reduction from baseline monthly </w:t>
            </w:r>
            <w:proofErr w:type="spellStart"/>
            <w:r w:rsidR="0071681D" w:rsidRPr="005E3251">
              <w:rPr>
                <w:b/>
                <w:bCs w:val="0"/>
                <w:lang w:val="en-AU" w:eastAsia="en-AU"/>
              </w:rPr>
              <w:t>CSF</w:t>
            </w:r>
            <w:r w:rsidR="0071681D" w:rsidRPr="005E3251">
              <w:rPr>
                <w:b/>
                <w:bCs w:val="0"/>
                <w:vertAlign w:val="superscript"/>
                <w:lang w:val="en-AU" w:eastAsia="en-AU"/>
              </w:rPr>
              <w:t>b</w:t>
            </w:r>
            <w:proofErr w:type="spellEnd"/>
          </w:p>
        </w:tc>
      </w:tr>
      <w:tr w:rsidR="008F5180" w:rsidRPr="005E3251" w14:paraId="580AB78F" w14:textId="77777777" w:rsidTr="00CD6673">
        <w:trPr>
          <w:trHeight w:val="198"/>
        </w:trPr>
        <w:tc>
          <w:tcPr>
            <w:tcW w:w="2906" w:type="pct"/>
            <w:shd w:val="clear" w:color="auto" w:fill="auto"/>
            <w:noWrap/>
            <w:vAlign w:val="center"/>
          </w:tcPr>
          <w:p w14:paraId="70984D64" w14:textId="77777777" w:rsidR="005D3AF2" w:rsidRPr="005E3251" w:rsidRDefault="005D3AF2" w:rsidP="00CD6673">
            <w:pPr>
              <w:pStyle w:val="TableText0"/>
              <w:rPr>
                <w:lang w:val="en-AU" w:eastAsia="en-AU"/>
              </w:rPr>
            </w:pPr>
            <w:r w:rsidRPr="005E3251">
              <w:rPr>
                <w:lang w:val="en-AU" w:eastAsia="en-AU"/>
              </w:rPr>
              <w:t>FFA 0.7 mg/kg/day vs. CBD 20 mg/kg/day</w:t>
            </w:r>
          </w:p>
        </w:tc>
        <w:tc>
          <w:tcPr>
            <w:tcW w:w="762" w:type="pct"/>
            <w:shd w:val="clear" w:color="auto" w:fill="auto"/>
            <w:noWrap/>
          </w:tcPr>
          <w:p w14:paraId="65AFA142"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10.04 </w:t>
            </w:r>
          </w:p>
          <w:p w14:paraId="1DDDE041" w14:textId="682B718A" w:rsidR="005D3AF2" w:rsidRPr="005E3251" w:rsidRDefault="005D3AF2" w:rsidP="005D3AF2">
            <w:pPr>
              <w:pStyle w:val="TableText0"/>
              <w:jc w:val="center"/>
              <w:rPr>
                <w:b/>
                <w:bCs w:val="0"/>
                <w:highlight w:val="yellow"/>
                <w:lang w:val="en-AU" w:eastAsia="en-AU"/>
              </w:rPr>
            </w:pPr>
            <w:r w:rsidRPr="005E3251">
              <w:rPr>
                <w:b/>
                <w:bCs w:val="0"/>
                <w:lang w:val="en-AU" w:eastAsia="en-AU"/>
              </w:rPr>
              <w:t>(2.36, 42.63)</w:t>
            </w:r>
          </w:p>
        </w:tc>
        <w:tc>
          <w:tcPr>
            <w:tcW w:w="662" w:type="pct"/>
            <w:shd w:val="clear" w:color="auto" w:fill="auto"/>
            <w:noWrap/>
          </w:tcPr>
          <w:p w14:paraId="67EBE5E3"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6.15 </w:t>
            </w:r>
          </w:p>
          <w:p w14:paraId="63F0D8E1" w14:textId="0145A587" w:rsidR="005D3AF2" w:rsidRPr="005E3251" w:rsidRDefault="005D3AF2" w:rsidP="005D3AF2">
            <w:pPr>
              <w:pStyle w:val="TableText0"/>
              <w:jc w:val="center"/>
              <w:rPr>
                <w:b/>
                <w:bCs w:val="0"/>
                <w:highlight w:val="yellow"/>
                <w:lang w:val="en-AU" w:eastAsia="en-AU"/>
              </w:rPr>
            </w:pPr>
            <w:r w:rsidRPr="005E3251">
              <w:rPr>
                <w:b/>
                <w:bCs w:val="0"/>
                <w:lang w:val="en-AU" w:eastAsia="en-AU"/>
              </w:rPr>
              <w:t>(1.67, 22.79)</w:t>
            </w:r>
          </w:p>
        </w:tc>
        <w:tc>
          <w:tcPr>
            <w:tcW w:w="670" w:type="pct"/>
            <w:shd w:val="clear" w:color="auto" w:fill="auto"/>
            <w:noWrap/>
          </w:tcPr>
          <w:p w14:paraId="6260E43E"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0.35 </w:t>
            </w:r>
          </w:p>
          <w:p w14:paraId="29BD2394" w14:textId="7B78BFBE" w:rsidR="005D3AF2" w:rsidRPr="005E3251" w:rsidRDefault="005D3AF2" w:rsidP="005D3AF2">
            <w:pPr>
              <w:pStyle w:val="TableText0"/>
              <w:jc w:val="center"/>
              <w:rPr>
                <w:b/>
                <w:bCs w:val="0"/>
                <w:highlight w:val="yellow"/>
                <w:lang w:val="en-AU" w:eastAsia="en-AU"/>
              </w:rPr>
            </w:pPr>
            <w:r w:rsidRPr="005E3251">
              <w:rPr>
                <w:b/>
                <w:bCs w:val="0"/>
                <w:lang w:val="en-AU" w:eastAsia="en-AU"/>
              </w:rPr>
              <w:t>(0.21, 0.49)</w:t>
            </w:r>
          </w:p>
        </w:tc>
      </w:tr>
      <w:tr w:rsidR="008F5180" w:rsidRPr="005E3251" w14:paraId="1615AD4C" w14:textId="77777777" w:rsidTr="00CD6673">
        <w:trPr>
          <w:trHeight w:val="198"/>
        </w:trPr>
        <w:tc>
          <w:tcPr>
            <w:tcW w:w="2906" w:type="pct"/>
            <w:shd w:val="clear" w:color="auto" w:fill="auto"/>
            <w:noWrap/>
            <w:vAlign w:val="center"/>
          </w:tcPr>
          <w:p w14:paraId="2E30DE23" w14:textId="77777777" w:rsidR="005D3AF2" w:rsidRPr="005E3251" w:rsidRDefault="005D3AF2" w:rsidP="00CD6673">
            <w:pPr>
              <w:pStyle w:val="TableText0"/>
              <w:rPr>
                <w:lang w:val="en-AU" w:eastAsia="en-AU"/>
              </w:rPr>
            </w:pPr>
            <w:r w:rsidRPr="005E3251">
              <w:rPr>
                <w:lang w:val="en-AU" w:eastAsia="en-AU"/>
              </w:rPr>
              <w:t>FFA 0.7 mg/kg/day vs. CBD 10 mg/kg/day</w:t>
            </w:r>
          </w:p>
        </w:tc>
        <w:tc>
          <w:tcPr>
            <w:tcW w:w="762" w:type="pct"/>
            <w:shd w:val="clear" w:color="auto" w:fill="auto"/>
            <w:noWrap/>
          </w:tcPr>
          <w:p w14:paraId="414BDEAD" w14:textId="77777777" w:rsidR="00CD6673" w:rsidRPr="005E3251" w:rsidRDefault="005D3AF2" w:rsidP="00CD6673">
            <w:pPr>
              <w:pStyle w:val="TableText0"/>
              <w:jc w:val="center"/>
              <w:rPr>
                <w:lang w:val="en-AU" w:eastAsia="en-AU"/>
              </w:rPr>
            </w:pPr>
            <w:r w:rsidRPr="005E3251">
              <w:rPr>
                <w:lang w:val="en-AU" w:eastAsia="en-AU"/>
              </w:rPr>
              <w:t xml:space="preserve">3.95 </w:t>
            </w:r>
          </w:p>
          <w:p w14:paraId="23C6C1DA" w14:textId="792CA892" w:rsidR="005D3AF2" w:rsidRPr="005E3251" w:rsidRDefault="005D3AF2" w:rsidP="00CD6673">
            <w:pPr>
              <w:pStyle w:val="TableText0"/>
              <w:jc w:val="center"/>
              <w:rPr>
                <w:lang w:val="en-AU" w:eastAsia="en-AU"/>
              </w:rPr>
            </w:pPr>
            <w:r w:rsidRPr="005E3251">
              <w:rPr>
                <w:lang w:val="en-AU" w:eastAsia="en-AU"/>
              </w:rPr>
              <w:t>(0.74, 21.14)</w:t>
            </w:r>
          </w:p>
        </w:tc>
        <w:tc>
          <w:tcPr>
            <w:tcW w:w="662" w:type="pct"/>
            <w:shd w:val="clear" w:color="auto" w:fill="auto"/>
            <w:noWrap/>
          </w:tcPr>
          <w:p w14:paraId="656DF3C7" w14:textId="77777777" w:rsidR="00CD6673" w:rsidRPr="005E3251" w:rsidRDefault="005D3AF2" w:rsidP="005D3AF2">
            <w:pPr>
              <w:pStyle w:val="TableText0"/>
              <w:jc w:val="center"/>
              <w:rPr>
                <w:lang w:val="en-AU" w:eastAsia="en-AU"/>
              </w:rPr>
            </w:pPr>
            <w:r w:rsidRPr="005E3251">
              <w:rPr>
                <w:lang w:val="en-AU" w:eastAsia="en-AU"/>
              </w:rPr>
              <w:t xml:space="preserve">2.81 </w:t>
            </w:r>
          </w:p>
          <w:p w14:paraId="1B079992" w14:textId="62976797" w:rsidR="005D3AF2" w:rsidRPr="005E3251" w:rsidRDefault="005D3AF2" w:rsidP="005D3AF2">
            <w:pPr>
              <w:pStyle w:val="TableText0"/>
              <w:jc w:val="center"/>
              <w:rPr>
                <w:lang w:val="en-AU" w:eastAsia="en-AU"/>
              </w:rPr>
            </w:pPr>
            <w:r w:rsidRPr="005E3251">
              <w:rPr>
                <w:lang w:val="en-AU" w:eastAsia="en-AU"/>
              </w:rPr>
              <w:t>(0.61, 12.89)</w:t>
            </w:r>
          </w:p>
        </w:tc>
        <w:tc>
          <w:tcPr>
            <w:tcW w:w="670" w:type="pct"/>
            <w:shd w:val="clear" w:color="auto" w:fill="auto"/>
            <w:noWrap/>
          </w:tcPr>
          <w:p w14:paraId="7D8ECA0D"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0.22 </w:t>
            </w:r>
          </w:p>
          <w:p w14:paraId="0D9B338F" w14:textId="3149F6D3" w:rsidR="005D3AF2" w:rsidRPr="005E3251" w:rsidRDefault="005D3AF2" w:rsidP="005D3AF2">
            <w:pPr>
              <w:pStyle w:val="TableText0"/>
              <w:jc w:val="center"/>
              <w:rPr>
                <w:b/>
                <w:bCs w:val="0"/>
                <w:highlight w:val="yellow"/>
                <w:lang w:val="en-AU" w:eastAsia="en-AU"/>
              </w:rPr>
            </w:pPr>
            <w:r w:rsidRPr="005E3251">
              <w:rPr>
                <w:b/>
                <w:bCs w:val="0"/>
                <w:lang w:val="en-AU" w:eastAsia="en-AU"/>
              </w:rPr>
              <w:t>(0.05, 0.39)</w:t>
            </w:r>
          </w:p>
        </w:tc>
      </w:tr>
      <w:tr w:rsidR="008F5180" w:rsidRPr="005E3251" w14:paraId="4028CAC8" w14:textId="77777777" w:rsidTr="00CD6673">
        <w:trPr>
          <w:trHeight w:val="198"/>
        </w:trPr>
        <w:tc>
          <w:tcPr>
            <w:tcW w:w="2906" w:type="pct"/>
            <w:shd w:val="clear" w:color="auto" w:fill="auto"/>
            <w:noWrap/>
            <w:vAlign w:val="center"/>
          </w:tcPr>
          <w:p w14:paraId="58A606DD" w14:textId="77777777" w:rsidR="005D3AF2" w:rsidRPr="005E3251" w:rsidRDefault="005D3AF2" w:rsidP="00CD6673">
            <w:pPr>
              <w:pStyle w:val="TableText0"/>
              <w:rPr>
                <w:lang w:val="en-AU" w:eastAsia="en-AU"/>
              </w:rPr>
            </w:pPr>
            <w:r w:rsidRPr="005E3251">
              <w:rPr>
                <w:lang w:val="en-AU" w:eastAsia="en-AU"/>
              </w:rPr>
              <w:t>FFA 0.4 mg/kg/day vs. CBD 20 mg/kg/day</w:t>
            </w:r>
          </w:p>
        </w:tc>
        <w:tc>
          <w:tcPr>
            <w:tcW w:w="762" w:type="pct"/>
            <w:shd w:val="clear" w:color="auto" w:fill="auto"/>
            <w:noWrap/>
          </w:tcPr>
          <w:p w14:paraId="6B0D9154" w14:textId="77777777" w:rsidR="00CD6673" w:rsidRPr="005E3251" w:rsidRDefault="005D3AF2" w:rsidP="005D3AF2">
            <w:pPr>
              <w:pStyle w:val="TableText0"/>
              <w:jc w:val="center"/>
              <w:rPr>
                <w:lang w:val="en-AU" w:eastAsia="en-AU"/>
              </w:rPr>
            </w:pPr>
            <w:r w:rsidRPr="005E3251">
              <w:rPr>
                <w:lang w:val="en-AU" w:eastAsia="en-AU"/>
              </w:rPr>
              <w:t xml:space="preserve">8.83 </w:t>
            </w:r>
          </w:p>
          <w:p w14:paraId="74622659" w14:textId="3C92E951" w:rsidR="005D3AF2" w:rsidRPr="005E3251" w:rsidRDefault="005D3AF2" w:rsidP="005D3AF2">
            <w:pPr>
              <w:pStyle w:val="TableText0"/>
              <w:jc w:val="center"/>
              <w:rPr>
                <w:lang w:val="en-AU" w:eastAsia="en-AU"/>
              </w:rPr>
            </w:pPr>
            <w:r w:rsidRPr="005E3251">
              <w:rPr>
                <w:lang w:val="en-AU" w:eastAsia="en-AU"/>
              </w:rPr>
              <w:t>(0.96, 80.81)</w:t>
            </w:r>
          </w:p>
        </w:tc>
        <w:tc>
          <w:tcPr>
            <w:tcW w:w="662" w:type="pct"/>
            <w:shd w:val="clear" w:color="auto" w:fill="auto"/>
            <w:noWrap/>
          </w:tcPr>
          <w:p w14:paraId="3A63486F" w14:textId="77777777" w:rsidR="00CD6673" w:rsidRPr="005E3251" w:rsidRDefault="005D3AF2" w:rsidP="005D3AF2">
            <w:pPr>
              <w:pStyle w:val="TableText0"/>
              <w:jc w:val="center"/>
              <w:rPr>
                <w:lang w:val="en-AU" w:eastAsia="en-AU"/>
              </w:rPr>
            </w:pPr>
            <w:r w:rsidRPr="005E3251">
              <w:rPr>
                <w:lang w:val="en-AU" w:eastAsia="en-AU"/>
              </w:rPr>
              <w:t xml:space="preserve">6.82 </w:t>
            </w:r>
          </w:p>
          <w:p w14:paraId="74660AE8" w14:textId="6E332019" w:rsidR="005D3AF2" w:rsidRPr="005E3251" w:rsidRDefault="005D3AF2" w:rsidP="005D3AF2">
            <w:pPr>
              <w:pStyle w:val="TableText0"/>
              <w:jc w:val="center"/>
              <w:rPr>
                <w:lang w:val="en-AU" w:eastAsia="en-AU"/>
              </w:rPr>
            </w:pPr>
            <w:r w:rsidRPr="005E3251">
              <w:rPr>
                <w:lang w:val="en-AU" w:eastAsia="en-AU"/>
              </w:rPr>
              <w:t>(0.85, 54.95)</w:t>
            </w:r>
          </w:p>
        </w:tc>
        <w:tc>
          <w:tcPr>
            <w:tcW w:w="670" w:type="pct"/>
            <w:shd w:val="clear" w:color="auto" w:fill="auto"/>
            <w:noWrap/>
          </w:tcPr>
          <w:p w14:paraId="47A8C328" w14:textId="77777777" w:rsidR="00CD6673" w:rsidRPr="005E3251" w:rsidRDefault="005D3AF2" w:rsidP="005D3AF2">
            <w:pPr>
              <w:pStyle w:val="TableText0"/>
              <w:jc w:val="center"/>
              <w:rPr>
                <w:b/>
                <w:bCs w:val="0"/>
                <w:lang w:val="en-AU" w:eastAsia="en-AU"/>
              </w:rPr>
            </w:pPr>
            <w:r w:rsidRPr="005E3251">
              <w:rPr>
                <w:b/>
                <w:bCs w:val="0"/>
                <w:lang w:val="en-AU" w:eastAsia="en-AU"/>
              </w:rPr>
              <w:t xml:space="preserve">0.22 </w:t>
            </w:r>
          </w:p>
          <w:p w14:paraId="09BD59C0" w14:textId="2C475586" w:rsidR="005D3AF2" w:rsidRPr="005E3251" w:rsidRDefault="005D3AF2" w:rsidP="005D3AF2">
            <w:pPr>
              <w:pStyle w:val="TableText0"/>
              <w:jc w:val="center"/>
              <w:rPr>
                <w:b/>
                <w:bCs w:val="0"/>
                <w:lang w:val="en-AU" w:eastAsia="en-AU"/>
              </w:rPr>
            </w:pPr>
            <w:r w:rsidRPr="005E3251">
              <w:rPr>
                <w:b/>
                <w:bCs w:val="0"/>
                <w:lang w:val="en-AU" w:eastAsia="en-AU"/>
              </w:rPr>
              <w:t>(0.05, 0.39)</w:t>
            </w:r>
          </w:p>
        </w:tc>
      </w:tr>
      <w:tr w:rsidR="008F5180" w:rsidRPr="005E3251" w14:paraId="0BE7DCE6" w14:textId="77777777" w:rsidTr="00CD6673">
        <w:trPr>
          <w:trHeight w:val="198"/>
        </w:trPr>
        <w:tc>
          <w:tcPr>
            <w:tcW w:w="2906" w:type="pct"/>
            <w:shd w:val="clear" w:color="auto" w:fill="auto"/>
            <w:noWrap/>
            <w:vAlign w:val="center"/>
          </w:tcPr>
          <w:p w14:paraId="77F81EB0" w14:textId="77777777" w:rsidR="005D3AF2" w:rsidRPr="005E3251" w:rsidRDefault="005D3AF2" w:rsidP="00CD6673">
            <w:pPr>
              <w:pStyle w:val="TableText0"/>
              <w:rPr>
                <w:lang w:val="en-AU" w:eastAsia="en-AU"/>
              </w:rPr>
            </w:pPr>
            <w:r w:rsidRPr="005E3251">
              <w:rPr>
                <w:lang w:val="en-AU" w:eastAsia="en-AU"/>
              </w:rPr>
              <w:t xml:space="preserve">FFA 0.4 mg/kg/day vs. CBD 10 mg/kg/day </w:t>
            </w:r>
          </w:p>
        </w:tc>
        <w:tc>
          <w:tcPr>
            <w:tcW w:w="762" w:type="pct"/>
            <w:shd w:val="clear" w:color="auto" w:fill="auto"/>
            <w:noWrap/>
          </w:tcPr>
          <w:p w14:paraId="1826BD7D" w14:textId="77777777" w:rsidR="00CD6673" w:rsidRPr="005E3251" w:rsidRDefault="005D3AF2" w:rsidP="005D3AF2">
            <w:pPr>
              <w:pStyle w:val="TableText0"/>
              <w:jc w:val="center"/>
              <w:rPr>
                <w:lang w:val="en-AU" w:eastAsia="en-AU"/>
              </w:rPr>
            </w:pPr>
            <w:r w:rsidRPr="005E3251">
              <w:rPr>
                <w:lang w:val="en-AU" w:eastAsia="en-AU"/>
              </w:rPr>
              <w:t xml:space="preserve">3.47 </w:t>
            </w:r>
          </w:p>
          <w:p w14:paraId="04BE4372" w14:textId="05F4B740" w:rsidR="005D3AF2" w:rsidRPr="005E3251" w:rsidRDefault="005D3AF2" w:rsidP="005D3AF2">
            <w:pPr>
              <w:pStyle w:val="TableText0"/>
              <w:jc w:val="center"/>
              <w:rPr>
                <w:lang w:val="en-AU" w:eastAsia="en-AU"/>
              </w:rPr>
            </w:pPr>
            <w:r w:rsidRPr="005E3251">
              <w:rPr>
                <w:lang w:val="en-AU" w:eastAsia="en-AU"/>
              </w:rPr>
              <w:t>(0.32, 37.27)</w:t>
            </w:r>
          </w:p>
        </w:tc>
        <w:tc>
          <w:tcPr>
            <w:tcW w:w="662" w:type="pct"/>
            <w:shd w:val="clear" w:color="auto" w:fill="auto"/>
            <w:noWrap/>
          </w:tcPr>
          <w:p w14:paraId="1A5C916E" w14:textId="77777777" w:rsidR="00CD6673" w:rsidRPr="005E3251" w:rsidRDefault="005D3AF2" w:rsidP="005D3AF2">
            <w:pPr>
              <w:pStyle w:val="TableText0"/>
              <w:jc w:val="center"/>
              <w:rPr>
                <w:lang w:val="en-AU" w:eastAsia="en-AU"/>
              </w:rPr>
            </w:pPr>
            <w:r w:rsidRPr="005E3251">
              <w:rPr>
                <w:lang w:val="en-AU" w:eastAsia="en-AU"/>
              </w:rPr>
              <w:t xml:space="preserve">3.12 </w:t>
            </w:r>
          </w:p>
          <w:p w14:paraId="122E297C" w14:textId="42B7A5B3" w:rsidR="005D3AF2" w:rsidRPr="005E3251" w:rsidRDefault="005D3AF2" w:rsidP="005D3AF2">
            <w:pPr>
              <w:pStyle w:val="TableText0"/>
              <w:jc w:val="center"/>
              <w:rPr>
                <w:lang w:val="en-AU" w:eastAsia="en-AU"/>
              </w:rPr>
            </w:pPr>
            <w:r w:rsidRPr="005E3251">
              <w:rPr>
                <w:lang w:val="en-AU" w:eastAsia="en-AU"/>
              </w:rPr>
              <w:t>(0.34, 28.90)</w:t>
            </w:r>
          </w:p>
        </w:tc>
        <w:tc>
          <w:tcPr>
            <w:tcW w:w="670" w:type="pct"/>
            <w:shd w:val="clear" w:color="auto" w:fill="auto"/>
            <w:noWrap/>
          </w:tcPr>
          <w:p w14:paraId="12ED3C9F" w14:textId="77777777" w:rsidR="00CD6673" w:rsidRPr="005E3251" w:rsidRDefault="005D3AF2" w:rsidP="005D3AF2">
            <w:pPr>
              <w:pStyle w:val="TableText0"/>
              <w:jc w:val="center"/>
              <w:rPr>
                <w:lang w:val="en-AU" w:eastAsia="en-AU"/>
              </w:rPr>
            </w:pPr>
            <w:r w:rsidRPr="005E3251">
              <w:rPr>
                <w:lang w:val="en-AU" w:eastAsia="en-AU"/>
              </w:rPr>
              <w:t xml:space="preserve">0.09 </w:t>
            </w:r>
          </w:p>
          <w:p w14:paraId="0FFA2EF3" w14:textId="107C7DA7" w:rsidR="005D3AF2" w:rsidRPr="005E3251" w:rsidRDefault="005D3AF2" w:rsidP="005D3AF2">
            <w:pPr>
              <w:pStyle w:val="TableText0"/>
              <w:jc w:val="center"/>
              <w:rPr>
                <w:lang w:val="en-AU" w:eastAsia="en-AU"/>
              </w:rPr>
            </w:pPr>
            <w:r w:rsidRPr="005E3251">
              <w:rPr>
                <w:lang w:val="en-AU" w:eastAsia="en-AU"/>
              </w:rPr>
              <w:t>(-0.10, 0.28)</w:t>
            </w:r>
          </w:p>
        </w:tc>
      </w:tr>
    </w:tbl>
    <w:p w14:paraId="59121502" w14:textId="77777777" w:rsidR="00CE7338" w:rsidRPr="005E3251" w:rsidRDefault="00CE7338" w:rsidP="00CE7338">
      <w:pPr>
        <w:pStyle w:val="TableFigureFooter"/>
        <w:rPr>
          <w:rFonts w:eastAsia="Calibri"/>
        </w:rPr>
      </w:pPr>
      <w:r w:rsidRPr="005E3251">
        <w:t>Source: Table 2-68, p130 pf the submission, Table A-15, p13 of Appendix 1 of the submission.</w:t>
      </w:r>
      <w:r w:rsidRPr="005E3251">
        <w:rPr>
          <w:rFonts w:eastAsia="Calibri"/>
          <w:b/>
        </w:rPr>
        <w:t xml:space="preserve"> Bold</w:t>
      </w:r>
      <w:r w:rsidRPr="005E3251">
        <w:rPr>
          <w:rFonts w:eastAsia="Calibri"/>
        </w:rPr>
        <w:t xml:space="preserve"> indicates statistically significant results.</w:t>
      </w:r>
    </w:p>
    <w:p w14:paraId="25BCC312" w14:textId="666FBF56" w:rsidR="00CE7338" w:rsidRPr="005E3251" w:rsidRDefault="004175FE" w:rsidP="00CE7338">
      <w:pPr>
        <w:pStyle w:val="TableFigureFooter"/>
        <w:rPr>
          <w:rFonts w:eastAsia="Calibri"/>
        </w:rPr>
      </w:pPr>
      <w:r>
        <w:rPr>
          <w:rFonts w:eastAsia="Calibri"/>
        </w:rPr>
        <w:t xml:space="preserve">PBO = placebo; </w:t>
      </w:r>
      <w:r w:rsidR="00CE7338" w:rsidRPr="005E3251">
        <w:rPr>
          <w:rFonts w:eastAsia="Calibri"/>
        </w:rPr>
        <w:t>CBD = cannabidiol; CI = confidence interval; CSF = convulsive seizure frequency; FFA =fenfluramine; LS = least square; n = number of participants with event; N = total participants in group; NA= not applicable; STP = stiripentol.</w:t>
      </w:r>
    </w:p>
    <w:p w14:paraId="1947456F" w14:textId="78266E44" w:rsidR="005F2BC6" w:rsidRPr="005F2BC6" w:rsidRDefault="00203D57" w:rsidP="00CE7338">
      <w:pPr>
        <w:pStyle w:val="TableFigureFooter"/>
        <w:rPr>
          <w:rFonts w:eastAsia="Calibri"/>
        </w:rPr>
      </w:pPr>
      <w:proofErr w:type="spellStart"/>
      <w:r>
        <w:rPr>
          <w:rFonts w:eastAsia="Calibri"/>
          <w:vertAlign w:val="superscript"/>
        </w:rPr>
        <w:t>a</w:t>
      </w:r>
      <w:proofErr w:type="spellEnd"/>
      <w:r w:rsidR="005F2BC6">
        <w:rPr>
          <w:rFonts w:eastAsia="Calibri"/>
        </w:rPr>
        <w:t xml:space="preserve"> It was noted</w:t>
      </w:r>
      <w:r w:rsidR="00A35C0A">
        <w:rPr>
          <w:rFonts w:eastAsia="Calibri"/>
        </w:rPr>
        <w:t xml:space="preserve"> during PBAC consideration that </w:t>
      </w:r>
      <w:r w:rsidR="002D4DBD">
        <w:rPr>
          <w:rFonts w:eastAsia="Calibri"/>
        </w:rPr>
        <w:t>the</w:t>
      </w:r>
      <w:r w:rsidR="0075097F">
        <w:rPr>
          <w:rFonts w:eastAsia="Calibri"/>
        </w:rPr>
        <w:t xml:space="preserve"> point estimate lies outside of the </w:t>
      </w:r>
      <w:r w:rsidR="0080787A">
        <w:rPr>
          <w:rFonts w:eastAsia="Calibri"/>
        </w:rPr>
        <w:t xml:space="preserve">reported </w:t>
      </w:r>
      <w:r w:rsidR="0075097F">
        <w:rPr>
          <w:rFonts w:eastAsia="Calibri"/>
        </w:rPr>
        <w:t>confidence interval</w:t>
      </w:r>
      <w:r w:rsidR="001B33A7">
        <w:rPr>
          <w:rFonts w:eastAsia="Calibri"/>
        </w:rPr>
        <w:t xml:space="preserve"> (Appendix 1 of the submission)</w:t>
      </w:r>
      <w:r w:rsidR="00534F64">
        <w:rPr>
          <w:rFonts w:eastAsia="Calibri"/>
        </w:rPr>
        <w:t xml:space="preserve"> and therefore may be an error.</w:t>
      </w:r>
    </w:p>
    <w:p w14:paraId="55945F1B" w14:textId="2FFFEBDA" w:rsidR="00CE7338" w:rsidRPr="005E3251" w:rsidRDefault="0071681D" w:rsidP="00CE7338">
      <w:pPr>
        <w:pStyle w:val="TableFigureFooter"/>
        <w:rPr>
          <w:rFonts w:eastAsia="Calibri"/>
        </w:rPr>
      </w:pPr>
      <w:r w:rsidRPr="005E3251">
        <w:rPr>
          <w:rFonts w:eastAsia="Calibri"/>
          <w:vertAlign w:val="superscript"/>
        </w:rPr>
        <w:t>b</w:t>
      </w:r>
      <w:r w:rsidRPr="005E3251">
        <w:rPr>
          <w:rFonts w:eastAsia="Calibri"/>
        </w:rPr>
        <w:t xml:space="preserve"> </w:t>
      </w:r>
      <w:r w:rsidR="00CE7338" w:rsidRPr="005E3251">
        <w:rPr>
          <w:rFonts w:eastAsia="Calibri"/>
        </w:rPr>
        <w:t>The submission did not present a comparison between fenfluramine 0.7 mg/kg/day and stiripentol 50 mg/kg/day for this outcome.</w:t>
      </w:r>
    </w:p>
    <w:p w14:paraId="38117948" w14:textId="77777777" w:rsidR="00CE7338" w:rsidRPr="005E3251" w:rsidRDefault="00CE7338" w:rsidP="00CE7338">
      <w:pPr>
        <w:pStyle w:val="3-BodyText"/>
        <w:rPr>
          <w:rStyle w:val="Font"/>
        </w:rPr>
      </w:pPr>
      <w:r w:rsidRPr="005E3251">
        <w:rPr>
          <w:rStyle w:val="Font"/>
        </w:rPr>
        <w:t xml:space="preserve">The indirect comparisons showed a statistically significant improvement across most outcomes for fenfluramine compared to cannabidiol: </w:t>
      </w:r>
    </w:p>
    <w:p w14:paraId="11669D45" w14:textId="71CA77B0" w:rsidR="00CE7338" w:rsidRPr="005E3251" w:rsidRDefault="00CE7338" w:rsidP="00AE292D">
      <w:pPr>
        <w:pStyle w:val="ListParagraph"/>
        <w:ind w:left="1134"/>
      </w:pPr>
      <w:r w:rsidRPr="005E3251">
        <w:t xml:space="preserve">Fenfluramine </w:t>
      </w:r>
      <w:r w:rsidRPr="005E3251">
        <w:rPr>
          <w:bCs/>
        </w:rPr>
        <w:t xml:space="preserve">0.7 mg/kg/day (without stiripentol) and </w:t>
      </w:r>
      <w:r w:rsidRPr="005E3251">
        <w:t xml:space="preserve">0.4 mg/kg/day (with stiripentol) </w:t>
      </w:r>
      <w:r w:rsidRPr="005E3251">
        <w:rPr>
          <w:bCs/>
        </w:rPr>
        <w:t xml:space="preserve">resulted in a statistically significantly larger decrease in the 28-day </w:t>
      </w:r>
      <w:r w:rsidR="00157D66" w:rsidRPr="005E3251">
        <w:rPr>
          <w:bCs/>
        </w:rPr>
        <w:t>CSF</w:t>
      </w:r>
      <w:r w:rsidRPr="005E3251">
        <w:rPr>
          <w:bCs/>
        </w:rPr>
        <w:t xml:space="preserve"> compared with </w:t>
      </w:r>
      <w:r w:rsidRPr="005E3251">
        <w:t xml:space="preserve">cannabidiol 20 mg/kg/day (+/- stiripentol) (mean change from baseline in </w:t>
      </w:r>
      <w:r w:rsidR="00157D66" w:rsidRPr="005E3251">
        <w:t>CSF</w:t>
      </w:r>
      <w:r w:rsidRPr="005E3251">
        <w:t xml:space="preserve"> </w:t>
      </w:r>
      <w:r w:rsidRPr="005E3251">
        <w:rPr>
          <w:bCs/>
        </w:rPr>
        <w:t>-39.6</w:t>
      </w:r>
      <w:r w:rsidRPr="005E3251">
        <w:t>%</w:t>
      </w:r>
      <w:r w:rsidRPr="005E3251">
        <w:rPr>
          <w:bCs/>
        </w:rPr>
        <w:t xml:space="preserve"> (95% CI -56.9</w:t>
      </w:r>
      <w:r w:rsidRPr="005E3251">
        <w:t>%,</w:t>
      </w:r>
      <w:r w:rsidRPr="005E3251">
        <w:rPr>
          <w:bCs/>
        </w:rPr>
        <w:t xml:space="preserve"> -22.3</w:t>
      </w:r>
      <w:r w:rsidRPr="005E3251">
        <w:t>%)</w:t>
      </w:r>
      <w:r w:rsidRPr="005E3251">
        <w:rPr>
          <w:bCs/>
        </w:rPr>
        <w:t xml:space="preserve"> and</w:t>
      </w:r>
      <w:r w:rsidRPr="005E3251">
        <w:t xml:space="preserve"> -29.9% (95% CI -51.8%, -8.0%), respectively). These results did not meet the nominated MCID.</w:t>
      </w:r>
    </w:p>
    <w:p w14:paraId="28AC18F0" w14:textId="644B459F" w:rsidR="00CE7338" w:rsidRPr="005E3251" w:rsidRDefault="00CE7338" w:rsidP="00AE292D">
      <w:pPr>
        <w:pStyle w:val="ListParagraph"/>
        <w:ind w:left="1134"/>
      </w:pPr>
      <w:r w:rsidRPr="005E3251">
        <w:lastRenderedPageBreak/>
        <w:t xml:space="preserve">Fenfluramine 0.4 mg/kg/day (with stiripentol) </w:t>
      </w:r>
      <w:r w:rsidRPr="005E3251">
        <w:rPr>
          <w:bCs/>
        </w:rPr>
        <w:t>resulted in a similar decrease</w:t>
      </w:r>
      <w:r w:rsidR="007F1255" w:rsidRPr="005E3251">
        <w:rPr>
          <w:bCs/>
        </w:rPr>
        <w:t xml:space="preserve"> </w:t>
      </w:r>
      <w:bookmarkStart w:id="50" w:name="_Hlk177416672"/>
      <w:r w:rsidR="007F1255" w:rsidRPr="005E3251">
        <w:rPr>
          <w:bCs/>
        </w:rPr>
        <w:t>(</w:t>
      </w:r>
      <w:r w:rsidR="000F6D2B" w:rsidRPr="005E3251">
        <w:rPr>
          <w:bCs/>
        </w:rPr>
        <w:t xml:space="preserve">difference </w:t>
      </w:r>
      <w:r w:rsidR="00061EBE" w:rsidRPr="005E3251">
        <w:rPr>
          <w:bCs/>
        </w:rPr>
        <w:t xml:space="preserve">was </w:t>
      </w:r>
      <w:r w:rsidR="000F6D2B" w:rsidRPr="005E3251">
        <w:rPr>
          <w:bCs/>
        </w:rPr>
        <w:t>not statistically significant)</w:t>
      </w:r>
      <w:bookmarkEnd w:id="50"/>
      <w:r w:rsidRPr="005E3251">
        <w:rPr>
          <w:bCs/>
        </w:rPr>
        <w:t xml:space="preserve"> in the 28-day </w:t>
      </w:r>
      <w:r w:rsidR="00157D66" w:rsidRPr="005E3251">
        <w:rPr>
          <w:bCs/>
        </w:rPr>
        <w:t>CSF</w:t>
      </w:r>
      <w:r w:rsidRPr="005E3251">
        <w:rPr>
          <w:bCs/>
        </w:rPr>
        <w:t xml:space="preserve"> </w:t>
      </w:r>
      <w:r w:rsidRPr="005E3251">
        <w:t>compared</w:t>
      </w:r>
      <w:r w:rsidRPr="005E3251" w:rsidDel="00012383">
        <w:t xml:space="preserve"> </w:t>
      </w:r>
      <w:r w:rsidRPr="005E3251">
        <w:t xml:space="preserve">with cannabidiol 10 mg/kg/day (+/- stiripentol). </w:t>
      </w:r>
    </w:p>
    <w:p w14:paraId="57CC0706" w14:textId="10B5338A" w:rsidR="00D80C30" w:rsidRPr="005E3251" w:rsidRDefault="00CE7338" w:rsidP="00AE292D">
      <w:pPr>
        <w:pStyle w:val="ListParagraph"/>
        <w:ind w:left="1134"/>
        <w:rPr>
          <w:bCs/>
        </w:rPr>
      </w:pPr>
      <w:r w:rsidRPr="005E3251">
        <w:rPr>
          <w:bCs/>
        </w:rPr>
        <w:t xml:space="preserve">Fenfluramine 0.7 mg/kg/day (without stiripentol) and 0.4 mg/kg/day (with stiripentol) resulted in a statistically significantly larger increase in the </w:t>
      </w:r>
      <w:r w:rsidRPr="005E3251">
        <w:t xml:space="preserve">proportion of participants who achieved </w:t>
      </w:r>
      <w:r w:rsidR="00C768D1" w:rsidRPr="005E3251">
        <w:t>≥</w:t>
      </w:r>
      <w:r w:rsidRPr="005E3251">
        <w:t xml:space="preserve">50% reduction in </w:t>
      </w:r>
      <w:r w:rsidR="00157D66" w:rsidRPr="005E3251">
        <w:t>CSF</w:t>
      </w:r>
      <w:r w:rsidRPr="005E3251">
        <w:t xml:space="preserve">, compared to those on cannabidiol 10 mg/kg/day (+/- stiripentol) or cannabidiol 20 mg/kg/day (+/- stiripentol). </w:t>
      </w:r>
    </w:p>
    <w:p w14:paraId="1EE04C24" w14:textId="5AEAD27A" w:rsidR="00CE7338" w:rsidRPr="005E3251" w:rsidRDefault="00D80C30" w:rsidP="00AE292D">
      <w:pPr>
        <w:pStyle w:val="ListParagraph"/>
        <w:ind w:left="1134"/>
      </w:pPr>
      <w:r w:rsidRPr="005E3251">
        <w:rPr>
          <w:bCs/>
        </w:rPr>
        <w:t xml:space="preserve">Fenfluramine 0.7 mg/kg/day (without stiripentol) resulted in a statistically significantly larger proportion of participants who achieved ≥75% reduction in </w:t>
      </w:r>
      <w:r w:rsidR="00157D66" w:rsidRPr="005E3251">
        <w:rPr>
          <w:bCs/>
        </w:rPr>
        <w:t>CSF</w:t>
      </w:r>
      <w:r w:rsidRPr="005E3251">
        <w:rPr>
          <w:bCs/>
        </w:rPr>
        <w:t>, compared to those on cannabidiol 20</w:t>
      </w:r>
      <w:r w:rsidR="009D2847" w:rsidRPr="005E3251">
        <w:rPr>
          <w:bCs/>
        </w:rPr>
        <w:t xml:space="preserve"> </w:t>
      </w:r>
      <w:r w:rsidRPr="005E3251">
        <w:rPr>
          <w:bCs/>
        </w:rPr>
        <w:t xml:space="preserve">mg/kg/day (+/- stiripentol), but the results were similar in the other comparisons based on the relative </w:t>
      </w:r>
      <w:r w:rsidRPr="005E3251" w:rsidDel="00012383">
        <w:rPr>
          <w:bCs/>
        </w:rPr>
        <w:t>estimates</w:t>
      </w:r>
      <w:r w:rsidRPr="005E3251">
        <w:rPr>
          <w:bCs/>
        </w:rPr>
        <w:t xml:space="preserve">. </w:t>
      </w:r>
    </w:p>
    <w:p w14:paraId="582D5610" w14:textId="6ADDE363" w:rsidR="00354400" w:rsidRPr="005E3251" w:rsidRDefault="00354400" w:rsidP="00080BC6">
      <w:pPr>
        <w:pStyle w:val="3-BodyText"/>
      </w:pPr>
      <w:bookmarkStart w:id="51" w:name="_Ref176434320"/>
      <w:r w:rsidRPr="005E3251">
        <w:rPr>
          <w:rStyle w:val="Font"/>
        </w:rPr>
        <w:t xml:space="preserve">The indirect comparisons showed a </w:t>
      </w:r>
      <w:r w:rsidR="00D80C30" w:rsidRPr="005E3251">
        <w:rPr>
          <w:rStyle w:val="Font"/>
        </w:rPr>
        <w:t>similar</w:t>
      </w:r>
      <w:r w:rsidRPr="005E3251">
        <w:rPr>
          <w:rStyle w:val="Font"/>
        </w:rPr>
        <w:t xml:space="preserve"> improvement</w:t>
      </w:r>
      <w:r w:rsidR="00A631A9" w:rsidRPr="005E3251">
        <w:rPr>
          <w:rStyle w:val="Font"/>
        </w:rPr>
        <w:t xml:space="preserve"> (differences </w:t>
      </w:r>
      <w:r w:rsidR="00061EBE" w:rsidRPr="005E3251">
        <w:rPr>
          <w:rStyle w:val="Font"/>
        </w:rPr>
        <w:t xml:space="preserve">were </w:t>
      </w:r>
      <w:r w:rsidR="00A631A9" w:rsidRPr="005E3251">
        <w:rPr>
          <w:rStyle w:val="Font"/>
        </w:rPr>
        <w:t>not statistically significant)</w:t>
      </w:r>
      <w:r w:rsidRPr="005E3251">
        <w:rPr>
          <w:rStyle w:val="Font"/>
        </w:rPr>
        <w:t xml:space="preserve"> for fenfluramine </w:t>
      </w:r>
      <w:r w:rsidR="008F2624" w:rsidRPr="005E3251">
        <w:rPr>
          <w:rStyle w:val="Font"/>
        </w:rPr>
        <w:t>0.7 mg/kg/day (without stiripentol) vs</w:t>
      </w:r>
      <w:r w:rsidRPr="005E3251">
        <w:rPr>
          <w:rStyle w:val="Font"/>
        </w:rPr>
        <w:t xml:space="preserve"> </w:t>
      </w:r>
      <w:r w:rsidR="00D80C30" w:rsidRPr="005E3251">
        <w:rPr>
          <w:rStyle w:val="Font"/>
        </w:rPr>
        <w:t>stiripentol</w:t>
      </w:r>
      <w:r w:rsidRPr="005E3251">
        <w:rPr>
          <w:rStyle w:val="Font"/>
        </w:rPr>
        <w:t>:</w:t>
      </w:r>
      <w:bookmarkEnd w:id="51"/>
      <w:r w:rsidRPr="005E3251">
        <w:rPr>
          <w:rStyle w:val="Font"/>
        </w:rPr>
        <w:t xml:space="preserve"> </w:t>
      </w:r>
    </w:p>
    <w:p w14:paraId="199603A4" w14:textId="199380BD" w:rsidR="00A662C6" w:rsidRPr="005E3251" w:rsidRDefault="00A662C6" w:rsidP="00AE292D">
      <w:pPr>
        <w:pStyle w:val="ListParagraph"/>
        <w:ind w:left="1134"/>
        <w:rPr>
          <w:bCs/>
        </w:rPr>
      </w:pPr>
      <w:r w:rsidRPr="005E3251">
        <w:rPr>
          <w:bCs/>
        </w:rPr>
        <w:t xml:space="preserve">Fenfluramine 0.7 mg/kg/day (without stiripentol) resulted in a similar decrease in the monthly </w:t>
      </w:r>
      <w:r w:rsidR="00157D66" w:rsidRPr="005E3251">
        <w:rPr>
          <w:bCs/>
        </w:rPr>
        <w:t>CSF</w:t>
      </w:r>
      <w:r w:rsidRPr="005E3251">
        <w:rPr>
          <w:bCs/>
        </w:rPr>
        <w:t xml:space="preserve"> compared with stiripentol 50 mg/kg/day.</w:t>
      </w:r>
      <w:r w:rsidR="00605ED2" w:rsidRPr="005E3251">
        <w:rPr>
          <w:bCs/>
        </w:rPr>
        <w:t xml:space="preserve"> However, numerically it favoured </w:t>
      </w:r>
      <w:r w:rsidR="00943C5B" w:rsidRPr="005E3251">
        <w:rPr>
          <w:bCs/>
        </w:rPr>
        <w:t>stiripentol</w:t>
      </w:r>
      <w:r w:rsidR="00A77283" w:rsidRPr="005E3251">
        <w:rPr>
          <w:bCs/>
        </w:rPr>
        <w:t xml:space="preserve">. </w:t>
      </w:r>
    </w:p>
    <w:p w14:paraId="1DD5C3FE" w14:textId="728CEBD0" w:rsidR="00CE7338" w:rsidRPr="005E3251" w:rsidRDefault="00CE7338" w:rsidP="00AE292D">
      <w:pPr>
        <w:pStyle w:val="ListParagraph"/>
        <w:ind w:left="1134"/>
        <w:rPr>
          <w:bCs/>
        </w:rPr>
      </w:pPr>
      <w:r w:rsidRPr="005E3251">
        <w:rPr>
          <w:bCs/>
        </w:rPr>
        <w:t xml:space="preserve">Fenfluramine 0.7 mg/kg/day (without stiripentol) resulted in a similar proportion of participants who achieved </w:t>
      </w:r>
      <w:r w:rsidR="00C768D1" w:rsidRPr="005E3251">
        <w:rPr>
          <w:bCs/>
        </w:rPr>
        <w:t>≥</w:t>
      </w:r>
      <w:r w:rsidRPr="005E3251">
        <w:rPr>
          <w:bCs/>
        </w:rPr>
        <w:t xml:space="preserve">50% reduction in </w:t>
      </w:r>
      <w:r w:rsidR="00157D66" w:rsidRPr="005E3251">
        <w:rPr>
          <w:bCs/>
        </w:rPr>
        <w:t>CSF</w:t>
      </w:r>
      <w:r w:rsidRPr="005E3251">
        <w:rPr>
          <w:bCs/>
        </w:rPr>
        <w:t>, compared to those on stiripentol 50</w:t>
      </w:r>
      <w:r w:rsidR="00A662C6" w:rsidRPr="005E3251">
        <w:rPr>
          <w:bCs/>
        </w:rPr>
        <w:t xml:space="preserve"> </w:t>
      </w:r>
      <w:r w:rsidRPr="005E3251">
        <w:rPr>
          <w:bCs/>
        </w:rPr>
        <w:t>mg/kg/day.</w:t>
      </w:r>
      <w:r w:rsidR="00943C5B" w:rsidRPr="005E3251">
        <w:rPr>
          <w:bCs/>
        </w:rPr>
        <w:t xml:space="preserve"> </w:t>
      </w:r>
      <w:r w:rsidR="004B5F3D" w:rsidRPr="005E3251">
        <w:rPr>
          <w:bCs/>
        </w:rPr>
        <w:t>Numerically, most of the results favoured stiripentol.</w:t>
      </w:r>
    </w:p>
    <w:p w14:paraId="759F26A3" w14:textId="3FF68B49" w:rsidR="00CE7338" w:rsidRPr="005E3251" w:rsidRDefault="00CE7338" w:rsidP="001F1019">
      <w:pPr>
        <w:pStyle w:val="3-BodyText"/>
      </w:pPr>
      <w:bookmarkStart w:id="52" w:name="_Ref176520545"/>
      <w:bookmarkStart w:id="53" w:name="_Ref174556734"/>
      <w:r w:rsidRPr="005E3251">
        <w:t xml:space="preserve">However, the </w:t>
      </w:r>
      <w:r w:rsidR="008D1D63" w:rsidRPr="005E3251">
        <w:t xml:space="preserve">results of the indirect treatment comparisons were </w:t>
      </w:r>
      <w:r w:rsidRPr="005E3251">
        <w:t xml:space="preserve">highly uncertain </w:t>
      </w:r>
      <w:r w:rsidR="009C3859" w:rsidRPr="005E3251">
        <w:t xml:space="preserve">due to </w:t>
      </w:r>
      <w:r w:rsidR="001F1019">
        <w:t>t</w:t>
      </w:r>
      <w:bookmarkEnd w:id="52"/>
      <w:r w:rsidRPr="005E3251">
        <w:t xml:space="preserve">he </w:t>
      </w:r>
      <w:r w:rsidR="001F1019">
        <w:t xml:space="preserve">small </w:t>
      </w:r>
      <w:r w:rsidRPr="005E3251">
        <w:t>sample sizes across all the included trials</w:t>
      </w:r>
      <w:r w:rsidR="001F1019">
        <w:t xml:space="preserve"> and the </w:t>
      </w:r>
      <w:r w:rsidRPr="005E3251">
        <w:t xml:space="preserve"> differences across the trials that affect</w:t>
      </w:r>
      <w:r w:rsidR="00074085" w:rsidRPr="005E3251">
        <w:t>ed</w:t>
      </w:r>
      <w:r w:rsidRPr="005E3251">
        <w:t xml:space="preserve"> the assumption of transitivity</w:t>
      </w:r>
      <w:r w:rsidR="008B71C2">
        <w:t xml:space="preserve"> (paragraphs </w:t>
      </w:r>
      <w:r w:rsidR="008B71C2">
        <w:fldChar w:fldCharType="begin" w:fldLock="1"/>
      </w:r>
      <w:r w:rsidR="008B71C2">
        <w:instrText xml:space="preserve"> REF _Ref176520435 \r \h </w:instrText>
      </w:r>
      <w:r w:rsidR="008B71C2">
        <w:fldChar w:fldCharType="separate"/>
      </w:r>
      <w:r w:rsidR="00D72887">
        <w:t>6.18</w:t>
      </w:r>
      <w:r w:rsidR="008B71C2">
        <w:fldChar w:fldCharType="end"/>
      </w:r>
      <w:r w:rsidR="008B71C2">
        <w:t xml:space="preserve"> and </w:t>
      </w:r>
      <w:r w:rsidR="008B71C2">
        <w:fldChar w:fldCharType="begin" w:fldLock="1"/>
      </w:r>
      <w:r w:rsidR="008B71C2">
        <w:instrText xml:space="preserve"> REF _Ref183516938 \r \h </w:instrText>
      </w:r>
      <w:r w:rsidR="008B71C2">
        <w:fldChar w:fldCharType="separate"/>
      </w:r>
      <w:r w:rsidR="00D72887">
        <w:t>6.19</w:t>
      </w:r>
      <w:r w:rsidR="008B71C2">
        <w:fldChar w:fldCharType="end"/>
      </w:r>
      <w:r w:rsidR="008B71C2">
        <w:t>).</w:t>
      </w:r>
    </w:p>
    <w:p w14:paraId="3DA79C31" w14:textId="7714D1D4" w:rsidR="00CE7338" w:rsidRPr="006B5229" w:rsidRDefault="00CE7338" w:rsidP="00CE7338">
      <w:pPr>
        <w:pStyle w:val="4-SubsectionHeading"/>
      </w:pPr>
      <w:bookmarkStart w:id="54" w:name="_Toc22897642"/>
      <w:bookmarkStart w:id="55" w:name="_Toc177562906"/>
      <w:bookmarkEnd w:id="53"/>
      <w:r w:rsidRPr="006B5229">
        <w:t>Comparative harms</w:t>
      </w:r>
      <w:bookmarkEnd w:id="54"/>
      <w:bookmarkEnd w:id="55"/>
    </w:p>
    <w:p w14:paraId="621FE61B" w14:textId="32A5E60B" w:rsidR="00CE7338" w:rsidRPr="005E3251" w:rsidRDefault="00CE7338" w:rsidP="00AE292D">
      <w:pPr>
        <w:pStyle w:val="3-BodyText"/>
      </w:pPr>
      <w:r w:rsidRPr="005E3251">
        <w:t xml:space="preserve">The key safety outcomes for the fenfluramine </w:t>
      </w:r>
      <w:r w:rsidRPr="00AE292D">
        <w:t>trials</w:t>
      </w:r>
      <w:r w:rsidRPr="005E3251">
        <w:t xml:space="preserve"> are presented in </w:t>
      </w:r>
      <w:r w:rsidR="000E3E8A" w:rsidRPr="005E3251">
        <w:fldChar w:fldCharType="begin" w:fldLock="1"/>
      </w:r>
      <w:r w:rsidR="000E3E8A" w:rsidRPr="005E3251">
        <w:instrText xml:space="preserve"> REF _Ref174482686 \h </w:instrText>
      </w:r>
      <w:r w:rsidR="005E3251" w:rsidRPr="005E3251">
        <w:instrText xml:space="preserve"> \* MERGEFORMAT </w:instrText>
      </w:r>
      <w:r w:rsidR="000E3E8A" w:rsidRPr="005E3251">
        <w:fldChar w:fldCharType="separate"/>
      </w:r>
      <w:r w:rsidR="00D72887" w:rsidRPr="005E3251">
        <w:t xml:space="preserve">Table </w:t>
      </w:r>
      <w:r w:rsidR="00D72887">
        <w:rPr>
          <w:noProof/>
        </w:rPr>
        <w:t>10</w:t>
      </w:r>
      <w:r w:rsidR="000E3E8A" w:rsidRPr="005E3251">
        <w:fldChar w:fldCharType="end"/>
      </w:r>
      <w:r w:rsidRPr="005E3251">
        <w:t>.</w:t>
      </w:r>
    </w:p>
    <w:p w14:paraId="7CCB7FA2" w14:textId="1F572611" w:rsidR="00CE7338" w:rsidRPr="005E3251" w:rsidRDefault="00CE7338" w:rsidP="00CE7338">
      <w:pPr>
        <w:pStyle w:val="TableFigureHeading"/>
      </w:pPr>
      <w:bookmarkStart w:id="56" w:name="_Ref174482686"/>
      <w:r w:rsidRPr="005E3251">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10</w:t>
      </w:r>
      <w:r w:rsidR="00D72887">
        <w:rPr>
          <w:noProof/>
        </w:rPr>
        <w:fldChar w:fldCharType="end"/>
      </w:r>
      <w:bookmarkEnd w:id="56"/>
      <w:r w:rsidRPr="005E3251">
        <w:t xml:space="preserve">: Safety profile of fenfluramine in the placebo-controlled trials (participants with </w:t>
      </w:r>
      <w:r w:rsidR="00C768D1" w:rsidRPr="005E3251">
        <w:t>≥</w:t>
      </w:r>
      <w:r w:rsidRPr="005E3251">
        <w:t>1 event:  n (%))</w:t>
      </w:r>
    </w:p>
    <w:tbl>
      <w:tblPr>
        <w:tblStyle w:val="TableGrid"/>
        <w:tblW w:w="5000" w:type="pct"/>
        <w:tblLayout w:type="fixed"/>
        <w:tblLook w:val="04A0" w:firstRow="1" w:lastRow="0" w:firstColumn="1" w:lastColumn="0" w:noHBand="0" w:noVBand="1"/>
      </w:tblPr>
      <w:tblGrid>
        <w:gridCol w:w="2033"/>
        <w:gridCol w:w="1223"/>
        <w:gridCol w:w="927"/>
        <w:gridCol w:w="1199"/>
        <w:gridCol w:w="1309"/>
        <w:gridCol w:w="1383"/>
        <w:gridCol w:w="943"/>
      </w:tblGrid>
      <w:tr w:rsidR="00675AC9" w:rsidRPr="005E3251" w14:paraId="3FA9A810" w14:textId="77777777" w:rsidTr="00675AC9">
        <w:trPr>
          <w:trHeight w:val="70"/>
          <w:tblHeader/>
        </w:trPr>
        <w:tc>
          <w:tcPr>
            <w:tcW w:w="1127" w:type="pct"/>
            <w:shd w:val="clear" w:color="auto" w:fill="auto"/>
            <w:vAlign w:val="center"/>
          </w:tcPr>
          <w:p w14:paraId="25212A44" w14:textId="77777777" w:rsidR="00675AC9" w:rsidRPr="005E3251" w:rsidRDefault="00675AC9" w:rsidP="00675AC9">
            <w:pPr>
              <w:pStyle w:val="In-tableHeading"/>
            </w:pPr>
            <w:r w:rsidRPr="005E3251">
              <w:t>Trial ID</w:t>
            </w:r>
          </w:p>
        </w:tc>
        <w:tc>
          <w:tcPr>
            <w:tcW w:w="1192" w:type="pct"/>
            <w:gridSpan w:val="2"/>
            <w:shd w:val="clear" w:color="auto" w:fill="auto"/>
            <w:vAlign w:val="center"/>
          </w:tcPr>
          <w:p w14:paraId="415EBF44" w14:textId="608ED459" w:rsidR="00675AC9" w:rsidRPr="005E3251" w:rsidRDefault="00675AC9" w:rsidP="008E3BD5">
            <w:pPr>
              <w:pStyle w:val="In-tableHeading"/>
              <w:jc w:val="center"/>
            </w:pPr>
            <w:r w:rsidRPr="005E3251">
              <w:t>Study 1</w:t>
            </w:r>
          </w:p>
        </w:tc>
        <w:tc>
          <w:tcPr>
            <w:tcW w:w="1391" w:type="pct"/>
            <w:gridSpan w:val="2"/>
            <w:vAlign w:val="center"/>
          </w:tcPr>
          <w:p w14:paraId="3EB12FEF" w14:textId="40043DF8" w:rsidR="00675AC9" w:rsidRPr="005E3251" w:rsidRDefault="00675AC9" w:rsidP="008E3BD5">
            <w:pPr>
              <w:pStyle w:val="In-tableHeading"/>
              <w:jc w:val="center"/>
            </w:pPr>
            <w:r w:rsidRPr="005E3251">
              <w:t>Study 3</w:t>
            </w:r>
          </w:p>
        </w:tc>
        <w:tc>
          <w:tcPr>
            <w:tcW w:w="1290" w:type="pct"/>
            <w:gridSpan w:val="2"/>
            <w:vAlign w:val="center"/>
          </w:tcPr>
          <w:p w14:paraId="5B6B5506" w14:textId="6868F18E" w:rsidR="00675AC9" w:rsidRPr="005E3251" w:rsidRDefault="00675AC9" w:rsidP="008E3BD5">
            <w:pPr>
              <w:pStyle w:val="In-tableHeading"/>
              <w:jc w:val="center"/>
            </w:pPr>
            <w:r w:rsidRPr="005E3251">
              <w:t>Study 2</w:t>
            </w:r>
          </w:p>
        </w:tc>
      </w:tr>
      <w:tr w:rsidR="002E4E2C" w:rsidRPr="005E3251" w14:paraId="522E78CC" w14:textId="77777777" w:rsidTr="00675AC9">
        <w:trPr>
          <w:trHeight w:val="70"/>
          <w:tblHeader/>
        </w:trPr>
        <w:tc>
          <w:tcPr>
            <w:tcW w:w="1127" w:type="pct"/>
            <w:shd w:val="clear" w:color="auto" w:fill="auto"/>
            <w:vAlign w:val="center"/>
          </w:tcPr>
          <w:p w14:paraId="033E5B5A" w14:textId="7A0C5F8E" w:rsidR="002E4E2C" w:rsidRPr="005E3251" w:rsidRDefault="002E4E2C" w:rsidP="00675AC9">
            <w:pPr>
              <w:pStyle w:val="In-tableHeading"/>
            </w:pPr>
            <w:r w:rsidRPr="005E3251">
              <w:t>Intervention and comparator</w:t>
            </w:r>
          </w:p>
        </w:tc>
        <w:tc>
          <w:tcPr>
            <w:tcW w:w="678" w:type="pct"/>
            <w:shd w:val="clear" w:color="auto" w:fill="auto"/>
            <w:vAlign w:val="center"/>
          </w:tcPr>
          <w:p w14:paraId="6C9E12B9" w14:textId="77777777" w:rsidR="002E4E2C" w:rsidRPr="005E3251" w:rsidRDefault="002E4E2C" w:rsidP="008E3BD5">
            <w:pPr>
              <w:pStyle w:val="In-tableHeading"/>
              <w:jc w:val="center"/>
            </w:pPr>
            <w:r w:rsidRPr="005E3251">
              <w:t xml:space="preserve">FFA 0.7 mg/kg/day </w:t>
            </w:r>
            <w:r w:rsidRPr="005E3251">
              <w:br/>
              <w:t>(-STP), n (%)</w:t>
            </w:r>
          </w:p>
        </w:tc>
        <w:tc>
          <w:tcPr>
            <w:tcW w:w="514" w:type="pct"/>
            <w:vAlign w:val="center"/>
          </w:tcPr>
          <w:p w14:paraId="5DC75DBD" w14:textId="77777777" w:rsidR="00816E22" w:rsidRPr="005E3251" w:rsidRDefault="002E4E2C" w:rsidP="008E3BD5">
            <w:pPr>
              <w:pStyle w:val="In-tableHeading"/>
              <w:jc w:val="center"/>
            </w:pPr>
            <w:r w:rsidRPr="005E3251">
              <w:t>PBO</w:t>
            </w:r>
            <w:r w:rsidR="00816E22" w:rsidRPr="005E3251">
              <w:t xml:space="preserve"> </w:t>
            </w:r>
          </w:p>
          <w:p w14:paraId="08C30920" w14:textId="30F5B902" w:rsidR="002E4E2C" w:rsidRPr="005E3251" w:rsidRDefault="00816E22" w:rsidP="008E3BD5">
            <w:pPr>
              <w:pStyle w:val="In-tableHeading"/>
              <w:jc w:val="center"/>
            </w:pPr>
            <w:r w:rsidRPr="005E3251">
              <w:t>(-STP)</w:t>
            </w:r>
          </w:p>
        </w:tc>
        <w:tc>
          <w:tcPr>
            <w:tcW w:w="665" w:type="pct"/>
            <w:shd w:val="clear" w:color="auto" w:fill="auto"/>
            <w:vAlign w:val="center"/>
          </w:tcPr>
          <w:p w14:paraId="5045D362" w14:textId="2A249F43" w:rsidR="002E4E2C" w:rsidRPr="005E3251" w:rsidRDefault="002E4E2C" w:rsidP="008E3BD5">
            <w:pPr>
              <w:pStyle w:val="In-tableHeading"/>
              <w:jc w:val="center"/>
            </w:pPr>
            <w:r w:rsidRPr="005E3251">
              <w:t xml:space="preserve">FFA 0.7 mg/kg/day </w:t>
            </w:r>
            <w:r w:rsidRPr="005E3251">
              <w:br/>
              <w:t>(-STP), n (%)</w:t>
            </w:r>
          </w:p>
        </w:tc>
        <w:tc>
          <w:tcPr>
            <w:tcW w:w="726" w:type="pct"/>
            <w:vAlign w:val="center"/>
          </w:tcPr>
          <w:p w14:paraId="54AE2B2E" w14:textId="77777777" w:rsidR="00816E22" w:rsidRPr="005E3251" w:rsidRDefault="002E4E2C" w:rsidP="008E3BD5">
            <w:pPr>
              <w:pStyle w:val="In-tableHeading"/>
              <w:jc w:val="center"/>
            </w:pPr>
            <w:r w:rsidRPr="005E3251">
              <w:t>PBO</w:t>
            </w:r>
            <w:r w:rsidR="00816E22" w:rsidRPr="005E3251">
              <w:t xml:space="preserve"> </w:t>
            </w:r>
          </w:p>
          <w:p w14:paraId="57162045" w14:textId="2DCAB5D3" w:rsidR="002E4E2C" w:rsidRPr="005E3251" w:rsidRDefault="00816E22" w:rsidP="008E3BD5">
            <w:pPr>
              <w:pStyle w:val="In-tableHeading"/>
              <w:jc w:val="center"/>
            </w:pPr>
            <w:r w:rsidRPr="005E3251">
              <w:t>(-STP)</w:t>
            </w:r>
          </w:p>
        </w:tc>
        <w:tc>
          <w:tcPr>
            <w:tcW w:w="767" w:type="pct"/>
            <w:vAlign w:val="center"/>
          </w:tcPr>
          <w:p w14:paraId="21CB371A" w14:textId="03EEA2E2" w:rsidR="002E4E2C" w:rsidRPr="005E3251" w:rsidRDefault="002E4E2C" w:rsidP="008E3BD5">
            <w:pPr>
              <w:pStyle w:val="In-tableHeading"/>
              <w:jc w:val="center"/>
            </w:pPr>
            <w:r w:rsidRPr="005E3251">
              <w:t>FFA 0.4 mg/kg/day (+STP),</w:t>
            </w:r>
            <w:r w:rsidR="00675AC9" w:rsidRPr="005E3251">
              <w:t xml:space="preserve"> </w:t>
            </w:r>
            <w:r w:rsidRPr="005E3251">
              <w:t>n (%)</w:t>
            </w:r>
          </w:p>
        </w:tc>
        <w:tc>
          <w:tcPr>
            <w:tcW w:w="523" w:type="pct"/>
            <w:vAlign w:val="center"/>
          </w:tcPr>
          <w:p w14:paraId="6970F0C3" w14:textId="77777777" w:rsidR="00816E22" w:rsidRPr="005E3251" w:rsidRDefault="00675AC9" w:rsidP="008E3BD5">
            <w:pPr>
              <w:pStyle w:val="In-tableHeading"/>
              <w:jc w:val="center"/>
              <w:rPr>
                <w:vertAlign w:val="superscript"/>
              </w:rPr>
            </w:pPr>
            <w:r w:rsidRPr="005E3251">
              <w:t>PBO</w:t>
            </w:r>
            <w:r w:rsidR="004570F0" w:rsidRPr="005E3251">
              <w:rPr>
                <w:vertAlign w:val="superscript"/>
              </w:rPr>
              <w:t xml:space="preserve"> </w:t>
            </w:r>
          </w:p>
          <w:p w14:paraId="21E4661F" w14:textId="6D3D7C64" w:rsidR="002E4E2C" w:rsidRPr="005E3251" w:rsidRDefault="00816E22" w:rsidP="008E3BD5">
            <w:pPr>
              <w:pStyle w:val="In-tableHeading"/>
              <w:jc w:val="center"/>
            </w:pPr>
            <w:r w:rsidRPr="005E3251">
              <w:t>(+STP)</w:t>
            </w:r>
          </w:p>
        </w:tc>
      </w:tr>
      <w:tr w:rsidR="002E4E2C" w:rsidRPr="005E3251" w14:paraId="1C3652DE" w14:textId="77777777" w:rsidTr="00675AC9">
        <w:trPr>
          <w:trHeight w:val="70"/>
          <w:tblHeader/>
        </w:trPr>
        <w:tc>
          <w:tcPr>
            <w:tcW w:w="1127" w:type="pct"/>
            <w:shd w:val="clear" w:color="auto" w:fill="auto"/>
            <w:vAlign w:val="center"/>
          </w:tcPr>
          <w:p w14:paraId="75D76449" w14:textId="77777777" w:rsidR="002E4E2C" w:rsidRPr="005E3251" w:rsidRDefault="002E4E2C" w:rsidP="002E4E2C">
            <w:pPr>
              <w:pStyle w:val="In-tableHeading"/>
            </w:pPr>
            <w:r w:rsidRPr="005E3251">
              <w:rPr>
                <w:b w:val="0"/>
                <w:bCs/>
              </w:rPr>
              <w:t>Number of participants</w:t>
            </w:r>
          </w:p>
        </w:tc>
        <w:tc>
          <w:tcPr>
            <w:tcW w:w="678" w:type="pct"/>
            <w:shd w:val="clear" w:color="auto" w:fill="auto"/>
            <w:vAlign w:val="center"/>
          </w:tcPr>
          <w:p w14:paraId="632F45C5" w14:textId="77777777" w:rsidR="002E4E2C" w:rsidRPr="005E3251" w:rsidRDefault="002E4E2C" w:rsidP="002E4E2C">
            <w:pPr>
              <w:pStyle w:val="In-tableHeading"/>
              <w:jc w:val="center"/>
            </w:pPr>
            <w:r w:rsidRPr="005E3251">
              <w:rPr>
                <w:b w:val="0"/>
                <w:bCs/>
              </w:rPr>
              <w:t>N=40</w:t>
            </w:r>
          </w:p>
        </w:tc>
        <w:tc>
          <w:tcPr>
            <w:tcW w:w="514" w:type="pct"/>
            <w:vAlign w:val="center"/>
          </w:tcPr>
          <w:p w14:paraId="197A631A" w14:textId="57085FD2" w:rsidR="002E4E2C" w:rsidRPr="005E3251" w:rsidRDefault="002E4E2C" w:rsidP="002E4E2C">
            <w:pPr>
              <w:pStyle w:val="In-tableHeading"/>
              <w:jc w:val="center"/>
              <w:rPr>
                <w:b w:val="0"/>
                <w:bCs/>
              </w:rPr>
            </w:pPr>
            <w:r w:rsidRPr="005E3251">
              <w:rPr>
                <w:b w:val="0"/>
                <w:bCs/>
              </w:rPr>
              <w:t>N=40</w:t>
            </w:r>
          </w:p>
        </w:tc>
        <w:tc>
          <w:tcPr>
            <w:tcW w:w="665" w:type="pct"/>
            <w:vAlign w:val="center"/>
          </w:tcPr>
          <w:p w14:paraId="27947D25" w14:textId="375380A1" w:rsidR="002E4E2C" w:rsidRPr="005E3251" w:rsidRDefault="002E4E2C" w:rsidP="002E4E2C">
            <w:pPr>
              <w:pStyle w:val="In-tableHeading"/>
              <w:jc w:val="center"/>
            </w:pPr>
            <w:r w:rsidRPr="005E3251">
              <w:rPr>
                <w:b w:val="0"/>
                <w:bCs/>
              </w:rPr>
              <w:t>N=48</w:t>
            </w:r>
          </w:p>
        </w:tc>
        <w:tc>
          <w:tcPr>
            <w:tcW w:w="726" w:type="pct"/>
            <w:vAlign w:val="center"/>
          </w:tcPr>
          <w:p w14:paraId="455E21A4" w14:textId="35A293EA" w:rsidR="002E4E2C" w:rsidRPr="005E3251" w:rsidRDefault="002E4E2C" w:rsidP="002E4E2C">
            <w:pPr>
              <w:pStyle w:val="In-tableHeading"/>
              <w:jc w:val="center"/>
              <w:rPr>
                <w:b w:val="0"/>
                <w:bCs/>
              </w:rPr>
            </w:pPr>
            <w:r w:rsidRPr="005E3251">
              <w:rPr>
                <w:b w:val="0"/>
                <w:bCs/>
              </w:rPr>
              <w:t>N=48</w:t>
            </w:r>
          </w:p>
        </w:tc>
        <w:tc>
          <w:tcPr>
            <w:tcW w:w="767" w:type="pct"/>
            <w:vAlign w:val="center"/>
          </w:tcPr>
          <w:p w14:paraId="4A49F01A" w14:textId="6148EAA2" w:rsidR="002E4E2C" w:rsidRPr="005E3251" w:rsidRDefault="002E4E2C" w:rsidP="002E4E2C">
            <w:pPr>
              <w:pStyle w:val="In-tableHeading"/>
              <w:jc w:val="center"/>
            </w:pPr>
            <w:r w:rsidRPr="005E3251">
              <w:rPr>
                <w:b w:val="0"/>
                <w:bCs/>
              </w:rPr>
              <w:t>N=43</w:t>
            </w:r>
          </w:p>
        </w:tc>
        <w:tc>
          <w:tcPr>
            <w:tcW w:w="523" w:type="pct"/>
            <w:vAlign w:val="center"/>
          </w:tcPr>
          <w:p w14:paraId="26761CA9" w14:textId="77777777" w:rsidR="002E4E2C" w:rsidRPr="005E3251" w:rsidRDefault="002E4E2C" w:rsidP="002E4E2C">
            <w:pPr>
              <w:pStyle w:val="In-tableHeading"/>
              <w:jc w:val="center"/>
            </w:pPr>
            <w:r w:rsidRPr="005E3251">
              <w:rPr>
                <w:b w:val="0"/>
                <w:bCs/>
              </w:rPr>
              <w:t>N=44</w:t>
            </w:r>
          </w:p>
        </w:tc>
      </w:tr>
      <w:tr w:rsidR="002E4E2C" w:rsidRPr="005E3251" w14:paraId="07354C74" w14:textId="77777777" w:rsidTr="00675AC9">
        <w:tc>
          <w:tcPr>
            <w:tcW w:w="1127" w:type="pct"/>
            <w:vAlign w:val="center"/>
          </w:tcPr>
          <w:p w14:paraId="6B15CF76" w14:textId="77777777" w:rsidR="002E4E2C" w:rsidRPr="005E3251" w:rsidRDefault="002E4E2C" w:rsidP="002E4E2C">
            <w:pPr>
              <w:pStyle w:val="TableText0"/>
              <w:widowControl w:val="0"/>
            </w:pPr>
            <w:r w:rsidRPr="005E3251">
              <w:t>TEAE</w:t>
            </w:r>
          </w:p>
        </w:tc>
        <w:tc>
          <w:tcPr>
            <w:tcW w:w="678" w:type="pct"/>
            <w:vAlign w:val="center"/>
          </w:tcPr>
          <w:p w14:paraId="3EC4C047" w14:textId="77777777" w:rsidR="002E4E2C" w:rsidRPr="005E3251" w:rsidRDefault="002E4E2C" w:rsidP="002E4E2C">
            <w:pPr>
              <w:pStyle w:val="TableText0"/>
              <w:widowControl w:val="0"/>
              <w:jc w:val="center"/>
              <w:rPr>
                <w:highlight w:val="yellow"/>
              </w:rPr>
            </w:pPr>
            <w:r w:rsidRPr="005E3251">
              <w:t>38 (95.0)</w:t>
            </w:r>
          </w:p>
        </w:tc>
        <w:tc>
          <w:tcPr>
            <w:tcW w:w="514" w:type="pct"/>
            <w:vAlign w:val="center"/>
          </w:tcPr>
          <w:p w14:paraId="02452CE4" w14:textId="32CA121E" w:rsidR="002E4E2C" w:rsidRPr="005E3251" w:rsidRDefault="002E4E2C" w:rsidP="00D665B1">
            <w:pPr>
              <w:pStyle w:val="TableText0"/>
              <w:widowControl w:val="0"/>
              <w:jc w:val="center"/>
            </w:pPr>
            <w:r w:rsidRPr="005E3251">
              <w:t>26</w:t>
            </w:r>
            <w:r w:rsidR="00D665B1" w:rsidRPr="005E3251">
              <w:t xml:space="preserve"> </w:t>
            </w:r>
            <w:r w:rsidRPr="005E3251">
              <w:t>(65.0)</w:t>
            </w:r>
          </w:p>
        </w:tc>
        <w:tc>
          <w:tcPr>
            <w:tcW w:w="665" w:type="pct"/>
            <w:vAlign w:val="center"/>
          </w:tcPr>
          <w:p w14:paraId="1D11388A" w14:textId="49F62062" w:rsidR="002E4E2C" w:rsidRPr="005E3251" w:rsidRDefault="002E4E2C" w:rsidP="002E4E2C">
            <w:pPr>
              <w:pStyle w:val="TableText0"/>
              <w:widowControl w:val="0"/>
              <w:jc w:val="center"/>
            </w:pPr>
            <w:r w:rsidRPr="005E3251">
              <w:t>44 (91.7)</w:t>
            </w:r>
          </w:p>
        </w:tc>
        <w:tc>
          <w:tcPr>
            <w:tcW w:w="726" w:type="pct"/>
            <w:vAlign w:val="center"/>
          </w:tcPr>
          <w:p w14:paraId="0BF8110A" w14:textId="391150F3" w:rsidR="002E4E2C" w:rsidRPr="005E3251" w:rsidRDefault="002E4E2C" w:rsidP="002E4E2C">
            <w:pPr>
              <w:pStyle w:val="TableText0"/>
              <w:widowControl w:val="0"/>
              <w:jc w:val="center"/>
            </w:pPr>
            <w:r w:rsidRPr="005E3251">
              <w:t>40 (83.3)</w:t>
            </w:r>
          </w:p>
        </w:tc>
        <w:tc>
          <w:tcPr>
            <w:tcW w:w="767" w:type="pct"/>
            <w:vAlign w:val="center"/>
          </w:tcPr>
          <w:p w14:paraId="3DBA98DD" w14:textId="27995EB7" w:rsidR="002E4E2C" w:rsidRPr="005E3251" w:rsidRDefault="002E4E2C" w:rsidP="00D665B1">
            <w:pPr>
              <w:pStyle w:val="TableText0"/>
              <w:widowControl w:val="0"/>
              <w:jc w:val="center"/>
            </w:pPr>
            <w:r w:rsidRPr="005E3251">
              <w:t>42</w:t>
            </w:r>
            <w:r w:rsidR="00D665B1" w:rsidRPr="005E3251">
              <w:t xml:space="preserve"> </w:t>
            </w:r>
            <w:r w:rsidRPr="005E3251">
              <w:t>(97.7)</w:t>
            </w:r>
          </w:p>
        </w:tc>
        <w:tc>
          <w:tcPr>
            <w:tcW w:w="523" w:type="pct"/>
            <w:vAlign w:val="center"/>
          </w:tcPr>
          <w:p w14:paraId="54882D0E" w14:textId="77777777" w:rsidR="002E4E2C" w:rsidRPr="005E3251" w:rsidRDefault="002E4E2C" w:rsidP="002E4E2C">
            <w:pPr>
              <w:pStyle w:val="TableText0"/>
              <w:widowControl w:val="0"/>
              <w:jc w:val="center"/>
            </w:pPr>
            <w:r w:rsidRPr="005E3251">
              <w:t>42 (95.5)</w:t>
            </w:r>
          </w:p>
        </w:tc>
      </w:tr>
      <w:tr w:rsidR="002E4E2C" w:rsidRPr="005E3251" w14:paraId="238660C8" w14:textId="77777777" w:rsidTr="00675AC9">
        <w:tc>
          <w:tcPr>
            <w:tcW w:w="1127" w:type="pct"/>
            <w:vAlign w:val="center"/>
          </w:tcPr>
          <w:p w14:paraId="22C2B3DE" w14:textId="77777777" w:rsidR="002E4E2C" w:rsidRPr="005E3251" w:rsidRDefault="002E4E2C" w:rsidP="002E4E2C">
            <w:pPr>
              <w:pStyle w:val="TableText0"/>
              <w:widowControl w:val="0"/>
            </w:pPr>
            <w:r w:rsidRPr="005E3251">
              <w:t>Treatment-related TEAE</w:t>
            </w:r>
          </w:p>
        </w:tc>
        <w:tc>
          <w:tcPr>
            <w:tcW w:w="678" w:type="pct"/>
            <w:vAlign w:val="center"/>
          </w:tcPr>
          <w:p w14:paraId="227B0831" w14:textId="77777777" w:rsidR="002E4E2C" w:rsidRPr="005E3251" w:rsidRDefault="002E4E2C" w:rsidP="002E4E2C">
            <w:pPr>
              <w:pStyle w:val="TableText0"/>
              <w:widowControl w:val="0"/>
              <w:jc w:val="center"/>
              <w:rPr>
                <w:highlight w:val="yellow"/>
              </w:rPr>
            </w:pPr>
            <w:r w:rsidRPr="005E3251">
              <w:t>27 (67.5)</w:t>
            </w:r>
          </w:p>
        </w:tc>
        <w:tc>
          <w:tcPr>
            <w:tcW w:w="514" w:type="pct"/>
            <w:vAlign w:val="center"/>
          </w:tcPr>
          <w:p w14:paraId="0170C63A" w14:textId="2E3911B1" w:rsidR="002E4E2C" w:rsidRPr="005E3251" w:rsidRDefault="002E4E2C" w:rsidP="00D665B1">
            <w:pPr>
              <w:pStyle w:val="TableText0"/>
              <w:widowControl w:val="0"/>
              <w:jc w:val="center"/>
            </w:pPr>
            <w:r w:rsidRPr="005E3251">
              <w:t>7</w:t>
            </w:r>
            <w:r w:rsidR="00D665B1" w:rsidRPr="005E3251">
              <w:t xml:space="preserve"> </w:t>
            </w:r>
            <w:r w:rsidRPr="005E3251">
              <w:t>(17.5)</w:t>
            </w:r>
          </w:p>
        </w:tc>
        <w:tc>
          <w:tcPr>
            <w:tcW w:w="665" w:type="pct"/>
            <w:vAlign w:val="center"/>
          </w:tcPr>
          <w:p w14:paraId="64F610A5" w14:textId="75C0D322" w:rsidR="002E4E2C" w:rsidRPr="005E3251" w:rsidRDefault="002E4E2C" w:rsidP="002E4E2C">
            <w:pPr>
              <w:pStyle w:val="TableText0"/>
              <w:widowControl w:val="0"/>
              <w:jc w:val="center"/>
            </w:pPr>
            <w:r w:rsidRPr="005E3251">
              <w:t>32 (66.7)</w:t>
            </w:r>
          </w:p>
        </w:tc>
        <w:tc>
          <w:tcPr>
            <w:tcW w:w="726" w:type="pct"/>
            <w:vAlign w:val="center"/>
          </w:tcPr>
          <w:p w14:paraId="2844ACC7" w14:textId="685B450E" w:rsidR="002E4E2C" w:rsidRPr="005E3251" w:rsidRDefault="002E4E2C" w:rsidP="002E4E2C">
            <w:pPr>
              <w:pStyle w:val="TableText0"/>
              <w:widowControl w:val="0"/>
              <w:jc w:val="center"/>
            </w:pPr>
            <w:r w:rsidRPr="005E3251">
              <w:t>17 (35.4)</w:t>
            </w:r>
          </w:p>
        </w:tc>
        <w:tc>
          <w:tcPr>
            <w:tcW w:w="767" w:type="pct"/>
            <w:vAlign w:val="center"/>
          </w:tcPr>
          <w:p w14:paraId="5CAB454F" w14:textId="41D34C1A" w:rsidR="002E4E2C" w:rsidRPr="005E3251" w:rsidRDefault="002E4E2C" w:rsidP="00D665B1">
            <w:pPr>
              <w:pStyle w:val="TableText0"/>
              <w:widowControl w:val="0"/>
              <w:jc w:val="center"/>
            </w:pPr>
            <w:r w:rsidRPr="005E3251">
              <w:t>31</w:t>
            </w:r>
            <w:r w:rsidR="00D665B1" w:rsidRPr="005E3251">
              <w:t xml:space="preserve"> </w:t>
            </w:r>
            <w:r w:rsidRPr="005E3251">
              <w:t>(72.1)</w:t>
            </w:r>
          </w:p>
        </w:tc>
        <w:tc>
          <w:tcPr>
            <w:tcW w:w="523" w:type="pct"/>
            <w:vAlign w:val="center"/>
          </w:tcPr>
          <w:p w14:paraId="6CEB8CD3" w14:textId="77777777" w:rsidR="002E4E2C" w:rsidRPr="005E3251" w:rsidRDefault="002E4E2C" w:rsidP="002E4E2C">
            <w:pPr>
              <w:pStyle w:val="TableText0"/>
              <w:widowControl w:val="0"/>
              <w:jc w:val="center"/>
            </w:pPr>
            <w:r w:rsidRPr="005E3251">
              <w:t>15 (34.1)</w:t>
            </w:r>
          </w:p>
        </w:tc>
      </w:tr>
      <w:tr w:rsidR="002E4E2C" w:rsidRPr="005E3251" w14:paraId="049FB7D9" w14:textId="77777777" w:rsidTr="00675AC9">
        <w:tc>
          <w:tcPr>
            <w:tcW w:w="1127" w:type="pct"/>
            <w:vAlign w:val="center"/>
          </w:tcPr>
          <w:p w14:paraId="753BA24F" w14:textId="77777777" w:rsidR="002E4E2C" w:rsidRPr="005E3251" w:rsidRDefault="002E4E2C" w:rsidP="002E4E2C">
            <w:pPr>
              <w:pStyle w:val="TableText0"/>
              <w:widowControl w:val="0"/>
            </w:pPr>
            <w:r w:rsidRPr="005E3251">
              <w:t>Treatment-related serious TEAE</w:t>
            </w:r>
          </w:p>
        </w:tc>
        <w:tc>
          <w:tcPr>
            <w:tcW w:w="678" w:type="pct"/>
            <w:vAlign w:val="center"/>
          </w:tcPr>
          <w:p w14:paraId="0BCE9FBF" w14:textId="77777777" w:rsidR="002E4E2C" w:rsidRPr="005E3251" w:rsidRDefault="002E4E2C" w:rsidP="002E4E2C">
            <w:pPr>
              <w:pStyle w:val="TableText0"/>
              <w:widowControl w:val="0"/>
              <w:jc w:val="center"/>
              <w:rPr>
                <w:highlight w:val="yellow"/>
              </w:rPr>
            </w:pPr>
            <w:r w:rsidRPr="005E3251">
              <w:t>2 (5.0)</w:t>
            </w:r>
          </w:p>
        </w:tc>
        <w:tc>
          <w:tcPr>
            <w:tcW w:w="514" w:type="pct"/>
            <w:vAlign w:val="center"/>
          </w:tcPr>
          <w:p w14:paraId="02D57FAF" w14:textId="493E3DB1" w:rsidR="002E4E2C" w:rsidRPr="005E3251" w:rsidRDefault="002E4E2C" w:rsidP="002E4E2C">
            <w:pPr>
              <w:pStyle w:val="TableText0"/>
              <w:widowControl w:val="0"/>
              <w:jc w:val="center"/>
            </w:pPr>
            <w:r w:rsidRPr="005E3251">
              <w:t>0 (0.0)</w:t>
            </w:r>
          </w:p>
        </w:tc>
        <w:tc>
          <w:tcPr>
            <w:tcW w:w="665" w:type="pct"/>
            <w:vAlign w:val="center"/>
          </w:tcPr>
          <w:p w14:paraId="10D31D5C" w14:textId="2299D6E3" w:rsidR="002E4E2C" w:rsidRPr="005E3251" w:rsidRDefault="002E4E2C" w:rsidP="002E4E2C">
            <w:pPr>
              <w:pStyle w:val="TableText0"/>
              <w:widowControl w:val="0"/>
              <w:jc w:val="center"/>
            </w:pPr>
            <w:r w:rsidRPr="005E3251">
              <w:t>1 (2.1)</w:t>
            </w:r>
          </w:p>
        </w:tc>
        <w:tc>
          <w:tcPr>
            <w:tcW w:w="726" w:type="pct"/>
            <w:vAlign w:val="center"/>
          </w:tcPr>
          <w:p w14:paraId="47401779" w14:textId="10750E91" w:rsidR="002E4E2C" w:rsidRPr="005E3251" w:rsidRDefault="002E4E2C" w:rsidP="002E4E2C">
            <w:pPr>
              <w:pStyle w:val="TableText0"/>
              <w:widowControl w:val="0"/>
              <w:jc w:val="center"/>
            </w:pPr>
            <w:r w:rsidRPr="005E3251">
              <w:t>0 (0)</w:t>
            </w:r>
          </w:p>
        </w:tc>
        <w:tc>
          <w:tcPr>
            <w:tcW w:w="767" w:type="pct"/>
            <w:vAlign w:val="center"/>
          </w:tcPr>
          <w:p w14:paraId="3E57A532" w14:textId="2C86B7A6" w:rsidR="002E4E2C" w:rsidRPr="005E3251" w:rsidRDefault="002E4E2C" w:rsidP="002E4E2C">
            <w:pPr>
              <w:pStyle w:val="TableText0"/>
              <w:widowControl w:val="0"/>
              <w:jc w:val="center"/>
            </w:pPr>
            <w:r w:rsidRPr="005E3251">
              <w:t>1 (2.3)</w:t>
            </w:r>
          </w:p>
        </w:tc>
        <w:tc>
          <w:tcPr>
            <w:tcW w:w="523" w:type="pct"/>
            <w:vAlign w:val="center"/>
          </w:tcPr>
          <w:p w14:paraId="5E1FCA46" w14:textId="77777777" w:rsidR="002E4E2C" w:rsidRPr="005E3251" w:rsidRDefault="002E4E2C" w:rsidP="002E4E2C">
            <w:pPr>
              <w:pStyle w:val="TableText0"/>
              <w:widowControl w:val="0"/>
              <w:jc w:val="center"/>
            </w:pPr>
            <w:r w:rsidRPr="005E3251">
              <w:t>1 (2.3)</w:t>
            </w:r>
          </w:p>
        </w:tc>
      </w:tr>
      <w:tr w:rsidR="002E4E2C" w:rsidRPr="005E3251" w14:paraId="66EB5D3C" w14:textId="77777777" w:rsidTr="00675AC9">
        <w:tc>
          <w:tcPr>
            <w:tcW w:w="1127" w:type="pct"/>
            <w:vAlign w:val="center"/>
          </w:tcPr>
          <w:p w14:paraId="7E5CC031" w14:textId="77777777" w:rsidR="002E4E2C" w:rsidRPr="005E3251" w:rsidRDefault="002E4E2C" w:rsidP="002E4E2C">
            <w:pPr>
              <w:pStyle w:val="TableText0"/>
              <w:widowControl w:val="0"/>
            </w:pPr>
            <w:r w:rsidRPr="005E3251">
              <w:t>TEAE leading to discontinuation</w:t>
            </w:r>
          </w:p>
        </w:tc>
        <w:tc>
          <w:tcPr>
            <w:tcW w:w="678" w:type="pct"/>
            <w:shd w:val="clear" w:color="auto" w:fill="FFFFFF" w:themeFill="background1"/>
            <w:vAlign w:val="center"/>
          </w:tcPr>
          <w:p w14:paraId="47461920" w14:textId="77777777" w:rsidR="002E4E2C" w:rsidRPr="005E3251" w:rsidRDefault="002E4E2C" w:rsidP="002E4E2C">
            <w:pPr>
              <w:pStyle w:val="TableText0"/>
              <w:widowControl w:val="0"/>
              <w:jc w:val="center"/>
              <w:rPr>
                <w:highlight w:val="yellow"/>
              </w:rPr>
            </w:pPr>
            <w:r w:rsidRPr="005E3251">
              <w:t>5 (12.5)</w:t>
            </w:r>
          </w:p>
        </w:tc>
        <w:tc>
          <w:tcPr>
            <w:tcW w:w="514" w:type="pct"/>
            <w:vAlign w:val="center"/>
          </w:tcPr>
          <w:p w14:paraId="02CD65B9" w14:textId="73D18B76" w:rsidR="002E4E2C" w:rsidRPr="005E3251" w:rsidRDefault="002E4E2C" w:rsidP="002E4E2C">
            <w:pPr>
              <w:pStyle w:val="TableText0"/>
              <w:widowControl w:val="0"/>
              <w:jc w:val="center"/>
            </w:pPr>
            <w:r w:rsidRPr="005E3251">
              <w:t>0 (0.0)</w:t>
            </w:r>
          </w:p>
        </w:tc>
        <w:tc>
          <w:tcPr>
            <w:tcW w:w="665" w:type="pct"/>
            <w:vAlign w:val="center"/>
          </w:tcPr>
          <w:p w14:paraId="673ECE3E" w14:textId="56E0A2AB" w:rsidR="002E4E2C" w:rsidRPr="005E3251" w:rsidRDefault="002E4E2C" w:rsidP="002E4E2C">
            <w:pPr>
              <w:pStyle w:val="TableText0"/>
              <w:widowControl w:val="0"/>
              <w:jc w:val="center"/>
            </w:pPr>
            <w:r w:rsidRPr="005E3251">
              <w:t>2 (4.2)</w:t>
            </w:r>
          </w:p>
        </w:tc>
        <w:tc>
          <w:tcPr>
            <w:tcW w:w="726" w:type="pct"/>
            <w:vAlign w:val="center"/>
          </w:tcPr>
          <w:p w14:paraId="0F747A53" w14:textId="75BC9A67" w:rsidR="002E4E2C" w:rsidRPr="005E3251" w:rsidRDefault="002E4E2C" w:rsidP="002E4E2C">
            <w:pPr>
              <w:pStyle w:val="TableText0"/>
              <w:widowControl w:val="0"/>
              <w:jc w:val="center"/>
            </w:pPr>
            <w:r w:rsidRPr="005E3251">
              <w:t>1 (2.1)</w:t>
            </w:r>
          </w:p>
        </w:tc>
        <w:tc>
          <w:tcPr>
            <w:tcW w:w="767" w:type="pct"/>
            <w:vAlign w:val="center"/>
          </w:tcPr>
          <w:p w14:paraId="06DB8D89" w14:textId="53661D07" w:rsidR="002E4E2C" w:rsidRPr="005E3251" w:rsidRDefault="002E4E2C" w:rsidP="002E4E2C">
            <w:pPr>
              <w:pStyle w:val="TableText0"/>
              <w:widowControl w:val="0"/>
              <w:jc w:val="center"/>
            </w:pPr>
            <w:r w:rsidRPr="005E3251">
              <w:t>2 (4.7)</w:t>
            </w:r>
          </w:p>
        </w:tc>
        <w:tc>
          <w:tcPr>
            <w:tcW w:w="523" w:type="pct"/>
            <w:vAlign w:val="center"/>
          </w:tcPr>
          <w:p w14:paraId="5CF966D8" w14:textId="77777777" w:rsidR="002E4E2C" w:rsidRPr="005E3251" w:rsidRDefault="002E4E2C" w:rsidP="002E4E2C">
            <w:pPr>
              <w:pStyle w:val="TableText0"/>
              <w:widowControl w:val="0"/>
              <w:jc w:val="center"/>
            </w:pPr>
            <w:r w:rsidRPr="005E3251">
              <w:t>1 (2.3)</w:t>
            </w:r>
          </w:p>
        </w:tc>
      </w:tr>
      <w:tr w:rsidR="002E4E2C" w:rsidRPr="005E3251" w14:paraId="338178CE" w14:textId="77777777" w:rsidTr="00675AC9">
        <w:tc>
          <w:tcPr>
            <w:tcW w:w="1127" w:type="pct"/>
            <w:vAlign w:val="center"/>
          </w:tcPr>
          <w:p w14:paraId="6E64AECB" w14:textId="77777777" w:rsidR="002E4E2C" w:rsidRPr="005E3251" w:rsidRDefault="002E4E2C" w:rsidP="002E4E2C">
            <w:pPr>
              <w:pStyle w:val="TableText0"/>
              <w:widowControl w:val="0"/>
            </w:pPr>
            <w:r w:rsidRPr="005E3251">
              <w:t>Serious AE</w:t>
            </w:r>
          </w:p>
        </w:tc>
        <w:tc>
          <w:tcPr>
            <w:tcW w:w="678" w:type="pct"/>
            <w:vAlign w:val="center"/>
          </w:tcPr>
          <w:p w14:paraId="2792A672" w14:textId="77777777" w:rsidR="002E4E2C" w:rsidRPr="005E3251" w:rsidRDefault="002E4E2C" w:rsidP="002E4E2C">
            <w:pPr>
              <w:pStyle w:val="TableText0"/>
              <w:widowControl w:val="0"/>
              <w:jc w:val="center"/>
              <w:rPr>
                <w:highlight w:val="yellow"/>
              </w:rPr>
            </w:pPr>
            <w:r w:rsidRPr="005E3251">
              <w:t>5 (12.5)</w:t>
            </w:r>
          </w:p>
        </w:tc>
        <w:tc>
          <w:tcPr>
            <w:tcW w:w="514" w:type="pct"/>
            <w:vAlign w:val="center"/>
          </w:tcPr>
          <w:p w14:paraId="36D7AF49" w14:textId="48E017BE" w:rsidR="002E4E2C" w:rsidRPr="005E3251" w:rsidRDefault="002E4E2C" w:rsidP="002E4E2C">
            <w:pPr>
              <w:pStyle w:val="TableText0"/>
              <w:widowControl w:val="0"/>
              <w:jc w:val="center"/>
            </w:pPr>
            <w:r w:rsidRPr="005E3251">
              <w:t>4 (10.0)</w:t>
            </w:r>
          </w:p>
        </w:tc>
        <w:tc>
          <w:tcPr>
            <w:tcW w:w="665" w:type="pct"/>
            <w:vAlign w:val="center"/>
          </w:tcPr>
          <w:p w14:paraId="40083144" w14:textId="17306677" w:rsidR="002E4E2C" w:rsidRPr="005E3251" w:rsidRDefault="002E4E2C" w:rsidP="002E4E2C">
            <w:pPr>
              <w:pStyle w:val="TableText0"/>
              <w:widowControl w:val="0"/>
              <w:jc w:val="center"/>
            </w:pPr>
            <w:r w:rsidRPr="005E3251">
              <w:t>3 (6.3)</w:t>
            </w:r>
          </w:p>
        </w:tc>
        <w:tc>
          <w:tcPr>
            <w:tcW w:w="726" w:type="pct"/>
            <w:vAlign w:val="center"/>
          </w:tcPr>
          <w:p w14:paraId="2C2E9695" w14:textId="5F7C576E" w:rsidR="002E4E2C" w:rsidRPr="005E3251" w:rsidRDefault="002E4E2C" w:rsidP="002E4E2C">
            <w:pPr>
              <w:pStyle w:val="TableText0"/>
              <w:widowControl w:val="0"/>
              <w:jc w:val="center"/>
            </w:pPr>
            <w:r w:rsidRPr="005E3251">
              <w:t>2 (4.2)</w:t>
            </w:r>
          </w:p>
        </w:tc>
        <w:tc>
          <w:tcPr>
            <w:tcW w:w="767" w:type="pct"/>
            <w:vAlign w:val="center"/>
          </w:tcPr>
          <w:p w14:paraId="7F12156C" w14:textId="61C3B61E" w:rsidR="002E4E2C" w:rsidRPr="005E3251" w:rsidRDefault="002E4E2C" w:rsidP="002E4E2C">
            <w:pPr>
              <w:pStyle w:val="TableText0"/>
              <w:widowControl w:val="0"/>
              <w:jc w:val="center"/>
            </w:pPr>
            <w:r w:rsidRPr="005E3251">
              <w:t>6 (14.0)</w:t>
            </w:r>
          </w:p>
        </w:tc>
        <w:tc>
          <w:tcPr>
            <w:tcW w:w="523" w:type="pct"/>
            <w:vAlign w:val="center"/>
          </w:tcPr>
          <w:p w14:paraId="50359AD3" w14:textId="77777777" w:rsidR="002E4E2C" w:rsidRPr="005E3251" w:rsidRDefault="002E4E2C" w:rsidP="002E4E2C">
            <w:pPr>
              <w:pStyle w:val="TableText0"/>
              <w:widowControl w:val="0"/>
              <w:jc w:val="center"/>
            </w:pPr>
            <w:r w:rsidRPr="005E3251">
              <w:t>7 (15.9)</w:t>
            </w:r>
          </w:p>
        </w:tc>
      </w:tr>
      <w:tr w:rsidR="002E4E2C" w:rsidRPr="005E3251" w14:paraId="2521F136" w14:textId="77777777" w:rsidTr="00675AC9">
        <w:tc>
          <w:tcPr>
            <w:tcW w:w="1127" w:type="pct"/>
            <w:vAlign w:val="center"/>
          </w:tcPr>
          <w:p w14:paraId="09043CBF" w14:textId="77777777" w:rsidR="002E4E2C" w:rsidRPr="005E3251" w:rsidRDefault="002E4E2C" w:rsidP="002E4E2C">
            <w:pPr>
              <w:pStyle w:val="TableText0"/>
              <w:widowControl w:val="0"/>
            </w:pPr>
            <w:r w:rsidRPr="005E3251">
              <w:t>Deaths</w:t>
            </w:r>
          </w:p>
        </w:tc>
        <w:tc>
          <w:tcPr>
            <w:tcW w:w="678" w:type="pct"/>
            <w:vAlign w:val="center"/>
          </w:tcPr>
          <w:p w14:paraId="029B30ED" w14:textId="77777777" w:rsidR="002E4E2C" w:rsidRPr="005E3251" w:rsidRDefault="002E4E2C" w:rsidP="002E4E2C">
            <w:pPr>
              <w:pStyle w:val="TableText0"/>
              <w:widowControl w:val="0"/>
              <w:jc w:val="center"/>
              <w:rPr>
                <w:highlight w:val="yellow"/>
              </w:rPr>
            </w:pPr>
            <w:r w:rsidRPr="005E3251">
              <w:t>0 (0.0)</w:t>
            </w:r>
          </w:p>
        </w:tc>
        <w:tc>
          <w:tcPr>
            <w:tcW w:w="514" w:type="pct"/>
            <w:vAlign w:val="center"/>
          </w:tcPr>
          <w:p w14:paraId="4B2D1C7F" w14:textId="57FBA0D3" w:rsidR="002E4E2C" w:rsidRPr="005E3251" w:rsidRDefault="002E4E2C" w:rsidP="002E4E2C">
            <w:pPr>
              <w:pStyle w:val="TableText0"/>
              <w:widowControl w:val="0"/>
              <w:jc w:val="center"/>
            </w:pPr>
            <w:r w:rsidRPr="005E3251">
              <w:t>0 (0.0)</w:t>
            </w:r>
          </w:p>
        </w:tc>
        <w:tc>
          <w:tcPr>
            <w:tcW w:w="665" w:type="pct"/>
            <w:vAlign w:val="center"/>
          </w:tcPr>
          <w:p w14:paraId="16B096CB" w14:textId="431657A5" w:rsidR="002E4E2C" w:rsidRPr="005E3251" w:rsidRDefault="002E4E2C" w:rsidP="002E4E2C">
            <w:pPr>
              <w:pStyle w:val="TableText0"/>
              <w:widowControl w:val="0"/>
              <w:jc w:val="center"/>
            </w:pPr>
            <w:r w:rsidRPr="005E3251">
              <w:t>0 (0.0)</w:t>
            </w:r>
          </w:p>
        </w:tc>
        <w:tc>
          <w:tcPr>
            <w:tcW w:w="726" w:type="pct"/>
            <w:vAlign w:val="center"/>
          </w:tcPr>
          <w:p w14:paraId="532ED5D2" w14:textId="4032F419" w:rsidR="002E4E2C" w:rsidRPr="005E3251" w:rsidRDefault="002E4E2C" w:rsidP="002E4E2C">
            <w:pPr>
              <w:pStyle w:val="TableText0"/>
              <w:widowControl w:val="0"/>
              <w:jc w:val="center"/>
            </w:pPr>
            <w:r w:rsidRPr="005E3251">
              <w:t>1 (2.1)</w:t>
            </w:r>
          </w:p>
        </w:tc>
        <w:tc>
          <w:tcPr>
            <w:tcW w:w="767" w:type="pct"/>
            <w:vAlign w:val="center"/>
          </w:tcPr>
          <w:p w14:paraId="6D60A459" w14:textId="33515B78" w:rsidR="002E4E2C" w:rsidRPr="005E3251" w:rsidRDefault="002E4E2C" w:rsidP="002E4E2C">
            <w:pPr>
              <w:pStyle w:val="TableText0"/>
              <w:widowControl w:val="0"/>
              <w:jc w:val="center"/>
            </w:pPr>
            <w:r w:rsidRPr="005E3251">
              <w:t>0 (0)</w:t>
            </w:r>
          </w:p>
        </w:tc>
        <w:tc>
          <w:tcPr>
            <w:tcW w:w="523" w:type="pct"/>
            <w:vAlign w:val="center"/>
          </w:tcPr>
          <w:p w14:paraId="4D9D430C" w14:textId="77777777" w:rsidR="002E4E2C" w:rsidRPr="005E3251" w:rsidRDefault="002E4E2C" w:rsidP="002E4E2C">
            <w:pPr>
              <w:pStyle w:val="TableText0"/>
              <w:widowControl w:val="0"/>
              <w:jc w:val="center"/>
            </w:pPr>
            <w:r w:rsidRPr="005E3251">
              <w:t>0 (0)</w:t>
            </w:r>
          </w:p>
        </w:tc>
      </w:tr>
      <w:tr w:rsidR="002E4E2C" w:rsidRPr="005E3251" w14:paraId="76485014" w14:textId="77777777" w:rsidTr="00675AC9">
        <w:tc>
          <w:tcPr>
            <w:tcW w:w="1127" w:type="pct"/>
            <w:vAlign w:val="center"/>
          </w:tcPr>
          <w:p w14:paraId="4051BF4E" w14:textId="77777777" w:rsidR="002E4E2C" w:rsidRPr="005E3251" w:rsidRDefault="002E4E2C" w:rsidP="002E4E2C">
            <w:pPr>
              <w:pStyle w:val="TableText0"/>
              <w:widowControl w:val="0"/>
            </w:pPr>
            <w:r w:rsidRPr="005E3251">
              <w:t xml:space="preserve">Adverse events of special interest </w:t>
            </w:r>
            <w:r w:rsidRPr="005E3251">
              <w:rPr>
                <w:vertAlign w:val="superscript"/>
              </w:rPr>
              <w:t>a</w:t>
            </w:r>
          </w:p>
        </w:tc>
        <w:tc>
          <w:tcPr>
            <w:tcW w:w="678" w:type="pct"/>
            <w:vAlign w:val="center"/>
          </w:tcPr>
          <w:p w14:paraId="1B24EB87" w14:textId="77777777" w:rsidR="002E4E2C" w:rsidRPr="005E3251" w:rsidRDefault="002E4E2C" w:rsidP="002E4E2C">
            <w:pPr>
              <w:pStyle w:val="TableText0"/>
              <w:widowControl w:val="0"/>
              <w:jc w:val="center"/>
            </w:pPr>
            <w:r w:rsidRPr="005E3251">
              <w:t>18 (45.0)</w:t>
            </w:r>
          </w:p>
        </w:tc>
        <w:tc>
          <w:tcPr>
            <w:tcW w:w="514" w:type="pct"/>
            <w:vAlign w:val="center"/>
          </w:tcPr>
          <w:p w14:paraId="44DEFF20" w14:textId="2F8F8B1F" w:rsidR="002E4E2C" w:rsidRPr="005E3251" w:rsidRDefault="002E4E2C" w:rsidP="00D665B1">
            <w:pPr>
              <w:pStyle w:val="TableText0"/>
              <w:widowControl w:val="0"/>
              <w:jc w:val="center"/>
            </w:pPr>
            <w:r w:rsidRPr="005E3251">
              <w:t>10</w:t>
            </w:r>
            <w:r w:rsidR="00D665B1" w:rsidRPr="005E3251">
              <w:t xml:space="preserve"> </w:t>
            </w:r>
            <w:r w:rsidRPr="005E3251">
              <w:t>(25.0)</w:t>
            </w:r>
          </w:p>
        </w:tc>
        <w:tc>
          <w:tcPr>
            <w:tcW w:w="665" w:type="pct"/>
            <w:vAlign w:val="center"/>
          </w:tcPr>
          <w:p w14:paraId="726C6BDD" w14:textId="2F32A48A" w:rsidR="002E4E2C" w:rsidRPr="005E3251" w:rsidRDefault="002E4E2C" w:rsidP="002E4E2C">
            <w:pPr>
              <w:pStyle w:val="TableText0"/>
              <w:widowControl w:val="0"/>
              <w:jc w:val="center"/>
            </w:pPr>
            <w:r w:rsidRPr="005E3251">
              <w:t>21 (43.8)</w:t>
            </w:r>
          </w:p>
        </w:tc>
        <w:tc>
          <w:tcPr>
            <w:tcW w:w="726" w:type="pct"/>
            <w:vAlign w:val="center"/>
          </w:tcPr>
          <w:p w14:paraId="387CC8B7" w14:textId="59280CF5" w:rsidR="002E4E2C" w:rsidRPr="005E3251" w:rsidRDefault="002E4E2C" w:rsidP="002E4E2C">
            <w:pPr>
              <w:pStyle w:val="TableText0"/>
              <w:widowControl w:val="0"/>
              <w:jc w:val="center"/>
            </w:pPr>
            <w:r w:rsidRPr="005E3251">
              <w:t>20 (41.7)</w:t>
            </w:r>
          </w:p>
        </w:tc>
        <w:tc>
          <w:tcPr>
            <w:tcW w:w="767" w:type="pct"/>
            <w:vAlign w:val="center"/>
          </w:tcPr>
          <w:p w14:paraId="73CB3D9C" w14:textId="4C7D58A2" w:rsidR="002E4E2C" w:rsidRPr="005E3251" w:rsidRDefault="002E4E2C" w:rsidP="00D665B1">
            <w:pPr>
              <w:pStyle w:val="TableText0"/>
              <w:widowControl w:val="0"/>
              <w:jc w:val="center"/>
            </w:pPr>
            <w:r w:rsidRPr="005E3251">
              <w:t>10</w:t>
            </w:r>
            <w:r w:rsidR="00D665B1" w:rsidRPr="005E3251">
              <w:t xml:space="preserve"> </w:t>
            </w:r>
            <w:r w:rsidRPr="005E3251">
              <w:t>(23.3)</w:t>
            </w:r>
          </w:p>
        </w:tc>
        <w:tc>
          <w:tcPr>
            <w:tcW w:w="523" w:type="pct"/>
            <w:vAlign w:val="center"/>
          </w:tcPr>
          <w:p w14:paraId="59D90958" w14:textId="77777777" w:rsidR="002E4E2C" w:rsidRPr="005E3251" w:rsidRDefault="002E4E2C" w:rsidP="002E4E2C">
            <w:pPr>
              <w:pStyle w:val="TableText0"/>
              <w:widowControl w:val="0"/>
              <w:jc w:val="center"/>
            </w:pPr>
            <w:r w:rsidRPr="005E3251">
              <w:t>10 (22.7)</w:t>
            </w:r>
          </w:p>
        </w:tc>
      </w:tr>
    </w:tbl>
    <w:p w14:paraId="2528D71E" w14:textId="77777777" w:rsidR="00CE7338" w:rsidRPr="005E3251" w:rsidRDefault="00CE7338" w:rsidP="00CE7338">
      <w:pPr>
        <w:pStyle w:val="TableFigureFooter"/>
      </w:pPr>
      <w:r w:rsidRPr="005E3251">
        <w:t>Source: Table 2-49, p98, Table 2-50, p98, Table 2-54, p101, Table 2-56, p103, Table 2-58, p104, Table 2-60, p106 of the submission.</w:t>
      </w:r>
    </w:p>
    <w:p w14:paraId="2AD15A30" w14:textId="77777777" w:rsidR="00CE7338" w:rsidRPr="005E3251" w:rsidRDefault="00CE7338" w:rsidP="00CE7338">
      <w:pPr>
        <w:pStyle w:val="TableFigureFooter"/>
      </w:pPr>
      <w:r w:rsidRPr="005E3251">
        <w:t>FFA = fenfluramine; n= number of participants with the event; PBO = placebo; SAE = serious adverse event; TEAE = treatment emergent adverse event.</w:t>
      </w:r>
    </w:p>
    <w:p w14:paraId="3C7DB76F" w14:textId="3BF91047" w:rsidR="00CE7338" w:rsidRPr="005E3251" w:rsidRDefault="00CE7338" w:rsidP="00CE7338">
      <w:pPr>
        <w:pStyle w:val="TableFigureFooter"/>
      </w:pPr>
      <w:proofErr w:type="spellStart"/>
      <w:r w:rsidRPr="005E3251">
        <w:rPr>
          <w:vertAlign w:val="superscript"/>
        </w:rPr>
        <w:t>a</w:t>
      </w:r>
      <w:proofErr w:type="spellEnd"/>
      <w:r w:rsidRPr="005E3251">
        <w:rPr>
          <w:vertAlign w:val="superscript"/>
        </w:rPr>
        <w:t xml:space="preserve"> </w:t>
      </w:r>
      <w:r w:rsidRPr="005E3251">
        <w:t>At study initiation, any AE, lab finding or test value that could be related to cardiovascular effects or effects on weight were denoted as adverse events of special interest (AESIs) (Study 1 CSR).</w:t>
      </w:r>
    </w:p>
    <w:p w14:paraId="0981C7E2" w14:textId="1025CB49" w:rsidR="00CE7338" w:rsidRPr="00AE292D" w:rsidRDefault="007B413A" w:rsidP="00AE292D">
      <w:pPr>
        <w:pStyle w:val="3-BodyText"/>
      </w:pPr>
      <w:r w:rsidRPr="00AE292D">
        <w:t xml:space="preserve">The most common adverse outcomes in fenfluramine trials were decreased appetite, diarrhea, pyrexia, </w:t>
      </w:r>
      <w:r w:rsidR="003E0501" w:rsidRPr="00AE292D">
        <w:t xml:space="preserve">abnormal </w:t>
      </w:r>
      <w:r w:rsidRPr="00AE292D">
        <w:t xml:space="preserve">echocardiogram, nasopharyngitis, lethargy, somnolence, seizure, vomiting, diastolic blood pressure increased, and weight decrease. </w:t>
      </w:r>
      <w:r w:rsidR="00CE7338" w:rsidRPr="00AE292D">
        <w:t>The</w:t>
      </w:r>
      <w:r w:rsidR="00CE7338" w:rsidRPr="00AE292D" w:rsidDel="00E77C36">
        <w:t xml:space="preserve"> </w:t>
      </w:r>
      <w:r w:rsidR="00CE7338" w:rsidRPr="00AE292D">
        <w:t>fenfluramine trials reported a higher proportion of participants in fenfluramine 0.7</w:t>
      </w:r>
      <w:r w:rsidR="00D92145">
        <w:t> </w:t>
      </w:r>
      <w:r w:rsidR="00CE7338" w:rsidRPr="00AE292D">
        <w:t>mg/kg/day (without stiripentol) and 0.2 mg/kg/day (without stiripentol) treatment arms than placebo with decreased appetite, decreased weight, abnormal echocardiogram, metabolism and nutrition disorders, and at least one adverse event of special interest. These adverse events (AEs) may be difficult to manage with minimal</w:t>
      </w:r>
      <w:r w:rsidR="367C615E" w:rsidRPr="00AE292D">
        <w:t xml:space="preserve"> medical</w:t>
      </w:r>
      <w:r w:rsidR="00CE7338" w:rsidRPr="00AE292D">
        <w:t xml:space="preserve"> intervention in children with epilepsy. Abnormal echocardiograms were especially important in the context of this </w:t>
      </w:r>
      <w:r w:rsidR="007A43C8" w:rsidRPr="00AE292D">
        <w:t xml:space="preserve">submission </w:t>
      </w:r>
      <w:r w:rsidR="00CE7338" w:rsidRPr="00AE292D">
        <w:t>given that fenfluramine was previously registered for weight loss in adults and withdrawn from the Australian market due to its potential for causing valvular damage in the heart and pulmonary hypertension.</w:t>
      </w:r>
      <w:r w:rsidR="00CE7338" w:rsidRPr="00D92145">
        <w:rPr>
          <w:rStyle w:val="FootnoteReference"/>
        </w:rPr>
        <w:footnoteReference w:id="13"/>
      </w:r>
      <w:r w:rsidR="00CE7338" w:rsidRPr="00AE292D">
        <w:t xml:space="preserve"> The fenfluramine long-term open-label extension Study 1503 indicated that these AEs persisted at the end of 3 years.</w:t>
      </w:r>
    </w:p>
    <w:p w14:paraId="52DDF108" w14:textId="1D37D506" w:rsidR="00CE7338" w:rsidRPr="00AE292D" w:rsidRDefault="00CE7338" w:rsidP="00AE292D">
      <w:pPr>
        <w:pStyle w:val="3-BodyText"/>
      </w:pPr>
      <w:r w:rsidRPr="00AE292D">
        <w:t xml:space="preserve">The submission provided an informal side-by-side comparison of common summary safety outcomes from the relevant active treatment arms across the trials. </w:t>
      </w:r>
      <w:r w:rsidR="000E3E8A" w:rsidRPr="00AE292D">
        <w:fldChar w:fldCharType="begin" w:fldLock="1"/>
      </w:r>
      <w:r w:rsidR="000E3E8A" w:rsidRPr="00AE292D">
        <w:instrText xml:space="preserve"> REF _Ref174490346 \h </w:instrText>
      </w:r>
      <w:r w:rsidR="005E3251" w:rsidRPr="00AE292D">
        <w:instrText xml:space="preserve"> \* MERGEFORMAT </w:instrText>
      </w:r>
      <w:r w:rsidR="000E3E8A" w:rsidRPr="00AE292D">
        <w:fldChar w:fldCharType="separate"/>
      </w:r>
      <w:r w:rsidR="00D72887" w:rsidRPr="00AE292D">
        <w:t>Table 11</w:t>
      </w:r>
      <w:r w:rsidR="000E3E8A" w:rsidRPr="00AE292D">
        <w:fldChar w:fldCharType="end"/>
      </w:r>
      <w:r w:rsidRPr="00AE292D">
        <w:t xml:space="preserve"> presents the comparative summary of safety outcomes across the included trials. </w:t>
      </w:r>
    </w:p>
    <w:p w14:paraId="2774A822" w14:textId="2CD52A30" w:rsidR="00CE7338" w:rsidRPr="005E3251" w:rsidRDefault="00CE7338" w:rsidP="00CE7338">
      <w:pPr>
        <w:pStyle w:val="TableFigureHeading"/>
      </w:pPr>
      <w:bookmarkStart w:id="57" w:name="_Ref174490346"/>
      <w:r w:rsidRPr="005E3251">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11</w:t>
      </w:r>
      <w:r w:rsidR="00D72887">
        <w:rPr>
          <w:noProof/>
        </w:rPr>
        <w:fldChar w:fldCharType="end"/>
      </w:r>
      <w:bookmarkEnd w:id="57"/>
      <w:r w:rsidRPr="005E3251">
        <w:t>: Comparative summary of safety outcomes (Safety populations)</w:t>
      </w:r>
    </w:p>
    <w:tbl>
      <w:tblPr>
        <w:tblStyle w:val="TableGrid"/>
        <w:tblW w:w="5000" w:type="pct"/>
        <w:tblLayout w:type="fixed"/>
        <w:tblLook w:val="04A0" w:firstRow="1" w:lastRow="0" w:firstColumn="1" w:lastColumn="0" w:noHBand="0" w:noVBand="1"/>
      </w:tblPr>
      <w:tblGrid>
        <w:gridCol w:w="1555"/>
        <w:gridCol w:w="992"/>
        <w:gridCol w:w="849"/>
        <w:gridCol w:w="1001"/>
        <w:gridCol w:w="781"/>
        <w:gridCol w:w="1197"/>
        <w:gridCol w:w="1277"/>
        <w:gridCol w:w="1365"/>
      </w:tblGrid>
      <w:tr w:rsidR="002A2460" w:rsidRPr="005E3251" w14:paraId="50BABCDD" w14:textId="77777777" w:rsidTr="002A2460">
        <w:trPr>
          <w:trHeight w:val="70"/>
        </w:trPr>
        <w:tc>
          <w:tcPr>
            <w:tcW w:w="862" w:type="pct"/>
            <w:shd w:val="clear" w:color="auto" w:fill="auto"/>
            <w:noWrap/>
            <w:tcMar>
              <w:left w:w="57" w:type="dxa"/>
              <w:right w:w="57" w:type="dxa"/>
            </w:tcMar>
            <w:vAlign w:val="center"/>
          </w:tcPr>
          <w:p w14:paraId="4162ED3A" w14:textId="77777777" w:rsidR="00CE7338" w:rsidRPr="005E3251" w:rsidRDefault="00CE7338">
            <w:pPr>
              <w:pStyle w:val="In-tableHeading"/>
              <w:rPr>
                <w:lang w:val="en-AU"/>
              </w:rPr>
            </w:pPr>
            <w:r w:rsidRPr="005E3251">
              <w:rPr>
                <w:lang w:val="en-AU"/>
              </w:rPr>
              <w:t>n (%)</w:t>
            </w:r>
          </w:p>
        </w:tc>
        <w:tc>
          <w:tcPr>
            <w:tcW w:w="1576" w:type="pct"/>
            <w:gridSpan w:val="3"/>
            <w:shd w:val="clear" w:color="auto" w:fill="auto"/>
            <w:noWrap/>
            <w:tcMar>
              <w:left w:w="57" w:type="dxa"/>
              <w:right w:w="57" w:type="dxa"/>
            </w:tcMar>
            <w:vAlign w:val="center"/>
          </w:tcPr>
          <w:p w14:paraId="0B33B1D9" w14:textId="77777777" w:rsidR="00CE7338" w:rsidRPr="005E3251" w:rsidRDefault="00CE7338" w:rsidP="007B6269">
            <w:pPr>
              <w:pStyle w:val="In-tableHeading"/>
              <w:jc w:val="center"/>
              <w:rPr>
                <w:lang w:val="en-AU"/>
              </w:rPr>
            </w:pPr>
            <w:r w:rsidRPr="005E3251">
              <w:rPr>
                <w:lang w:val="en-AU"/>
              </w:rPr>
              <w:t>Fenfluramine</w:t>
            </w:r>
          </w:p>
        </w:tc>
        <w:tc>
          <w:tcPr>
            <w:tcW w:w="1805" w:type="pct"/>
            <w:gridSpan w:val="3"/>
            <w:shd w:val="clear" w:color="auto" w:fill="auto"/>
            <w:noWrap/>
            <w:tcMar>
              <w:left w:w="57" w:type="dxa"/>
              <w:right w:w="57" w:type="dxa"/>
            </w:tcMar>
            <w:vAlign w:val="center"/>
          </w:tcPr>
          <w:p w14:paraId="593A9B43" w14:textId="77777777" w:rsidR="00CE7338" w:rsidRPr="005E3251" w:rsidRDefault="00CE7338" w:rsidP="007B6269">
            <w:pPr>
              <w:pStyle w:val="In-tableHeading"/>
              <w:jc w:val="center"/>
              <w:rPr>
                <w:lang w:val="en-AU"/>
              </w:rPr>
            </w:pPr>
            <w:r w:rsidRPr="005E3251">
              <w:rPr>
                <w:lang w:val="en-AU"/>
              </w:rPr>
              <w:t>Cannabidiol</w:t>
            </w:r>
          </w:p>
        </w:tc>
        <w:tc>
          <w:tcPr>
            <w:tcW w:w="757" w:type="pct"/>
            <w:noWrap/>
            <w:tcMar>
              <w:left w:w="57" w:type="dxa"/>
              <w:right w:w="57" w:type="dxa"/>
            </w:tcMar>
            <w:vAlign w:val="center"/>
          </w:tcPr>
          <w:p w14:paraId="3863337B" w14:textId="2B0A0CD1" w:rsidR="00CE7338" w:rsidRPr="005E3251" w:rsidRDefault="00CE7338" w:rsidP="007B6269">
            <w:pPr>
              <w:pStyle w:val="In-tableHeading"/>
              <w:jc w:val="center"/>
              <w:rPr>
                <w:lang w:val="en-AU"/>
              </w:rPr>
            </w:pPr>
            <w:r w:rsidRPr="005E3251">
              <w:rPr>
                <w:lang w:val="en-AU"/>
              </w:rPr>
              <w:t>Stiripentol</w:t>
            </w:r>
          </w:p>
        </w:tc>
      </w:tr>
      <w:tr w:rsidR="002A2460" w:rsidRPr="005E3251" w14:paraId="72D3D93F" w14:textId="77777777" w:rsidTr="00101C86">
        <w:trPr>
          <w:trHeight w:val="70"/>
        </w:trPr>
        <w:tc>
          <w:tcPr>
            <w:tcW w:w="862" w:type="pct"/>
            <w:vMerge w:val="restart"/>
            <w:shd w:val="clear" w:color="auto" w:fill="auto"/>
            <w:noWrap/>
            <w:tcMar>
              <w:left w:w="57" w:type="dxa"/>
              <w:right w:w="57" w:type="dxa"/>
            </w:tcMar>
            <w:vAlign w:val="center"/>
          </w:tcPr>
          <w:p w14:paraId="26EC598E" w14:textId="77777777" w:rsidR="00CE7338" w:rsidRPr="005E3251" w:rsidRDefault="00CE7338">
            <w:pPr>
              <w:pStyle w:val="In-tableHeading"/>
              <w:rPr>
                <w:lang w:val="en-AU"/>
              </w:rPr>
            </w:pPr>
            <w:r w:rsidRPr="005E3251">
              <w:rPr>
                <w:lang w:val="en-AU"/>
              </w:rPr>
              <w:t>Participants</w:t>
            </w:r>
          </w:p>
          <w:p w14:paraId="54346C4F" w14:textId="0A089C0D" w:rsidR="00CE7338" w:rsidRPr="005E3251" w:rsidRDefault="00CE7338">
            <w:pPr>
              <w:pStyle w:val="In-tableHeading"/>
              <w:rPr>
                <w:lang w:val="en-AU"/>
              </w:rPr>
            </w:pPr>
            <w:r w:rsidRPr="005E3251">
              <w:rPr>
                <w:lang w:val="en-AU"/>
              </w:rPr>
              <w:t xml:space="preserve">with </w:t>
            </w:r>
            <w:r w:rsidR="00C768D1" w:rsidRPr="005E3251">
              <w:rPr>
                <w:lang w:val="en-AU"/>
              </w:rPr>
              <w:t>≥</w:t>
            </w:r>
            <w:r w:rsidRPr="005E3251">
              <w:rPr>
                <w:lang w:val="en-AU"/>
              </w:rPr>
              <w:t>1 TE</w:t>
            </w:r>
          </w:p>
        </w:tc>
        <w:tc>
          <w:tcPr>
            <w:tcW w:w="1021" w:type="pct"/>
            <w:gridSpan w:val="2"/>
            <w:shd w:val="clear" w:color="auto" w:fill="auto"/>
            <w:noWrap/>
            <w:tcMar>
              <w:left w:w="57" w:type="dxa"/>
              <w:right w:w="57" w:type="dxa"/>
            </w:tcMar>
            <w:vAlign w:val="center"/>
          </w:tcPr>
          <w:p w14:paraId="7A2BF6BA" w14:textId="0C1FD183" w:rsidR="00CE7338" w:rsidRPr="005E3251" w:rsidRDefault="00CE7338" w:rsidP="00101C86">
            <w:pPr>
              <w:pStyle w:val="In-tableHeading"/>
              <w:jc w:val="center"/>
              <w:rPr>
                <w:lang w:val="en-AU"/>
              </w:rPr>
            </w:pPr>
            <w:r w:rsidRPr="005E3251">
              <w:rPr>
                <w:lang w:val="en-AU"/>
              </w:rPr>
              <w:t>0.7 mg/kg/day</w:t>
            </w:r>
          </w:p>
          <w:p w14:paraId="03A52A38" w14:textId="77777777" w:rsidR="00CE7338" w:rsidRPr="005E3251" w:rsidRDefault="00CE7338" w:rsidP="00101C86">
            <w:pPr>
              <w:pStyle w:val="In-tableHeading"/>
              <w:jc w:val="center"/>
              <w:rPr>
                <w:lang w:val="en-AU"/>
              </w:rPr>
            </w:pPr>
            <w:r w:rsidRPr="005E3251">
              <w:rPr>
                <w:lang w:val="en-AU"/>
              </w:rPr>
              <w:t>(-STP)</w:t>
            </w:r>
          </w:p>
        </w:tc>
        <w:tc>
          <w:tcPr>
            <w:tcW w:w="555" w:type="pct"/>
            <w:shd w:val="clear" w:color="auto" w:fill="auto"/>
            <w:noWrap/>
            <w:tcMar>
              <w:left w:w="57" w:type="dxa"/>
              <w:right w:w="57" w:type="dxa"/>
            </w:tcMar>
            <w:vAlign w:val="center"/>
          </w:tcPr>
          <w:p w14:paraId="72516881" w14:textId="77777777" w:rsidR="00CE7338" w:rsidRPr="005E3251" w:rsidRDefault="00CE7338" w:rsidP="00101C86">
            <w:pPr>
              <w:pStyle w:val="In-tableHeading"/>
              <w:jc w:val="center"/>
              <w:rPr>
                <w:lang w:val="en-AU"/>
              </w:rPr>
            </w:pPr>
            <w:r w:rsidRPr="005E3251">
              <w:rPr>
                <w:lang w:val="en-AU"/>
              </w:rPr>
              <w:t>0.4 mg/kg/ day (+STP)</w:t>
            </w:r>
          </w:p>
        </w:tc>
        <w:tc>
          <w:tcPr>
            <w:tcW w:w="1097" w:type="pct"/>
            <w:gridSpan w:val="2"/>
            <w:shd w:val="clear" w:color="auto" w:fill="auto"/>
            <w:noWrap/>
            <w:tcMar>
              <w:left w:w="57" w:type="dxa"/>
              <w:right w:w="57" w:type="dxa"/>
            </w:tcMar>
            <w:vAlign w:val="center"/>
          </w:tcPr>
          <w:p w14:paraId="3823059D" w14:textId="3BB55147" w:rsidR="00CE7338" w:rsidRPr="005E3251" w:rsidRDefault="00CE7338" w:rsidP="00101C86">
            <w:pPr>
              <w:pStyle w:val="In-tableHeading"/>
              <w:jc w:val="center"/>
              <w:rPr>
                <w:lang w:val="en-AU"/>
              </w:rPr>
            </w:pPr>
            <w:r w:rsidRPr="005E3251">
              <w:rPr>
                <w:lang w:val="en-AU"/>
              </w:rPr>
              <w:t>20 mg/kg/day (+/-STP)</w:t>
            </w:r>
          </w:p>
        </w:tc>
        <w:tc>
          <w:tcPr>
            <w:tcW w:w="708" w:type="pct"/>
            <w:shd w:val="clear" w:color="auto" w:fill="auto"/>
            <w:noWrap/>
            <w:tcMar>
              <w:left w:w="57" w:type="dxa"/>
              <w:right w:w="57" w:type="dxa"/>
            </w:tcMar>
            <w:vAlign w:val="center"/>
          </w:tcPr>
          <w:p w14:paraId="329B2F7A" w14:textId="77777777" w:rsidR="00CE7338" w:rsidRPr="005E3251" w:rsidRDefault="00CE7338" w:rsidP="00101C86">
            <w:pPr>
              <w:pStyle w:val="In-tableHeading"/>
              <w:jc w:val="center"/>
              <w:rPr>
                <w:lang w:val="en-AU"/>
              </w:rPr>
            </w:pPr>
            <w:r w:rsidRPr="005E3251">
              <w:rPr>
                <w:lang w:val="en-AU"/>
              </w:rPr>
              <w:t>10 mg/kg/ day (+/-STP)</w:t>
            </w:r>
          </w:p>
        </w:tc>
        <w:tc>
          <w:tcPr>
            <w:tcW w:w="757" w:type="pct"/>
            <w:noWrap/>
            <w:tcMar>
              <w:left w:w="57" w:type="dxa"/>
              <w:right w:w="57" w:type="dxa"/>
            </w:tcMar>
            <w:vAlign w:val="center"/>
          </w:tcPr>
          <w:p w14:paraId="06793430" w14:textId="77777777" w:rsidR="00CE7338" w:rsidRPr="005E3251" w:rsidRDefault="00CE7338" w:rsidP="00101C86">
            <w:pPr>
              <w:pStyle w:val="In-tableHeading"/>
              <w:jc w:val="center"/>
              <w:rPr>
                <w:lang w:val="en-AU"/>
              </w:rPr>
            </w:pPr>
            <w:r w:rsidRPr="005E3251">
              <w:rPr>
                <w:lang w:val="en-AU"/>
              </w:rPr>
              <w:t>50 mg/kg/day</w:t>
            </w:r>
          </w:p>
        </w:tc>
      </w:tr>
      <w:tr w:rsidR="001D1715" w:rsidRPr="005E3251" w14:paraId="788EB39B" w14:textId="77777777" w:rsidTr="00101C86">
        <w:trPr>
          <w:trHeight w:val="70"/>
        </w:trPr>
        <w:tc>
          <w:tcPr>
            <w:tcW w:w="862" w:type="pct"/>
            <w:vMerge/>
            <w:shd w:val="clear" w:color="auto" w:fill="auto"/>
            <w:noWrap/>
            <w:tcMar>
              <w:left w:w="57" w:type="dxa"/>
              <w:right w:w="57" w:type="dxa"/>
            </w:tcMar>
            <w:vAlign w:val="center"/>
          </w:tcPr>
          <w:p w14:paraId="44422E7D" w14:textId="77777777" w:rsidR="00CE7338" w:rsidRPr="005E3251" w:rsidRDefault="00CE7338">
            <w:pPr>
              <w:pStyle w:val="In-tableHeading"/>
              <w:rPr>
                <w:lang w:val="en-AU"/>
              </w:rPr>
            </w:pPr>
          </w:p>
        </w:tc>
        <w:tc>
          <w:tcPr>
            <w:tcW w:w="550" w:type="pct"/>
            <w:shd w:val="clear" w:color="auto" w:fill="auto"/>
            <w:noWrap/>
            <w:tcMar>
              <w:left w:w="57" w:type="dxa"/>
              <w:right w:w="57" w:type="dxa"/>
            </w:tcMar>
            <w:vAlign w:val="center"/>
          </w:tcPr>
          <w:p w14:paraId="39FE3AC4" w14:textId="5151C630" w:rsidR="00CE7338" w:rsidRPr="005E3251" w:rsidRDefault="00CE7338" w:rsidP="00101C86">
            <w:pPr>
              <w:pStyle w:val="In-tableHeading"/>
              <w:jc w:val="center"/>
              <w:rPr>
                <w:lang w:val="en-AU"/>
              </w:rPr>
            </w:pPr>
            <w:r w:rsidRPr="005E3251">
              <w:rPr>
                <w:lang w:val="en-AU"/>
              </w:rPr>
              <w:t>Study 1</w:t>
            </w:r>
          </w:p>
          <w:p w14:paraId="6921445F" w14:textId="77777777" w:rsidR="00CE7338" w:rsidRPr="005E3251" w:rsidRDefault="00CE7338" w:rsidP="00101C86">
            <w:pPr>
              <w:pStyle w:val="In-tableHeading"/>
              <w:jc w:val="center"/>
              <w:rPr>
                <w:lang w:val="en-AU"/>
              </w:rPr>
            </w:pPr>
            <w:r w:rsidRPr="005E3251">
              <w:rPr>
                <w:lang w:val="en-AU"/>
              </w:rPr>
              <w:t>(n=40)</w:t>
            </w:r>
          </w:p>
        </w:tc>
        <w:tc>
          <w:tcPr>
            <w:tcW w:w="471" w:type="pct"/>
            <w:shd w:val="clear" w:color="auto" w:fill="auto"/>
            <w:noWrap/>
            <w:tcMar>
              <w:left w:w="57" w:type="dxa"/>
              <w:right w:w="57" w:type="dxa"/>
            </w:tcMar>
            <w:vAlign w:val="center"/>
          </w:tcPr>
          <w:p w14:paraId="3C48E22E" w14:textId="492D100E" w:rsidR="00CE7338" w:rsidRPr="005E3251" w:rsidRDefault="00CE7338" w:rsidP="00101C86">
            <w:pPr>
              <w:pStyle w:val="In-tableHeading"/>
              <w:jc w:val="center"/>
              <w:rPr>
                <w:lang w:val="en-AU"/>
              </w:rPr>
            </w:pPr>
            <w:r w:rsidRPr="005E3251">
              <w:rPr>
                <w:lang w:val="en-AU"/>
              </w:rPr>
              <w:t>Study 3</w:t>
            </w:r>
          </w:p>
          <w:p w14:paraId="5319C73E" w14:textId="77777777" w:rsidR="00CE7338" w:rsidRPr="005E3251" w:rsidRDefault="00CE7338" w:rsidP="00101C86">
            <w:pPr>
              <w:pStyle w:val="In-tableHeading"/>
              <w:jc w:val="center"/>
              <w:rPr>
                <w:lang w:val="en-AU"/>
              </w:rPr>
            </w:pPr>
            <w:r w:rsidRPr="005E3251">
              <w:rPr>
                <w:lang w:val="en-AU"/>
              </w:rPr>
              <w:t>(n=48)</w:t>
            </w:r>
          </w:p>
        </w:tc>
        <w:tc>
          <w:tcPr>
            <w:tcW w:w="555" w:type="pct"/>
            <w:shd w:val="clear" w:color="auto" w:fill="auto"/>
            <w:noWrap/>
            <w:tcMar>
              <w:left w:w="57" w:type="dxa"/>
              <w:right w:w="57" w:type="dxa"/>
            </w:tcMar>
            <w:vAlign w:val="center"/>
          </w:tcPr>
          <w:p w14:paraId="1EFD68C5" w14:textId="35FBDD98" w:rsidR="00CE7338" w:rsidRPr="005E3251" w:rsidRDefault="00CE7338" w:rsidP="00101C86">
            <w:pPr>
              <w:pStyle w:val="In-tableHeading"/>
              <w:jc w:val="center"/>
              <w:rPr>
                <w:lang w:val="en-AU"/>
              </w:rPr>
            </w:pPr>
            <w:r w:rsidRPr="005E3251">
              <w:rPr>
                <w:lang w:val="en-AU"/>
              </w:rPr>
              <w:t>Study 2</w:t>
            </w:r>
          </w:p>
          <w:p w14:paraId="7AA91FD6" w14:textId="77777777" w:rsidR="00CE7338" w:rsidRPr="005E3251" w:rsidRDefault="00CE7338" w:rsidP="00101C86">
            <w:pPr>
              <w:pStyle w:val="In-tableHeading"/>
              <w:jc w:val="center"/>
              <w:rPr>
                <w:lang w:val="en-AU"/>
              </w:rPr>
            </w:pPr>
            <w:r w:rsidRPr="005E3251">
              <w:rPr>
                <w:lang w:val="en-AU"/>
              </w:rPr>
              <w:t>(N=43)</w:t>
            </w:r>
          </w:p>
        </w:tc>
        <w:tc>
          <w:tcPr>
            <w:tcW w:w="433" w:type="pct"/>
            <w:shd w:val="clear" w:color="auto" w:fill="auto"/>
            <w:noWrap/>
            <w:tcMar>
              <w:left w:w="57" w:type="dxa"/>
              <w:right w:w="57" w:type="dxa"/>
            </w:tcMar>
            <w:vAlign w:val="center"/>
          </w:tcPr>
          <w:p w14:paraId="45373F84" w14:textId="1A70F107" w:rsidR="00CE7338" w:rsidRPr="005E3251" w:rsidRDefault="00CE7338" w:rsidP="00101C86">
            <w:pPr>
              <w:pStyle w:val="In-tableHeading"/>
              <w:jc w:val="center"/>
              <w:rPr>
                <w:lang w:val="en-AU"/>
              </w:rPr>
            </w:pPr>
            <w:r w:rsidRPr="005E3251">
              <w:rPr>
                <w:lang w:val="en-AU"/>
              </w:rPr>
              <w:t>GWPCARE1</w:t>
            </w:r>
          </w:p>
          <w:p w14:paraId="738C7EA5" w14:textId="77777777" w:rsidR="00CE7338" w:rsidRPr="005E3251" w:rsidRDefault="00CE7338" w:rsidP="00101C86">
            <w:pPr>
              <w:pStyle w:val="In-tableHeading"/>
              <w:jc w:val="center"/>
              <w:rPr>
                <w:lang w:val="en-AU"/>
              </w:rPr>
            </w:pPr>
            <w:r w:rsidRPr="005E3251">
              <w:rPr>
                <w:lang w:val="en-AU"/>
              </w:rPr>
              <w:t>(N=61)</w:t>
            </w:r>
          </w:p>
        </w:tc>
        <w:tc>
          <w:tcPr>
            <w:tcW w:w="664" w:type="pct"/>
            <w:shd w:val="clear" w:color="auto" w:fill="auto"/>
            <w:noWrap/>
            <w:tcMar>
              <w:left w:w="57" w:type="dxa"/>
              <w:right w:w="57" w:type="dxa"/>
            </w:tcMar>
            <w:vAlign w:val="center"/>
          </w:tcPr>
          <w:p w14:paraId="6FE37C05" w14:textId="77777777" w:rsidR="00CE7338" w:rsidRPr="005E3251" w:rsidRDefault="00CE7338" w:rsidP="00101C86">
            <w:pPr>
              <w:pStyle w:val="In-tableHeading"/>
              <w:jc w:val="center"/>
              <w:rPr>
                <w:lang w:val="en-AU"/>
              </w:rPr>
            </w:pPr>
            <w:r w:rsidRPr="005E3251">
              <w:rPr>
                <w:lang w:val="en-AU"/>
              </w:rPr>
              <w:t>GWPCARE2</w:t>
            </w:r>
          </w:p>
          <w:p w14:paraId="0519C43B" w14:textId="77777777" w:rsidR="00CE7338" w:rsidRPr="005E3251" w:rsidRDefault="00CE7338" w:rsidP="00101C86">
            <w:pPr>
              <w:pStyle w:val="In-tableHeading"/>
              <w:jc w:val="center"/>
              <w:rPr>
                <w:lang w:val="en-AU"/>
              </w:rPr>
            </w:pPr>
            <w:r w:rsidRPr="005E3251">
              <w:rPr>
                <w:lang w:val="en-AU"/>
              </w:rPr>
              <w:t>(N=69)</w:t>
            </w:r>
          </w:p>
        </w:tc>
        <w:tc>
          <w:tcPr>
            <w:tcW w:w="708" w:type="pct"/>
            <w:shd w:val="clear" w:color="auto" w:fill="auto"/>
            <w:noWrap/>
            <w:tcMar>
              <w:left w:w="57" w:type="dxa"/>
              <w:right w:w="57" w:type="dxa"/>
            </w:tcMar>
            <w:vAlign w:val="center"/>
          </w:tcPr>
          <w:p w14:paraId="4889BB03" w14:textId="77777777" w:rsidR="00CE7338" w:rsidRPr="005E3251" w:rsidRDefault="00CE7338" w:rsidP="00101C86">
            <w:pPr>
              <w:pStyle w:val="In-tableHeading"/>
              <w:jc w:val="center"/>
              <w:rPr>
                <w:lang w:val="en-AU"/>
              </w:rPr>
            </w:pPr>
            <w:r w:rsidRPr="005E3251">
              <w:rPr>
                <w:lang w:val="en-AU"/>
              </w:rPr>
              <w:t>GWPCARE2</w:t>
            </w:r>
          </w:p>
          <w:p w14:paraId="66D8490A" w14:textId="77777777" w:rsidR="00CE7338" w:rsidRPr="005E3251" w:rsidRDefault="00CE7338" w:rsidP="00101C86">
            <w:pPr>
              <w:pStyle w:val="In-tableHeading"/>
              <w:jc w:val="center"/>
              <w:rPr>
                <w:lang w:val="en-AU"/>
              </w:rPr>
            </w:pPr>
            <w:r w:rsidRPr="005E3251">
              <w:rPr>
                <w:lang w:val="en-AU"/>
              </w:rPr>
              <w:t>(N=64)</w:t>
            </w:r>
          </w:p>
        </w:tc>
        <w:tc>
          <w:tcPr>
            <w:tcW w:w="757" w:type="pct"/>
            <w:noWrap/>
            <w:tcMar>
              <w:left w:w="57" w:type="dxa"/>
              <w:right w:w="57" w:type="dxa"/>
            </w:tcMar>
            <w:vAlign w:val="center"/>
          </w:tcPr>
          <w:p w14:paraId="1276F481" w14:textId="07575D4B" w:rsidR="00CE7338" w:rsidRPr="005E3251" w:rsidRDefault="00CE7338" w:rsidP="00101C86">
            <w:pPr>
              <w:pStyle w:val="In-tableHeading"/>
              <w:jc w:val="center"/>
              <w:rPr>
                <w:lang w:val="en-AU"/>
              </w:rPr>
            </w:pPr>
            <w:r w:rsidRPr="005E3251">
              <w:rPr>
                <w:lang w:val="en-AU"/>
              </w:rPr>
              <w:t xml:space="preserve">STICLO-France </w:t>
            </w:r>
            <w:r w:rsidR="007A7BC4" w:rsidRPr="005E3251">
              <w:rPr>
                <w:lang w:val="en-AU"/>
              </w:rPr>
              <w:t xml:space="preserve">&amp; </w:t>
            </w:r>
            <w:r w:rsidRPr="005E3251">
              <w:rPr>
                <w:lang w:val="en-AU"/>
              </w:rPr>
              <w:t>Italy (n=33)</w:t>
            </w:r>
          </w:p>
        </w:tc>
      </w:tr>
      <w:tr w:rsidR="001D1715" w:rsidRPr="005E3251" w14:paraId="477B6F5B" w14:textId="77777777" w:rsidTr="002A2460">
        <w:tc>
          <w:tcPr>
            <w:tcW w:w="862" w:type="pct"/>
            <w:shd w:val="clear" w:color="auto" w:fill="auto"/>
            <w:noWrap/>
            <w:tcMar>
              <w:left w:w="57" w:type="dxa"/>
              <w:right w:w="57" w:type="dxa"/>
            </w:tcMar>
            <w:vAlign w:val="center"/>
          </w:tcPr>
          <w:p w14:paraId="158D2ABC" w14:textId="77777777" w:rsidR="00CE7338" w:rsidRPr="005E3251" w:rsidRDefault="00CE7338">
            <w:pPr>
              <w:pStyle w:val="TableText0"/>
            </w:pPr>
            <w:r w:rsidRPr="005E3251">
              <w:t>AE</w:t>
            </w:r>
          </w:p>
        </w:tc>
        <w:tc>
          <w:tcPr>
            <w:tcW w:w="550" w:type="pct"/>
            <w:shd w:val="clear" w:color="auto" w:fill="auto"/>
            <w:noWrap/>
            <w:tcMar>
              <w:left w:w="57" w:type="dxa"/>
              <w:right w:w="57" w:type="dxa"/>
            </w:tcMar>
            <w:vAlign w:val="center"/>
          </w:tcPr>
          <w:p w14:paraId="073CD4D8" w14:textId="3F410C9B" w:rsidR="00CE7338" w:rsidRPr="005E3251" w:rsidRDefault="00CE7338" w:rsidP="001D1715">
            <w:pPr>
              <w:pStyle w:val="TableText0"/>
              <w:jc w:val="center"/>
            </w:pPr>
            <w:r w:rsidRPr="005E3251">
              <w:t>38</w:t>
            </w:r>
            <w:r w:rsidR="007A7BC4" w:rsidRPr="005E3251">
              <w:t xml:space="preserve"> </w:t>
            </w:r>
            <w:r w:rsidRPr="005E3251">
              <w:t>(95.0)</w:t>
            </w:r>
          </w:p>
        </w:tc>
        <w:tc>
          <w:tcPr>
            <w:tcW w:w="471" w:type="pct"/>
            <w:shd w:val="clear" w:color="auto" w:fill="auto"/>
            <w:noWrap/>
            <w:tcMar>
              <w:left w:w="57" w:type="dxa"/>
              <w:right w:w="57" w:type="dxa"/>
            </w:tcMar>
            <w:vAlign w:val="center"/>
          </w:tcPr>
          <w:p w14:paraId="43BE0769" w14:textId="2F325BCA" w:rsidR="00CE7338" w:rsidRPr="005E3251" w:rsidRDefault="002A2460" w:rsidP="001D1715">
            <w:pPr>
              <w:pStyle w:val="TableText0"/>
              <w:ind w:hanging="151"/>
              <w:jc w:val="center"/>
            </w:pPr>
            <w:r w:rsidRPr="005E3251">
              <w:t xml:space="preserve">   </w:t>
            </w:r>
            <w:r w:rsidR="00CE7338" w:rsidRPr="005E3251">
              <w:t>44 (91.7)</w:t>
            </w:r>
          </w:p>
        </w:tc>
        <w:tc>
          <w:tcPr>
            <w:tcW w:w="555" w:type="pct"/>
            <w:shd w:val="clear" w:color="auto" w:fill="auto"/>
            <w:noWrap/>
            <w:tcMar>
              <w:left w:w="57" w:type="dxa"/>
              <w:right w:w="57" w:type="dxa"/>
            </w:tcMar>
            <w:vAlign w:val="center"/>
          </w:tcPr>
          <w:p w14:paraId="64793317" w14:textId="56A19616" w:rsidR="00CE7338" w:rsidRPr="005E3251" w:rsidRDefault="00CE7338" w:rsidP="007A7BC4">
            <w:pPr>
              <w:pStyle w:val="TableText0"/>
              <w:jc w:val="center"/>
            </w:pPr>
            <w:r w:rsidRPr="005E3251">
              <w:t>42</w:t>
            </w:r>
            <w:r w:rsidR="007A7BC4" w:rsidRPr="005E3251">
              <w:t xml:space="preserve"> </w:t>
            </w:r>
            <w:r w:rsidRPr="005E3251">
              <w:t>(97.7)</w:t>
            </w:r>
          </w:p>
        </w:tc>
        <w:tc>
          <w:tcPr>
            <w:tcW w:w="433" w:type="pct"/>
            <w:shd w:val="clear" w:color="auto" w:fill="auto"/>
            <w:noWrap/>
            <w:tcMar>
              <w:left w:w="57" w:type="dxa"/>
              <w:right w:w="57" w:type="dxa"/>
            </w:tcMar>
            <w:vAlign w:val="center"/>
          </w:tcPr>
          <w:p w14:paraId="4AB8418E" w14:textId="4F595FD4" w:rsidR="00CE7338" w:rsidRPr="005E3251" w:rsidRDefault="00CE7338" w:rsidP="007A7BC4">
            <w:pPr>
              <w:pStyle w:val="TableText0"/>
              <w:jc w:val="center"/>
            </w:pPr>
            <w:r w:rsidRPr="005E3251">
              <w:t>57</w:t>
            </w:r>
            <w:r w:rsidR="007A7BC4" w:rsidRPr="005E3251">
              <w:t xml:space="preserve"> </w:t>
            </w:r>
            <w:r w:rsidRPr="005E3251">
              <w:t>(93.4)</w:t>
            </w:r>
          </w:p>
        </w:tc>
        <w:tc>
          <w:tcPr>
            <w:tcW w:w="664" w:type="pct"/>
            <w:shd w:val="clear" w:color="auto" w:fill="auto"/>
            <w:noWrap/>
            <w:tcMar>
              <w:left w:w="57" w:type="dxa"/>
              <w:right w:w="57" w:type="dxa"/>
            </w:tcMar>
            <w:vAlign w:val="center"/>
          </w:tcPr>
          <w:p w14:paraId="37847F1E" w14:textId="22F02A61" w:rsidR="00CE7338" w:rsidRPr="005E3251" w:rsidRDefault="00CE7338" w:rsidP="007A7BC4">
            <w:pPr>
              <w:pStyle w:val="TableText0"/>
              <w:jc w:val="center"/>
            </w:pPr>
            <w:r w:rsidRPr="005E3251">
              <w:t>62</w:t>
            </w:r>
            <w:r w:rsidR="007A7BC4" w:rsidRPr="005E3251">
              <w:t xml:space="preserve"> </w:t>
            </w:r>
            <w:r w:rsidRPr="005E3251">
              <w:t>(89.9)</w:t>
            </w:r>
          </w:p>
        </w:tc>
        <w:tc>
          <w:tcPr>
            <w:tcW w:w="708" w:type="pct"/>
            <w:shd w:val="clear" w:color="auto" w:fill="auto"/>
            <w:noWrap/>
            <w:tcMar>
              <w:left w:w="57" w:type="dxa"/>
              <w:right w:w="57" w:type="dxa"/>
            </w:tcMar>
            <w:vAlign w:val="center"/>
          </w:tcPr>
          <w:p w14:paraId="2C3CDFC0" w14:textId="78CB0067" w:rsidR="00CE7338" w:rsidRPr="005E3251" w:rsidRDefault="00CE7338" w:rsidP="007A7BC4">
            <w:pPr>
              <w:pStyle w:val="TableText0"/>
              <w:jc w:val="center"/>
            </w:pPr>
            <w:r w:rsidRPr="005E3251">
              <w:t>56</w:t>
            </w:r>
            <w:r w:rsidR="007A7BC4" w:rsidRPr="005E3251">
              <w:t xml:space="preserve"> </w:t>
            </w:r>
            <w:r w:rsidRPr="005E3251">
              <w:t>(87.5)</w:t>
            </w:r>
          </w:p>
        </w:tc>
        <w:tc>
          <w:tcPr>
            <w:tcW w:w="757" w:type="pct"/>
            <w:noWrap/>
            <w:tcMar>
              <w:left w:w="57" w:type="dxa"/>
              <w:right w:w="57" w:type="dxa"/>
            </w:tcMar>
            <w:vAlign w:val="center"/>
          </w:tcPr>
          <w:p w14:paraId="304AFA92" w14:textId="60CC137E" w:rsidR="00CE7338" w:rsidRPr="005E3251" w:rsidRDefault="00CE7338" w:rsidP="007A7BC4">
            <w:pPr>
              <w:pStyle w:val="TableText0"/>
              <w:jc w:val="center"/>
            </w:pPr>
            <w:r w:rsidRPr="005E3251">
              <w:t>33</w:t>
            </w:r>
            <w:r w:rsidR="007A7BC4" w:rsidRPr="005E3251">
              <w:t xml:space="preserve"> </w:t>
            </w:r>
            <w:r w:rsidRPr="005E3251">
              <w:t>(100)</w:t>
            </w:r>
          </w:p>
        </w:tc>
      </w:tr>
      <w:tr w:rsidR="001D1715" w:rsidRPr="005E3251" w14:paraId="1C0B4364" w14:textId="77777777" w:rsidTr="002A2460">
        <w:tc>
          <w:tcPr>
            <w:tcW w:w="862" w:type="pct"/>
            <w:shd w:val="clear" w:color="auto" w:fill="auto"/>
            <w:noWrap/>
            <w:tcMar>
              <w:left w:w="57" w:type="dxa"/>
              <w:right w:w="57" w:type="dxa"/>
            </w:tcMar>
            <w:vAlign w:val="center"/>
          </w:tcPr>
          <w:p w14:paraId="656BD85D" w14:textId="77777777" w:rsidR="00CE7338" w:rsidRPr="005E3251" w:rsidRDefault="00CE7338">
            <w:pPr>
              <w:pStyle w:val="TableText0"/>
            </w:pPr>
            <w:r w:rsidRPr="005E3251">
              <w:t>SAE</w:t>
            </w:r>
          </w:p>
        </w:tc>
        <w:tc>
          <w:tcPr>
            <w:tcW w:w="550" w:type="pct"/>
            <w:shd w:val="clear" w:color="auto" w:fill="auto"/>
            <w:noWrap/>
            <w:tcMar>
              <w:left w:w="57" w:type="dxa"/>
              <w:right w:w="57" w:type="dxa"/>
            </w:tcMar>
            <w:vAlign w:val="center"/>
          </w:tcPr>
          <w:p w14:paraId="57A6541B" w14:textId="34E59E61" w:rsidR="00CE7338" w:rsidRPr="005E3251" w:rsidRDefault="00CE7338" w:rsidP="001D1715">
            <w:pPr>
              <w:pStyle w:val="TableText0"/>
              <w:jc w:val="center"/>
            </w:pPr>
            <w:r w:rsidRPr="005E3251">
              <w:t>5</w:t>
            </w:r>
            <w:r w:rsidR="00521ABB" w:rsidRPr="005E3251">
              <w:t xml:space="preserve"> </w:t>
            </w:r>
            <w:r w:rsidRPr="005E3251">
              <w:t>(12.5)</w:t>
            </w:r>
          </w:p>
        </w:tc>
        <w:tc>
          <w:tcPr>
            <w:tcW w:w="471" w:type="pct"/>
            <w:shd w:val="clear" w:color="auto" w:fill="auto"/>
            <w:noWrap/>
            <w:tcMar>
              <w:left w:w="57" w:type="dxa"/>
              <w:right w:w="57" w:type="dxa"/>
            </w:tcMar>
            <w:vAlign w:val="center"/>
          </w:tcPr>
          <w:p w14:paraId="3AC363E9" w14:textId="6DC05C9F" w:rsidR="00CE7338" w:rsidRPr="005E3251" w:rsidRDefault="00CE7338" w:rsidP="001D1715">
            <w:pPr>
              <w:pStyle w:val="TableText0"/>
              <w:jc w:val="center"/>
            </w:pPr>
            <w:r w:rsidRPr="005E3251">
              <w:t>3</w:t>
            </w:r>
            <w:r w:rsidR="00521ABB" w:rsidRPr="005E3251">
              <w:t xml:space="preserve"> </w:t>
            </w:r>
            <w:r w:rsidRPr="005E3251">
              <w:t>(6.3)</w:t>
            </w:r>
          </w:p>
        </w:tc>
        <w:tc>
          <w:tcPr>
            <w:tcW w:w="555" w:type="pct"/>
            <w:shd w:val="clear" w:color="auto" w:fill="auto"/>
            <w:noWrap/>
            <w:tcMar>
              <w:left w:w="57" w:type="dxa"/>
              <w:right w:w="57" w:type="dxa"/>
            </w:tcMar>
            <w:vAlign w:val="center"/>
          </w:tcPr>
          <w:p w14:paraId="5184A791" w14:textId="71A9BADD" w:rsidR="00CE7338" w:rsidRPr="005E3251" w:rsidRDefault="00CE7338" w:rsidP="00521ABB">
            <w:pPr>
              <w:pStyle w:val="TableText0"/>
              <w:jc w:val="center"/>
            </w:pPr>
            <w:r w:rsidRPr="005E3251">
              <w:t>6</w:t>
            </w:r>
            <w:r w:rsidR="00521ABB" w:rsidRPr="005E3251">
              <w:t xml:space="preserve"> </w:t>
            </w:r>
            <w:r w:rsidRPr="005E3251">
              <w:t>(14.0)</w:t>
            </w:r>
          </w:p>
        </w:tc>
        <w:tc>
          <w:tcPr>
            <w:tcW w:w="433" w:type="pct"/>
            <w:shd w:val="clear" w:color="auto" w:fill="auto"/>
            <w:noWrap/>
            <w:tcMar>
              <w:left w:w="57" w:type="dxa"/>
              <w:right w:w="57" w:type="dxa"/>
            </w:tcMar>
            <w:vAlign w:val="center"/>
          </w:tcPr>
          <w:p w14:paraId="2106890B" w14:textId="002F0DCA" w:rsidR="00CE7338" w:rsidRPr="005E3251" w:rsidRDefault="00CE7338" w:rsidP="00521ABB">
            <w:pPr>
              <w:pStyle w:val="TableText0"/>
              <w:jc w:val="center"/>
            </w:pPr>
            <w:r w:rsidRPr="005E3251">
              <w:t>10</w:t>
            </w:r>
            <w:r w:rsidR="00521ABB" w:rsidRPr="005E3251">
              <w:t xml:space="preserve"> </w:t>
            </w:r>
            <w:r w:rsidRPr="005E3251">
              <w:t>(16.3)</w:t>
            </w:r>
          </w:p>
        </w:tc>
        <w:tc>
          <w:tcPr>
            <w:tcW w:w="664" w:type="pct"/>
            <w:shd w:val="clear" w:color="auto" w:fill="auto"/>
            <w:noWrap/>
            <w:tcMar>
              <w:left w:w="57" w:type="dxa"/>
              <w:right w:w="57" w:type="dxa"/>
            </w:tcMar>
            <w:vAlign w:val="center"/>
          </w:tcPr>
          <w:p w14:paraId="4BF2820A" w14:textId="77777777" w:rsidR="00CE7338" w:rsidRPr="005E3251" w:rsidRDefault="00CE7338">
            <w:pPr>
              <w:pStyle w:val="TableText0"/>
              <w:jc w:val="center"/>
            </w:pPr>
            <w:r w:rsidRPr="005E3251">
              <w:t>13 (18.8)</w:t>
            </w:r>
          </w:p>
        </w:tc>
        <w:tc>
          <w:tcPr>
            <w:tcW w:w="708" w:type="pct"/>
            <w:shd w:val="clear" w:color="auto" w:fill="auto"/>
            <w:noWrap/>
            <w:tcMar>
              <w:left w:w="57" w:type="dxa"/>
              <w:right w:w="57" w:type="dxa"/>
            </w:tcMar>
            <w:vAlign w:val="center"/>
          </w:tcPr>
          <w:p w14:paraId="400F469E" w14:textId="16014056" w:rsidR="00CE7338" w:rsidRPr="005E3251" w:rsidRDefault="00CE7338">
            <w:pPr>
              <w:pStyle w:val="TableText0"/>
              <w:jc w:val="center"/>
            </w:pPr>
            <w:r w:rsidRPr="005E3251">
              <w:t>17 (26.5)</w:t>
            </w:r>
          </w:p>
        </w:tc>
        <w:tc>
          <w:tcPr>
            <w:tcW w:w="757" w:type="pct"/>
            <w:noWrap/>
            <w:tcMar>
              <w:left w:w="57" w:type="dxa"/>
              <w:right w:w="57" w:type="dxa"/>
            </w:tcMar>
            <w:vAlign w:val="center"/>
          </w:tcPr>
          <w:p w14:paraId="2E5C0A7E" w14:textId="0AE58DA3" w:rsidR="00CE7338" w:rsidRPr="005E3251" w:rsidRDefault="00CE7338" w:rsidP="00521ABB">
            <w:pPr>
              <w:pStyle w:val="TableText0"/>
              <w:jc w:val="center"/>
            </w:pPr>
            <w:r w:rsidRPr="005E3251">
              <w:t>2</w:t>
            </w:r>
            <w:r w:rsidR="00521ABB" w:rsidRPr="005E3251">
              <w:t xml:space="preserve"> </w:t>
            </w:r>
            <w:r w:rsidRPr="005E3251">
              <w:t>(6.1)</w:t>
            </w:r>
          </w:p>
        </w:tc>
      </w:tr>
      <w:tr w:rsidR="001D1715" w:rsidRPr="005E3251" w14:paraId="1BBFE568" w14:textId="77777777" w:rsidTr="002A2460">
        <w:tc>
          <w:tcPr>
            <w:tcW w:w="862" w:type="pct"/>
            <w:shd w:val="clear" w:color="auto" w:fill="auto"/>
            <w:noWrap/>
            <w:tcMar>
              <w:left w:w="57" w:type="dxa"/>
              <w:right w:w="57" w:type="dxa"/>
            </w:tcMar>
            <w:vAlign w:val="center"/>
          </w:tcPr>
          <w:p w14:paraId="77250EF8" w14:textId="23775400" w:rsidR="00CE7338" w:rsidRPr="005E3251" w:rsidRDefault="00CE7338">
            <w:pPr>
              <w:pStyle w:val="TableText0"/>
            </w:pPr>
            <w:r w:rsidRPr="005E3251">
              <w:t>AE</w:t>
            </w:r>
            <w:r w:rsidR="0077427D" w:rsidRPr="005E3251">
              <w:t xml:space="preserve"> </w:t>
            </w:r>
            <w:r w:rsidRPr="005E3251">
              <w:t>&gt;DC</w:t>
            </w:r>
          </w:p>
        </w:tc>
        <w:tc>
          <w:tcPr>
            <w:tcW w:w="550" w:type="pct"/>
            <w:shd w:val="clear" w:color="auto" w:fill="auto"/>
            <w:noWrap/>
            <w:tcMar>
              <w:left w:w="57" w:type="dxa"/>
              <w:right w:w="57" w:type="dxa"/>
            </w:tcMar>
            <w:vAlign w:val="center"/>
          </w:tcPr>
          <w:p w14:paraId="459A10C6" w14:textId="03CF74A7" w:rsidR="00CE7338" w:rsidRPr="005E3251" w:rsidRDefault="00CE7338" w:rsidP="001D1715">
            <w:pPr>
              <w:pStyle w:val="TableText0"/>
              <w:jc w:val="center"/>
              <w:rPr>
                <w:highlight w:val="yellow"/>
              </w:rPr>
            </w:pPr>
            <w:r w:rsidRPr="005E3251">
              <w:t>5</w:t>
            </w:r>
            <w:r w:rsidR="00521ABB" w:rsidRPr="005E3251">
              <w:t xml:space="preserve"> </w:t>
            </w:r>
            <w:r w:rsidRPr="005E3251">
              <w:t>(12.5)</w:t>
            </w:r>
          </w:p>
        </w:tc>
        <w:tc>
          <w:tcPr>
            <w:tcW w:w="471" w:type="pct"/>
            <w:shd w:val="clear" w:color="auto" w:fill="auto"/>
            <w:noWrap/>
            <w:tcMar>
              <w:left w:w="57" w:type="dxa"/>
              <w:right w:w="57" w:type="dxa"/>
            </w:tcMar>
            <w:vAlign w:val="center"/>
          </w:tcPr>
          <w:p w14:paraId="1CCDDBFE" w14:textId="36268ECB" w:rsidR="00CE7338" w:rsidRPr="005E3251" w:rsidRDefault="00CE7338" w:rsidP="001D1715">
            <w:pPr>
              <w:pStyle w:val="TableText0"/>
              <w:jc w:val="center"/>
              <w:rPr>
                <w:highlight w:val="yellow"/>
              </w:rPr>
            </w:pPr>
            <w:r w:rsidRPr="005E3251">
              <w:t>2</w:t>
            </w:r>
            <w:r w:rsidR="00521ABB" w:rsidRPr="005E3251">
              <w:t xml:space="preserve"> </w:t>
            </w:r>
            <w:r w:rsidRPr="005E3251">
              <w:t>(4.2)</w:t>
            </w:r>
          </w:p>
        </w:tc>
        <w:tc>
          <w:tcPr>
            <w:tcW w:w="555" w:type="pct"/>
            <w:shd w:val="clear" w:color="auto" w:fill="auto"/>
            <w:noWrap/>
            <w:tcMar>
              <w:left w:w="57" w:type="dxa"/>
              <w:right w:w="57" w:type="dxa"/>
            </w:tcMar>
            <w:vAlign w:val="center"/>
          </w:tcPr>
          <w:p w14:paraId="0374BA92" w14:textId="5CF37963" w:rsidR="00CE7338" w:rsidRPr="005E3251" w:rsidRDefault="00CE7338" w:rsidP="00521ABB">
            <w:pPr>
              <w:pStyle w:val="TableText0"/>
              <w:jc w:val="center"/>
              <w:rPr>
                <w:highlight w:val="yellow"/>
              </w:rPr>
            </w:pPr>
            <w:r w:rsidRPr="005E3251">
              <w:t>2</w:t>
            </w:r>
            <w:r w:rsidR="00521ABB" w:rsidRPr="005E3251">
              <w:t xml:space="preserve"> </w:t>
            </w:r>
            <w:r w:rsidRPr="005E3251">
              <w:t>(4.7)</w:t>
            </w:r>
          </w:p>
        </w:tc>
        <w:tc>
          <w:tcPr>
            <w:tcW w:w="433" w:type="pct"/>
            <w:shd w:val="clear" w:color="auto" w:fill="auto"/>
            <w:noWrap/>
            <w:tcMar>
              <w:left w:w="57" w:type="dxa"/>
              <w:right w:w="57" w:type="dxa"/>
            </w:tcMar>
            <w:vAlign w:val="center"/>
          </w:tcPr>
          <w:p w14:paraId="44527419" w14:textId="39189523" w:rsidR="00CE7338" w:rsidRPr="005E3251" w:rsidRDefault="00CE7338" w:rsidP="00521ABB">
            <w:pPr>
              <w:pStyle w:val="TableText0"/>
              <w:jc w:val="center"/>
            </w:pPr>
            <w:r w:rsidRPr="005E3251">
              <w:t>8</w:t>
            </w:r>
            <w:r w:rsidR="00521ABB" w:rsidRPr="005E3251">
              <w:t xml:space="preserve"> </w:t>
            </w:r>
            <w:r w:rsidRPr="005E3251">
              <w:t>(13.1)</w:t>
            </w:r>
          </w:p>
        </w:tc>
        <w:tc>
          <w:tcPr>
            <w:tcW w:w="664" w:type="pct"/>
            <w:shd w:val="clear" w:color="auto" w:fill="auto"/>
            <w:noWrap/>
            <w:tcMar>
              <w:left w:w="57" w:type="dxa"/>
              <w:right w:w="57" w:type="dxa"/>
            </w:tcMar>
            <w:vAlign w:val="center"/>
          </w:tcPr>
          <w:p w14:paraId="75D26ACB" w14:textId="266A045C" w:rsidR="00CE7338" w:rsidRPr="005E3251" w:rsidRDefault="00CE7338" w:rsidP="00521ABB">
            <w:pPr>
              <w:pStyle w:val="TableText0"/>
              <w:jc w:val="center"/>
            </w:pPr>
            <w:r w:rsidRPr="005E3251">
              <w:t>3</w:t>
            </w:r>
            <w:r w:rsidR="00521ABB" w:rsidRPr="005E3251">
              <w:t xml:space="preserve"> </w:t>
            </w:r>
            <w:r w:rsidRPr="005E3251">
              <w:t>(4.6)</w:t>
            </w:r>
          </w:p>
        </w:tc>
        <w:tc>
          <w:tcPr>
            <w:tcW w:w="708" w:type="pct"/>
            <w:shd w:val="clear" w:color="auto" w:fill="auto"/>
            <w:noWrap/>
            <w:tcMar>
              <w:left w:w="57" w:type="dxa"/>
              <w:right w:w="57" w:type="dxa"/>
            </w:tcMar>
            <w:vAlign w:val="center"/>
          </w:tcPr>
          <w:p w14:paraId="5B00043B" w14:textId="01509EDC" w:rsidR="00CE7338" w:rsidRPr="005E3251" w:rsidRDefault="00CE7338" w:rsidP="00521ABB">
            <w:pPr>
              <w:pStyle w:val="TableText0"/>
              <w:jc w:val="center"/>
            </w:pPr>
            <w:r w:rsidRPr="005E3251">
              <w:t>6 (8.7)</w:t>
            </w:r>
          </w:p>
        </w:tc>
        <w:tc>
          <w:tcPr>
            <w:tcW w:w="757" w:type="pct"/>
            <w:noWrap/>
            <w:tcMar>
              <w:left w:w="57" w:type="dxa"/>
              <w:right w:w="57" w:type="dxa"/>
            </w:tcMar>
            <w:vAlign w:val="center"/>
          </w:tcPr>
          <w:p w14:paraId="2AAF2234" w14:textId="77777777" w:rsidR="00CE7338" w:rsidRPr="005E3251" w:rsidRDefault="00CE7338">
            <w:pPr>
              <w:pStyle w:val="TableText0"/>
              <w:jc w:val="center"/>
            </w:pPr>
            <w:r w:rsidRPr="005E3251">
              <w:t>NR</w:t>
            </w:r>
          </w:p>
        </w:tc>
      </w:tr>
      <w:tr w:rsidR="001D1715" w:rsidRPr="005E3251" w14:paraId="13FE4B1D" w14:textId="77777777" w:rsidTr="002A2460">
        <w:tc>
          <w:tcPr>
            <w:tcW w:w="862" w:type="pct"/>
            <w:shd w:val="clear" w:color="auto" w:fill="auto"/>
            <w:noWrap/>
            <w:tcMar>
              <w:left w:w="57" w:type="dxa"/>
              <w:right w:w="57" w:type="dxa"/>
            </w:tcMar>
            <w:vAlign w:val="center"/>
          </w:tcPr>
          <w:p w14:paraId="2BD08952" w14:textId="77777777" w:rsidR="00CE7338" w:rsidRPr="005E3251" w:rsidRDefault="00CE7338">
            <w:pPr>
              <w:pStyle w:val="TableText0"/>
            </w:pPr>
            <w:r w:rsidRPr="005E3251">
              <w:t>Deaths</w:t>
            </w:r>
          </w:p>
        </w:tc>
        <w:tc>
          <w:tcPr>
            <w:tcW w:w="550" w:type="pct"/>
            <w:shd w:val="clear" w:color="auto" w:fill="auto"/>
            <w:noWrap/>
            <w:tcMar>
              <w:left w:w="57" w:type="dxa"/>
              <w:right w:w="57" w:type="dxa"/>
            </w:tcMar>
            <w:vAlign w:val="center"/>
          </w:tcPr>
          <w:p w14:paraId="7A30CDA7" w14:textId="77777777" w:rsidR="00CE7338" w:rsidRPr="005E3251" w:rsidRDefault="00CE7338" w:rsidP="001D1715">
            <w:pPr>
              <w:pStyle w:val="TableText0"/>
              <w:jc w:val="center"/>
              <w:rPr>
                <w:highlight w:val="yellow"/>
              </w:rPr>
            </w:pPr>
            <w:r w:rsidRPr="005E3251">
              <w:t>0 (0.0)</w:t>
            </w:r>
          </w:p>
        </w:tc>
        <w:tc>
          <w:tcPr>
            <w:tcW w:w="471" w:type="pct"/>
            <w:shd w:val="clear" w:color="auto" w:fill="auto"/>
            <w:noWrap/>
            <w:tcMar>
              <w:left w:w="57" w:type="dxa"/>
              <w:right w:w="57" w:type="dxa"/>
            </w:tcMar>
            <w:vAlign w:val="center"/>
          </w:tcPr>
          <w:p w14:paraId="3D4E68B8" w14:textId="77777777" w:rsidR="00CE7338" w:rsidRPr="005E3251" w:rsidRDefault="00CE7338" w:rsidP="001D1715">
            <w:pPr>
              <w:pStyle w:val="TableText0"/>
              <w:jc w:val="center"/>
            </w:pPr>
            <w:r w:rsidRPr="005E3251">
              <w:t>0 (0.0)</w:t>
            </w:r>
          </w:p>
        </w:tc>
        <w:tc>
          <w:tcPr>
            <w:tcW w:w="555" w:type="pct"/>
            <w:shd w:val="clear" w:color="auto" w:fill="auto"/>
            <w:noWrap/>
            <w:tcMar>
              <w:left w:w="57" w:type="dxa"/>
              <w:right w:w="57" w:type="dxa"/>
            </w:tcMar>
            <w:vAlign w:val="center"/>
          </w:tcPr>
          <w:p w14:paraId="041427CD" w14:textId="77777777" w:rsidR="00CE7338" w:rsidRPr="005E3251" w:rsidRDefault="00CE7338">
            <w:pPr>
              <w:pStyle w:val="TableText0"/>
              <w:jc w:val="center"/>
              <w:rPr>
                <w:highlight w:val="yellow"/>
              </w:rPr>
            </w:pPr>
            <w:r w:rsidRPr="005E3251">
              <w:t>0 (0)</w:t>
            </w:r>
          </w:p>
        </w:tc>
        <w:tc>
          <w:tcPr>
            <w:tcW w:w="433" w:type="pct"/>
            <w:shd w:val="clear" w:color="auto" w:fill="auto"/>
            <w:noWrap/>
            <w:tcMar>
              <w:left w:w="57" w:type="dxa"/>
              <w:right w:w="57" w:type="dxa"/>
            </w:tcMar>
            <w:vAlign w:val="center"/>
          </w:tcPr>
          <w:p w14:paraId="1447857E" w14:textId="77777777" w:rsidR="00CE7338" w:rsidRPr="005E3251" w:rsidRDefault="00CE7338">
            <w:pPr>
              <w:pStyle w:val="TableText0"/>
              <w:jc w:val="center"/>
            </w:pPr>
            <w:r w:rsidRPr="005E3251">
              <w:t>0 (0)</w:t>
            </w:r>
          </w:p>
        </w:tc>
        <w:tc>
          <w:tcPr>
            <w:tcW w:w="664" w:type="pct"/>
            <w:shd w:val="clear" w:color="auto" w:fill="auto"/>
            <w:noWrap/>
            <w:tcMar>
              <w:left w:w="57" w:type="dxa"/>
              <w:right w:w="57" w:type="dxa"/>
            </w:tcMar>
            <w:vAlign w:val="center"/>
          </w:tcPr>
          <w:p w14:paraId="16D8F816" w14:textId="77777777" w:rsidR="00CE7338" w:rsidRPr="005E3251" w:rsidRDefault="00CE7338">
            <w:pPr>
              <w:pStyle w:val="TableText0"/>
              <w:jc w:val="center"/>
            </w:pPr>
            <w:r w:rsidRPr="005E3251">
              <w:t>0 (0)</w:t>
            </w:r>
          </w:p>
        </w:tc>
        <w:tc>
          <w:tcPr>
            <w:tcW w:w="708" w:type="pct"/>
            <w:shd w:val="clear" w:color="auto" w:fill="auto"/>
            <w:noWrap/>
            <w:tcMar>
              <w:left w:w="57" w:type="dxa"/>
              <w:right w:w="57" w:type="dxa"/>
            </w:tcMar>
            <w:vAlign w:val="center"/>
          </w:tcPr>
          <w:p w14:paraId="1CB21825" w14:textId="77777777" w:rsidR="00CE7338" w:rsidRPr="005E3251" w:rsidRDefault="00CE7338">
            <w:pPr>
              <w:pStyle w:val="TableText0"/>
              <w:jc w:val="center"/>
            </w:pPr>
            <w:r w:rsidRPr="005E3251">
              <w:t>0 (0)</w:t>
            </w:r>
          </w:p>
        </w:tc>
        <w:tc>
          <w:tcPr>
            <w:tcW w:w="757" w:type="pct"/>
            <w:noWrap/>
            <w:tcMar>
              <w:left w:w="57" w:type="dxa"/>
              <w:right w:w="57" w:type="dxa"/>
            </w:tcMar>
            <w:vAlign w:val="center"/>
          </w:tcPr>
          <w:p w14:paraId="77550719" w14:textId="77777777" w:rsidR="00CE7338" w:rsidRPr="005E3251" w:rsidRDefault="00CE7338">
            <w:pPr>
              <w:pStyle w:val="TableText0"/>
              <w:jc w:val="center"/>
            </w:pPr>
            <w:r w:rsidRPr="005E3251">
              <w:t>NR</w:t>
            </w:r>
          </w:p>
        </w:tc>
      </w:tr>
      <w:tr w:rsidR="001D1715" w:rsidRPr="005E3251" w14:paraId="56AAD2E4" w14:textId="77777777" w:rsidTr="002A2460">
        <w:tc>
          <w:tcPr>
            <w:tcW w:w="862" w:type="pct"/>
            <w:shd w:val="clear" w:color="auto" w:fill="auto"/>
            <w:noWrap/>
            <w:tcMar>
              <w:left w:w="57" w:type="dxa"/>
              <w:right w:w="57" w:type="dxa"/>
            </w:tcMar>
            <w:vAlign w:val="center"/>
          </w:tcPr>
          <w:p w14:paraId="1D9442EC" w14:textId="77777777" w:rsidR="00CE7338" w:rsidRPr="005E3251" w:rsidRDefault="00CE7338">
            <w:pPr>
              <w:pStyle w:val="TableText0"/>
            </w:pPr>
            <w:r w:rsidRPr="005E3251">
              <w:t>Decreased appetite</w:t>
            </w:r>
          </w:p>
        </w:tc>
        <w:tc>
          <w:tcPr>
            <w:tcW w:w="550" w:type="pct"/>
            <w:shd w:val="clear" w:color="auto" w:fill="auto"/>
            <w:noWrap/>
            <w:tcMar>
              <w:left w:w="57" w:type="dxa"/>
              <w:right w:w="57" w:type="dxa"/>
            </w:tcMar>
            <w:vAlign w:val="center"/>
          </w:tcPr>
          <w:p w14:paraId="0B2CFD0B" w14:textId="1D71BF8D" w:rsidR="00CE7338" w:rsidRPr="005E3251" w:rsidRDefault="00CE7338" w:rsidP="001D1715">
            <w:pPr>
              <w:pStyle w:val="TableText0"/>
              <w:jc w:val="center"/>
            </w:pPr>
            <w:r w:rsidRPr="005E3251">
              <w:t>15</w:t>
            </w:r>
            <w:r w:rsidR="001D1715" w:rsidRPr="005E3251">
              <w:t xml:space="preserve"> </w:t>
            </w:r>
            <w:r w:rsidRPr="005E3251">
              <w:t>(37.5)</w:t>
            </w:r>
          </w:p>
        </w:tc>
        <w:tc>
          <w:tcPr>
            <w:tcW w:w="471" w:type="pct"/>
            <w:shd w:val="clear" w:color="auto" w:fill="auto"/>
            <w:noWrap/>
            <w:tcMar>
              <w:left w:w="57" w:type="dxa"/>
              <w:right w:w="57" w:type="dxa"/>
            </w:tcMar>
            <w:vAlign w:val="center"/>
          </w:tcPr>
          <w:p w14:paraId="4E98E54C" w14:textId="64031CE6" w:rsidR="00CE7338" w:rsidRPr="005E3251" w:rsidRDefault="00CE7338" w:rsidP="002752F0">
            <w:pPr>
              <w:pStyle w:val="TableText0"/>
              <w:jc w:val="center"/>
            </w:pPr>
            <w:r w:rsidRPr="005E3251">
              <w:t>18</w:t>
            </w:r>
            <w:r w:rsidR="002752F0" w:rsidRPr="005E3251">
              <w:t xml:space="preserve"> </w:t>
            </w:r>
            <w:r w:rsidRPr="005E3251">
              <w:t>(37.5)</w:t>
            </w:r>
          </w:p>
        </w:tc>
        <w:tc>
          <w:tcPr>
            <w:tcW w:w="555" w:type="pct"/>
            <w:shd w:val="clear" w:color="auto" w:fill="auto"/>
            <w:noWrap/>
            <w:tcMar>
              <w:left w:w="57" w:type="dxa"/>
              <w:right w:w="57" w:type="dxa"/>
            </w:tcMar>
            <w:vAlign w:val="center"/>
          </w:tcPr>
          <w:p w14:paraId="7C0EBADB" w14:textId="36968CC4" w:rsidR="00CE7338" w:rsidRPr="005E3251" w:rsidRDefault="00CE7338" w:rsidP="002752F0">
            <w:pPr>
              <w:pStyle w:val="TableText0"/>
              <w:jc w:val="center"/>
            </w:pPr>
            <w:r w:rsidRPr="005E3251">
              <w:t>19</w:t>
            </w:r>
            <w:r w:rsidR="002752F0" w:rsidRPr="005E3251">
              <w:t xml:space="preserve"> </w:t>
            </w:r>
            <w:r w:rsidRPr="005E3251">
              <w:t>(44.2)</w:t>
            </w:r>
          </w:p>
        </w:tc>
        <w:tc>
          <w:tcPr>
            <w:tcW w:w="433" w:type="pct"/>
            <w:shd w:val="clear" w:color="auto" w:fill="auto"/>
            <w:noWrap/>
            <w:tcMar>
              <w:left w:w="57" w:type="dxa"/>
              <w:right w:w="57" w:type="dxa"/>
            </w:tcMar>
            <w:vAlign w:val="center"/>
          </w:tcPr>
          <w:p w14:paraId="51728725" w14:textId="5FA7295A" w:rsidR="00CE7338" w:rsidRPr="005E3251" w:rsidRDefault="00CE7338" w:rsidP="002752F0">
            <w:pPr>
              <w:pStyle w:val="TableText0"/>
              <w:jc w:val="center"/>
            </w:pPr>
            <w:r w:rsidRPr="005E3251">
              <w:t>17</w:t>
            </w:r>
            <w:r w:rsidR="002752F0" w:rsidRPr="005E3251">
              <w:t xml:space="preserve"> </w:t>
            </w:r>
            <w:r w:rsidRPr="005E3251">
              <w:t>(28.0)</w:t>
            </w:r>
          </w:p>
        </w:tc>
        <w:tc>
          <w:tcPr>
            <w:tcW w:w="664" w:type="pct"/>
            <w:shd w:val="clear" w:color="auto" w:fill="auto"/>
            <w:noWrap/>
            <w:tcMar>
              <w:left w:w="57" w:type="dxa"/>
              <w:right w:w="57" w:type="dxa"/>
            </w:tcMar>
            <w:vAlign w:val="center"/>
          </w:tcPr>
          <w:p w14:paraId="66C85B67" w14:textId="0D7E8DD2" w:rsidR="00CE7338" w:rsidRPr="005E3251" w:rsidRDefault="00CE7338" w:rsidP="002752F0">
            <w:pPr>
              <w:pStyle w:val="TableText0"/>
              <w:jc w:val="center"/>
            </w:pPr>
            <w:r w:rsidRPr="005E3251">
              <w:t>20</w:t>
            </w:r>
            <w:r w:rsidR="002752F0" w:rsidRPr="005E3251">
              <w:t xml:space="preserve"> </w:t>
            </w:r>
            <w:r w:rsidRPr="005E3251">
              <w:t>(29.0)</w:t>
            </w:r>
          </w:p>
        </w:tc>
        <w:tc>
          <w:tcPr>
            <w:tcW w:w="708" w:type="pct"/>
            <w:shd w:val="clear" w:color="auto" w:fill="auto"/>
            <w:noWrap/>
            <w:tcMar>
              <w:left w:w="57" w:type="dxa"/>
              <w:right w:w="57" w:type="dxa"/>
            </w:tcMar>
            <w:vAlign w:val="center"/>
          </w:tcPr>
          <w:p w14:paraId="2CAE76C2" w14:textId="559CE7B1" w:rsidR="00CE7338" w:rsidRPr="005E3251" w:rsidRDefault="00CE7338" w:rsidP="002752F0">
            <w:pPr>
              <w:pStyle w:val="TableText0"/>
              <w:jc w:val="center"/>
            </w:pPr>
            <w:r w:rsidRPr="005E3251">
              <w:t>11</w:t>
            </w:r>
            <w:r w:rsidR="002752F0" w:rsidRPr="005E3251">
              <w:t xml:space="preserve"> </w:t>
            </w:r>
            <w:r w:rsidRPr="005E3251">
              <w:t>(17.0)</w:t>
            </w:r>
          </w:p>
        </w:tc>
        <w:tc>
          <w:tcPr>
            <w:tcW w:w="757" w:type="pct"/>
            <w:noWrap/>
            <w:tcMar>
              <w:left w:w="57" w:type="dxa"/>
              <w:right w:w="57" w:type="dxa"/>
            </w:tcMar>
            <w:vAlign w:val="center"/>
          </w:tcPr>
          <w:p w14:paraId="1E4EF8C8" w14:textId="271CB95D" w:rsidR="00CE7338" w:rsidRPr="005E3251" w:rsidRDefault="00CE7338" w:rsidP="002752F0">
            <w:pPr>
              <w:pStyle w:val="TableText0"/>
              <w:jc w:val="center"/>
            </w:pPr>
            <w:r w:rsidRPr="005E3251">
              <w:t>15</w:t>
            </w:r>
            <w:r w:rsidR="002752F0" w:rsidRPr="005E3251">
              <w:t xml:space="preserve"> </w:t>
            </w:r>
            <w:r w:rsidRPr="005E3251">
              <w:t>(45.5)</w:t>
            </w:r>
          </w:p>
        </w:tc>
      </w:tr>
      <w:tr w:rsidR="001D1715" w:rsidRPr="005E3251" w14:paraId="5000DE29" w14:textId="77777777" w:rsidTr="002A2460">
        <w:tc>
          <w:tcPr>
            <w:tcW w:w="862" w:type="pct"/>
            <w:shd w:val="clear" w:color="auto" w:fill="auto"/>
            <w:noWrap/>
            <w:tcMar>
              <w:left w:w="57" w:type="dxa"/>
              <w:right w:w="57" w:type="dxa"/>
            </w:tcMar>
            <w:vAlign w:val="center"/>
          </w:tcPr>
          <w:p w14:paraId="7269648B" w14:textId="77777777" w:rsidR="00CE7338" w:rsidRPr="005E3251" w:rsidRDefault="00CE7338">
            <w:pPr>
              <w:pStyle w:val="TableText0"/>
            </w:pPr>
            <w:r w:rsidRPr="005E3251">
              <w:t>Echocardiogram abnormal</w:t>
            </w:r>
          </w:p>
        </w:tc>
        <w:tc>
          <w:tcPr>
            <w:tcW w:w="550" w:type="pct"/>
            <w:shd w:val="clear" w:color="auto" w:fill="auto"/>
            <w:noWrap/>
            <w:tcMar>
              <w:left w:w="57" w:type="dxa"/>
              <w:right w:w="57" w:type="dxa"/>
            </w:tcMar>
            <w:vAlign w:val="center"/>
          </w:tcPr>
          <w:p w14:paraId="3A7D585C" w14:textId="546A7828" w:rsidR="00CE7338" w:rsidRPr="005E3251" w:rsidRDefault="00CE7338" w:rsidP="002A2460">
            <w:pPr>
              <w:pStyle w:val="TableText0"/>
              <w:jc w:val="center"/>
            </w:pPr>
            <w:r w:rsidRPr="005E3251">
              <w:t>9</w:t>
            </w:r>
            <w:r w:rsidR="002A2460" w:rsidRPr="005E3251">
              <w:t xml:space="preserve"> </w:t>
            </w:r>
            <w:r w:rsidRPr="005E3251">
              <w:t>(22.5)</w:t>
            </w:r>
          </w:p>
        </w:tc>
        <w:tc>
          <w:tcPr>
            <w:tcW w:w="471" w:type="pct"/>
            <w:shd w:val="clear" w:color="auto" w:fill="auto"/>
            <w:noWrap/>
            <w:tcMar>
              <w:left w:w="57" w:type="dxa"/>
              <w:right w:w="57" w:type="dxa"/>
            </w:tcMar>
            <w:vAlign w:val="center"/>
          </w:tcPr>
          <w:p w14:paraId="05D6D0D6" w14:textId="593EE2BB" w:rsidR="00CE7338" w:rsidRPr="005E3251" w:rsidRDefault="00CE7338" w:rsidP="002A2460">
            <w:pPr>
              <w:pStyle w:val="TableText0"/>
              <w:jc w:val="center"/>
            </w:pPr>
            <w:r w:rsidRPr="005E3251">
              <w:t>8</w:t>
            </w:r>
            <w:r w:rsidR="002A2460" w:rsidRPr="005E3251">
              <w:t xml:space="preserve"> </w:t>
            </w:r>
            <w:r w:rsidRPr="005E3251">
              <w:t>(16.7)</w:t>
            </w:r>
          </w:p>
        </w:tc>
        <w:tc>
          <w:tcPr>
            <w:tcW w:w="555" w:type="pct"/>
            <w:shd w:val="clear" w:color="auto" w:fill="auto"/>
            <w:noWrap/>
            <w:tcMar>
              <w:left w:w="57" w:type="dxa"/>
              <w:right w:w="57" w:type="dxa"/>
            </w:tcMar>
            <w:vAlign w:val="center"/>
          </w:tcPr>
          <w:p w14:paraId="1D164E7A" w14:textId="77777777" w:rsidR="00CE7338" w:rsidRPr="005E3251" w:rsidRDefault="00CE7338">
            <w:pPr>
              <w:pStyle w:val="TableText0"/>
              <w:jc w:val="center"/>
            </w:pPr>
            <w:r w:rsidRPr="005E3251">
              <w:t>4 (9.3)</w:t>
            </w:r>
          </w:p>
        </w:tc>
        <w:tc>
          <w:tcPr>
            <w:tcW w:w="433" w:type="pct"/>
            <w:shd w:val="clear" w:color="auto" w:fill="auto"/>
            <w:noWrap/>
            <w:tcMar>
              <w:left w:w="57" w:type="dxa"/>
              <w:right w:w="57" w:type="dxa"/>
            </w:tcMar>
            <w:vAlign w:val="center"/>
          </w:tcPr>
          <w:p w14:paraId="7BCD62A7" w14:textId="77777777" w:rsidR="00CE7338" w:rsidRPr="005E3251" w:rsidRDefault="00CE7338">
            <w:pPr>
              <w:pStyle w:val="TableText0"/>
              <w:jc w:val="center"/>
            </w:pPr>
            <w:r w:rsidRPr="005E3251">
              <w:t>NR</w:t>
            </w:r>
          </w:p>
        </w:tc>
        <w:tc>
          <w:tcPr>
            <w:tcW w:w="664" w:type="pct"/>
            <w:shd w:val="clear" w:color="auto" w:fill="auto"/>
            <w:noWrap/>
            <w:tcMar>
              <w:left w:w="57" w:type="dxa"/>
              <w:right w:w="57" w:type="dxa"/>
            </w:tcMar>
            <w:vAlign w:val="center"/>
          </w:tcPr>
          <w:p w14:paraId="114E93B0" w14:textId="77777777" w:rsidR="00CE7338" w:rsidRPr="005E3251" w:rsidRDefault="00CE7338">
            <w:pPr>
              <w:pStyle w:val="TableText0"/>
              <w:jc w:val="center"/>
            </w:pPr>
            <w:r w:rsidRPr="005E3251">
              <w:t>NR</w:t>
            </w:r>
          </w:p>
        </w:tc>
        <w:tc>
          <w:tcPr>
            <w:tcW w:w="708" w:type="pct"/>
            <w:shd w:val="clear" w:color="auto" w:fill="auto"/>
            <w:noWrap/>
            <w:tcMar>
              <w:left w:w="57" w:type="dxa"/>
              <w:right w:w="57" w:type="dxa"/>
            </w:tcMar>
            <w:vAlign w:val="center"/>
          </w:tcPr>
          <w:p w14:paraId="0E847386" w14:textId="77777777" w:rsidR="00CE7338" w:rsidRPr="005E3251" w:rsidRDefault="00CE7338">
            <w:pPr>
              <w:pStyle w:val="TableText0"/>
              <w:jc w:val="center"/>
            </w:pPr>
            <w:r w:rsidRPr="005E3251">
              <w:t>NR</w:t>
            </w:r>
          </w:p>
        </w:tc>
        <w:tc>
          <w:tcPr>
            <w:tcW w:w="757" w:type="pct"/>
            <w:noWrap/>
            <w:tcMar>
              <w:left w:w="57" w:type="dxa"/>
              <w:right w:w="57" w:type="dxa"/>
            </w:tcMar>
            <w:vAlign w:val="center"/>
          </w:tcPr>
          <w:p w14:paraId="0A509215" w14:textId="77777777" w:rsidR="00CE7338" w:rsidRPr="005E3251" w:rsidRDefault="00CE7338">
            <w:pPr>
              <w:pStyle w:val="TableText0"/>
              <w:jc w:val="center"/>
            </w:pPr>
            <w:r w:rsidRPr="005E3251">
              <w:t>NR</w:t>
            </w:r>
          </w:p>
        </w:tc>
      </w:tr>
      <w:tr w:rsidR="001D1715" w:rsidRPr="005E3251" w14:paraId="5289E076" w14:textId="77777777" w:rsidTr="002A2460">
        <w:tc>
          <w:tcPr>
            <w:tcW w:w="862" w:type="pct"/>
            <w:shd w:val="clear" w:color="auto" w:fill="auto"/>
            <w:noWrap/>
            <w:tcMar>
              <w:left w:w="57" w:type="dxa"/>
              <w:right w:w="57" w:type="dxa"/>
            </w:tcMar>
            <w:vAlign w:val="center"/>
          </w:tcPr>
          <w:p w14:paraId="4C579D04" w14:textId="77777777" w:rsidR="00CE7338" w:rsidRPr="005E3251" w:rsidRDefault="00CE7338">
            <w:pPr>
              <w:pStyle w:val="TableText0"/>
            </w:pPr>
            <w:r w:rsidRPr="005E3251">
              <w:t>Weight decrease</w:t>
            </w:r>
          </w:p>
        </w:tc>
        <w:tc>
          <w:tcPr>
            <w:tcW w:w="550" w:type="pct"/>
            <w:shd w:val="clear" w:color="auto" w:fill="auto"/>
            <w:noWrap/>
            <w:tcMar>
              <w:left w:w="57" w:type="dxa"/>
              <w:right w:w="57" w:type="dxa"/>
            </w:tcMar>
            <w:vAlign w:val="center"/>
          </w:tcPr>
          <w:p w14:paraId="313315BF" w14:textId="1948475D" w:rsidR="00CE7338" w:rsidRPr="005E3251" w:rsidRDefault="00CE7338" w:rsidP="001D1715">
            <w:pPr>
              <w:pStyle w:val="TableText0"/>
              <w:jc w:val="center"/>
            </w:pPr>
            <w:r w:rsidRPr="005E3251">
              <w:t>2</w:t>
            </w:r>
            <w:r w:rsidR="00521ABB" w:rsidRPr="005E3251">
              <w:t xml:space="preserve"> </w:t>
            </w:r>
            <w:r w:rsidRPr="005E3251">
              <w:t>(5.0)</w:t>
            </w:r>
          </w:p>
        </w:tc>
        <w:tc>
          <w:tcPr>
            <w:tcW w:w="471" w:type="pct"/>
            <w:shd w:val="clear" w:color="auto" w:fill="auto"/>
            <w:noWrap/>
            <w:tcMar>
              <w:left w:w="57" w:type="dxa"/>
              <w:right w:w="57" w:type="dxa"/>
            </w:tcMar>
            <w:vAlign w:val="center"/>
          </w:tcPr>
          <w:p w14:paraId="0FD60E64" w14:textId="77777777" w:rsidR="00CE7338" w:rsidRPr="005E3251" w:rsidRDefault="00CE7338" w:rsidP="001D1715">
            <w:pPr>
              <w:pStyle w:val="TableText0"/>
              <w:jc w:val="center"/>
            </w:pPr>
            <w:r w:rsidRPr="005E3251">
              <w:t>0</w:t>
            </w:r>
          </w:p>
        </w:tc>
        <w:tc>
          <w:tcPr>
            <w:tcW w:w="555" w:type="pct"/>
            <w:shd w:val="clear" w:color="auto" w:fill="auto"/>
            <w:noWrap/>
            <w:tcMar>
              <w:left w:w="57" w:type="dxa"/>
              <w:right w:w="57" w:type="dxa"/>
            </w:tcMar>
            <w:vAlign w:val="center"/>
          </w:tcPr>
          <w:p w14:paraId="21F2C92E" w14:textId="77777777" w:rsidR="00CE7338" w:rsidRPr="005E3251" w:rsidRDefault="00CE7338">
            <w:pPr>
              <w:pStyle w:val="TableText0"/>
              <w:jc w:val="center"/>
            </w:pPr>
            <w:r w:rsidRPr="005E3251">
              <w:t>4 (9.3)</w:t>
            </w:r>
          </w:p>
        </w:tc>
        <w:tc>
          <w:tcPr>
            <w:tcW w:w="433" w:type="pct"/>
            <w:shd w:val="clear" w:color="auto" w:fill="auto"/>
            <w:noWrap/>
            <w:tcMar>
              <w:left w:w="57" w:type="dxa"/>
              <w:right w:w="57" w:type="dxa"/>
            </w:tcMar>
            <w:vAlign w:val="center"/>
          </w:tcPr>
          <w:p w14:paraId="7A1C9BAF" w14:textId="77777777" w:rsidR="00CE7338" w:rsidRPr="005E3251" w:rsidRDefault="00CE7338">
            <w:pPr>
              <w:pStyle w:val="TableText0"/>
              <w:jc w:val="center"/>
            </w:pPr>
            <w:r w:rsidRPr="005E3251">
              <w:t>NR</w:t>
            </w:r>
          </w:p>
        </w:tc>
        <w:tc>
          <w:tcPr>
            <w:tcW w:w="664" w:type="pct"/>
            <w:shd w:val="clear" w:color="auto" w:fill="auto"/>
            <w:noWrap/>
            <w:tcMar>
              <w:left w:w="57" w:type="dxa"/>
              <w:right w:w="57" w:type="dxa"/>
            </w:tcMar>
            <w:vAlign w:val="center"/>
          </w:tcPr>
          <w:p w14:paraId="368D8EB2" w14:textId="77777777" w:rsidR="00CE7338" w:rsidRPr="005E3251" w:rsidRDefault="00CE7338">
            <w:pPr>
              <w:pStyle w:val="TableText0"/>
              <w:jc w:val="center"/>
            </w:pPr>
            <w:r w:rsidRPr="005E3251">
              <w:t>NR</w:t>
            </w:r>
          </w:p>
        </w:tc>
        <w:tc>
          <w:tcPr>
            <w:tcW w:w="708" w:type="pct"/>
            <w:shd w:val="clear" w:color="auto" w:fill="auto"/>
            <w:noWrap/>
            <w:tcMar>
              <w:left w:w="57" w:type="dxa"/>
              <w:right w:w="57" w:type="dxa"/>
            </w:tcMar>
            <w:vAlign w:val="center"/>
          </w:tcPr>
          <w:p w14:paraId="6FA821E5" w14:textId="77777777" w:rsidR="00CE7338" w:rsidRPr="005E3251" w:rsidRDefault="00CE7338">
            <w:pPr>
              <w:pStyle w:val="TableText0"/>
              <w:jc w:val="center"/>
            </w:pPr>
            <w:r w:rsidRPr="005E3251">
              <w:t>NR</w:t>
            </w:r>
          </w:p>
        </w:tc>
        <w:tc>
          <w:tcPr>
            <w:tcW w:w="757" w:type="pct"/>
            <w:noWrap/>
            <w:tcMar>
              <w:left w:w="57" w:type="dxa"/>
              <w:right w:w="57" w:type="dxa"/>
            </w:tcMar>
            <w:vAlign w:val="center"/>
          </w:tcPr>
          <w:p w14:paraId="6AEAF36F" w14:textId="6EA47E96" w:rsidR="00CE7338" w:rsidRPr="005E3251" w:rsidRDefault="00CE7338" w:rsidP="00521ABB">
            <w:pPr>
              <w:pStyle w:val="TableText0"/>
              <w:jc w:val="center"/>
            </w:pPr>
            <w:r w:rsidRPr="005E3251">
              <w:t>9</w:t>
            </w:r>
            <w:r w:rsidR="00521ABB" w:rsidRPr="005E3251">
              <w:t xml:space="preserve"> </w:t>
            </w:r>
            <w:r w:rsidRPr="005E3251">
              <w:t>(27.3)</w:t>
            </w:r>
          </w:p>
        </w:tc>
      </w:tr>
      <w:tr w:rsidR="001D1715" w:rsidRPr="005E3251" w14:paraId="0215AE71" w14:textId="77777777" w:rsidTr="002A2460">
        <w:tc>
          <w:tcPr>
            <w:tcW w:w="862" w:type="pct"/>
            <w:shd w:val="clear" w:color="auto" w:fill="auto"/>
            <w:noWrap/>
            <w:tcMar>
              <w:left w:w="57" w:type="dxa"/>
              <w:right w:w="57" w:type="dxa"/>
            </w:tcMar>
            <w:vAlign w:val="center"/>
          </w:tcPr>
          <w:p w14:paraId="0E74E184" w14:textId="77777777" w:rsidR="00CE7338" w:rsidRPr="005E3251" w:rsidRDefault="00CE7338">
            <w:pPr>
              <w:pStyle w:val="TableText0"/>
            </w:pPr>
            <w:r w:rsidRPr="005E3251">
              <w:t>Metabolism and nutrition disorders</w:t>
            </w:r>
          </w:p>
        </w:tc>
        <w:tc>
          <w:tcPr>
            <w:tcW w:w="550" w:type="pct"/>
            <w:shd w:val="clear" w:color="auto" w:fill="auto"/>
            <w:noWrap/>
            <w:tcMar>
              <w:left w:w="57" w:type="dxa"/>
              <w:right w:w="57" w:type="dxa"/>
            </w:tcMar>
            <w:vAlign w:val="center"/>
          </w:tcPr>
          <w:p w14:paraId="34FC45D8" w14:textId="77777777" w:rsidR="00CE7338" w:rsidRPr="005E3251" w:rsidRDefault="00CE7338" w:rsidP="001D1715">
            <w:pPr>
              <w:pStyle w:val="TableText0"/>
              <w:jc w:val="center"/>
            </w:pPr>
            <w:r w:rsidRPr="005E3251">
              <w:t>17 (42.5)</w:t>
            </w:r>
          </w:p>
        </w:tc>
        <w:tc>
          <w:tcPr>
            <w:tcW w:w="471" w:type="pct"/>
            <w:shd w:val="clear" w:color="auto" w:fill="auto"/>
            <w:noWrap/>
            <w:tcMar>
              <w:left w:w="57" w:type="dxa"/>
              <w:right w:w="57" w:type="dxa"/>
            </w:tcMar>
            <w:vAlign w:val="center"/>
          </w:tcPr>
          <w:p w14:paraId="4D102E7C" w14:textId="77777777" w:rsidR="00CE7338" w:rsidRPr="005E3251" w:rsidRDefault="00CE7338" w:rsidP="001D1715">
            <w:pPr>
              <w:pStyle w:val="TableText0"/>
              <w:jc w:val="center"/>
            </w:pPr>
            <w:r w:rsidRPr="005E3251">
              <w:t>20 (41.7)</w:t>
            </w:r>
          </w:p>
        </w:tc>
        <w:tc>
          <w:tcPr>
            <w:tcW w:w="555" w:type="pct"/>
            <w:shd w:val="clear" w:color="auto" w:fill="auto"/>
            <w:noWrap/>
            <w:tcMar>
              <w:left w:w="57" w:type="dxa"/>
              <w:right w:w="57" w:type="dxa"/>
            </w:tcMar>
            <w:vAlign w:val="center"/>
          </w:tcPr>
          <w:p w14:paraId="64365A0B" w14:textId="244CD3E3" w:rsidR="00CE7338" w:rsidRPr="005E3251" w:rsidRDefault="00CE7338" w:rsidP="002752F0">
            <w:pPr>
              <w:pStyle w:val="TableText0"/>
              <w:jc w:val="center"/>
            </w:pPr>
            <w:r w:rsidRPr="005E3251">
              <w:t>21</w:t>
            </w:r>
            <w:r w:rsidR="002752F0" w:rsidRPr="005E3251">
              <w:t xml:space="preserve"> </w:t>
            </w:r>
            <w:r w:rsidRPr="005E3251">
              <w:t>(48.8)</w:t>
            </w:r>
          </w:p>
        </w:tc>
        <w:tc>
          <w:tcPr>
            <w:tcW w:w="433" w:type="pct"/>
            <w:shd w:val="clear" w:color="auto" w:fill="auto"/>
            <w:noWrap/>
            <w:tcMar>
              <w:left w:w="57" w:type="dxa"/>
              <w:right w:w="57" w:type="dxa"/>
            </w:tcMar>
            <w:vAlign w:val="center"/>
          </w:tcPr>
          <w:p w14:paraId="1429398F" w14:textId="77777777" w:rsidR="00CE7338" w:rsidRPr="005E3251" w:rsidRDefault="00CE7338">
            <w:pPr>
              <w:pStyle w:val="TableText0"/>
              <w:jc w:val="center"/>
            </w:pPr>
            <w:r w:rsidRPr="005E3251">
              <w:t>NR</w:t>
            </w:r>
          </w:p>
        </w:tc>
        <w:tc>
          <w:tcPr>
            <w:tcW w:w="664" w:type="pct"/>
            <w:shd w:val="clear" w:color="auto" w:fill="auto"/>
            <w:noWrap/>
            <w:tcMar>
              <w:left w:w="57" w:type="dxa"/>
              <w:right w:w="57" w:type="dxa"/>
            </w:tcMar>
            <w:vAlign w:val="center"/>
          </w:tcPr>
          <w:p w14:paraId="0C91CE90" w14:textId="77777777" w:rsidR="00CE7338" w:rsidRPr="005E3251" w:rsidRDefault="00CE7338">
            <w:pPr>
              <w:pStyle w:val="TableText0"/>
              <w:jc w:val="center"/>
            </w:pPr>
            <w:r w:rsidRPr="005E3251">
              <w:t>NR</w:t>
            </w:r>
          </w:p>
        </w:tc>
        <w:tc>
          <w:tcPr>
            <w:tcW w:w="708" w:type="pct"/>
            <w:shd w:val="clear" w:color="auto" w:fill="auto"/>
            <w:noWrap/>
            <w:tcMar>
              <w:left w:w="57" w:type="dxa"/>
              <w:right w:w="57" w:type="dxa"/>
            </w:tcMar>
            <w:vAlign w:val="center"/>
          </w:tcPr>
          <w:p w14:paraId="50AE12D9" w14:textId="77777777" w:rsidR="00CE7338" w:rsidRPr="005E3251" w:rsidRDefault="00CE7338">
            <w:pPr>
              <w:pStyle w:val="TableText0"/>
              <w:jc w:val="center"/>
            </w:pPr>
            <w:r w:rsidRPr="005E3251">
              <w:t>NR</w:t>
            </w:r>
          </w:p>
        </w:tc>
        <w:tc>
          <w:tcPr>
            <w:tcW w:w="757" w:type="pct"/>
            <w:noWrap/>
            <w:tcMar>
              <w:left w:w="57" w:type="dxa"/>
              <w:right w:w="57" w:type="dxa"/>
            </w:tcMar>
            <w:vAlign w:val="center"/>
          </w:tcPr>
          <w:p w14:paraId="4115F2F0" w14:textId="77777777" w:rsidR="00CE7338" w:rsidRPr="005E3251" w:rsidRDefault="00CE7338">
            <w:pPr>
              <w:pStyle w:val="TableText0"/>
              <w:jc w:val="center"/>
            </w:pPr>
            <w:r w:rsidRPr="005E3251">
              <w:t>NR</w:t>
            </w:r>
          </w:p>
        </w:tc>
      </w:tr>
      <w:tr w:rsidR="001D1715" w:rsidRPr="005E3251" w14:paraId="0D2BDC35" w14:textId="77777777" w:rsidTr="002A2460">
        <w:tc>
          <w:tcPr>
            <w:tcW w:w="862" w:type="pct"/>
            <w:shd w:val="clear" w:color="auto" w:fill="auto"/>
            <w:noWrap/>
            <w:tcMar>
              <w:left w:w="57" w:type="dxa"/>
              <w:right w:w="57" w:type="dxa"/>
            </w:tcMar>
            <w:vAlign w:val="center"/>
          </w:tcPr>
          <w:p w14:paraId="14D1E2F2" w14:textId="77777777" w:rsidR="00CE7338" w:rsidRPr="005E3251" w:rsidRDefault="00CE7338">
            <w:pPr>
              <w:pStyle w:val="TableText0"/>
            </w:pPr>
            <w:r w:rsidRPr="005E3251">
              <w:t>Somnolence</w:t>
            </w:r>
          </w:p>
        </w:tc>
        <w:tc>
          <w:tcPr>
            <w:tcW w:w="550" w:type="pct"/>
            <w:shd w:val="clear" w:color="auto" w:fill="auto"/>
            <w:noWrap/>
            <w:tcMar>
              <w:left w:w="57" w:type="dxa"/>
              <w:right w:w="57" w:type="dxa"/>
            </w:tcMar>
            <w:vAlign w:val="center"/>
          </w:tcPr>
          <w:p w14:paraId="2B67CFAD" w14:textId="45EEEDE2" w:rsidR="00CE7338" w:rsidRPr="005E3251" w:rsidRDefault="00CE7338" w:rsidP="001D1715">
            <w:pPr>
              <w:pStyle w:val="TableText0"/>
              <w:jc w:val="center"/>
            </w:pPr>
            <w:r w:rsidRPr="005E3251">
              <w:t>4</w:t>
            </w:r>
            <w:r w:rsidR="00521ABB" w:rsidRPr="005E3251">
              <w:t xml:space="preserve"> </w:t>
            </w:r>
            <w:r w:rsidRPr="005E3251">
              <w:t>(10.0)</w:t>
            </w:r>
          </w:p>
        </w:tc>
        <w:tc>
          <w:tcPr>
            <w:tcW w:w="471" w:type="pct"/>
            <w:shd w:val="clear" w:color="auto" w:fill="auto"/>
            <w:noWrap/>
            <w:tcMar>
              <w:left w:w="57" w:type="dxa"/>
              <w:right w:w="57" w:type="dxa"/>
            </w:tcMar>
            <w:vAlign w:val="center"/>
          </w:tcPr>
          <w:p w14:paraId="4896F2B8" w14:textId="77777777" w:rsidR="00CE7338" w:rsidRPr="005E3251" w:rsidRDefault="00CE7338" w:rsidP="001D1715">
            <w:pPr>
              <w:pStyle w:val="TableText0"/>
              <w:ind w:hanging="17"/>
              <w:jc w:val="center"/>
            </w:pPr>
            <w:r w:rsidRPr="005E3251">
              <w:t>10 (20.8)</w:t>
            </w:r>
          </w:p>
        </w:tc>
        <w:tc>
          <w:tcPr>
            <w:tcW w:w="555" w:type="pct"/>
            <w:shd w:val="clear" w:color="auto" w:fill="auto"/>
            <w:noWrap/>
            <w:tcMar>
              <w:left w:w="57" w:type="dxa"/>
              <w:right w:w="57" w:type="dxa"/>
            </w:tcMar>
            <w:vAlign w:val="center"/>
          </w:tcPr>
          <w:p w14:paraId="7571103A" w14:textId="204B9762" w:rsidR="00CE7338" w:rsidRPr="005E3251" w:rsidRDefault="00CE7338" w:rsidP="00521ABB">
            <w:pPr>
              <w:pStyle w:val="TableText0"/>
              <w:jc w:val="center"/>
            </w:pPr>
            <w:r w:rsidRPr="005E3251">
              <w:t>3</w:t>
            </w:r>
            <w:r w:rsidR="00521ABB" w:rsidRPr="005E3251">
              <w:t xml:space="preserve"> </w:t>
            </w:r>
            <w:r w:rsidRPr="005E3251">
              <w:t>(7.0)</w:t>
            </w:r>
          </w:p>
        </w:tc>
        <w:tc>
          <w:tcPr>
            <w:tcW w:w="433" w:type="pct"/>
            <w:shd w:val="clear" w:color="auto" w:fill="auto"/>
            <w:noWrap/>
            <w:tcMar>
              <w:left w:w="57" w:type="dxa"/>
              <w:right w:w="57" w:type="dxa"/>
            </w:tcMar>
            <w:vAlign w:val="center"/>
          </w:tcPr>
          <w:p w14:paraId="479DBA25" w14:textId="40F942F0" w:rsidR="00CE7338" w:rsidRPr="005E3251" w:rsidRDefault="00CE7338" w:rsidP="00521ABB">
            <w:pPr>
              <w:pStyle w:val="TableText0"/>
              <w:jc w:val="center"/>
            </w:pPr>
            <w:r w:rsidRPr="005E3251">
              <w:t>22</w:t>
            </w:r>
            <w:r w:rsidR="00521ABB" w:rsidRPr="005E3251">
              <w:t xml:space="preserve"> </w:t>
            </w:r>
            <w:r w:rsidRPr="005E3251">
              <w:t>(36.0)</w:t>
            </w:r>
          </w:p>
        </w:tc>
        <w:tc>
          <w:tcPr>
            <w:tcW w:w="664" w:type="pct"/>
            <w:shd w:val="clear" w:color="auto" w:fill="auto"/>
            <w:noWrap/>
            <w:tcMar>
              <w:left w:w="57" w:type="dxa"/>
              <w:right w:w="57" w:type="dxa"/>
            </w:tcMar>
            <w:vAlign w:val="center"/>
          </w:tcPr>
          <w:p w14:paraId="1D9D05F6" w14:textId="4121091E" w:rsidR="00CE7338" w:rsidRPr="005E3251" w:rsidRDefault="00CE7338" w:rsidP="00521ABB">
            <w:pPr>
              <w:pStyle w:val="TableText0"/>
              <w:jc w:val="center"/>
            </w:pPr>
            <w:r w:rsidRPr="005E3251">
              <w:t>16</w:t>
            </w:r>
            <w:r w:rsidR="00521ABB" w:rsidRPr="005E3251">
              <w:t xml:space="preserve"> </w:t>
            </w:r>
            <w:r w:rsidRPr="005E3251">
              <w:t>(23.0)</w:t>
            </w:r>
          </w:p>
        </w:tc>
        <w:tc>
          <w:tcPr>
            <w:tcW w:w="708" w:type="pct"/>
            <w:shd w:val="clear" w:color="auto" w:fill="auto"/>
            <w:noWrap/>
            <w:tcMar>
              <w:left w:w="57" w:type="dxa"/>
              <w:right w:w="57" w:type="dxa"/>
            </w:tcMar>
            <w:vAlign w:val="center"/>
          </w:tcPr>
          <w:p w14:paraId="42BBA848" w14:textId="468AF22F" w:rsidR="00CE7338" w:rsidRPr="005E3251" w:rsidRDefault="00CE7338" w:rsidP="00521ABB">
            <w:pPr>
              <w:pStyle w:val="TableText0"/>
              <w:jc w:val="center"/>
            </w:pPr>
            <w:r w:rsidRPr="005E3251">
              <w:t>16</w:t>
            </w:r>
            <w:r w:rsidR="00521ABB" w:rsidRPr="005E3251">
              <w:t xml:space="preserve"> </w:t>
            </w:r>
            <w:r w:rsidRPr="005E3251">
              <w:t>(25.0)</w:t>
            </w:r>
          </w:p>
        </w:tc>
        <w:tc>
          <w:tcPr>
            <w:tcW w:w="757" w:type="pct"/>
            <w:noWrap/>
            <w:tcMar>
              <w:left w:w="57" w:type="dxa"/>
              <w:right w:w="57" w:type="dxa"/>
            </w:tcMar>
            <w:vAlign w:val="center"/>
          </w:tcPr>
          <w:p w14:paraId="3F7F2E9C" w14:textId="24894375" w:rsidR="00CE7338" w:rsidRPr="005E3251" w:rsidRDefault="00CE7338" w:rsidP="00521ABB">
            <w:pPr>
              <w:pStyle w:val="TableText0"/>
              <w:jc w:val="center"/>
            </w:pPr>
            <w:r w:rsidRPr="005E3251">
              <w:t>22</w:t>
            </w:r>
            <w:r w:rsidR="00521ABB" w:rsidRPr="005E3251">
              <w:t xml:space="preserve"> </w:t>
            </w:r>
            <w:r w:rsidRPr="005E3251">
              <w:t>(66.7)</w:t>
            </w:r>
          </w:p>
        </w:tc>
      </w:tr>
      <w:tr w:rsidR="001D1715" w:rsidRPr="005E3251" w14:paraId="1376C2B4" w14:textId="77777777" w:rsidTr="002A2460">
        <w:tc>
          <w:tcPr>
            <w:tcW w:w="862" w:type="pct"/>
            <w:shd w:val="clear" w:color="auto" w:fill="auto"/>
            <w:noWrap/>
            <w:tcMar>
              <w:left w:w="57" w:type="dxa"/>
              <w:right w:w="57" w:type="dxa"/>
            </w:tcMar>
            <w:vAlign w:val="center"/>
          </w:tcPr>
          <w:p w14:paraId="66ABA64F" w14:textId="77777777" w:rsidR="00CE7338" w:rsidRPr="005E3251" w:rsidRDefault="00CE7338">
            <w:pPr>
              <w:pStyle w:val="TableText0"/>
            </w:pPr>
            <w:r w:rsidRPr="005E3251">
              <w:t>Upper respiratory tract infection</w:t>
            </w:r>
          </w:p>
        </w:tc>
        <w:tc>
          <w:tcPr>
            <w:tcW w:w="550" w:type="pct"/>
            <w:shd w:val="clear" w:color="auto" w:fill="auto"/>
            <w:noWrap/>
            <w:tcMar>
              <w:left w:w="57" w:type="dxa"/>
              <w:right w:w="57" w:type="dxa"/>
            </w:tcMar>
            <w:vAlign w:val="center"/>
          </w:tcPr>
          <w:p w14:paraId="4E1F5F35" w14:textId="0042F4D4" w:rsidR="00CE7338" w:rsidRPr="005E3251" w:rsidRDefault="00CE7338" w:rsidP="002A2460">
            <w:pPr>
              <w:pStyle w:val="TableText0"/>
              <w:jc w:val="center"/>
            </w:pPr>
            <w:r w:rsidRPr="005E3251">
              <w:t>0</w:t>
            </w:r>
            <w:r w:rsidR="002A2460" w:rsidRPr="005E3251">
              <w:t xml:space="preserve"> </w:t>
            </w:r>
            <w:r w:rsidRPr="005E3251">
              <w:t>(0.0)</w:t>
            </w:r>
          </w:p>
        </w:tc>
        <w:tc>
          <w:tcPr>
            <w:tcW w:w="471" w:type="pct"/>
            <w:shd w:val="clear" w:color="auto" w:fill="auto"/>
            <w:noWrap/>
            <w:tcMar>
              <w:left w:w="57" w:type="dxa"/>
              <w:right w:w="57" w:type="dxa"/>
            </w:tcMar>
            <w:vAlign w:val="center"/>
          </w:tcPr>
          <w:p w14:paraId="6B72FEA2" w14:textId="246FA36B" w:rsidR="00CE7338" w:rsidRPr="005E3251" w:rsidRDefault="00CE7338" w:rsidP="002A2460">
            <w:pPr>
              <w:pStyle w:val="TableText0"/>
              <w:jc w:val="center"/>
            </w:pPr>
            <w:r w:rsidRPr="005E3251">
              <w:t>4</w:t>
            </w:r>
            <w:r w:rsidR="002A2460" w:rsidRPr="005E3251">
              <w:t xml:space="preserve"> </w:t>
            </w:r>
            <w:r w:rsidRPr="005E3251">
              <w:t>(8.3)</w:t>
            </w:r>
          </w:p>
        </w:tc>
        <w:tc>
          <w:tcPr>
            <w:tcW w:w="555" w:type="pct"/>
            <w:shd w:val="clear" w:color="auto" w:fill="auto"/>
            <w:noWrap/>
            <w:tcMar>
              <w:left w:w="57" w:type="dxa"/>
              <w:right w:w="57" w:type="dxa"/>
            </w:tcMar>
            <w:vAlign w:val="center"/>
          </w:tcPr>
          <w:p w14:paraId="44AB4724" w14:textId="0268710F" w:rsidR="00CE7338" w:rsidRPr="005E3251" w:rsidRDefault="00CE7338" w:rsidP="002A2460">
            <w:pPr>
              <w:pStyle w:val="TableText0"/>
              <w:jc w:val="center"/>
            </w:pPr>
            <w:r w:rsidRPr="005E3251">
              <w:t>4</w:t>
            </w:r>
            <w:r w:rsidR="002A2460" w:rsidRPr="005E3251">
              <w:t xml:space="preserve"> </w:t>
            </w:r>
            <w:r w:rsidRPr="005E3251">
              <w:t>(9.3)</w:t>
            </w:r>
          </w:p>
        </w:tc>
        <w:tc>
          <w:tcPr>
            <w:tcW w:w="433" w:type="pct"/>
            <w:shd w:val="clear" w:color="auto" w:fill="auto"/>
            <w:noWrap/>
            <w:tcMar>
              <w:left w:w="57" w:type="dxa"/>
              <w:right w:w="57" w:type="dxa"/>
            </w:tcMar>
            <w:vAlign w:val="center"/>
          </w:tcPr>
          <w:p w14:paraId="7D20EB95" w14:textId="44E9A9F6" w:rsidR="00CE7338" w:rsidRPr="005E3251" w:rsidRDefault="00CE7338" w:rsidP="002A2460">
            <w:pPr>
              <w:pStyle w:val="TableText0"/>
              <w:jc w:val="center"/>
            </w:pPr>
            <w:r w:rsidRPr="005E3251">
              <w:t>7</w:t>
            </w:r>
            <w:r w:rsidR="002A2460" w:rsidRPr="005E3251">
              <w:t xml:space="preserve"> </w:t>
            </w:r>
            <w:r w:rsidRPr="005E3251">
              <w:t>(11.0)</w:t>
            </w:r>
          </w:p>
        </w:tc>
        <w:tc>
          <w:tcPr>
            <w:tcW w:w="664" w:type="pct"/>
            <w:shd w:val="clear" w:color="auto" w:fill="auto"/>
            <w:noWrap/>
            <w:tcMar>
              <w:left w:w="57" w:type="dxa"/>
              <w:right w:w="57" w:type="dxa"/>
            </w:tcMar>
            <w:vAlign w:val="center"/>
          </w:tcPr>
          <w:p w14:paraId="1673D8FE" w14:textId="19CA9CE8" w:rsidR="00CE7338" w:rsidRPr="005E3251" w:rsidRDefault="00CE7338" w:rsidP="002A2460">
            <w:pPr>
              <w:pStyle w:val="TableText0"/>
              <w:jc w:val="center"/>
            </w:pPr>
            <w:r w:rsidRPr="005E3251">
              <w:t>8</w:t>
            </w:r>
            <w:r w:rsidR="002A2460" w:rsidRPr="005E3251">
              <w:t xml:space="preserve"> </w:t>
            </w:r>
            <w:r w:rsidRPr="005E3251">
              <w:t>(12.0)</w:t>
            </w:r>
          </w:p>
        </w:tc>
        <w:tc>
          <w:tcPr>
            <w:tcW w:w="708" w:type="pct"/>
            <w:shd w:val="clear" w:color="auto" w:fill="auto"/>
            <w:noWrap/>
            <w:tcMar>
              <w:left w:w="57" w:type="dxa"/>
              <w:right w:w="57" w:type="dxa"/>
            </w:tcMar>
            <w:vAlign w:val="center"/>
          </w:tcPr>
          <w:p w14:paraId="54C548C0" w14:textId="2DD66C38" w:rsidR="00CE7338" w:rsidRPr="005E3251" w:rsidRDefault="00CE7338" w:rsidP="002A2460">
            <w:pPr>
              <w:pStyle w:val="TableText0"/>
              <w:jc w:val="center"/>
            </w:pPr>
            <w:r w:rsidRPr="005E3251">
              <w:t>4</w:t>
            </w:r>
            <w:r w:rsidR="002A2460" w:rsidRPr="005E3251">
              <w:t xml:space="preserve"> </w:t>
            </w:r>
            <w:r w:rsidRPr="005E3251">
              <w:t>(6.0)</w:t>
            </w:r>
          </w:p>
        </w:tc>
        <w:tc>
          <w:tcPr>
            <w:tcW w:w="757" w:type="pct"/>
            <w:noWrap/>
            <w:tcMar>
              <w:left w:w="57" w:type="dxa"/>
              <w:right w:w="57" w:type="dxa"/>
            </w:tcMar>
            <w:vAlign w:val="center"/>
          </w:tcPr>
          <w:p w14:paraId="2F84C498" w14:textId="77777777" w:rsidR="00CE7338" w:rsidRPr="005E3251" w:rsidRDefault="00CE7338">
            <w:pPr>
              <w:pStyle w:val="TableText0"/>
              <w:jc w:val="center"/>
            </w:pPr>
            <w:r w:rsidRPr="005E3251">
              <w:t>NR</w:t>
            </w:r>
          </w:p>
        </w:tc>
      </w:tr>
      <w:tr w:rsidR="001D1715" w:rsidRPr="005E3251" w14:paraId="1BED6FAE" w14:textId="77777777" w:rsidTr="002A2460">
        <w:tc>
          <w:tcPr>
            <w:tcW w:w="862" w:type="pct"/>
            <w:shd w:val="clear" w:color="auto" w:fill="auto"/>
            <w:noWrap/>
            <w:tcMar>
              <w:left w:w="57" w:type="dxa"/>
              <w:right w:w="57" w:type="dxa"/>
            </w:tcMar>
            <w:vAlign w:val="center"/>
          </w:tcPr>
          <w:p w14:paraId="4E1831CE" w14:textId="77777777" w:rsidR="00CE7338" w:rsidRPr="005E3251" w:rsidRDefault="00CE7338">
            <w:pPr>
              <w:pStyle w:val="TableText0"/>
            </w:pPr>
            <w:r w:rsidRPr="005E3251">
              <w:t>Vomiting</w:t>
            </w:r>
          </w:p>
        </w:tc>
        <w:tc>
          <w:tcPr>
            <w:tcW w:w="550" w:type="pct"/>
            <w:shd w:val="clear" w:color="auto" w:fill="auto"/>
            <w:noWrap/>
            <w:tcMar>
              <w:left w:w="57" w:type="dxa"/>
              <w:right w:w="57" w:type="dxa"/>
            </w:tcMar>
            <w:vAlign w:val="center"/>
          </w:tcPr>
          <w:p w14:paraId="35475B37" w14:textId="25C53038" w:rsidR="00CE7338" w:rsidRPr="005E3251" w:rsidRDefault="00CE7338" w:rsidP="001D1715">
            <w:pPr>
              <w:pStyle w:val="TableText0"/>
              <w:jc w:val="center"/>
            </w:pPr>
            <w:r w:rsidRPr="005E3251">
              <w:t>3</w:t>
            </w:r>
            <w:r w:rsidR="00521ABB" w:rsidRPr="005E3251">
              <w:t xml:space="preserve"> </w:t>
            </w:r>
            <w:r w:rsidRPr="005E3251">
              <w:t>(7.5)</w:t>
            </w:r>
          </w:p>
        </w:tc>
        <w:tc>
          <w:tcPr>
            <w:tcW w:w="471" w:type="pct"/>
            <w:shd w:val="clear" w:color="auto" w:fill="auto"/>
            <w:noWrap/>
            <w:tcMar>
              <w:left w:w="57" w:type="dxa"/>
              <w:right w:w="57" w:type="dxa"/>
            </w:tcMar>
            <w:vAlign w:val="center"/>
          </w:tcPr>
          <w:p w14:paraId="7C2A2FCF" w14:textId="3A7709DB" w:rsidR="00CE7338" w:rsidRPr="005E3251" w:rsidRDefault="00CE7338" w:rsidP="001D1715">
            <w:pPr>
              <w:pStyle w:val="TableText0"/>
              <w:jc w:val="center"/>
            </w:pPr>
            <w:r w:rsidRPr="005E3251">
              <w:t>3</w:t>
            </w:r>
            <w:r w:rsidR="00521ABB" w:rsidRPr="005E3251">
              <w:t xml:space="preserve"> </w:t>
            </w:r>
            <w:r w:rsidRPr="005E3251">
              <w:t>(6.3)</w:t>
            </w:r>
          </w:p>
        </w:tc>
        <w:tc>
          <w:tcPr>
            <w:tcW w:w="555" w:type="pct"/>
            <w:shd w:val="clear" w:color="auto" w:fill="auto"/>
            <w:noWrap/>
            <w:tcMar>
              <w:left w:w="57" w:type="dxa"/>
              <w:right w:w="57" w:type="dxa"/>
            </w:tcMar>
            <w:vAlign w:val="center"/>
          </w:tcPr>
          <w:p w14:paraId="36EECA7A" w14:textId="2681C161" w:rsidR="00CE7338" w:rsidRPr="005E3251" w:rsidRDefault="00CE7338" w:rsidP="00521ABB">
            <w:pPr>
              <w:pStyle w:val="TableText0"/>
              <w:jc w:val="center"/>
            </w:pPr>
            <w:r w:rsidRPr="005E3251">
              <w:t>2</w:t>
            </w:r>
            <w:r w:rsidR="00521ABB" w:rsidRPr="005E3251">
              <w:t xml:space="preserve"> </w:t>
            </w:r>
            <w:r w:rsidRPr="005E3251">
              <w:t>(4.7)</w:t>
            </w:r>
          </w:p>
        </w:tc>
        <w:tc>
          <w:tcPr>
            <w:tcW w:w="433" w:type="pct"/>
            <w:shd w:val="clear" w:color="auto" w:fill="auto"/>
            <w:noWrap/>
            <w:tcMar>
              <w:left w:w="57" w:type="dxa"/>
              <w:right w:w="57" w:type="dxa"/>
            </w:tcMar>
            <w:vAlign w:val="center"/>
          </w:tcPr>
          <w:p w14:paraId="36327465" w14:textId="49044BA3" w:rsidR="00CE7338" w:rsidRPr="005E3251" w:rsidRDefault="00CE7338" w:rsidP="00521ABB">
            <w:pPr>
              <w:pStyle w:val="TableText0"/>
              <w:jc w:val="center"/>
            </w:pPr>
            <w:r w:rsidRPr="005E3251">
              <w:t>9</w:t>
            </w:r>
            <w:r w:rsidR="00521ABB" w:rsidRPr="005E3251">
              <w:t xml:space="preserve"> </w:t>
            </w:r>
            <w:r w:rsidRPr="005E3251">
              <w:t>(15.0)</w:t>
            </w:r>
          </w:p>
        </w:tc>
        <w:tc>
          <w:tcPr>
            <w:tcW w:w="664" w:type="pct"/>
            <w:shd w:val="clear" w:color="auto" w:fill="auto"/>
            <w:noWrap/>
            <w:tcMar>
              <w:left w:w="57" w:type="dxa"/>
              <w:right w:w="57" w:type="dxa"/>
            </w:tcMar>
            <w:vAlign w:val="center"/>
          </w:tcPr>
          <w:p w14:paraId="75D51FFE" w14:textId="075DE625" w:rsidR="00CE7338" w:rsidRPr="005E3251" w:rsidRDefault="00CE7338" w:rsidP="00521ABB">
            <w:pPr>
              <w:pStyle w:val="TableText0"/>
              <w:jc w:val="center"/>
            </w:pPr>
            <w:r w:rsidRPr="005E3251">
              <w:t>11</w:t>
            </w:r>
            <w:r w:rsidR="00521ABB" w:rsidRPr="005E3251">
              <w:t xml:space="preserve"> </w:t>
            </w:r>
            <w:r w:rsidRPr="005E3251">
              <w:t>(16.0)</w:t>
            </w:r>
          </w:p>
        </w:tc>
        <w:tc>
          <w:tcPr>
            <w:tcW w:w="708" w:type="pct"/>
            <w:shd w:val="clear" w:color="auto" w:fill="auto"/>
            <w:noWrap/>
            <w:tcMar>
              <w:left w:w="57" w:type="dxa"/>
              <w:right w:w="57" w:type="dxa"/>
            </w:tcMar>
            <w:vAlign w:val="center"/>
          </w:tcPr>
          <w:p w14:paraId="0AA98AA9" w14:textId="0927E273" w:rsidR="00CE7338" w:rsidRPr="005E3251" w:rsidRDefault="00CE7338" w:rsidP="00521ABB">
            <w:pPr>
              <w:pStyle w:val="TableText0"/>
              <w:jc w:val="center"/>
            </w:pPr>
            <w:r w:rsidRPr="005E3251">
              <w:t>4</w:t>
            </w:r>
            <w:r w:rsidR="00521ABB" w:rsidRPr="005E3251">
              <w:t xml:space="preserve"> </w:t>
            </w:r>
            <w:r w:rsidRPr="005E3251">
              <w:t>(6.0)</w:t>
            </w:r>
          </w:p>
        </w:tc>
        <w:tc>
          <w:tcPr>
            <w:tcW w:w="757" w:type="pct"/>
            <w:noWrap/>
            <w:tcMar>
              <w:left w:w="57" w:type="dxa"/>
              <w:right w:w="57" w:type="dxa"/>
            </w:tcMar>
            <w:vAlign w:val="center"/>
          </w:tcPr>
          <w:p w14:paraId="25392281" w14:textId="77777777" w:rsidR="00CE7338" w:rsidRPr="005E3251" w:rsidRDefault="00CE7338">
            <w:pPr>
              <w:pStyle w:val="TableText0"/>
              <w:jc w:val="center"/>
            </w:pPr>
            <w:r w:rsidRPr="005E3251">
              <w:t>NR</w:t>
            </w:r>
          </w:p>
        </w:tc>
      </w:tr>
      <w:tr w:rsidR="00870250" w:rsidRPr="005E3251" w14:paraId="188EC7F9" w14:textId="77777777" w:rsidTr="00870250">
        <w:tc>
          <w:tcPr>
            <w:tcW w:w="862" w:type="pct"/>
            <w:shd w:val="clear" w:color="auto" w:fill="auto"/>
            <w:noWrap/>
            <w:tcMar>
              <w:left w:w="57" w:type="dxa"/>
              <w:right w:w="57" w:type="dxa"/>
            </w:tcMar>
            <w:vAlign w:val="center"/>
          </w:tcPr>
          <w:p w14:paraId="51DFBB04" w14:textId="4E6F4CE2" w:rsidR="00870250" w:rsidRPr="005E3251" w:rsidRDefault="00870250" w:rsidP="00870250">
            <w:pPr>
              <w:pStyle w:val="TableText0"/>
            </w:pPr>
            <w:r w:rsidRPr="005E3251">
              <w:t xml:space="preserve">Status </w:t>
            </w:r>
            <w:proofErr w:type="spellStart"/>
            <w:r w:rsidRPr="005E3251">
              <w:t>epilepticus</w:t>
            </w:r>
            <w:r w:rsidRPr="005E3251">
              <w:rPr>
                <w:vertAlign w:val="superscript"/>
              </w:rPr>
              <w:t>a</w:t>
            </w:r>
            <w:proofErr w:type="spellEnd"/>
          </w:p>
        </w:tc>
        <w:tc>
          <w:tcPr>
            <w:tcW w:w="550" w:type="pct"/>
            <w:shd w:val="clear" w:color="auto" w:fill="auto"/>
            <w:noWrap/>
            <w:tcMar>
              <w:left w:w="57" w:type="dxa"/>
              <w:right w:w="57" w:type="dxa"/>
            </w:tcMar>
            <w:vAlign w:val="center"/>
          </w:tcPr>
          <w:p w14:paraId="0F166990" w14:textId="576C8F34" w:rsidR="00870250" w:rsidRPr="005E3251" w:rsidRDefault="00870250" w:rsidP="00870250">
            <w:pPr>
              <w:pStyle w:val="TableText0"/>
              <w:jc w:val="center"/>
            </w:pPr>
            <w:r w:rsidRPr="005E3251">
              <w:t>14 (35)</w:t>
            </w:r>
          </w:p>
        </w:tc>
        <w:tc>
          <w:tcPr>
            <w:tcW w:w="471" w:type="pct"/>
            <w:shd w:val="clear" w:color="auto" w:fill="auto"/>
            <w:noWrap/>
            <w:tcMar>
              <w:left w:w="57" w:type="dxa"/>
              <w:right w:w="57" w:type="dxa"/>
            </w:tcMar>
            <w:vAlign w:val="center"/>
          </w:tcPr>
          <w:p w14:paraId="69DC7C5F" w14:textId="4DCEF9E9" w:rsidR="00870250" w:rsidRPr="005E3251" w:rsidRDefault="00870250" w:rsidP="00870250">
            <w:pPr>
              <w:pStyle w:val="TableText0"/>
              <w:jc w:val="center"/>
            </w:pPr>
            <w:r w:rsidRPr="005E3251">
              <w:t>5 (10.4)</w:t>
            </w:r>
          </w:p>
        </w:tc>
        <w:tc>
          <w:tcPr>
            <w:tcW w:w="555" w:type="pct"/>
            <w:shd w:val="clear" w:color="auto" w:fill="auto"/>
            <w:noWrap/>
            <w:tcMar>
              <w:left w:w="57" w:type="dxa"/>
              <w:right w:w="57" w:type="dxa"/>
            </w:tcMar>
            <w:vAlign w:val="center"/>
          </w:tcPr>
          <w:p w14:paraId="4A9C3828" w14:textId="7B1465A1" w:rsidR="00870250" w:rsidRPr="005E3251" w:rsidRDefault="00870250" w:rsidP="00870250">
            <w:pPr>
              <w:pStyle w:val="TableText0"/>
              <w:jc w:val="center"/>
            </w:pPr>
            <w:r w:rsidRPr="005E3251">
              <w:t>8 (18.6)</w:t>
            </w:r>
          </w:p>
        </w:tc>
        <w:tc>
          <w:tcPr>
            <w:tcW w:w="433" w:type="pct"/>
            <w:shd w:val="clear" w:color="auto" w:fill="auto"/>
            <w:noWrap/>
            <w:tcMar>
              <w:left w:w="57" w:type="dxa"/>
              <w:right w:w="57" w:type="dxa"/>
            </w:tcMar>
            <w:vAlign w:val="center"/>
          </w:tcPr>
          <w:p w14:paraId="662322BB" w14:textId="618B0E53" w:rsidR="00870250" w:rsidRPr="005E3251" w:rsidRDefault="00870250" w:rsidP="00870250">
            <w:pPr>
              <w:pStyle w:val="TableText0"/>
              <w:jc w:val="center"/>
            </w:pPr>
            <w:r w:rsidRPr="005E3251">
              <w:t>3 (4.9)</w:t>
            </w:r>
          </w:p>
        </w:tc>
        <w:tc>
          <w:tcPr>
            <w:tcW w:w="664" w:type="pct"/>
            <w:noWrap/>
            <w:tcMar>
              <w:left w:w="57" w:type="dxa"/>
              <w:right w:w="57" w:type="dxa"/>
            </w:tcMar>
            <w:vAlign w:val="center"/>
          </w:tcPr>
          <w:p w14:paraId="6CF855B8" w14:textId="2EB1653D" w:rsidR="00870250" w:rsidRPr="005E3251" w:rsidRDefault="00870250" w:rsidP="00870250">
            <w:pPr>
              <w:pStyle w:val="TableText0"/>
              <w:jc w:val="center"/>
            </w:pPr>
            <w:r w:rsidRPr="005E3251">
              <w:t>7 (10.0)</w:t>
            </w:r>
          </w:p>
        </w:tc>
        <w:tc>
          <w:tcPr>
            <w:tcW w:w="708" w:type="pct"/>
            <w:noWrap/>
            <w:tcMar>
              <w:left w:w="57" w:type="dxa"/>
              <w:right w:w="57" w:type="dxa"/>
            </w:tcMar>
            <w:vAlign w:val="center"/>
          </w:tcPr>
          <w:p w14:paraId="0DFD625E" w14:textId="66859BE4" w:rsidR="00870250" w:rsidRPr="005E3251" w:rsidRDefault="00870250" w:rsidP="00870250">
            <w:pPr>
              <w:pStyle w:val="TableText0"/>
              <w:jc w:val="center"/>
            </w:pPr>
            <w:r w:rsidRPr="005E3251">
              <w:t>5 (8.0)</w:t>
            </w:r>
          </w:p>
        </w:tc>
        <w:tc>
          <w:tcPr>
            <w:tcW w:w="757" w:type="pct"/>
            <w:noWrap/>
            <w:tcMar>
              <w:left w:w="57" w:type="dxa"/>
              <w:right w:w="57" w:type="dxa"/>
            </w:tcMar>
            <w:vAlign w:val="center"/>
          </w:tcPr>
          <w:p w14:paraId="4CB360A0" w14:textId="2F552705" w:rsidR="00870250" w:rsidRPr="005E3251" w:rsidRDefault="00870250" w:rsidP="00870250">
            <w:pPr>
              <w:pStyle w:val="TableText0"/>
              <w:jc w:val="center"/>
            </w:pPr>
            <w:r w:rsidRPr="005E3251">
              <w:t>NR</w:t>
            </w:r>
          </w:p>
        </w:tc>
      </w:tr>
      <w:tr w:rsidR="0038693E" w:rsidRPr="005E3251" w14:paraId="0A8E2390" w14:textId="77777777" w:rsidTr="00A20FBC">
        <w:tc>
          <w:tcPr>
            <w:tcW w:w="862" w:type="pct"/>
            <w:shd w:val="clear" w:color="auto" w:fill="auto"/>
            <w:noWrap/>
            <w:tcMar>
              <w:left w:w="57" w:type="dxa"/>
              <w:right w:w="57" w:type="dxa"/>
            </w:tcMar>
            <w:vAlign w:val="center"/>
          </w:tcPr>
          <w:p w14:paraId="05E66F93" w14:textId="3A499980" w:rsidR="0038693E" w:rsidRPr="005E3251" w:rsidRDefault="0038693E" w:rsidP="0038693E">
            <w:pPr>
              <w:pStyle w:val="TableText0"/>
            </w:pPr>
            <w:r w:rsidRPr="005E3251">
              <w:t>Diarrhoea</w:t>
            </w:r>
          </w:p>
        </w:tc>
        <w:tc>
          <w:tcPr>
            <w:tcW w:w="550" w:type="pct"/>
            <w:shd w:val="clear" w:color="auto" w:fill="auto"/>
            <w:noWrap/>
            <w:tcMar>
              <w:left w:w="57" w:type="dxa"/>
              <w:right w:w="57" w:type="dxa"/>
            </w:tcMar>
          </w:tcPr>
          <w:p w14:paraId="74531405" w14:textId="658F0FAD" w:rsidR="0038693E" w:rsidRPr="005E3251" w:rsidRDefault="0038693E" w:rsidP="0038693E">
            <w:pPr>
              <w:pStyle w:val="TableText0"/>
              <w:jc w:val="center"/>
            </w:pPr>
            <w:r w:rsidRPr="005E3251">
              <w:t>7 (17.5)</w:t>
            </w:r>
          </w:p>
        </w:tc>
        <w:tc>
          <w:tcPr>
            <w:tcW w:w="471" w:type="pct"/>
            <w:shd w:val="clear" w:color="auto" w:fill="auto"/>
            <w:noWrap/>
            <w:tcMar>
              <w:left w:w="57" w:type="dxa"/>
              <w:right w:w="57" w:type="dxa"/>
            </w:tcMar>
            <w:vAlign w:val="center"/>
          </w:tcPr>
          <w:p w14:paraId="3233F7CE" w14:textId="60A700C1" w:rsidR="0038693E" w:rsidRPr="005E3251" w:rsidRDefault="00E13A86" w:rsidP="0038693E">
            <w:pPr>
              <w:pStyle w:val="TableText0"/>
              <w:jc w:val="center"/>
            </w:pPr>
            <w:r w:rsidRPr="005E3251">
              <w:t>7 (14.6)</w:t>
            </w:r>
          </w:p>
        </w:tc>
        <w:tc>
          <w:tcPr>
            <w:tcW w:w="555" w:type="pct"/>
            <w:shd w:val="clear" w:color="auto" w:fill="auto"/>
            <w:noWrap/>
            <w:tcMar>
              <w:left w:w="57" w:type="dxa"/>
              <w:right w:w="57" w:type="dxa"/>
            </w:tcMar>
            <w:vAlign w:val="center"/>
          </w:tcPr>
          <w:p w14:paraId="0EB67A92" w14:textId="536B2B23" w:rsidR="0038693E" w:rsidRPr="005E3251" w:rsidRDefault="00E13A86" w:rsidP="0038693E">
            <w:pPr>
              <w:pStyle w:val="TableText0"/>
              <w:jc w:val="center"/>
            </w:pPr>
            <w:r w:rsidRPr="005E3251">
              <w:t>10 (23.3)</w:t>
            </w:r>
          </w:p>
        </w:tc>
        <w:tc>
          <w:tcPr>
            <w:tcW w:w="433" w:type="pct"/>
            <w:shd w:val="clear" w:color="auto" w:fill="auto"/>
            <w:noWrap/>
            <w:tcMar>
              <w:left w:w="57" w:type="dxa"/>
              <w:right w:w="57" w:type="dxa"/>
            </w:tcMar>
            <w:vAlign w:val="center"/>
          </w:tcPr>
          <w:p w14:paraId="0988F9A0" w14:textId="5A7BED39" w:rsidR="0038693E" w:rsidRPr="005E3251" w:rsidRDefault="0038693E" w:rsidP="0038693E">
            <w:pPr>
              <w:pStyle w:val="TableText0"/>
              <w:jc w:val="center"/>
            </w:pPr>
            <w:r w:rsidRPr="005E3251">
              <w:t>19 (31.0)</w:t>
            </w:r>
          </w:p>
        </w:tc>
        <w:tc>
          <w:tcPr>
            <w:tcW w:w="664" w:type="pct"/>
            <w:shd w:val="clear" w:color="auto" w:fill="auto"/>
            <w:noWrap/>
            <w:tcMar>
              <w:left w:w="57" w:type="dxa"/>
              <w:right w:w="57" w:type="dxa"/>
            </w:tcMar>
            <w:vAlign w:val="center"/>
          </w:tcPr>
          <w:p w14:paraId="66DD26A5" w14:textId="5F4897D8" w:rsidR="0038693E" w:rsidRPr="005E3251" w:rsidRDefault="0038693E" w:rsidP="0038693E">
            <w:pPr>
              <w:pStyle w:val="TableText0"/>
              <w:jc w:val="center"/>
            </w:pPr>
            <w:r w:rsidRPr="005E3251">
              <w:t>18 (26.0)</w:t>
            </w:r>
          </w:p>
        </w:tc>
        <w:tc>
          <w:tcPr>
            <w:tcW w:w="708" w:type="pct"/>
            <w:shd w:val="clear" w:color="auto" w:fill="auto"/>
            <w:noWrap/>
            <w:tcMar>
              <w:left w:w="57" w:type="dxa"/>
              <w:right w:w="57" w:type="dxa"/>
            </w:tcMar>
            <w:vAlign w:val="center"/>
          </w:tcPr>
          <w:p w14:paraId="4D2078A2" w14:textId="7EF62822" w:rsidR="0038693E" w:rsidRPr="005E3251" w:rsidRDefault="0038693E" w:rsidP="0038693E">
            <w:pPr>
              <w:pStyle w:val="TableText0"/>
              <w:jc w:val="center"/>
            </w:pPr>
            <w:r w:rsidRPr="005E3251">
              <w:t>11 (17.0)</w:t>
            </w:r>
          </w:p>
        </w:tc>
        <w:tc>
          <w:tcPr>
            <w:tcW w:w="757" w:type="pct"/>
            <w:noWrap/>
            <w:tcMar>
              <w:left w:w="57" w:type="dxa"/>
              <w:right w:w="57" w:type="dxa"/>
            </w:tcMar>
            <w:vAlign w:val="center"/>
          </w:tcPr>
          <w:p w14:paraId="71C0BFE2" w14:textId="24B6600F" w:rsidR="0038693E" w:rsidRPr="005E3251" w:rsidRDefault="00E13A86" w:rsidP="0038693E">
            <w:pPr>
              <w:pStyle w:val="TableText0"/>
              <w:jc w:val="center"/>
            </w:pPr>
            <w:r w:rsidRPr="005E3251">
              <w:t>NR</w:t>
            </w:r>
          </w:p>
        </w:tc>
      </w:tr>
      <w:tr w:rsidR="0038693E" w:rsidRPr="005E3251" w14:paraId="05DAFF33" w14:textId="77777777" w:rsidTr="002A2460">
        <w:tc>
          <w:tcPr>
            <w:tcW w:w="862" w:type="pct"/>
            <w:shd w:val="clear" w:color="auto" w:fill="auto"/>
            <w:noWrap/>
            <w:tcMar>
              <w:left w:w="57" w:type="dxa"/>
              <w:right w:w="57" w:type="dxa"/>
            </w:tcMar>
            <w:vAlign w:val="center"/>
          </w:tcPr>
          <w:p w14:paraId="7EE21E41" w14:textId="77777777" w:rsidR="0038693E" w:rsidRPr="005E3251" w:rsidRDefault="0038693E" w:rsidP="0038693E">
            <w:pPr>
              <w:pStyle w:val="TableText0"/>
            </w:pPr>
            <w:r w:rsidRPr="005E3251">
              <w:t>ALT level increased</w:t>
            </w:r>
          </w:p>
        </w:tc>
        <w:tc>
          <w:tcPr>
            <w:tcW w:w="550" w:type="pct"/>
            <w:shd w:val="clear" w:color="auto" w:fill="auto"/>
            <w:noWrap/>
            <w:tcMar>
              <w:left w:w="57" w:type="dxa"/>
              <w:right w:w="57" w:type="dxa"/>
            </w:tcMar>
            <w:vAlign w:val="center"/>
          </w:tcPr>
          <w:p w14:paraId="43AF9EB8" w14:textId="77777777" w:rsidR="0038693E" w:rsidRPr="005E3251" w:rsidRDefault="0038693E" w:rsidP="0038693E">
            <w:pPr>
              <w:pStyle w:val="TableText0"/>
              <w:jc w:val="center"/>
            </w:pPr>
            <w:r w:rsidRPr="005E3251">
              <w:t>NR</w:t>
            </w:r>
          </w:p>
        </w:tc>
        <w:tc>
          <w:tcPr>
            <w:tcW w:w="471" w:type="pct"/>
            <w:shd w:val="clear" w:color="auto" w:fill="auto"/>
            <w:noWrap/>
            <w:tcMar>
              <w:left w:w="57" w:type="dxa"/>
              <w:right w:w="57" w:type="dxa"/>
            </w:tcMar>
            <w:vAlign w:val="center"/>
          </w:tcPr>
          <w:p w14:paraId="4368E378" w14:textId="77777777" w:rsidR="0038693E" w:rsidRPr="005E3251" w:rsidRDefault="0038693E" w:rsidP="0038693E">
            <w:pPr>
              <w:pStyle w:val="TableText0"/>
              <w:jc w:val="center"/>
            </w:pPr>
            <w:r w:rsidRPr="005E3251">
              <w:t>NR</w:t>
            </w:r>
          </w:p>
        </w:tc>
        <w:tc>
          <w:tcPr>
            <w:tcW w:w="555" w:type="pct"/>
            <w:shd w:val="clear" w:color="auto" w:fill="auto"/>
            <w:noWrap/>
            <w:tcMar>
              <w:left w:w="57" w:type="dxa"/>
              <w:right w:w="57" w:type="dxa"/>
            </w:tcMar>
            <w:vAlign w:val="center"/>
          </w:tcPr>
          <w:p w14:paraId="29EB3847" w14:textId="77777777" w:rsidR="0038693E" w:rsidRPr="005E3251" w:rsidRDefault="0038693E" w:rsidP="0038693E">
            <w:pPr>
              <w:pStyle w:val="TableText0"/>
              <w:jc w:val="center"/>
            </w:pPr>
            <w:r w:rsidRPr="005E3251">
              <w:t>NR</w:t>
            </w:r>
          </w:p>
        </w:tc>
        <w:tc>
          <w:tcPr>
            <w:tcW w:w="433" w:type="pct"/>
            <w:shd w:val="clear" w:color="auto" w:fill="auto"/>
            <w:noWrap/>
            <w:tcMar>
              <w:left w:w="57" w:type="dxa"/>
              <w:right w:w="57" w:type="dxa"/>
            </w:tcMar>
            <w:vAlign w:val="center"/>
          </w:tcPr>
          <w:p w14:paraId="3FDAD2C9" w14:textId="77777777" w:rsidR="0038693E" w:rsidRPr="005E3251" w:rsidRDefault="0038693E" w:rsidP="0038693E">
            <w:pPr>
              <w:pStyle w:val="TableText0"/>
              <w:jc w:val="center"/>
            </w:pPr>
            <w:r w:rsidRPr="005E3251">
              <w:t>NR</w:t>
            </w:r>
          </w:p>
        </w:tc>
        <w:tc>
          <w:tcPr>
            <w:tcW w:w="664" w:type="pct"/>
            <w:shd w:val="clear" w:color="auto" w:fill="auto"/>
            <w:noWrap/>
            <w:tcMar>
              <w:left w:w="57" w:type="dxa"/>
              <w:right w:w="57" w:type="dxa"/>
            </w:tcMar>
            <w:vAlign w:val="center"/>
          </w:tcPr>
          <w:p w14:paraId="37C92B3A" w14:textId="7F8B9895" w:rsidR="0038693E" w:rsidRPr="005E3251" w:rsidRDefault="0038693E" w:rsidP="0038693E">
            <w:pPr>
              <w:pStyle w:val="TableText0"/>
              <w:jc w:val="center"/>
            </w:pPr>
            <w:r w:rsidRPr="005E3251">
              <w:t>3 (5.0)</w:t>
            </w:r>
          </w:p>
        </w:tc>
        <w:tc>
          <w:tcPr>
            <w:tcW w:w="708" w:type="pct"/>
            <w:shd w:val="clear" w:color="auto" w:fill="auto"/>
            <w:noWrap/>
            <w:tcMar>
              <w:left w:w="57" w:type="dxa"/>
              <w:right w:w="57" w:type="dxa"/>
            </w:tcMar>
            <w:vAlign w:val="center"/>
          </w:tcPr>
          <w:p w14:paraId="0750EDF0" w14:textId="6E47F48E" w:rsidR="0038693E" w:rsidRPr="005E3251" w:rsidRDefault="0038693E" w:rsidP="0038693E">
            <w:pPr>
              <w:pStyle w:val="TableText0"/>
              <w:jc w:val="center"/>
            </w:pPr>
            <w:r w:rsidRPr="005E3251">
              <w:t>9 (13.0)</w:t>
            </w:r>
          </w:p>
        </w:tc>
        <w:tc>
          <w:tcPr>
            <w:tcW w:w="757" w:type="pct"/>
            <w:noWrap/>
            <w:tcMar>
              <w:left w:w="57" w:type="dxa"/>
              <w:right w:w="57" w:type="dxa"/>
            </w:tcMar>
            <w:vAlign w:val="center"/>
          </w:tcPr>
          <w:p w14:paraId="46C4C589" w14:textId="77777777" w:rsidR="0038693E" w:rsidRPr="005E3251" w:rsidRDefault="0038693E" w:rsidP="0038693E">
            <w:pPr>
              <w:pStyle w:val="TableText0"/>
              <w:jc w:val="center"/>
            </w:pPr>
            <w:r w:rsidRPr="005E3251">
              <w:t>NR</w:t>
            </w:r>
          </w:p>
        </w:tc>
      </w:tr>
      <w:tr w:rsidR="0038693E" w:rsidRPr="005E3251" w14:paraId="38676D24" w14:textId="77777777" w:rsidTr="002A2460">
        <w:tc>
          <w:tcPr>
            <w:tcW w:w="862" w:type="pct"/>
            <w:shd w:val="clear" w:color="auto" w:fill="auto"/>
            <w:noWrap/>
            <w:tcMar>
              <w:left w:w="57" w:type="dxa"/>
              <w:right w:w="57" w:type="dxa"/>
            </w:tcMar>
            <w:vAlign w:val="center"/>
          </w:tcPr>
          <w:p w14:paraId="3D7D069E" w14:textId="77777777" w:rsidR="0038693E" w:rsidRPr="005E3251" w:rsidRDefault="0038693E" w:rsidP="0038693E">
            <w:pPr>
              <w:pStyle w:val="TableText0"/>
            </w:pPr>
            <w:r w:rsidRPr="005E3251">
              <w:t>AST level increased</w:t>
            </w:r>
          </w:p>
        </w:tc>
        <w:tc>
          <w:tcPr>
            <w:tcW w:w="550" w:type="pct"/>
            <w:shd w:val="clear" w:color="auto" w:fill="auto"/>
            <w:noWrap/>
            <w:tcMar>
              <w:left w:w="57" w:type="dxa"/>
              <w:right w:w="57" w:type="dxa"/>
            </w:tcMar>
            <w:vAlign w:val="center"/>
          </w:tcPr>
          <w:p w14:paraId="0073B2FE" w14:textId="77777777" w:rsidR="0038693E" w:rsidRPr="005E3251" w:rsidRDefault="0038693E" w:rsidP="0038693E">
            <w:pPr>
              <w:pStyle w:val="TableText0"/>
              <w:jc w:val="center"/>
            </w:pPr>
            <w:r w:rsidRPr="005E3251">
              <w:t>NR</w:t>
            </w:r>
          </w:p>
        </w:tc>
        <w:tc>
          <w:tcPr>
            <w:tcW w:w="471" w:type="pct"/>
            <w:shd w:val="clear" w:color="auto" w:fill="auto"/>
            <w:noWrap/>
            <w:tcMar>
              <w:left w:w="57" w:type="dxa"/>
              <w:right w:w="57" w:type="dxa"/>
            </w:tcMar>
            <w:vAlign w:val="center"/>
          </w:tcPr>
          <w:p w14:paraId="71A67AB6" w14:textId="77777777" w:rsidR="0038693E" w:rsidRPr="005E3251" w:rsidRDefault="0038693E" w:rsidP="0038693E">
            <w:pPr>
              <w:pStyle w:val="TableText0"/>
              <w:jc w:val="center"/>
            </w:pPr>
            <w:r w:rsidRPr="005E3251">
              <w:t>NR</w:t>
            </w:r>
          </w:p>
        </w:tc>
        <w:tc>
          <w:tcPr>
            <w:tcW w:w="555" w:type="pct"/>
            <w:shd w:val="clear" w:color="auto" w:fill="auto"/>
            <w:noWrap/>
            <w:tcMar>
              <w:left w:w="57" w:type="dxa"/>
              <w:right w:w="57" w:type="dxa"/>
            </w:tcMar>
            <w:vAlign w:val="center"/>
          </w:tcPr>
          <w:p w14:paraId="1ABE7A0D" w14:textId="77777777" w:rsidR="0038693E" w:rsidRPr="005E3251" w:rsidRDefault="0038693E" w:rsidP="0038693E">
            <w:pPr>
              <w:pStyle w:val="TableText0"/>
              <w:jc w:val="center"/>
            </w:pPr>
            <w:r w:rsidRPr="005E3251">
              <w:t>NR</w:t>
            </w:r>
          </w:p>
        </w:tc>
        <w:tc>
          <w:tcPr>
            <w:tcW w:w="433" w:type="pct"/>
            <w:shd w:val="clear" w:color="auto" w:fill="auto"/>
            <w:noWrap/>
            <w:tcMar>
              <w:left w:w="57" w:type="dxa"/>
              <w:right w:w="57" w:type="dxa"/>
            </w:tcMar>
            <w:vAlign w:val="center"/>
          </w:tcPr>
          <w:p w14:paraId="185D1353" w14:textId="77777777" w:rsidR="0038693E" w:rsidRPr="005E3251" w:rsidRDefault="0038693E" w:rsidP="0038693E">
            <w:pPr>
              <w:pStyle w:val="TableText0"/>
              <w:jc w:val="center"/>
            </w:pPr>
            <w:r w:rsidRPr="005E3251">
              <w:t>NR</w:t>
            </w:r>
          </w:p>
        </w:tc>
        <w:tc>
          <w:tcPr>
            <w:tcW w:w="664" w:type="pct"/>
            <w:shd w:val="clear" w:color="auto" w:fill="auto"/>
            <w:noWrap/>
            <w:tcMar>
              <w:left w:w="57" w:type="dxa"/>
              <w:right w:w="57" w:type="dxa"/>
            </w:tcMar>
            <w:vAlign w:val="center"/>
          </w:tcPr>
          <w:p w14:paraId="36AFD056" w14:textId="05B63135" w:rsidR="0038693E" w:rsidRPr="005E3251" w:rsidRDefault="0038693E" w:rsidP="0038693E">
            <w:pPr>
              <w:pStyle w:val="TableText0"/>
              <w:jc w:val="center"/>
            </w:pPr>
            <w:r w:rsidRPr="005E3251">
              <w:t>3 (5.0)</w:t>
            </w:r>
          </w:p>
        </w:tc>
        <w:tc>
          <w:tcPr>
            <w:tcW w:w="708" w:type="pct"/>
            <w:shd w:val="clear" w:color="auto" w:fill="auto"/>
            <w:noWrap/>
            <w:tcMar>
              <w:left w:w="57" w:type="dxa"/>
              <w:right w:w="57" w:type="dxa"/>
            </w:tcMar>
            <w:vAlign w:val="center"/>
          </w:tcPr>
          <w:p w14:paraId="336800E9" w14:textId="2C264251" w:rsidR="0038693E" w:rsidRPr="005E3251" w:rsidRDefault="0038693E" w:rsidP="0038693E">
            <w:pPr>
              <w:pStyle w:val="TableText0"/>
              <w:jc w:val="center"/>
            </w:pPr>
            <w:r w:rsidRPr="005E3251">
              <w:t>8 (12.0)</w:t>
            </w:r>
          </w:p>
        </w:tc>
        <w:tc>
          <w:tcPr>
            <w:tcW w:w="757" w:type="pct"/>
            <w:noWrap/>
            <w:tcMar>
              <w:left w:w="57" w:type="dxa"/>
              <w:right w:w="57" w:type="dxa"/>
            </w:tcMar>
            <w:vAlign w:val="center"/>
          </w:tcPr>
          <w:p w14:paraId="37F7CC5A" w14:textId="77777777" w:rsidR="0038693E" w:rsidRPr="005E3251" w:rsidRDefault="0038693E" w:rsidP="0038693E">
            <w:pPr>
              <w:pStyle w:val="TableText0"/>
              <w:jc w:val="center"/>
            </w:pPr>
            <w:r w:rsidRPr="005E3251">
              <w:t>NR</w:t>
            </w:r>
          </w:p>
        </w:tc>
      </w:tr>
    </w:tbl>
    <w:p w14:paraId="72D2CCC0" w14:textId="5B3C82A7" w:rsidR="00CE7338" w:rsidRPr="005E3251" w:rsidRDefault="00CE7338" w:rsidP="00CE7338">
      <w:pPr>
        <w:pStyle w:val="TableFigureFooter"/>
      </w:pPr>
      <w:r w:rsidRPr="005E3251">
        <w:t>Source: Table compiled during the assessment from Table 2-49, p98, Table 2-50, p98, Table 2-54, p101, Table 2-56, p103, Table 2-58, p104, Table 2-60, p106, Table 2-63, p110, Table 2-64, p112, Table 2-69, p132, Table A-11, p11, Appendix 1 of the submission, Guerrini et al 2024.</w:t>
      </w:r>
      <w:r w:rsidRPr="005E3251">
        <w:rPr>
          <w:b/>
          <w:bCs/>
        </w:rPr>
        <w:t xml:space="preserve"> </w:t>
      </w:r>
      <w:r w:rsidRPr="005E3251">
        <w:t>GWPCARE</w:t>
      </w:r>
      <w:r w:rsidR="004570F0" w:rsidRPr="005E3251">
        <w:t xml:space="preserve">1 and </w:t>
      </w:r>
      <w:r w:rsidR="00CE7CE5" w:rsidRPr="005E3251">
        <w:t>GWP</w:t>
      </w:r>
      <w:r w:rsidR="004570F0" w:rsidRPr="005E3251">
        <w:t>CARE2</w:t>
      </w:r>
      <w:r w:rsidRPr="005E3251">
        <w:t xml:space="preserve"> data was from trial publications Devinsky et al (2017) and Miller et al (2020),</w:t>
      </w:r>
      <w:r w:rsidR="004570F0" w:rsidRPr="005E3251">
        <w:t xml:space="preserve"> respectively,</w:t>
      </w:r>
      <w:r w:rsidRPr="005E3251">
        <w:t xml:space="preserve"> and STICLO trials’ data was from Guerrini et al 2024.</w:t>
      </w:r>
    </w:p>
    <w:p w14:paraId="1C05D751" w14:textId="66E301D4" w:rsidR="00CE7338" w:rsidRPr="005E3251" w:rsidRDefault="00CE7338" w:rsidP="00CE7338">
      <w:pPr>
        <w:pStyle w:val="TableFigureFooter"/>
      </w:pPr>
      <w:r w:rsidRPr="005E3251">
        <w:t xml:space="preserve">&gt;DC = leading to discontinuation of study treatment; AE = adverse event; ALT= Alanine Transaminase; AST=Aspartate Aminotransferase; </w:t>
      </w:r>
      <w:r w:rsidR="001E0588" w:rsidRPr="005E3251">
        <w:t xml:space="preserve">NR = not reported; </w:t>
      </w:r>
      <w:r w:rsidRPr="005E3251">
        <w:t xml:space="preserve">SAE = serious adverse event; </w:t>
      </w:r>
      <w:r w:rsidR="001E0588" w:rsidRPr="005E3251">
        <w:t xml:space="preserve">STP = stiripentol; </w:t>
      </w:r>
      <w:r w:rsidRPr="005E3251">
        <w:t>TE = treatment emergent.</w:t>
      </w:r>
      <w:r w:rsidR="6A01E430" w:rsidRPr="005E3251">
        <w:t xml:space="preserve"> </w:t>
      </w:r>
    </w:p>
    <w:p w14:paraId="5073BAA4" w14:textId="5335310A" w:rsidR="00870250" w:rsidRPr="005E3251" w:rsidRDefault="00870250" w:rsidP="00CE7338">
      <w:pPr>
        <w:pStyle w:val="TableFigureFooter"/>
      </w:pPr>
      <w:r w:rsidRPr="005E3251">
        <w:rPr>
          <w:vertAlign w:val="superscript"/>
        </w:rPr>
        <w:t>a</w:t>
      </w:r>
      <w:r w:rsidRPr="005E3251">
        <w:t xml:space="preserve"> Status epilepticus was defined as an outcome, as opposed to an adverse event, in the fenfluramine trials.</w:t>
      </w:r>
    </w:p>
    <w:p w14:paraId="2721F1C1" w14:textId="77777777" w:rsidR="00CE7338" w:rsidRPr="005E3251" w:rsidRDefault="00CE7338" w:rsidP="00CE7338">
      <w:pPr>
        <w:pStyle w:val="3-BodyText"/>
      </w:pPr>
      <w:bookmarkStart w:id="58" w:name="_Hlk177376760"/>
      <w:r w:rsidRPr="005E3251">
        <w:t>While the overall incidence of AEs across the trials appeared similar, the types of AEs were different.</w:t>
      </w:r>
    </w:p>
    <w:p w14:paraId="5C443CD9" w14:textId="7C2246E0" w:rsidR="00CE7338" w:rsidRPr="005E3251" w:rsidRDefault="00CE7338" w:rsidP="00AE292D">
      <w:pPr>
        <w:pStyle w:val="ListParagraph"/>
        <w:ind w:left="1134"/>
      </w:pPr>
      <w:bookmarkStart w:id="59" w:name="_Hlk177376571"/>
      <w:bookmarkEnd w:id="58"/>
      <w:r w:rsidRPr="005E3251">
        <w:t xml:space="preserve">The </w:t>
      </w:r>
      <w:r w:rsidR="00123EE8" w:rsidRPr="005E3251">
        <w:t>common AEs reported in the</w:t>
      </w:r>
      <w:r w:rsidR="00C90BC5" w:rsidRPr="005E3251">
        <w:t xml:space="preserve"> </w:t>
      </w:r>
      <w:r w:rsidR="00123EE8" w:rsidRPr="005E3251">
        <w:t xml:space="preserve">fenfluramine trials </w:t>
      </w:r>
      <w:r w:rsidRPr="005E3251">
        <w:t>may have a long-lasting impact on children with epilepsy and may be difficult to manage with minimal</w:t>
      </w:r>
      <w:r w:rsidR="29555144" w:rsidRPr="005E3251">
        <w:t xml:space="preserve"> medical</w:t>
      </w:r>
      <w:r w:rsidRPr="005E3251">
        <w:t xml:space="preserve"> intervention (e.g. metabolism and nutrition disorders and abnormal echocardiogram indicating valvular damage). </w:t>
      </w:r>
    </w:p>
    <w:bookmarkEnd w:id="59"/>
    <w:p w14:paraId="40DF3277" w14:textId="189CB816" w:rsidR="00CE7338" w:rsidRPr="005E3251" w:rsidRDefault="00CE7338" w:rsidP="00AE292D">
      <w:pPr>
        <w:pStyle w:val="ListParagraph"/>
        <w:ind w:left="1134"/>
      </w:pPr>
      <w:r w:rsidRPr="005E3251">
        <w:t>On the other hand, the common AEs reported in the cannabidiol trials such as diarrhoea and vomiting may be treated with minimal</w:t>
      </w:r>
      <w:r w:rsidR="2A864D1A" w:rsidRPr="005E3251">
        <w:t xml:space="preserve"> medical</w:t>
      </w:r>
      <w:r w:rsidRPr="005E3251">
        <w:t xml:space="preserve"> intervention. </w:t>
      </w:r>
    </w:p>
    <w:p w14:paraId="4D9FCCB5" w14:textId="7E6E1539" w:rsidR="00CE7338" w:rsidRPr="005E3251" w:rsidRDefault="00CE7338" w:rsidP="00AE292D">
      <w:pPr>
        <w:pStyle w:val="ListParagraph"/>
        <w:numPr>
          <w:ilvl w:val="0"/>
          <w:numId w:val="8"/>
        </w:numPr>
        <w:ind w:left="1134"/>
      </w:pPr>
      <w:r w:rsidRPr="005E3251">
        <w:t xml:space="preserve">The safety of fenfluramine 0.7 mg/kg/day (without stiripentol) was uncertain compared to stiripentol 50 mg/kg/day—while some AEs had a higher incidence in </w:t>
      </w:r>
      <w:r w:rsidR="00755567" w:rsidRPr="005E3251">
        <w:t xml:space="preserve">the </w:t>
      </w:r>
      <w:r w:rsidRPr="005E3251">
        <w:t xml:space="preserve">fenfluramine arm, others were higher in the stiripentol arm. The stiripentol trials reported very few types of AEs making the comparison difficult with fenfluramine. </w:t>
      </w:r>
    </w:p>
    <w:p w14:paraId="4204BD76" w14:textId="7DFABFD4" w:rsidR="00DB611B" w:rsidRPr="005E3251" w:rsidRDefault="00DB611B" w:rsidP="00AE292D">
      <w:pPr>
        <w:pStyle w:val="ListParagraph"/>
        <w:ind w:left="1134"/>
      </w:pPr>
      <w:r w:rsidRPr="005E3251">
        <w:t xml:space="preserve">The safety of fenfluramine 0.4 mg/kg/day (with stiripentol) was uncertain compared to </w:t>
      </w:r>
      <w:r w:rsidR="004877D9">
        <w:t>placebo</w:t>
      </w:r>
      <w:r w:rsidR="004877D9" w:rsidRPr="005E3251">
        <w:t xml:space="preserve"> </w:t>
      </w:r>
      <w:r w:rsidR="003F483F" w:rsidRPr="005E3251">
        <w:t>(</w:t>
      </w:r>
      <w:r w:rsidR="004877D9">
        <w:t xml:space="preserve">stiripentol </w:t>
      </w:r>
      <w:r w:rsidR="003F483F" w:rsidRPr="005E3251">
        <w:t>unknown dose)</w:t>
      </w:r>
      <w:r w:rsidR="00377EFC" w:rsidRPr="005E3251">
        <w:t xml:space="preserve"> [Study 2 trial results]</w:t>
      </w:r>
      <w:r w:rsidRPr="005E3251">
        <w:t>—</w:t>
      </w:r>
      <w:r w:rsidR="003F483F" w:rsidRPr="005E3251">
        <w:t>serious</w:t>
      </w:r>
      <w:r w:rsidRPr="005E3251">
        <w:t xml:space="preserve"> </w:t>
      </w:r>
      <w:r w:rsidRPr="005E3251">
        <w:lastRenderedPageBreak/>
        <w:t xml:space="preserve">AEs had a higher incidence in the </w:t>
      </w:r>
      <w:r w:rsidR="00A92D3C">
        <w:t>placebo</w:t>
      </w:r>
      <w:r w:rsidR="00A92D3C" w:rsidRPr="005E3251">
        <w:t xml:space="preserve"> </w:t>
      </w:r>
      <w:r w:rsidR="003F483F" w:rsidRPr="005E3251">
        <w:t xml:space="preserve">arm, but specific AEs such as abnormal echocardiogram and metabolism and nutritional disorders were higher in the fenfluramine </w:t>
      </w:r>
      <w:r w:rsidR="005F6C85" w:rsidRPr="005E3251">
        <w:t xml:space="preserve">(with stiripentol) </w:t>
      </w:r>
      <w:r w:rsidR="003F483F" w:rsidRPr="005E3251">
        <w:t>arm</w:t>
      </w:r>
      <w:r w:rsidRPr="005E3251">
        <w:t xml:space="preserve">. </w:t>
      </w:r>
    </w:p>
    <w:p w14:paraId="66CD32D8" w14:textId="07F24FA0" w:rsidR="00856E85" w:rsidRPr="005E3251" w:rsidRDefault="00F76236" w:rsidP="00671FFA">
      <w:pPr>
        <w:pStyle w:val="3-BodyText"/>
      </w:pPr>
      <w:bookmarkStart w:id="60" w:name="_Ref176441782"/>
      <w:r w:rsidRPr="005E3251">
        <w:t xml:space="preserve">In the absence of a formal indirect comparison between safety outcomes, </w:t>
      </w:r>
      <w:r w:rsidR="00766DC8">
        <w:t xml:space="preserve">an </w:t>
      </w:r>
      <w:r w:rsidRPr="005E3251">
        <w:t xml:space="preserve">unanchored indirect comparison was conducted during the evaluation, to quantify comparative harms. To use </w:t>
      </w:r>
      <w:r w:rsidR="00DE0838" w:rsidRPr="005E3251">
        <w:t xml:space="preserve">pooled effects for </w:t>
      </w:r>
      <w:r w:rsidR="00AD02A6" w:rsidRPr="005E3251">
        <w:t xml:space="preserve">the </w:t>
      </w:r>
      <w:r w:rsidR="00DE0838" w:rsidRPr="005E3251">
        <w:t>s</w:t>
      </w:r>
      <w:r w:rsidR="00AD02A6" w:rsidRPr="005E3251">
        <w:t>a</w:t>
      </w:r>
      <w:r w:rsidR="00DE0838" w:rsidRPr="005E3251">
        <w:t xml:space="preserve">me interventions, a </w:t>
      </w:r>
      <w:r w:rsidR="0042122E" w:rsidRPr="005E3251">
        <w:t>random-effects meta-analysis</w:t>
      </w:r>
      <w:r w:rsidR="00DE0838" w:rsidRPr="005E3251">
        <w:t xml:space="preserve"> was used</w:t>
      </w:r>
      <w:r w:rsidR="0042122E" w:rsidRPr="005E3251">
        <w:t>. Th</w:t>
      </w:r>
      <w:r w:rsidR="00DE0838" w:rsidRPr="005E3251">
        <w:t>e unanchored</w:t>
      </w:r>
      <w:r w:rsidR="0042122E" w:rsidRPr="005E3251">
        <w:t xml:space="preserve"> comparison</w:t>
      </w:r>
      <w:r w:rsidR="00DE0838" w:rsidRPr="005E3251">
        <w:t>s</w:t>
      </w:r>
      <w:r w:rsidR="0042122E" w:rsidRPr="005E3251">
        <w:t xml:space="preserve"> w</w:t>
      </w:r>
      <w:r w:rsidR="00DE0838" w:rsidRPr="005E3251">
        <w:t>ere</w:t>
      </w:r>
      <w:r w:rsidR="0042122E" w:rsidRPr="005E3251">
        <w:t xml:space="preserve"> only feasible for outcomes presented across the fenfluramine, cannabidiol and stiripentol trials. </w:t>
      </w:r>
    </w:p>
    <w:p w14:paraId="42D5B362" w14:textId="5D43C18D" w:rsidR="0042122E" w:rsidRPr="005E3251" w:rsidRDefault="000E3E8A" w:rsidP="00253F67">
      <w:pPr>
        <w:pStyle w:val="3-BodyText"/>
      </w:pPr>
      <w:r w:rsidRPr="005E3251">
        <w:fldChar w:fldCharType="begin" w:fldLock="1"/>
      </w:r>
      <w:r w:rsidRPr="005E3251">
        <w:instrText xml:space="preserve"> REF _Ref176440496 \h  \* MERGEFORMAT </w:instrText>
      </w:r>
      <w:r w:rsidRPr="005E3251">
        <w:fldChar w:fldCharType="separate"/>
      </w:r>
      <w:r w:rsidR="00D72887" w:rsidRPr="005E3251">
        <w:t xml:space="preserve">Table </w:t>
      </w:r>
      <w:r w:rsidR="00D72887">
        <w:rPr>
          <w:noProof/>
        </w:rPr>
        <w:t>12</w:t>
      </w:r>
      <w:r w:rsidRPr="005E3251">
        <w:fldChar w:fldCharType="end"/>
      </w:r>
      <w:r w:rsidR="0042122E" w:rsidRPr="005E3251">
        <w:t xml:space="preserve"> presents the unanchored indirect treatment comparison for serious adverse events reported in the trials.</w:t>
      </w:r>
      <w:bookmarkEnd w:id="60"/>
    </w:p>
    <w:p w14:paraId="0C349133" w14:textId="2B68B3DE" w:rsidR="0042122E" w:rsidRPr="005E3251" w:rsidRDefault="0042122E" w:rsidP="00D37B76">
      <w:pPr>
        <w:pStyle w:val="Caption"/>
      </w:pPr>
      <w:bookmarkStart w:id="61" w:name="_Ref176440496"/>
      <w:r w:rsidRPr="005E3251">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12</w:t>
      </w:r>
      <w:r w:rsidR="00D72887">
        <w:rPr>
          <w:noProof/>
        </w:rPr>
        <w:fldChar w:fldCharType="end"/>
      </w:r>
      <w:bookmarkEnd w:id="61"/>
      <w:r w:rsidR="00DE0838" w:rsidRPr="005E3251">
        <w:t>:</w:t>
      </w:r>
      <w:r w:rsidRPr="005E3251">
        <w:t xml:space="preserve"> Unanchored indirect treatment comparison for safety of fenfluramine vs cannabidiol and stiripentol.</w:t>
      </w:r>
    </w:p>
    <w:tbl>
      <w:tblPr>
        <w:tblW w:w="5030" w:type="pct"/>
        <w:tblInd w:w="-5" w:type="dxa"/>
        <w:tblLayout w:type="fixed"/>
        <w:tblCellMar>
          <w:left w:w="28" w:type="dxa"/>
          <w:right w:w="28" w:type="dxa"/>
        </w:tblCellMar>
        <w:tblLook w:val="04A0" w:firstRow="1" w:lastRow="0" w:firstColumn="1" w:lastColumn="0" w:noHBand="0" w:noVBand="1"/>
      </w:tblPr>
      <w:tblGrid>
        <w:gridCol w:w="2269"/>
        <w:gridCol w:w="9"/>
        <w:gridCol w:w="1007"/>
        <w:gridCol w:w="1419"/>
        <w:gridCol w:w="1139"/>
        <w:gridCol w:w="985"/>
        <w:gridCol w:w="833"/>
        <w:gridCol w:w="1410"/>
      </w:tblGrid>
      <w:tr w:rsidR="0042122E" w:rsidRPr="005E3251" w14:paraId="52951496" w14:textId="77777777" w:rsidTr="008A65E1">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73190E" w14:textId="77777777" w:rsidR="0042122E" w:rsidRPr="005E3251" w:rsidRDefault="0042122E" w:rsidP="00D37B76">
            <w:pPr>
              <w:pStyle w:val="In-tableHeading"/>
              <w:widowControl w:val="0"/>
            </w:pPr>
            <w:r w:rsidRPr="005E3251">
              <w:t xml:space="preserve">Harms </w:t>
            </w:r>
          </w:p>
        </w:tc>
      </w:tr>
      <w:tr w:rsidR="0042122E" w:rsidRPr="005E3251" w14:paraId="32E74415" w14:textId="77777777" w:rsidTr="005B4B23">
        <w:trPr>
          <w:trHeight w:val="303"/>
          <w:tblHeader/>
        </w:trPr>
        <w:tc>
          <w:tcPr>
            <w:tcW w:w="125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43AAEA" w14:textId="77777777" w:rsidR="0042122E" w:rsidRPr="005E3251" w:rsidRDefault="0042122E" w:rsidP="00D37B76">
            <w:pPr>
              <w:pStyle w:val="In-tableHeading"/>
            </w:pPr>
          </w:p>
        </w:tc>
        <w:tc>
          <w:tcPr>
            <w:tcW w:w="555" w:type="pct"/>
            <w:vMerge w:val="restart"/>
            <w:tcBorders>
              <w:top w:val="single" w:sz="4" w:space="0" w:color="auto"/>
              <w:left w:val="single" w:sz="4" w:space="0" w:color="auto"/>
              <w:bottom w:val="single" w:sz="4" w:space="0" w:color="auto"/>
              <w:right w:val="single" w:sz="4" w:space="0" w:color="auto"/>
            </w:tcBorders>
            <w:vAlign w:val="center"/>
          </w:tcPr>
          <w:p w14:paraId="0B00A67B" w14:textId="77777777" w:rsidR="0042122E" w:rsidRPr="005E3251" w:rsidRDefault="0042122E" w:rsidP="00D37B76">
            <w:pPr>
              <w:pStyle w:val="In-tableHeading"/>
              <w:jc w:val="center"/>
            </w:pPr>
            <w:r w:rsidRPr="005E3251">
              <w:t>FFA</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14:paraId="32FF7D7F" w14:textId="77777777" w:rsidR="0042122E" w:rsidRPr="005E3251" w:rsidRDefault="0042122E" w:rsidP="00D37B76">
            <w:pPr>
              <w:pStyle w:val="In-tableHeading"/>
              <w:jc w:val="center"/>
            </w:pPr>
            <w:r w:rsidRPr="005E3251">
              <w:t>Comparator/</w:t>
            </w:r>
          </w:p>
          <w:p w14:paraId="0E7E4F8D" w14:textId="77777777" w:rsidR="0042122E" w:rsidRPr="005E3251" w:rsidRDefault="0042122E" w:rsidP="00D37B76">
            <w:pPr>
              <w:pStyle w:val="In-tableHeading"/>
              <w:jc w:val="center"/>
            </w:pPr>
            <w:r w:rsidRPr="005E3251">
              <w:t>PBO</w:t>
            </w:r>
          </w:p>
        </w:tc>
        <w:tc>
          <w:tcPr>
            <w:tcW w:w="628" w:type="pct"/>
            <w:vMerge w:val="restart"/>
            <w:tcBorders>
              <w:top w:val="single" w:sz="4" w:space="0" w:color="auto"/>
              <w:left w:val="single" w:sz="4" w:space="0" w:color="auto"/>
              <w:bottom w:val="single" w:sz="4" w:space="0" w:color="auto"/>
              <w:right w:val="single" w:sz="4" w:space="0" w:color="auto"/>
            </w:tcBorders>
            <w:vAlign w:val="center"/>
          </w:tcPr>
          <w:p w14:paraId="1EBE829B" w14:textId="77777777" w:rsidR="0042122E" w:rsidRPr="005E3251" w:rsidRDefault="0042122E" w:rsidP="00D37B76">
            <w:pPr>
              <w:pStyle w:val="In-tableHeading"/>
              <w:jc w:val="center"/>
            </w:pPr>
            <w:r w:rsidRPr="005E3251">
              <w:t>RR</w:t>
            </w:r>
          </w:p>
          <w:p w14:paraId="0DA5387F" w14:textId="77777777" w:rsidR="0042122E" w:rsidRPr="005E3251" w:rsidRDefault="0042122E" w:rsidP="00D37B76">
            <w:pPr>
              <w:pStyle w:val="In-tableHeading"/>
              <w:jc w:val="center"/>
            </w:pPr>
            <w:r w:rsidRPr="005E3251">
              <w:t>(95% CI)</w:t>
            </w:r>
          </w:p>
        </w:tc>
        <w:tc>
          <w:tcPr>
            <w:tcW w:w="1002" w:type="pct"/>
            <w:gridSpan w:val="2"/>
            <w:tcBorders>
              <w:top w:val="single" w:sz="4" w:space="0" w:color="auto"/>
              <w:left w:val="single" w:sz="4" w:space="0" w:color="auto"/>
              <w:bottom w:val="single" w:sz="4" w:space="0" w:color="auto"/>
              <w:right w:val="single" w:sz="4" w:space="0" w:color="auto"/>
            </w:tcBorders>
            <w:vAlign w:val="center"/>
          </w:tcPr>
          <w:p w14:paraId="16751EDB" w14:textId="77777777" w:rsidR="0042122E" w:rsidRPr="005E3251" w:rsidRDefault="0042122E" w:rsidP="00D37B76">
            <w:pPr>
              <w:pStyle w:val="In-tableHeading"/>
              <w:jc w:val="center"/>
            </w:pPr>
            <w:r w:rsidRPr="005E3251">
              <w:t>Event rate/100 patients</w:t>
            </w:r>
          </w:p>
        </w:tc>
        <w:tc>
          <w:tcPr>
            <w:tcW w:w="777" w:type="pct"/>
            <w:vMerge w:val="restart"/>
            <w:tcBorders>
              <w:top w:val="single" w:sz="4" w:space="0" w:color="auto"/>
              <w:left w:val="single" w:sz="4" w:space="0" w:color="auto"/>
              <w:bottom w:val="single" w:sz="4" w:space="0" w:color="auto"/>
              <w:right w:val="single" w:sz="4" w:space="0" w:color="auto"/>
            </w:tcBorders>
            <w:vAlign w:val="center"/>
          </w:tcPr>
          <w:p w14:paraId="262D6C4F" w14:textId="77777777" w:rsidR="0042122E" w:rsidRPr="005E3251" w:rsidRDefault="0042122E" w:rsidP="00D37B76">
            <w:pPr>
              <w:pStyle w:val="In-tableHeading"/>
              <w:jc w:val="center"/>
            </w:pPr>
            <w:r w:rsidRPr="005E3251">
              <w:t>RD</w:t>
            </w:r>
          </w:p>
          <w:p w14:paraId="37A0E7BE" w14:textId="77777777" w:rsidR="0042122E" w:rsidRPr="005E3251" w:rsidRDefault="0042122E" w:rsidP="00D37B76">
            <w:pPr>
              <w:pStyle w:val="In-tableHeading"/>
              <w:jc w:val="center"/>
            </w:pPr>
            <w:r w:rsidRPr="005E3251">
              <w:t>(95% CI)</w:t>
            </w:r>
          </w:p>
        </w:tc>
      </w:tr>
      <w:tr w:rsidR="0042122E" w:rsidRPr="005E3251" w14:paraId="389EA5A2" w14:textId="77777777" w:rsidTr="005B4B23">
        <w:trPr>
          <w:trHeight w:val="77"/>
          <w:tblHeader/>
        </w:trPr>
        <w:tc>
          <w:tcPr>
            <w:tcW w:w="125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D2BAE38" w14:textId="77777777" w:rsidR="0042122E" w:rsidRPr="005E3251" w:rsidRDefault="0042122E" w:rsidP="00D37B76">
            <w:pPr>
              <w:pStyle w:val="In-tableHeading"/>
            </w:pPr>
          </w:p>
        </w:tc>
        <w:tc>
          <w:tcPr>
            <w:tcW w:w="555" w:type="pct"/>
            <w:vMerge/>
            <w:tcBorders>
              <w:top w:val="single" w:sz="4" w:space="0" w:color="auto"/>
              <w:left w:val="single" w:sz="4" w:space="0" w:color="auto"/>
              <w:bottom w:val="single" w:sz="4" w:space="0" w:color="auto"/>
              <w:right w:val="single" w:sz="4" w:space="0" w:color="auto"/>
            </w:tcBorders>
            <w:vAlign w:val="center"/>
          </w:tcPr>
          <w:p w14:paraId="3FC79D52" w14:textId="77777777" w:rsidR="0042122E" w:rsidRPr="005E3251" w:rsidRDefault="0042122E" w:rsidP="00D37B76">
            <w:pPr>
              <w:pStyle w:val="In-tableHeading"/>
            </w:pPr>
          </w:p>
        </w:tc>
        <w:tc>
          <w:tcPr>
            <w:tcW w:w="782" w:type="pct"/>
            <w:vMerge/>
            <w:tcBorders>
              <w:top w:val="single" w:sz="4" w:space="0" w:color="auto"/>
              <w:left w:val="single" w:sz="4" w:space="0" w:color="auto"/>
              <w:bottom w:val="single" w:sz="4" w:space="0" w:color="auto"/>
              <w:right w:val="single" w:sz="4" w:space="0" w:color="auto"/>
            </w:tcBorders>
            <w:vAlign w:val="center"/>
          </w:tcPr>
          <w:p w14:paraId="67EB19BE" w14:textId="77777777" w:rsidR="0042122E" w:rsidRPr="005E3251" w:rsidRDefault="0042122E" w:rsidP="00D37B76">
            <w:pPr>
              <w:pStyle w:val="In-tableHeading"/>
            </w:pPr>
          </w:p>
        </w:tc>
        <w:tc>
          <w:tcPr>
            <w:tcW w:w="628" w:type="pct"/>
            <w:vMerge/>
            <w:tcBorders>
              <w:top w:val="single" w:sz="4" w:space="0" w:color="auto"/>
              <w:left w:val="single" w:sz="4" w:space="0" w:color="auto"/>
              <w:bottom w:val="single" w:sz="4" w:space="0" w:color="auto"/>
              <w:right w:val="single" w:sz="4" w:space="0" w:color="auto"/>
            </w:tcBorders>
            <w:vAlign w:val="center"/>
          </w:tcPr>
          <w:p w14:paraId="41478EC0" w14:textId="77777777" w:rsidR="0042122E" w:rsidRPr="005E3251" w:rsidRDefault="0042122E" w:rsidP="00D37B76">
            <w:pPr>
              <w:pStyle w:val="In-tableHeading"/>
            </w:pPr>
          </w:p>
        </w:tc>
        <w:tc>
          <w:tcPr>
            <w:tcW w:w="543" w:type="pct"/>
            <w:tcBorders>
              <w:top w:val="single" w:sz="4" w:space="0" w:color="auto"/>
              <w:left w:val="single" w:sz="4" w:space="0" w:color="auto"/>
              <w:bottom w:val="single" w:sz="4" w:space="0" w:color="auto"/>
              <w:right w:val="single" w:sz="4" w:space="0" w:color="auto"/>
            </w:tcBorders>
            <w:vAlign w:val="center"/>
          </w:tcPr>
          <w:p w14:paraId="713C37D6" w14:textId="77777777" w:rsidR="0042122E" w:rsidRPr="005E3251" w:rsidRDefault="0042122E" w:rsidP="00D37B76">
            <w:pPr>
              <w:pStyle w:val="In-tableHeading"/>
              <w:jc w:val="center"/>
            </w:pPr>
            <w:r w:rsidRPr="005E3251">
              <w:t>FFA</w:t>
            </w:r>
          </w:p>
        </w:tc>
        <w:tc>
          <w:tcPr>
            <w:tcW w:w="459" w:type="pct"/>
            <w:tcBorders>
              <w:top w:val="single" w:sz="4" w:space="0" w:color="auto"/>
              <w:left w:val="single" w:sz="4" w:space="0" w:color="auto"/>
              <w:bottom w:val="single" w:sz="4" w:space="0" w:color="auto"/>
              <w:right w:val="single" w:sz="4" w:space="0" w:color="auto"/>
            </w:tcBorders>
            <w:vAlign w:val="center"/>
          </w:tcPr>
          <w:p w14:paraId="2E36EFA6" w14:textId="77777777" w:rsidR="0042122E" w:rsidRPr="005E3251" w:rsidRDefault="0042122E" w:rsidP="00D37B76">
            <w:pPr>
              <w:pStyle w:val="In-tableHeading"/>
              <w:jc w:val="center"/>
            </w:pPr>
            <w:r w:rsidRPr="005E3251">
              <w:t>PBO</w:t>
            </w:r>
          </w:p>
        </w:tc>
        <w:tc>
          <w:tcPr>
            <w:tcW w:w="777" w:type="pct"/>
            <w:vMerge/>
            <w:tcBorders>
              <w:top w:val="single" w:sz="4" w:space="0" w:color="auto"/>
              <w:left w:val="single" w:sz="4" w:space="0" w:color="auto"/>
              <w:bottom w:val="single" w:sz="4" w:space="0" w:color="auto"/>
              <w:right w:val="single" w:sz="4" w:space="0" w:color="auto"/>
            </w:tcBorders>
            <w:vAlign w:val="center"/>
          </w:tcPr>
          <w:p w14:paraId="0C948428" w14:textId="77777777" w:rsidR="0042122E" w:rsidRPr="005E3251" w:rsidRDefault="0042122E" w:rsidP="00D37B76">
            <w:pPr>
              <w:pStyle w:val="In-tableHeading"/>
            </w:pPr>
          </w:p>
        </w:tc>
      </w:tr>
      <w:tr w:rsidR="0042122E" w:rsidRPr="005E3251" w14:paraId="29124CFE" w14:textId="77777777" w:rsidTr="005B4B23">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9450D0C" w14:textId="77777777" w:rsidR="0042122E" w:rsidRPr="005E3251" w:rsidRDefault="0042122E" w:rsidP="00D37B76">
            <w:pPr>
              <w:pStyle w:val="In-tableHeading"/>
            </w:pPr>
            <w:r w:rsidRPr="005E3251">
              <w:t>Serious adverse events</w:t>
            </w:r>
          </w:p>
        </w:tc>
      </w:tr>
      <w:tr w:rsidR="0042122E" w:rsidRPr="005E3251" w14:paraId="7EC06F7B" w14:textId="77777777" w:rsidTr="005B4B23">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2078A0" w14:textId="77777777" w:rsidR="0042122E" w:rsidRPr="005E3251" w:rsidRDefault="0042122E" w:rsidP="00D37B76">
            <w:pPr>
              <w:pStyle w:val="In-tableHeading"/>
              <w:widowControl w:val="0"/>
            </w:pPr>
            <w:r w:rsidRPr="005E3251">
              <w:t>FFA 0.7 mg/kg/day (-STP) vs CBD 20 mg/kg/day (+/-STP)</w:t>
            </w:r>
          </w:p>
        </w:tc>
      </w:tr>
      <w:tr w:rsidR="0042122E" w:rsidRPr="005E3251" w14:paraId="662BE35C"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1CE53" w14:textId="77777777" w:rsidR="0042122E" w:rsidRPr="005E3251" w:rsidRDefault="0042122E" w:rsidP="00D37B76">
            <w:pPr>
              <w:pStyle w:val="TableText0"/>
              <w:widowControl w:val="0"/>
            </w:pPr>
            <w:r w:rsidRPr="005E3251">
              <w:t>Study 1 (FFA vs PBO)</w:t>
            </w:r>
          </w:p>
        </w:tc>
        <w:tc>
          <w:tcPr>
            <w:tcW w:w="555" w:type="pct"/>
            <w:tcBorders>
              <w:top w:val="single" w:sz="4" w:space="0" w:color="auto"/>
              <w:left w:val="single" w:sz="4" w:space="0" w:color="auto"/>
              <w:bottom w:val="single" w:sz="4" w:space="0" w:color="auto"/>
              <w:right w:val="single" w:sz="4" w:space="0" w:color="auto"/>
            </w:tcBorders>
            <w:vAlign w:val="center"/>
          </w:tcPr>
          <w:p w14:paraId="09D51DBF" w14:textId="77777777" w:rsidR="0042122E" w:rsidRPr="005E3251" w:rsidRDefault="0042122E" w:rsidP="00D37B76">
            <w:pPr>
              <w:pStyle w:val="TableText0"/>
              <w:widowControl w:val="0"/>
              <w:jc w:val="center"/>
            </w:pPr>
            <w:r w:rsidRPr="005E3251">
              <w:t>5/40</w:t>
            </w:r>
          </w:p>
        </w:tc>
        <w:tc>
          <w:tcPr>
            <w:tcW w:w="782" w:type="pct"/>
            <w:tcBorders>
              <w:top w:val="single" w:sz="4" w:space="0" w:color="auto"/>
              <w:left w:val="single" w:sz="4" w:space="0" w:color="auto"/>
              <w:bottom w:val="single" w:sz="4" w:space="0" w:color="auto"/>
              <w:right w:val="single" w:sz="4" w:space="0" w:color="auto"/>
            </w:tcBorders>
            <w:vAlign w:val="center"/>
          </w:tcPr>
          <w:p w14:paraId="4FE2E8D3" w14:textId="77777777" w:rsidR="0042122E" w:rsidRPr="005E3251" w:rsidRDefault="0042122E" w:rsidP="00D37B76">
            <w:pPr>
              <w:pStyle w:val="TableText0"/>
              <w:widowControl w:val="0"/>
              <w:jc w:val="center"/>
            </w:pPr>
            <w:r w:rsidRPr="005E3251">
              <w:t>4/40</w:t>
            </w:r>
          </w:p>
        </w:tc>
        <w:tc>
          <w:tcPr>
            <w:tcW w:w="628" w:type="pct"/>
            <w:tcBorders>
              <w:top w:val="single" w:sz="4" w:space="0" w:color="auto"/>
              <w:left w:val="single" w:sz="4" w:space="0" w:color="auto"/>
              <w:bottom w:val="single" w:sz="4" w:space="0" w:color="auto"/>
              <w:right w:val="single" w:sz="4" w:space="0" w:color="auto"/>
            </w:tcBorders>
            <w:vAlign w:val="center"/>
          </w:tcPr>
          <w:p w14:paraId="4F0AC895"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6BBDE57A" w14:textId="77777777" w:rsidR="0042122E" w:rsidRPr="005E3251" w:rsidRDefault="0042122E" w:rsidP="00D37B76">
            <w:pPr>
              <w:pStyle w:val="TableText0"/>
              <w:widowControl w:val="0"/>
              <w:jc w:val="center"/>
            </w:pPr>
            <w:r w:rsidRPr="005E3251">
              <w:t>12.5</w:t>
            </w:r>
          </w:p>
        </w:tc>
        <w:tc>
          <w:tcPr>
            <w:tcW w:w="459" w:type="pct"/>
            <w:tcBorders>
              <w:top w:val="single" w:sz="4" w:space="0" w:color="auto"/>
              <w:left w:val="single" w:sz="4" w:space="0" w:color="auto"/>
              <w:bottom w:val="single" w:sz="4" w:space="0" w:color="auto"/>
              <w:right w:val="single" w:sz="4" w:space="0" w:color="auto"/>
            </w:tcBorders>
            <w:vAlign w:val="center"/>
          </w:tcPr>
          <w:p w14:paraId="6F1961FE" w14:textId="77777777" w:rsidR="0042122E" w:rsidRPr="005E3251" w:rsidRDefault="0042122E" w:rsidP="00D37B76">
            <w:pPr>
              <w:pStyle w:val="TableText0"/>
              <w:widowControl w:val="0"/>
              <w:jc w:val="center"/>
            </w:pPr>
            <w:r w:rsidRPr="005E3251">
              <w:t>10.0</w:t>
            </w:r>
          </w:p>
        </w:tc>
        <w:tc>
          <w:tcPr>
            <w:tcW w:w="777" w:type="pct"/>
            <w:tcBorders>
              <w:top w:val="single" w:sz="4" w:space="0" w:color="auto"/>
              <w:left w:val="single" w:sz="4" w:space="0" w:color="auto"/>
              <w:bottom w:val="single" w:sz="4" w:space="0" w:color="auto"/>
              <w:right w:val="single" w:sz="4" w:space="0" w:color="auto"/>
            </w:tcBorders>
            <w:vAlign w:val="center"/>
          </w:tcPr>
          <w:p w14:paraId="3BD14409" w14:textId="77777777" w:rsidR="0042122E" w:rsidRPr="005E3251" w:rsidRDefault="0042122E" w:rsidP="00D37B76">
            <w:pPr>
              <w:pStyle w:val="TableText0"/>
              <w:widowControl w:val="0"/>
              <w:jc w:val="center"/>
            </w:pPr>
            <w:r w:rsidRPr="005E3251">
              <w:t>0.06 (NR)</w:t>
            </w:r>
          </w:p>
        </w:tc>
      </w:tr>
      <w:tr w:rsidR="0042122E" w:rsidRPr="005E3251" w14:paraId="353DDB25"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E354F" w14:textId="77777777" w:rsidR="0042122E" w:rsidRPr="005E3251" w:rsidRDefault="0042122E" w:rsidP="00D37B76">
            <w:pPr>
              <w:pStyle w:val="TableText0"/>
              <w:widowControl w:val="0"/>
            </w:pPr>
            <w:r w:rsidRPr="005E3251">
              <w:t>Study 3 (FFA vs PBO)</w:t>
            </w:r>
          </w:p>
        </w:tc>
        <w:tc>
          <w:tcPr>
            <w:tcW w:w="555" w:type="pct"/>
            <w:tcBorders>
              <w:top w:val="single" w:sz="4" w:space="0" w:color="auto"/>
              <w:left w:val="single" w:sz="4" w:space="0" w:color="auto"/>
              <w:bottom w:val="single" w:sz="4" w:space="0" w:color="auto"/>
              <w:right w:val="single" w:sz="4" w:space="0" w:color="auto"/>
            </w:tcBorders>
            <w:vAlign w:val="center"/>
          </w:tcPr>
          <w:p w14:paraId="680FFF53" w14:textId="77777777" w:rsidR="0042122E" w:rsidRPr="005E3251" w:rsidRDefault="0042122E" w:rsidP="00D37B76">
            <w:pPr>
              <w:pStyle w:val="TableText0"/>
              <w:widowControl w:val="0"/>
              <w:jc w:val="center"/>
            </w:pPr>
            <w:r w:rsidRPr="005E3251">
              <w:t>3/48</w:t>
            </w:r>
          </w:p>
        </w:tc>
        <w:tc>
          <w:tcPr>
            <w:tcW w:w="782" w:type="pct"/>
            <w:tcBorders>
              <w:top w:val="single" w:sz="4" w:space="0" w:color="auto"/>
              <w:left w:val="single" w:sz="4" w:space="0" w:color="auto"/>
              <w:bottom w:val="single" w:sz="4" w:space="0" w:color="auto"/>
              <w:right w:val="single" w:sz="4" w:space="0" w:color="auto"/>
            </w:tcBorders>
            <w:vAlign w:val="center"/>
          </w:tcPr>
          <w:p w14:paraId="48C2F502" w14:textId="77777777" w:rsidR="0042122E" w:rsidRPr="005E3251" w:rsidRDefault="0042122E" w:rsidP="00D37B76">
            <w:pPr>
              <w:pStyle w:val="TableText0"/>
              <w:widowControl w:val="0"/>
              <w:jc w:val="center"/>
            </w:pPr>
            <w:r w:rsidRPr="005E3251">
              <w:t>2/48</w:t>
            </w:r>
          </w:p>
        </w:tc>
        <w:tc>
          <w:tcPr>
            <w:tcW w:w="628" w:type="pct"/>
            <w:tcBorders>
              <w:top w:val="single" w:sz="4" w:space="0" w:color="auto"/>
              <w:left w:val="single" w:sz="4" w:space="0" w:color="auto"/>
              <w:bottom w:val="single" w:sz="4" w:space="0" w:color="auto"/>
              <w:right w:val="single" w:sz="4" w:space="0" w:color="auto"/>
            </w:tcBorders>
            <w:vAlign w:val="center"/>
          </w:tcPr>
          <w:p w14:paraId="7A3E301B"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3EC8689B" w14:textId="77777777" w:rsidR="0042122E" w:rsidRPr="005E3251" w:rsidRDefault="0042122E" w:rsidP="00D37B76">
            <w:pPr>
              <w:pStyle w:val="TableText0"/>
              <w:widowControl w:val="0"/>
              <w:jc w:val="center"/>
            </w:pPr>
            <w:r w:rsidRPr="005E3251">
              <w:t>6.3</w:t>
            </w:r>
          </w:p>
        </w:tc>
        <w:tc>
          <w:tcPr>
            <w:tcW w:w="459" w:type="pct"/>
            <w:tcBorders>
              <w:top w:val="single" w:sz="4" w:space="0" w:color="auto"/>
              <w:left w:val="single" w:sz="4" w:space="0" w:color="auto"/>
              <w:bottom w:val="single" w:sz="4" w:space="0" w:color="auto"/>
              <w:right w:val="single" w:sz="4" w:space="0" w:color="auto"/>
            </w:tcBorders>
            <w:vAlign w:val="center"/>
          </w:tcPr>
          <w:p w14:paraId="2961D242" w14:textId="77777777" w:rsidR="0042122E" w:rsidRPr="005E3251" w:rsidRDefault="0042122E" w:rsidP="00D37B76">
            <w:pPr>
              <w:pStyle w:val="TableText0"/>
              <w:widowControl w:val="0"/>
              <w:jc w:val="center"/>
            </w:pPr>
            <w:r w:rsidRPr="005E3251">
              <w:t>4.2</w:t>
            </w:r>
          </w:p>
        </w:tc>
        <w:tc>
          <w:tcPr>
            <w:tcW w:w="777" w:type="pct"/>
            <w:tcBorders>
              <w:top w:val="single" w:sz="4" w:space="0" w:color="auto"/>
              <w:left w:val="single" w:sz="4" w:space="0" w:color="auto"/>
              <w:bottom w:val="single" w:sz="4" w:space="0" w:color="auto"/>
              <w:right w:val="single" w:sz="4" w:space="0" w:color="auto"/>
            </w:tcBorders>
            <w:vAlign w:val="center"/>
          </w:tcPr>
          <w:p w14:paraId="28CC008D" w14:textId="77777777" w:rsidR="0042122E" w:rsidRPr="005E3251" w:rsidRDefault="0042122E" w:rsidP="00D37B76">
            <w:pPr>
              <w:pStyle w:val="TableText0"/>
              <w:widowControl w:val="0"/>
              <w:jc w:val="center"/>
            </w:pPr>
            <w:r w:rsidRPr="005E3251">
              <w:t>0.02 (NR)</w:t>
            </w:r>
          </w:p>
        </w:tc>
      </w:tr>
      <w:tr w:rsidR="0042122E" w:rsidRPr="005E3251" w14:paraId="7DBA2C88"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0CDD94" w14:textId="77777777" w:rsidR="0042122E" w:rsidRPr="005E3251" w:rsidRDefault="0042122E" w:rsidP="00D37B76">
            <w:pPr>
              <w:pStyle w:val="TableText0"/>
              <w:widowControl w:val="0"/>
            </w:pPr>
            <w:r w:rsidRPr="005E3251">
              <w:t xml:space="preserve">Pooled meta-analysis for FFA 0.7 mg/kg/day vs PBO </w:t>
            </w:r>
            <w:r w:rsidRPr="005E3251">
              <w:rPr>
                <w:vertAlign w:val="superscript"/>
              </w:rPr>
              <w:t>b</w:t>
            </w:r>
          </w:p>
        </w:tc>
        <w:tc>
          <w:tcPr>
            <w:tcW w:w="777" w:type="pct"/>
            <w:tcBorders>
              <w:top w:val="single" w:sz="4" w:space="0" w:color="auto"/>
              <w:left w:val="single" w:sz="4" w:space="0" w:color="auto"/>
              <w:bottom w:val="single" w:sz="4" w:space="0" w:color="auto"/>
              <w:right w:val="single" w:sz="4" w:space="0" w:color="auto"/>
            </w:tcBorders>
            <w:vAlign w:val="center"/>
          </w:tcPr>
          <w:p w14:paraId="059D4705" w14:textId="77777777" w:rsidR="0042122E" w:rsidRPr="005E3251" w:rsidRDefault="0042122E" w:rsidP="00D37B76">
            <w:pPr>
              <w:pStyle w:val="TableText0"/>
              <w:widowControl w:val="0"/>
              <w:jc w:val="center"/>
            </w:pPr>
            <w:r w:rsidRPr="005E3251">
              <w:t>0.02 (-0.05, 0.10)</w:t>
            </w:r>
          </w:p>
        </w:tc>
      </w:tr>
      <w:tr w:rsidR="0042122E" w:rsidRPr="005E3251" w14:paraId="2B6F0F98"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B5391" w14:textId="77777777" w:rsidR="0042122E" w:rsidRPr="005E3251" w:rsidRDefault="0042122E" w:rsidP="00D37B76">
            <w:pPr>
              <w:pStyle w:val="TableText0"/>
              <w:widowControl w:val="0"/>
            </w:pPr>
            <w:r w:rsidRPr="005E3251">
              <w:t>GWPCARE1 (CBD vs PBO)</w:t>
            </w:r>
          </w:p>
        </w:tc>
        <w:tc>
          <w:tcPr>
            <w:tcW w:w="555" w:type="pct"/>
            <w:tcBorders>
              <w:top w:val="single" w:sz="4" w:space="0" w:color="auto"/>
              <w:left w:val="single" w:sz="4" w:space="0" w:color="auto"/>
              <w:bottom w:val="single" w:sz="4" w:space="0" w:color="auto"/>
              <w:right w:val="single" w:sz="4" w:space="0" w:color="auto"/>
            </w:tcBorders>
            <w:vAlign w:val="center"/>
          </w:tcPr>
          <w:p w14:paraId="66D1CCBF" w14:textId="77777777" w:rsidR="0042122E" w:rsidRPr="005E3251" w:rsidRDefault="0042122E" w:rsidP="00D37B76">
            <w:pPr>
              <w:pStyle w:val="TableText0"/>
              <w:widowControl w:val="0"/>
              <w:jc w:val="center"/>
            </w:pPr>
            <w:r w:rsidRPr="005E3251">
              <w:t>10/61</w:t>
            </w:r>
          </w:p>
        </w:tc>
        <w:tc>
          <w:tcPr>
            <w:tcW w:w="782" w:type="pct"/>
            <w:tcBorders>
              <w:top w:val="single" w:sz="4" w:space="0" w:color="auto"/>
              <w:left w:val="single" w:sz="4" w:space="0" w:color="auto"/>
              <w:bottom w:val="single" w:sz="4" w:space="0" w:color="auto"/>
              <w:right w:val="single" w:sz="4" w:space="0" w:color="auto"/>
            </w:tcBorders>
            <w:vAlign w:val="center"/>
          </w:tcPr>
          <w:p w14:paraId="19A8AAE2" w14:textId="77777777" w:rsidR="0042122E" w:rsidRPr="005E3251" w:rsidRDefault="0042122E" w:rsidP="00D37B76">
            <w:pPr>
              <w:pStyle w:val="TableText0"/>
              <w:widowControl w:val="0"/>
              <w:jc w:val="center"/>
            </w:pPr>
            <w:r w:rsidRPr="005E3251">
              <w:t>3/51</w:t>
            </w:r>
          </w:p>
        </w:tc>
        <w:tc>
          <w:tcPr>
            <w:tcW w:w="628" w:type="pct"/>
            <w:tcBorders>
              <w:top w:val="single" w:sz="4" w:space="0" w:color="auto"/>
              <w:left w:val="single" w:sz="4" w:space="0" w:color="auto"/>
              <w:bottom w:val="single" w:sz="4" w:space="0" w:color="auto"/>
              <w:right w:val="single" w:sz="4" w:space="0" w:color="auto"/>
            </w:tcBorders>
            <w:vAlign w:val="center"/>
          </w:tcPr>
          <w:p w14:paraId="76B05E5D"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672113D0" w14:textId="77777777" w:rsidR="0042122E" w:rsidRPr="005E3251" w:rsidRDefault="0042122E" w:rsidP="00D37B76">
            <w:pPr>
              <w:pStyle w:val="TableText0"/>
              <w:widowControl w:val="0"/>
              <w:jc w:val="center"/>
            </w:pPr>
            <w:r w:rsidRPr="005E3251">
              <w:t>16.4</w:t>
            </w:r>
          </w:p>
        </w:tc>
        <w:tc>
          <w:tcPr>
            <w:tcW w:w="459" w:type="pct"/>
            <w:tcBorders>
              <w:top w:val="single" w:sz="4" w:space="0" w:color="auto"/>
              <w:left w:val="single" w:sz="4" w:space="0" w:color="auto"/>
              <w:bottom w:val="single" w:sz="4" w:space="0" w:color="auto"/>
              <w:right w:val="single" w:sz="4" w:space="0" w:color="auto"/>
            </w:tcBorders>
            <w:vAlign w:val="center"/>
          </w:tcPr>
          <w:p w14:paraId="7B02007B" w14:textId="77777777" w:rsidR="0042122E" w:rsidRPr="005E3251" w:rsidRDefault="0042122E" w:rsidP="00D37B76">
            <w:pPr>
              <w:pStyle w:val="TableText0"/>
              <w:widowControl w:val="0"/>
              <w:jc w:val="center"/>
            </w:pPr>
            <w:r w:rsidRPr="005E3251">
              <w:t>5.1</w:t>
            </w:r>
          </w:p>
        </w:tc>
        <w:tc>
          <w:tcPr>
            <w:tcW w:w="777" w:type="pct"/>
            <w:tcBorders>
              <w:top w:val="single" w:sz="4" w:space="0" w:color="auto"/>
              <w:left w:val="single" w:sz="4" w:space="0" w:color="auto"/>
              <w:bottom w:val="single" w:sz="4" w:space="0" w:color="auto"/>
              <w:right w:val="single" w:sz="4" w:space="0" w:color="auto"/>
            </w:tcBorders>
            <w:vAlign w:val="center"/>
          </w:tcPr>
          <w:p w14:paraId="16D95A6F" w14:textId="77777777" w:rsidR="0042122E" w:rsidRPr="005E3251" w:rsidRDefault="0042122E" w:rsidP="00D37B76">
            <w:pPr>
              <w:pStyle w:val="TableText0"/>
              <w:widowControl w:val="0"/>
              <w:jc w:val="center"/>
            </w:pPr>
            <w:r w:rsidRPr="005E3251">
              <w:t>0.11</w:t>
            </w:r>
          </w:p>
        </w:tc>
      </w:tr>
      <w:tr w:rsidR="0042122E" w:rsidRPr="005E3251" w14:paraId="5C75FF53"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607B1" w14:textId="77777777" w:rsidR="0042122E" w:rsidRPr="005E3251" w:rsidRDefault="0042122E" w:rsidP="00D37B76">
            <w:pPr>
              <w:pStyle w:val="TableText0"/>
              <w:widowControl w:val="0"/>
            </w:pPr>
            <w:r w:rsidRPr="005E3251">
              <w:t>GWPCARE2 (CBD vs PBO)</w:t>
            </w:r>
          </w:p>
        </w:tc>
        <w:tc>
          <w:tcPr>
            <w:tcW w:w="555" w:type="pct"/>
            <w:tcBorders>
              <w:top w:val="single" w:sz="4" w:space="0" w:color="auto"/>
              <w:left w:val="single" w:sz="4" w:space="0" w:color="auto"/>
              <w:bottom w:val="single" w:sz="4" w:space="0" w:color="auto"/>
              <w:right w:val="single" w:sz="4" w:space="0" w:color="auto"/>
            </w:tcBorders>
            <w:vAlign w:val="center"/>
          </w:tcPr>
          <w:p w14:paraId="08520A77" w14:textId="77777777" w:rsidR="0042122E" w:rsidRPr="005E3251" w:rsidRDefault="0042122E" w:rsidP="00D37B76">
            <w:pPr>
              <w:pStyle w:val="TableText0"/>
              <w:widowControl w:val="0"/>
              <w:jc w:val="center"/>
            </w:pPr>
            <w:r w:rsidRPr="005E3251">
              <w:t>13/67</w:t>
            </w:r>
          </w:p>
        </w:tc>
        <w:tc>
          <w:tcPr>
            <w:tcW w:w="782" w:type="pct"/>
            <w:tcBorders>
              <w:top w:val="single" w:sz="4" w:space="0" w:color="auto"/>
              <w:left w:val="single" w:sz="4" w:space="0" w:color="auto"/>
              <w:bottom w:val="single" w:sz="4" w:space="0" w:color="auto"/>
              <w:right w:val="single" w:sz="4" w:space="0" w:color="auto"/>
            </w:tcBorders>
            <w:vAlign w:val="center"/>
          </w:tcPr>
          <w:p w14:paraId="4E681FB1" w14:textId="77777777" w:rsidR="0042122E" w:rsidRPr="005E3251" w:rsidRDefault="0042122E" w:rsidP="00D37B76">
            <w:pPr>
              <w:pStyle w:val="TableText0"/>
              <w:widowControl w:val="0"/>
              <w:jc w:val="center"/>
            </w:pPr>
            <w:r w:rsidRPr="005E3251">
              <w:t>10/65</w:t>
            </w:r>
          </w:p>
        </w:tc>
        <w:tc>
          <w:tcPr>
            <w:tcW w:w="628" w:type="pct"/>
            <w:tcBorders>
              <w:top w:val="single" w:sz="4" w:space="0" w:color="auto"/>
              <w:left w:val="single" w:sz="4" w:space="0" w:color="auto"/>
              <w:bottom w:val="single" w:sz="4" w:space="0" w:color="auto"/>
              <w:right w:val="single" w:sz="4" w:space="0" w:color="auto"/>
            </w:tcBorders>
            <w:vAlign w:val="center"/>
          </w:tcPr>
          <w:p w14:paraId="0B94A671"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60C1E80F" w14:textId="77777777" w:rsidR="0042122E" w:rsidRPr="005E3251" w:rsidRDefault="0042122E" w:rsidP="00D37B76">
            <w:pPr>
              <w:pStyle w:val="TableText0"/>
              <w:widowControl w:val="0"/>
              <w:jc w:val="center"/>
            </w:pPr>
            <w:r w:rsidRPr="005E3251">
              <w:t>18.8</w:t>
            </w:r>
          </w:p>
        </w:tc>
        <w:tc>
          <w:tcPr>
            <w:tcW w:w="459" w:type="pct"/>
            <w:tcBorders>
              <w:top w:val="single" w:sz="4" w:space="0" w:color="auto"/>
              <w:left w:val="single" w:sz="4" w:space="0" w:color="auto"/>
              <w:bottom w:val="single" w:sz="4" w:space="0" w:color="auto"/>
              <w:right w:val="single" w:sz="4" w:space="0" w:color="auto"/>
            </w:tcBorders>
            <w:vAlign w:val="center"/>
          </w:tcPr>
          <w:p w14:paraId="09F06B55" w14:textId="77777777" w:rsidR="0042122E" w:rsidRPr="005E3251" w:rsidRDefault="0042122E" w:rsidP="00D37B76">
            <w:pPr>
              <w:pStyle w:val="TableText0"/>
              <w:widowControl w:val="0"/>
              <w:jc w:val="center"/>
            </w:pPr>
            <w:r w:rsidRPr="005E3251">
              <w:t>15.4</w:t>
            </w:r>
          </w:p>
        </w:tc>
        <w:tc>
          <w:tcPr>
            <w:tcW w:w="777" w:type="pct"/>
            <w:tcBorders>
              <w:top w:val="single" w:sz="4" w:space="0" w:color="auto"/>
              <w:left w:val="single" w:sz="4" w:space="0" w:color="auto"/>
              <w:bottom w:val="single" w:sz="4" w:space="0" w:color="auto"/>
              <w:right w:val="single" w:sz="4" w:space="0" w:color="auto"/>
            </w:tcBorders>
            <w:vAlign w:val="center"/>
          </w:tcPr>
          <w:p w14:paraId="67525439" w14:textId="77777777" w:rsidR="0042122E" w:rsidRPr="005E3251" w:rsidRDefault="0042122E" w:rsidP="00D37B76">
            <w:pPr>
              <w:pStyle w:val="TableText0"/>
              <w:widowControl w:val="0"/>
              <w:jc w:val="center"/>
            </w:pPr>
            <w:r w:rsidRPr="005E3251">
              <w:t>0.03</w:t>
            </w:r>
          </w:p>
        </w:tc>
      </w:tr>
      <w:tr w:rsidR="0042122E" w:rsidRPr="005E3251" w14:paraId="682B63F9"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D0ED38" w14:textId="77777777" w:rsidR="0042122E" w:rsidRPr="005E3251" w:rsidRDefault="0042122E" w:rsidP="00D37B76">
            <w:pPr>
              <w:pStyle w:val="TableText0"/>
              <w:widowControl w:val="0"/>
            </w:pPr>
            <w:r w:rsidRPr="005E3251">
              <w:t xml:space="preserve">Pooled meta-analysis for CBD 20 mg/kg/day vs PBO used in the indirect comparison </w:t>
            </w:r>
            <w:r w:rsidRPr="005E3251">
              <w:rPr>
                <w:vertAlign w:val="superscript"/>
              </w:rPr>
              <w:t>a</w:t>
            </w:r>
          </w:p>
        </w:tc>
        <w:tc>
          <w:tcPr>
            <w:tcW w:w="777" w:type="pct"/>
            <w:tcBorders>
              <w:top w:val="single" w:sz="4" w:space="0" w:color="auto"/>
              <w:left w:val="single" w:sz="4" w:space="0" w:color="auto"/>
              <w:bottom w:val="single" w:sz="4" w:space="0" w:color="auto"/>
              <w:right w:val="single" w:sz="4" w:space="0" w:color="auto"/>
            </w:tcBorders>
            <w:vAlign w:val="center"/>
          </w:tcPr>
          <w:p w14:paraId="2B293D8F" w14:textId="77777777" w:rsidR="0042122E" w:rsidRPr="005E3251" w:rsidRDefault="0042122E" w:rsidP="00D37B76">
            <w:pPr>
              <w:pStyle w:val="TableText0"/>
              <w:widowControl w:val="0"/>
              <w:jc w:val="center"/>
            </w:pPr>
            <w:r w:rsidRPr="005E3251">
              <w:t>0.08 (-0.01, 0.16)</w:t>
            </w:r>
          </w:p>
        </w:tc>
      </w:tr>
      <w:tr w:rsidR="0042122E" w:rsidRPr="005E3251" w14:paraId="09A8ACE0"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A73D2B" w14:textId="77777777" w:rsidR="0042122E" w:rsidRPr="005E3251" w:rsidRDefault="0042122E" w:rsidP="00D37B76">
            <w:pPr>
              <w:pStyle w:val="TableText0"/>
              <w:widowControl w:val="0"/>
            </w:pPr>
            <w:r w:rsidRPr="005E3251">
              <w:t xml:space="preserve">Indirect comparison: FFA 0.7 mg/kg/day vs CBD 20 mg/kg/day </w:t>
            </w:r>
            <w:r w:rsidRPr="005E3251">
              <w:rPr>
                <w:vertAlign w:val="superscript"/>
              </w:rPr>
              <w:t>b</w:t>
            </w:r>
          </w:p>
        </w:tc>
        <w:tc>
          <w:tcPr>
            <w:tcW w:w="777" w:type="pct"/>
            <w:tcBorders>
              <w:top w:val="single" w:sz="4" w:space="0" w:color="auto"/>
              <w:left w:val="single" w:sz="4" w:space="0" w:color="auto"/>
              <w:bottom w:val="single" w:sz="4" w:space="0" w:color="auto"/>
              <w:right w:val="single" w:sz="4" w:space="0" w:color="auto"/>
            </w:tcBorders>
            <w:vAlign w:val="center"/>
          </w:tcPr>
          <w:p w14:paraId="21E2822D" w14:textId="77777777" w:rsidR="0042122E" w:rsidRPr="005E3251" w:rsidRDefault="0042122E" w:rsidP="00D37B76">
            <w:pPr>
              <w:pStyle w:val="TableText0"/>
              <w:widowControl w:val="0"/>
              <w:jc w:val="center"/>
            </w:pPr>
            <w:r w:rsidRPr="005E3251">
              <w:t>-0.06 (NR)</w:t>
            </w:r>
          </w:p>
        </w:tc>
      </w:tr>
      <w:tr w:rsidR="0042122E" w:rsidRPr="005E3251" w14:paraId="4B650703" w14:textId="77777777" w:rsidTr="005B4B23">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FCCD84" w14:textId="77777777" w:rsidR="0042122E" w:rsidRPr="005E3251" w:rsidRDefault="0042122E" w:rsidP="00D37B76">
            <w:pPr>
              <w:pStyle w:val="In-tableHeading"/>
              <w:widowControl w:val="0"/>
            </w:pPr>
            <w:r w:rsidRPr="005E3251">
              <w:t>FFA 0.7 mg/kg/day (-STP) vs CBD 10 mg/kg/day (+/-STP)</w:t>
            </w:r>
          </w:p>
        </w:tc>
      </w:tr>
      <w:tr w:rsidR="0042122E" w:rsidRPr="005E3251" w14:paraId="356DEE30"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AD18E" w14:textId="77777777" w:rsidR="0042122E" w:rsidRPr="005E3251" w:rsidRDefault="0042122E" w:rsidP="00D37B76">
            <w:pPr>
              <w:pStyle w:val="TableText0"/>
              <w:widowControl w:val="0"/>
            </w:pPr>
            <w:r w:rsidRPr="005E3251">
              <w:t>Study 1 (FFA vs PBO)</w:t>
            </w:r>
          </w:p>
        </w:tc>
        <w:tc>
          <w:tcPr>
            <w:tcW w:w="555" w:type="pct"/>
            <w:tcBorders>
              <w:top w:val="single" w:sz="4" w:space="0" w:color="auto"/>
              <w:left w:val="single" w:sz="4" w:space="0" w:color="auto"/>
              <w:bottom w:val="single" w:sz="4" w:space="0" w:color="auto"/>
              <w:right w:val="single" w:sz="4" w:space="0" w:color="auto"/>
            </w:tcBorders>
            <w:vAlign w:val="center"/>
          </w:tcPr>
          <w:p w14:paraId="68D64220" w14:textId="77777777" w:rsidR="0042122E" w:rsidRPr="005E3251" w:rsidRDefault="0042122E" w:rsidP="00D37B76">
            <w:pPr>
              <w:pStyle w:val="TableText0"/>
              <w:widowControl w:val="0"/>
              <w:jc w:val="center"/>
            </w:pPr>
            <w:r w:rsidRPr="005E3251">
              <w:t>5/40</w:t>
            </w:r>
          </w:p>
        </w:tc>
        <w:tc>
          <w:tcPr>
            <w:tcW w:w="782" w:type="pct"/>
            <w:tcBorders>
              <w:top w:val="single" w:sz="4" w:space="0" w:color="auto"/>
              <w:left w:val="single" w:sz="4" w:space="0" w:color="auto"/>
              <w:bottom w:val="single" w:sz="4" w:space="0" w:color="auto"/>
              <w:right w:val="single" w:sz="4" w:space="0" w:color="auto"/>
            </w:tcBorders>
            <w:vAlign w:val="center"/>
          </w:tcPr>
          <w:p w14:paraId="7EB3A41B" w14:textId="77777777" w:rsidR="0042122E" w:rsidRPr="005E3251" w:rsidRDefault="0042122E" w:rsidP="00D37B76">
            <w:pPr>
              <w:pStyle w:val="TableText0"/>
              <w:widowControl w:val="0"/>
              <w:jc w:val="center"/>
            </w:pPr>
            <w:r w:rsidRPr="005E3251">
              <w:t>4/40</w:t>
            </w:r>
          </w:p>
        </w:tc>
        <w:tc>
          <w:tcPr>
            <w:tcW w:w="628" w:type="pct"/>
            <w:tcBorders>
              <w:top w:val="single" w:sz="4" w:space="0" w:color="auto"/>
              <w:left w:val="single" w:sz="4" w:space="0" w:color="auto"/>
              <w:bottom w:val="single" w:sz="4" w:space="0" w:color="auto"/>
              <w:right w:val="single" w:sz="4" w:space="0" w:color="auto"/>
            </w:tcBorders>
            <w:vAlign w:val="center"/>
          </w:tcPr>
          <w:p w14:paraId="4CABA1E2"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6F6E4187" w14:textId="77777777" w:rsidR="0042122E" w:rsidRPr="005E3251" w:rsidRDefault="0042122E" w:rsidP="00D37B76">
            <w:pPr>
              <w:pStyle w:val="TableText0"/>
              <w:widowControl w:val="0"/>
              <w:jc w:val="center"/>
            </w:pPr>
            <w:r w:rsidRPr="005E3251">
              <w:t>12.5</w:t>
            </w:r>
          </w:p>
        </w:tc>
        <w:tc>
          <w:tcPr>
            <w:tcW w:w="459" w:type="pct"/>
            <w:tcBorders>
              <w:top w:val="single" w:sz="4" w:space="0" w:color="auto"/>
              <w:left w:val="single" w:sz="4" w:space="0" w:color="auto"/>
              <w:bottom w:val="single" w:sz="4" w:space="0" w:color="auto"/>
              <w:right w:val="single" w:sz="4" w:space="0" w:color="auto"/>
            </w:tcBorders>
            <w:vAlign w:val="center"/>
          </w:tcPr>
          <w:p w14:paraId="73D4BD7E" w14:textId="77777777" w:rsidR="0042122E" w:rsidRPr="005E3251" w:rsidRDefault="0042122E" w:rsidP="00D37B76">
            <w:pPr>
              <w:pStyle w:val="TableText0"/>
              <w:widowControl w:val="0"/>
              <w:jc w:val="center"/>
            </w:pPr>
            <w:r w:rsidRPr="005E3251">
              <w:t>6.3</w:t>
            </w:r>
          </w:p>
        </w:tc>
        <w:tc>
          <w:tcPr>
            <w:tcW w:w="777" w:type="pct"/>
            <w:tcBorders>
              <w:top w:val="single" w:sz="4" w:space="0" w:color="auto"/>
              <w:left w:val="single" w:sz="4" w:space="0" w:color="auto"/>
              <w:bottom w:val="single" w:sz="4" w:space="0" w:color="auto"/>
              <w:right w:val="single" w:sz="4" w:space="0" w:color="auto"/>
            </w:tcBorders>
            <w:vAlign w:val="center"/>
          </w:tcPr>
          <w:p w14:paraId="437688E1" w14:textId="77777777" w:rsidR="0042122E" w:rsidRPr="005E3251" w:rsidRDefault="0042122E" w:rsidP="00D37B76">
            <w:pPr>
              <w:pStyle w:val="TableText0"/>
              <w:widowControl w:val="0"/>
              <w:jc w:val="center"/>
            </w:pPr>
            <w:r w:rsidRPr="005E3251">
              <w:t>0.06 (NR)</w:t>
            </w:r>
          </w:p>
        </w:tc>
      </w:tr>
      <w:tr w:rsidR="0042122E" w:rsidRPr="005E3251" w14:paraId="7DA7E353"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78818" w14:textId="77777777" w:rsidR="0042122E" w:rsidRPr="005E3251" w:rsidRDefault="0042122E" w:rsidP="00D37B76">
            <w:pPr>
              <w:pStyle w:val="TableText0"/>
              <w:widowControl w:val="0"/>
            </w:pPr>
            <w:r w:rsidRPr="005E3251">
              <w:t>Study 3 (FFA vs PBO)</w:t>
            </w:r>
          </w:p>
        </w:tc>
        <w:tc>
          <w:tcPr>
            <w:tcW w:w="555" w:type="pct"/>
            <w:tcBorders>
              <w:top w:val="single" w:sz="4" w:space="0" w:color="auto"/>
              <w:left w:val="single" w:sz="4" w:space="0" w:color="auto"/>
              <w:bottom w:val="single" w:sz="4" w:space="0" w:color="auto"/>
              <w:right w:val="single" w:sz="4" w:space="0" w:color="auto"/>
            </w:tcBorders>
            <w:vAlign w:val="center"/>
          </w:tcPr>
          <w:p w14:paraId="1A0CE6B3" w14:textId="77777777" w:rsidR="0042122E" w:rsidRPr="005E3251" w:rsidRDefault="0042122E" w:rsidP="00D37B76">
            <w:pPr>
              <w:pStyle w:val="TableText0"/>
              <w:widowControl w:val="0"/>
              <w:jc w:val="center"/>
            </w:pPr>
            <w:r w:rsidRPr="005E3251">
              <w:t>3/48</w:t>
            </w:r>
          </w:p>
        </w:tc>
        <w:tc>
          <w:tcPr>
            <w:tcW w:w="782" w:type="pct"/>
            <w:tcBorders>
              <w:top w:val="single" w:sz="4" w:space="0" w:color="auto"/>
              <w:left w:val="single" w:sz="4" w:space="0" w:color="auto"/>
              <w:bottom w:val="single" w:sz="4" w:space="0" w:color="auto"/>
              <w:right w:val="single" w:sz="4" w:space="0" w:color="auto"/>
            </w:tcBorders>
            <w:vAlign w:val="center"/>
          </w:tcPr>
          <w:p w14:paraId="7BFB1CAB" w14:textId="77777777" w:rsidR="0042122E" w:rsidRPr="005E3251" w:rsidRDefault="0042122E" w:rsidP="00D37B76">
            <w:pPr>
              <w:pStyle w:val="TableText0"/>
              <w:widowControl w:val="0"/>
              <w:jc w:val="center"/>
            </w:pPr>
            <w:r w:rsidRPr="005E3251">
              <w:t>2/48</w:t>
            </w:r>
          </w:p>
        </w:tc>
        <w:tc>
          <w:tcPr>
            <w:tcW w:w="628" w:type="pct"/>
            <w:tcBorders>
              <w:top w:val="single" w:sz="4" w:space="0" w:color="auto"/>
              <w:left w:val="single" w:sz="4" w:space="0" w:color="auto"/>
              <w:bottom w:val="single" w:sz="4" w:space="0" w:color="auto"/>
              <w:right w:val="single" w:sz="4" w:space="0" w:color="auto"/>
            </w:tcBorders>
            <w:vAlign w:val="center"/>
          </w:tcPr>
          <w:p w14:paraId="6B87BC70"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5154F951" w14:textId="77777777" w:rsidR="0042122E" w:rsidRPr="005E3251" w:rsidRDefault="0042122E" w:rsidP="00D37B76">
            <w:pPr>
              <w:pStyle w:val="TableText0"/>
              <w:widowControl w:val="0"/>
              <w:jc w:val="center"/>
            </w:pPr>
            <w:r w:rsidRPr="005E3251">
              <w:t>6.3</w:t>
            </w:r>
          </w:p>
        </w:tc>
        <w:tc>
          <w:tcPr>
            <w:tcW w:w="459" w:type="pct"/>
            <w:tcBorders>
              <w:top w:val="single" w:sz="4" w:space="0" w:color="auto"/>
              <w:left w:val="single" w:sz="4" w:space="0" w:color="auto"/>
              <w:bottom w:val="single" w:sz="4" w:space="0" w:color="auto"/>
              <w:right w:val="single" w:sz="4" w:space="0" w:color="auto"/>
            </w:tcBorders>
            <w:vAlign w:val="center"/>
          </w:tcPr>
          <w:p w14:paraId="43ED702B" w14:textId="77777777" w:rsidR="0042122E" w:rsidRPr="005E3251" w:rsidRDefault="0042122E" w:rsidP="00D37B76">
            <w:pPr>
              <w:pStyle w:val="TableText0"/>
              <w:widowControl w:val="0"/>
              <w:jc w:val="center"/>
            </w:pPr>
            <w:r w:rsidRPr="005E3251">
              <w:t>4.2</w:t>
            </w:r>
          </w:p>
        </w:tc>
        <w:tc>
          <w:tcPr>
            <w:tcW w:w="777" w:type="pct"/>
            <w:tcBorders>
              <w:top w:val="single" w:sz="4" w:space="0" w:color="auto"/>
              <w:left w:val="single" w:sz="4" w:space="0" w:color="auto"/>
              <w:bottom w:val="single" w:sz="4" w:space="0" w:color="auto"/>
              <w:right w:val="single" w:sz="4" w:space="0" w:color="auto"/>
            </w:tcBorders>
            <w:vAlign w:val="center"/>
          </w:tcPr>
          <w:p w14:paraId="06F4F000" w14:textId="77777777" w:rsidR="0042122E" w:rsidRPr="005E3251" w:rsidRDefault="0042122E" w:rsidP="00D37B76">
            <w:pPr>
              <w:pStyle w:val="TableText0"/>
              <w:widowControl w:val="0"/>
              <w:jc w:val="center"/>
            </w:pPr>
            <w:r w:rsidRPr="005E3251">
              <w:t>0.02</w:t>
            </w:r>
          </w:p>
        </w:tc>
      </w:tr>
      <w:tr w:rsidR="0042122E" w:rsidRPr="005E3251" w14:paraId="23215C94"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C8D141" w14:textId="77777777" w:rsidR="0042122E" w:rsidRPr="005E3251" w:rsidRDefault="0042122E" w:rsidP="00D37B76">
            <w:pPr>
              <w:pStyle w:val="TableText0"/>
              <w:widowControl w:val="0"/>
            </w:pPr>
            <w:r w:rsidRPr="005E3251">
              <w:t xml:space="preserve">Pooled meta-analysis for FFA 0.7 mg/kg/day vs PBO used in the indirect comparison </w:t>
            </w:r>
            <w:r w:rsidRPr="005E3251">
              <w:rPr>
                <w:vertAlign w:val="superscript"/>
              </w:rPr>
              <w:t>a</w:t>
            </w:r>
          </w:p>
        </w:tc>
        <w:tc>
          <w:tcPr>
            <w:tcW w:w="777" w:type="pct"/>
            <w:tcBorders>
              <w:top w:val="single" w:sz="4" w:space="0" w:color="auto"/>
              <w:left w:val="single" w:sz="4" w:space="0" w:color="auto"/>
              <w:bottom w:val="single" w:sz="4" w:space="0" w:color="auto"/>
              <w:right w:val="single" w:sz="4" w:space="0" w:color="auto"/>
            </w:tcBorders>
            <w:vAlign w:val="center"/>
          </w:tcPr>
          <w:p w14:paraId="2F1065E2" w14:textId="77777777" w:rsidR="0042122E" w:rsidRPr="005E3251" w:rsidRDefault="0042122E" w:rsidP="00D37B76">
            <w:pPr>
              <w:pStyle w:val="TableText0"/>
              <w:widowControl w:val="0"/>
              <w:jc w:val="center"/>
            </w:pPr>
            <w:r w:rsidRPr="005E3251">
              <w:t>0.02 (-0.05, 0.10)</w:t>
            </w:r>
          </w:p>
        </w:tc>
      </w:tr>
      <w:tr w:rsidR="0042122E" w:rsidRPr="005E3251" w14:paraId="22062DC0"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96C90" w14:textId="77777777" w:rsidR="0042122E" w:rsidRPr="005E3251" w:rsidRDefault="0042122E" w:rsidP="00D37B76">
            <w:pPr>
              <w:pStyle w:val="TableText0"/>
              <w:widowControl w:val="0"/>
            </w:pPr>
            <w:r w:rsidRPr="005E3251">
              <w:t>GWPCARE2 (CBD vs PBO)</w:t>
            </w:r>
          </w:p>
        </w:tc>
        <w:tc>
          <w:tcPr>
            <w:tcW w:w="555" w:type="pct"/>
            <w:tcBorders>
              <w:top w:val="single" w:sz="4" w:space="0" w:color="auto"/>
              <w:left w:val="single" w:sz="4" w:space="0" w:color="auto"/>
              <w:bottom w:val="single" w:sz="4" w:space="0" w:color="auto"/>
              <w:right w:val="single" w:sz="4" w:space="0" w:color="auto"/>
            </w:tcBorders>
            <w:vAlign w:val="center"/>
          </w:tcPr>
          <w:p w14:paraId="02F69F24" w14:textId="77777777" w:rsidR="0042122E" w:rsidRPr="005E3251" w:rsidRDefault="0042122E" w:rsidP="00D37B76">
            <w:pPr>
              <w:pStyle w:val="TableText0"/>
              <w:widowControl w:val="0"/>
              <w:jc w:val="center"/>
            </w:pPr>
            <w:r w:rsidRPr="005E3251">
              <w:t>17/66</w:t>
            </w:r>
          </w:p>
        </w:tc>
        <w:tc>
          <w:tcPr>
            <w:tcW w:w="782" w:type="pct"/>
            <w:tcBorders>
              <w:top w:val="single" w:sz="4" w:space="0" w:color="auto"/>
              <w:left w:val="single" w:sz="4" w:space="0" w:color="auto"/>
              <w:bottom w:val="single" w:sz="4" w:space="0" w:color="auto"/>
              <w:right w:val="single" w:sz="4" w:space="0" w:color="auto"/>
            </w:tcBorders>
            <w:vAlign w:val="center"/>
          </w:tcPr>
          <w:p w14:paraId="4A43DEDA" w14:textId="77777777" w:rsidR="0042122E" w:rsidRPr="005E3251" w:rsidRDefault="0042122E" w:rsidP="00D37B76">
            <w:pPr>
              <w:pStyle w:val="TableText0"/>
              <w:widowControl w:val="0"/>
              <w:jc w:val="center"/>
            </w:pPr>
            <w:r w:rsidRPr="005E3251">
              <w:t>10/65</w:t>
            </w:r>
          </w:p>
        </w:tc>
        <w:tc>
          <w:tcPr>
            <w:tcW w:w="628" w:type="pct"/>
            <w:tcBorders>
              <w:top w:val="single" w:sz="4" w:space="0" w:color="auto"/>
              <w:left w:val="single" w:sz="4" w:space="0" w:color="auto"/>
              <w:bottom w:val="single" w:sz="4" w:space="0" w:color="auto"/>
              <w:right w:val="single" w:sz="4" w:space="0" w:color="auto"/>
            </w:tcBorders>
            <w:vAlign w:val="center"/>
          </w:tcPr>
          <w:p w14:paraId="28C92292"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47400F8F" w14:textId="77777777" w:rsidR="0042122E" w:rsidRPr="005E3251" w:rsidRDefault="0042122E" w:rsidP="00D37B76">
            <w:pPr>
              <w:pStyle w:val="TableText0"/>
              <w:widowControl w:val="0"/>
              <w:jc w:val="center"/>
            </w:pPr>
            <w:r w:rsidRPr="005E3251">
              <w:t>26.5</w:t>
            </w:r>
          </w:p>
        </w:tc>
        <w:tc>
          <w:tcPr>
            <w:tcW w:w="459" w:type="pct"/>
            <w:tcBorders>
              <w:top w:val="single" w:sz="4" w:space="0" w:color="auto"/>
              <w:left w:val="single" w:sz="4" w:space="0" w:color="auto"/>
              <w:bottom w:val="single" w:sz="4" w:space="0" w:color="auto"/>
              <w:right w:val="single" w:sz="4" w:space="0" w:color="auto"/>
            </w:tcBorders>
            <w:vAlign w:val="center"/>
          </w:tcPr>
          <w:p w14:paraId="7FA1B697" w14:textId="77777777" w:rsidR="0042122E" w:rsidRPr="005E3251" w:rsidRDefault="0042122E" w:rsidP="00D37B76">
            <w:pPr>
              <w:pStyle w:val="TableText0"/>
              <w:widowControl w:val="0"/>
              <w:jc w:val="center"/>
            </w:pPr>
            <w:r w:rsidRPr="005E3251">
              <w:t>15.4</w:t>
            </w:r>
          </w:p>
        </w:tc>
        <w:tc>
          <w:tcPr>
            <w:tcW w:w="777" w:type="pct"/>
            <w:tcBorders>
              <w:top w:val="single" w:sz="4" w:space="0" w:color="auto"/>
              <w:left w:val="single" w:sz="4" w:space="0" w:color="auto"/>
              <w:bottom w:val="single" w:sz="4" w:space="0" w:color="auto"/>
              <w:right w:val="single" w:sz="4" w:space="0" w:color="auto"/>
            </w:tcBorders>
            <w:vAlign w:val="center"/>
          </w:tcPr>
          <w:p w14:paraId="79E6B04B" w14:textId="77777777" w:rsidR="0042122E" w:rsidRPr="005E3251" w:rsidRDefault="0042122E" w:rsidP="00D37B76">
            <w:pPr>
              <w:pStyle w:val="TableText0"/>
              <w:widowControl w:val="0"/>
              <w:jc w:val="center"/>
            </w:pPr>
            <w:r w:rsidRPr="005E3251">
              <w:t>0.11</w:t>
            </w:r>
          </w:p>
        </w:tc>
      </w:tr>
      <w:tr w:rsidR="0042122E" w:rsidRPr="005E3251" w14:paraId="290EA18D"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15E601" w14:textId="77777777" w:rsidR="0042122E" w:rsidRPr="005E3251" w:rsidRDefault="0042122E" w:rsidP="00D37B76">
            <w:pPr>
              <w:pStyle w:val="TableText0"/>
              <w:widowControl w:val="0"/>
            </w:pPr>
            <w:r w:rsidRPr="005E3251">
              <w:t>Pooled meta-analysis for CBD 10 mg/kg/day vs PBO used in the indirect comparison</w:t>
            </w:r>
          </w:p>
        </w:tc>
        <w:tc>
          <w:tcPr>
            <w:tcW w:w="777" w:type="pct"/>
            <w:tcBorders>
              <w:top w:val="single" w:sz="4" w:space="0" w:color="auto"/>
              <w:left w:val="single" w:sz="4" w:space="0" w:color="auto"/>
              <w:bottom w:val="single" w:sz="4" w:space="0" w:color="auto"/>
              <w:right w:val="single" w:sz="4" w:space="0" w:color="auto"/>
            </w:tcBorders>
            <w:vAlign w:val="center"/>
          </w:tcPr>
          <w:p w14:paraId="7D25AA99" w14:textId="77777777" w:rsidR="0042122E" w:rsidRPr="005E3251" w:rsidRDefault="0042122E" w:rsidP="00D37B76">
            <w:pPr>
              <w:pStyle w:val="TableText0"/>
              <w:widowControl w:val="0"/>
              <w:jc w:val="center"/>
            </w:pPr>
            <w:r w:rsidRPr="005E3251">
              <w:t>0.11</w:t>
            </w:r>
          </w:p>
        </w:tc>
      </w:tr>
      <w:tr w:rsidR="0042122E" w:rsidRPr="005E3251" w14:paraId="671995E4"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585C57" w14:textId="77777777" w:rsidR="0042122E" w:rsidRPr="005E3251" w:rsidRDefault="0042122E" w:rsidP="00D37B76">
            <w:pPr>
              <w:pStyle w:val="TableText0"/>
              <w:widowControl w:val="0"/>
            </w:pPr>
            <w:r w:rsidRPr="005E3251">
              <w:t xml:space="preserve">Indirect comparison: FFA 0.7 mg/kg/day vs CBD 10 mg/kg/day </w:t>
            </w:r>
            <w:r w:rsidRPr="005E3251">
              <w:rPr>
                <w:vertAlign w:val="superscript"/>
              </w:rPr>
              <w:t>c</w:t>
            </w:r>
          </w:p>
        </w:tc>
        <w:tc>
          <w:tcPr>
            <w:tcW w:w="777" w:type="pct"/>
            <w:tcBorders>
              <w:top w:val="single" w:sz="4" w:space="0" w:color="auto"/>
              <w:left w:val="single" w:sz="4" w:space="0" w:color="auto"/>
              <w:bottom w:val="single" w:sz="4" w:space="0" w:color="auto"/>
              <w:right w:val="single" w:sz="4" w:space="0" w:color="auto"/>
            </w:tcBorders>
            <w:vAlign w:val="center"/>
          </w:tcPr>
          <w:p w14:paraId="25DB3F56" w14:textId="77777777" w:rsidR="0042122E" w:rsidRPr="005E3251" w:rsidRDefault="0042122E" w:rsidP="00D37B76">
            <w:pPr>
              <w:pStyle w:val="TableText0"/>
              <w:widowControl w:val="0"/>
              <w:jc w:val="center"/>
            </w:pPr>
            <w:r w:rsidRPr="005E3251">
              <w:t>-0.09 (NR)</w:t>
            </w:r>
          </w:p>
        </w:tc>
      </w:tr>
      <w:tr w:rsidR="0042122E" w:rsidRPr="005E3251" w14:paraId="77657D3B" w14:textId="77777777" w:rsidTr="005B4B23">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9828E3" w14:textId="77777777" w:rsidR="0042122E" w:rsidRPr="005E3251" w:rsidRDefault="0042122E" w:rsidP="00D37B76">
            <w:pPr>
              <w:pStyle w:val="In-tableHeading"/>
              <w:widowControl w:val="0"/>
            </w:pPr>
            <w:r w:rsidRPr="005E3251">
              <w:t>FFA 0.4 mg/kg/day (+STP) vs CBD 20 mg/kg/day (+/-STP)</w:t>
            </w:r>
          </w:p>
        </w:tc>
      </w:tr>
      <w:tr w:rsidR="0042122E" w:rsidRPr="005E3251" w14:paraId="354A999E"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22870" w14:textId="77777777" w:rsidR="0042122E" w:rsidRPr="005E3251" w:rsidRDefault="0042122E" w:rsidP="00D37B76">
            <w:pPr>
              <w:pStyle w:val="TableText0"/>
              <w:widowControl w:val="0"/>
            </w:pPr>
            <w:r w:rsidRPr="005E3251">
              <w:t>Study 2 (FFA vs PBO)</w:t>
            </w:r>
          </w:p>
        </w:tc>
        <w:tc>
          <w:tcPr>
            <w:tcW w:w="555" w:type="pct"/>
            <w:tcBorders>
              <w:top w:val="single" w:sz="4" w:space="0" w:color="auto"/>
              <w:left w:val="single" w:sz="4" w:space="0" w:color="auto"/>
              <w:bottom w:val="single" w:sz="4" w:space="0" w:color="auto"/>
              <w:right w:val="single" w:sz="4" w:space="0" w:color="auto"/>
            </w:tcBorders>
            <w:vAlign w:val="center"/>
          </w:tcPr>
          <w:p w14:paraId="1B5608A9" w14:textId="77777777" w:rsidR="0042122E" w:rsidRPr="005E3251" w:rsidRDefault="0042122E" w:rsidP="00D37B76">
            <w:pPr>
              <w:pStyle w:val="TableText0"/>
              <w:widowControl w:val="0"/>
              <w:jc w:val="center"/>
            </w:pPr>
            <w:r w:rsidRPr="005E3251">
              <w:t>6/43</w:t>
            </w:r>
          </w:p>
        </w:tc>
        <w:tc>
          <w:tcPr>
            <w:tcW w:w="782" w:type="pct"/>
            <w:tcBorders>
              <w:top w:val="single" w:sz="4" w:space="0" w:color="auto"/>
              <w:left w:val="single" w:sz="4" w:space="0" w:color="auto"/>
              <w:bottom w:val="single" w:sz="4" w:space="0" w:color="auto"/>
              <w:right w:val="single" w:sz="4" w:space="0" w:color="auto"/>
            </w:tcBorders>
            <w:vAlign w:val="center"/>
          </w:tcPr>
          <w:p w14:paraId="4E97092B" w14:textId="77777777" w:rsidR="0042122E" w:rsidRPr="005E3251" w:rsidRDefault="0042122E" w:rsidP="00D37B76">
            <w:pPr>
              <w:pStyle w:val="TableText0"/>
              <w:widowControl w:val="0"/>
              <w:jc w:val="center"/>
            </w:pPr>
            <w:r w:rsidRPr="005E3251">
              <w:t>7/44</w:t>
            </w:r>
          </w:p>
        </w:tc>
        <w:tc>
          <w:tcPr>
            <w:tcW w:w="628" w:type="pct"/>
            <w:tcBorders>
              <w:top w:val="single" w:sz="4" w:space="0" w:color="auto"/>
              <w:left w:val="single" w:sz="4" w:space="0" w:color="auto"/>
              <w:bottom w:val="single" w:sz="4" w:space="0" w:color="auto"/>
              <w:right w:val="single" w:sz="4" w:space="0" w:color="auto"/>
            </w:tcBorders>
            <w:vAlign w:val="center"/>
          </w:tcPr>
          <w:p w14:paraId="1347A54B"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3E9CEC96" w14:textId="77777777" w:rsidR="0042122E" w:rsidRPr="005E3251" w:rsidRDefault="0042122E" w:rsidP="00D37B76">
            <w:pPr>
              <w:pStyle w:val="TableText0"/>
              <w:widowControl w:val="0"/>
              <w:jc w:val="center"/>
            </w:pPr>
            <w:r w:rsidRPr="005E3251">
              <w:t>14.0</w:t>
            </w:r>
          </w:p>
        </w:tc>
        <w:tc>
          <w:tcPr>
            <w:tcW w:w="459" w:type="pct"/>
            <w:tcBorders>
              <w:top w:val="single" w:sz="4" w:space="0" w:color="auto"/>
              <w:left w:val="single" w:sz="4" w:space="0" w:color="auto"/>
              <w:bottom w:val="single" w:sz="4" w:space="0" w:color="auto"/>
              <w:right w:val="single" w:sz="4" w:space="0" w:color="auto"/>
            </w:tcBorders>
            <w:vAlign w:val="center"/>
          </w:tcPr>
          <w:p w14:paraId="252D1521" w14:textId="77777777" w:rsidR="0042122E" w:rsidRPr="005E3251" w:rsidRDefault="0042122E" w:rsidP="00D37B76">
            <w:pPr>
              <w:pStyle w:val="TableText0"/>
              <w:widowControl w:val="0"/>
              <w:jc w:val="center"/>
            </w:pPr>
            <w:r w:rsidRPr="005E3251">
              <w:t>15.9</w:t>
            </w:r>
          </w:p>
        </w:tc>
        <w:tc>
          <w:tcPr>
            <w:tcW w:w="777" w:type="pct"/>
            <w:tcBorders>
              <w:top w:val="single" w:sz="4" w:space="0" w:color="auto"/>
              <w:left w:val="single" w:sz="4" w:space="0" w:color="auto"/>
              <w:bottom w:val="single" w:sz="4" w:space="0" w:color="auto"/>
              <w:right w:val="single" w:sz="4" w:space="0" w:color="auto"/>
            </w:tcBorders>
            <w:vAlign w:val="center"/>
          </w:tcPr>
          <w:p w14:paraId="4D905646" w14:textId="77777777" w:rsidR="0042122E" w:rsidRPr="005E3251" w:rsidRDefault="0042122E" w:rsidP="00D37B76">
            <w:pPr>
              <w:pStyle w:val="TableText0"/>
              <w:widowControl w:val="0"/>
              <w:jc w:val="center"/>
            </w:pPr>
            <w:r w:rsidRPr="005E3251">
              <w:t>-0.02</w:t>
            </w:r>
          </w:p>
        </w:tc>
      </w:tr>
      <w:tr w:rsidR="0042122E" w:rsidRPr="005E3251" w14:paraId="286939B6"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F4023E" w14:textId="77777777" w:rsidR="0042122E" w:rsidRPr="005E3251" w:rsidRDefault="0042122E" w:rsidP="00D37B76">
            <w:pPr>
              <w:pStyle w:val="TableText0"/>
              <w:widowControl w:val="0"/>
            </w:pPr>
            <w:r w:rsidRPr="005E3251">
              <w:t>Pooled meta-analysis for FFA 0.4 mg/kg/day vs placebo used in the indirect comparison</w:t>
            </w:r>
          </w:p>
        </w:tc>
        <w:tc>
          <w:tcPr>
            <w:tcW w:w="777" w:type="pct"/>
            <w:tcBorders>
              <w:top w:val="single" w:sz="4" w:space="0" w:color="auto"/>
              <w:left w:val="single" w:sz="4" w:space="0" w:color="auto"/>
              <w:bottom w:val="single" w:sz="4" w:space="0" w:color="auto"/>
              <w:right w:val="single" w:sz="4" w:space="0" w:color="auto"/>
            </w:tcBorders>
            <w:vAlign w:val="center"/>
          </w:tcPr>
          <w:p w14:paraId="7106AEB5" w14:textId="77777777" w:rsidR="0042122E" w:rsidRPr="005E3251" w:rsidRDefault="0042122E" w:rsidP="00D37B76">
            <w:pPr>
              <w:pStyle w:val="TableText0"/>
              <w:widowControl w:val="0"/>
              <w:jc w:val="center"/>
            </w:pPr>
            <w:r w:rsidRPr="005E3251">
              <w:t xml:space="preserve">-0.02 </w:t>
            </w:r>
          </w:p>
        </w:tc>
      </w:tr>
      <w:tr w:rsidR="0042122E" w:rsidRPr="005E3251" w14:paraId="6994E576"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7BA94" w14:textId="77777777" w:rsidR="0042122E" w:rsidRPr="005E3251" w:rsidRDefault="0042122E" w:rsidP="00D37B76">
            <w:pPr>
              <w:pStyle w:val="TableText0"/>
              <w:widowControl w:val="0"/>
            </w:pPr>
            <w:r w:rsidRPr="005E3251">
              <w:t>GWPCARE1 (CBD vs PBO)</w:t>
            </w:r>
          </w:p>
        </w:tc>
        <w:tc>
          <w:tcPr>
            <w:tcW w:w="555" w:type="pct"/>
            <w:tcBorders>
              <w:top w:val="single" w:sz="4" w:space="0" w:color="auto"/>
              <w:left w:val="single" w:sz="4" w:space="0" w:color="auto"/>
              <w:bottom w:val="single" w:sz="4" w:space="0" w:color="auto"/>
              <w:right w:val="single" w:sz="4" w:space="0" w:color="auto"/>
            </w:tcBorders>
            <w:vAlign w:val="center"/>
          </w:tcPr>
          <w:p w14:paraId="5A1DBA32" w14:textId="77777777" w:rsidR="0042122E" w:rsidRPr="005E3251" w:rsidRDefault="0042122E" w:rsidP="00D37B76">
            <w:pPr>
              <w:pStyle w:val="TableText0"/>
              <w:widowControl w:val="0"/>
              <w:jc w:val="center"/>
            </w:pPr>
            <w:r w:rsidRPr="005E3251">
              <w:t>10/61</w:t>
            </w:r>
          </w:p>
        </w:tc>
        <w:tc>
          <w:tcPr>
            <w:tcW w:w="782" w:type="pct"/>
            <w:tcBorders>
              <w:top w:val="single" w:sz="4" w:space="0" w:color="auto"/>
              <w:left w:val="single" w:sz="4" w:space="0" w:color="auto"/>
              <w:bottom w:val="single" w:sz="4" w:space="0" w:color="auto"/>
              <w:right w:val="single" w:sz="4" w:space="0" w:color="auto"/>
            </w:tcBorders>
            <w:vAlign w:val="center"/>
          </w:tcPr>
          <w:p w14:paraId="417D08B9" w14:textId="77777777" w:rsidR="0042122E" w:rsidRPr="005E3251" w:rsidRDefault="0042122E" w:rsidP="00D37B76">
            <w:pPr>
              <w:pStyle w:val="TableText0"/>
              <w:widowControl w:val="0"/>
              <w:jc w:val="center"/>
            </w:pPr>
            <w:r w:rsidRPr="005E3251">
              <w:t>3/51</w:t>
            </w:r>
          </w:p>
        </w:tc>
        <w:tc>
          <w:tcPr>
            <w:tcW w:w="628" w:type="pct"/>
            <w:tcBorders>
              <w:top w:val="single" w:sz="4" w:space="0" w:color="auto"/>
              <w:left w:val="single" w:sz="4" w:space="0" w:color="auto"/>
              <w:bottom w:val="single" w:sz="4" w:space="0" w:color="auto"/>
              <w:right w:val="single" w:sz="4" w:space="0" w:color="auto"/>
            </w:tcBorders>
            <w:vAlign w:val="center"/>
          </w:tcPr>
          <w:p w14:paraId="74C48502"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322F9BD5" w14:textId="77777777" w:rsidR="0042122E" w:rsidRPr="005E3251" w:rsidRDefault="0042122E" w:rsidP="00D37B76">
            <w:pPr>
              <w:pStyle w:val="TableText0"/>
              <w:widowControl w:val="0"/>
              <w:jc w:val="center"/>
            </w:pPr>
            <w:r w:rsidRPr="005E3251">
              <w:t>16.4</w:t>
            </w:r>
          </w:p>
        </w:tc>
        <w:tc>
          <w:tcPr>
            <w:tcW w:w="459" w:type="pct"/>
            <w:tcBorders>
              <w:top w:val="single" w:sz="4" w:space="0" w:color="auto"/>
              <w:left w:val="single" w:sz="4" w:space="0" w:color="auto"/>
              <w:bottom w:val="single" w:sz="4" w:space="0" w:color="auto"/>
              <w:right w:val="single" w:sz="4" w:space="0" w:color="auto"/>
            </w:tcBorders>
            <w:vAlign w:val="center"/>
          </w:tcPr>
          <w:p w14:paraId="677A08D4" w14:textId="77777777" w:rsidR="0042122E" w:rsidRPr="005E3251" w:rsidRDefault="0042122E" w:rsidP="00D37B76">
            <w:pPr>
              <w:pStyle w:val="TableText0"/>
              <w:widowControl w:val="0"/>
              <w:jc w:val="center"/>
            </w:pPr>
            <w:r w:rsidRPr="005E3251">
              <w:t>5.1</w:t>
            </w:r>
          </w:p>
        </w:tc>
        <w:tc>
          <w:tcPr>
            <w:tcW w:w="777" w:type="pct"/>
            <w:tcBorders>
              <w:top w:val="single" w:sz="4" w:space="0" w:color="auto"/>
              <w:left w:val="single" w:sz="4" w:space="0" w:color="auto"/>
              <w:bottom w:val="single" w:sz="4" w:space="0" w:color="auto"/>
              <w:right w:val="single" w:sz="4" w:space="0" w:color="auto"/>
            </w:tcBorders>
            <w:vAlign w:val="center"/>
          </w:tcPr>
          <w:p w14:paraId="4FB18DAC" w14:textId="77777777" w:rsidR="0042122E" w:rsidRPr="005E3251" w:rsidRDefault="0042122E" w:rsidP="00D37B76">
            <w:pPr>
              <w:pStyle w:val="TableText0"/>
              <w:widowControl w:val="0"/>
              <w:jc w:val="center"/>
            </w:pPr>
            <w:r w:rsidRPr="005E3251">
              <w:t>0.11</w:t>
            </w:r>
          </w:p>
        </w:tc>
      </w:tr>
      <w:tr w:rsidR="0042122E" w:rsidRPr="005E3251" w14:paraId="71A9E4DE"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3C1E0" w14:textId="77777777" w:rsidR="0042122E" w:rsidRPr="005E3251" w:rsidRDefault="0042122E" w:rsidP="00D37B76">
            <w:pPr>
              <w:pStyle w:val="TableText0"/>
              <w:widowControl w:val="0"/>
            </w:pPr>
            <w:r w:rsidRPr="005E3251">
              <w:t>GWPCARE2 (CBD vs PBO)</w:t>
            </w:r>
          </w:p>
        </w:tc>
        <w:tc>
          <w:tcPr>
            <w:tcW w:w="555" w:type="pct"/>
            <w:tcBorders>
              <w:top w:val="single" w:sz="4" w:space="0" w:color="auto"/>
              <w:left w:val="single" w:sz="4" w:space="0" w:color="auto"/>
              <w:bottom w:val="single" w:sz="4" w:space="0" w:color="auto"/>
              <w:right w:val="single" w:sz="4" w:space="0" w:color="auto"/>
            </w:tcBorders>
            <w:vAlign w:val="center"/>
          </w:tcPr>
          <w:p w14:paraId="2CA17855" w14:textId="77777777" w:rsidR="0042122E" w:rsidRPr="005E3251" w:rsidRDefault="0042122E" w:rsidP="00D37B76">
            <w:pPr>
              <w:pStyle w:val="TableText0"/>
              <w:widowControl w:val="0"/>
              <w:jc w:val="center"/>
            </w:pPr>
            <w:r w:rsidRPr="005E3251">
              <w:t>13/67</w:t>
            </w:r>
          </w:p>
        </w:tc>
        <w:tc>
          <w:tcPr>
            <w:tcW w:w="782" w:type="pct"/>
            <w:tcBorders>
              <w:top w:val="single" w:sz="4" w:space="0" w:color="auto"/>
              <w:left w:val="single" w:sz="4" w:space="0" w:color="auto"/>
              <w:bottom w:val="single" w:sz="4" w:space="0" w:color="auto"/>
              <w:right w:val="single" w:sz="4" w:space="0" w:color="auto"/>
            </w:tcBorders>
            <w:vAlign w:val="center"/>
          </w:tcPr>
          <w:p w14:paraId="49921312" w14:textId="77777777" w:rsidR="0042122E" w:rsidRPr="005E3251" w:rsidRDefault="0042122E" w:rsidP="00D37B76">
            <w:pPr>
              <w:pStyle w:val="TableText0"/>
              <w:widowControl w:val="0"/>
              <w:jc w:val="center"/>
            </w:pPr>
            <w:r w:rsidRPr="005E3251">
              <w:t>10/65</w:t>
            </w:r>
          </w:p>
        </w:tc>
        <w:tc>
          <w:tcPr>
            <w:tcW w:w="628" w:type="pct"/>
            <w:tcBorders>
              <w:top w:val="single" w:sz="4" w:space="0" w:color="auto"/>
              <w:left w:val="single" w:sz="4" w:space="0" w:color="auto"/>
              <w:bottom w:val="single" w:sz="4" w:space="0" w:color="auto"/>
              <w:right w:val="single" w:sz="4" w:space="0" w:color="auto"/>
            </w:tcBorders>
            <w:vAlign w:val="center"/>
          </w:tcPr>
          <w:p w14:paraId="03F26A3E"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05E271B1" w14:textId="77777777" w:rsidR="0042122E" w:rsidRPr="005E3251" w:rsidRDefault="0042122E" w:rsidP="00D37B76">
            <w:pPr>
              <w:pStyle w:val="TableText0"/>
              <w:widowControl w:val="0"/>
              <w:jc w:val="center"/>
            </w:pPr>
            <w:r w:rsidRPr="005E3251">
              <w:t>18.8</w:t>
            </w:r>
          </w:p>
        </w:tc>
        <w:tc>
          <w:tcPr>
            <w:tcW w:w="459" w:type="pct"/>
            <w:tcBorders>
              <w:top w:val="single" w:sz="4" w:space="0" w:color="auto"/>
              <w:left w:val="single" w:sz="4" w:space="0" w:color="auto"/>
              <w:bottom w:val="single" w:sz="4" w:space="0" w:color="auto"/>
              <w:right w:val="single" w:sz="4" w:space="0" w:color="auto"/>
            </w:tcBorders>
            <w:vAlign w:val="center"/>
          </w:tcPr>
          <w:p w14:paraId="5B304A5F" w14:textId="77777777" w:rsidR="0042122E" w:rsidRPr="005E3251" w:rsidRDefault="0042122E" w:rsidP="00D37B76">
            <w:pPr>
              <w:pStyle w:val="TableText0"/>
              <w:widowControl w:val="0"/>
              <w:jc w:val="center"/>
            </w:pPr>
            <w:r w:rsidRPr="005E3251">
              <w:t>15.4</w:t>
            </w:r>
          </w:p>
        </w:tc>
        <w:tc>
          <w:tcPr>
            <w:tcW w:w="777" w:type="pct"/>
            <w:tcBorders>
              <w:top w:val="single" w:sz="4" w:space="0" w:color="auto"/>
              <w:left w:val="single" w:sz="4" w:space="0" w:color="auto"/>
              <w:bottom w:val="single" w:sz="4" w:space="0" w:color="auto"/>
              <w:right w:val="single" w:sz="4" w:space="0" w:color="auto"/>
            </w:tcBorders>
            <w:vAlign w:val="center"/>
          </w:tcPr>
          <w:p w14:paraId="66A20BC1" w14:textId="77777777" w:rsidR="0042122E" w:rsidRPr="005E3251" w:rsidRDefault="0042122E" w:rsidP="00D37B76">
            <w:pPr>
              <w:pStyle w:val="TableText0"/>
              <w:widowControl w:val="0"/>
              <w:jc w:val="center"/>
            </w:pPr>
            <w:r w:rsidRPr="005E3251">
              <w:t>0.03</w:t>
            </w:r>
          </w:p>
        </w:tc>
      </w:tr>
      <w:tr w:rsidR="0042122E" w:rsidRPr="005E3251" w14:paraId="72762ABE"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BE1F39" w14:textId="77777777" w:rsidR="0042122E" w:rsidRPr="005E3251" w:rsidRDefault="0042122E" w:rsidP="00D37B76">
            <w:pPr>
              <w:pStyle w:val="TableText0"/>
              <w:widowControl w:val="0"/>
            </w:pPr>
            <w:r w:rsidRPr="005E3251">
              <w:t xml:space="preserve">Pooled meta-analysis for CBD 20 mg/kg/day vs PBO used in the indirect comparison </w:t>
            </w:r>
            <w:r w:rsidRPr="005E3251">
              <w:rPr>
                <w:vertAlign w:val="superscript"/>
              </w:rPr>
              <w:t>a</w:t>
            </w:r>
          </w:p>
        </w:tc>
        <w:tc>
          <w:tcPr>
            <w:tcW w:w="777" w:type="pct"/>
            <w:tcBorders>
              <w:top w:val="single" w:sz="4" w:space="0" w:color="auto"/>
              <w:left w:val="single" w:sz="4" w:space="0" w:color="auto"/>
              <w:bottom w:val="single" w:sz="4" w:space="0" w:color="auto"/>
              <w:right w:val="single" w:sz="4" w:space="0" w:color="auto"/>
            </w:tcBorders>
            <w:vAlign w:val="center"/>
          </w:tcPr>
          <w:p w14:paraId="21C089E0" w14:textId="77777777" w:rsidR="0042122E" w:rsidRPr="005E3251" w:rsidRDefault="0042122E" w:rsidP="00D37B76">
            <w:pPr>
              <w:pStyle w:val="TableText0"/>
              <w:widowControl w:val="0"/>
              <w:jc w:val="center"/>
            </w:pPr>
            <w:r w:rsidRPr="005E3251">
              <w:t>0.08 (-0.01, 0.16)</w:t>
            </w:r>
          </w:p>
        </w:tc>
      </w:tr>
      <w:tr w:rsidR="0042122E" w:rsidRPr="005E3251" w14:paraId="48BC25BE"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52A918" w14:textId="77777777" w:rsidR="0042122E" w:rsidRPr="005E3251" w:rsidRDefault="0042122E" w:rsidP="00D37B76">
            <w:pPr>
              <w:pStyle w:val="TableText0"/>
              <w:widowControl w:val="0"/>
            </w:pPr>
            <w:r w:rsidRPr="005E3251">
              <w:t xml:space="preserve">Indirect comparison: FFA 0.4 mg/kg/day vs CBD 20 mg/kg/day </w:t>
            </w:r>
            <w:r w:rsidRPr="005E3251">
              <w:rPr>
                <w:vertAlign w:val="superscript"/>
              </w:rPr>
              <w:t>b</w:t>
            </w:r>
          </w:p>
        </w:tc>
        <w:tc>
          <w:tcPr>
            <w:tcW w:w="777" w:type="pct"/>
            <w:tcBorders>
              <w:top w:val="single" w:sz="4" w:space="0" w:color="auto"/>
              <w:left w:val="single" w:sz="4" w:space="0" w:color="auto"/>
              <w:bottom w:val="single" w:sz="4" w:space="0" w:color="auto"/>
              <w:right w:val="single" w:sz="4" w:space="0" w:color="auto"/>
            </w:tcBorders>
            <w:vAlign w:val="center"/>
          </w:tcPr>
          <w:p w14:paraId="102DD11E" w14:textId="77777777" w:rsidR="0042122E" w:rsidRPr="005E3251" w:rsidRDefault="0042122E" w:rsidP="00D37B76">
            <w:pPr>
              <w:pStyle w:val="TableText0"/>
              <w:widowControl w:val="0"/>
              <w:jc w:val="center"/>
            </w:pPr>
            <w:r w:rsidRPr="005E3251">
              <w:t>-0.06 (NR)</w:t>
            </w:r>
          </w:p>
        </w:tc>
      </w:tr>
      <w:tr w:rsidR="0042122E" w:rsidRPr="005E3251" w14:paraId="3AB437F5" w14:textId="77777777" w:rsidTr="005B4B23">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7500CC8D" w14:textId="77777777" w:rsidR="0042122E" w:rsidRPr="005E3251" w:rsidRDefault="0042122E" w:rsidP="00D37B76">
            <w:pPr>
              <w:pStyle w:val="In-tableHeading"/>
              <w:widowControl w:val="0"/>
            </w:pPr>
            <w:r w:rsidRPr="005E3251">
              <w:t>FFA 0.4 mg/kg/day (+STP) vs CBD 10 mg/kg/day (+/-STP)</w:t>
            </w:r>
          </w:p>
        </w:tc>
      </w:tr>
      <w:tr w:rsidR="0042122E" w:rsidRPr="005E3251" w14:paraId="1690AF09"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379DD" w14:textId="77777777" w:rsidR="0042122E" w:rsidRPr="005E3251" w:rsidRDefault="0042122E" w:rsidP="00D37B76">
            <w:pPr>
              <w:pStyle w:val="TableText0"/>
              <w:widowControl w:val="0"/>
            </w:pPr>
            <w:r w:rsidRPr="005E3251">
              <w:t>Study 2 (FFA vs PBO)</w:t>
            </w:r>
          </w:p>
        </w:tc>
        <w:tc>
          <w:tcPr>
            <w:tcW w:w="555" w:type="pct"/>
            <w:tcBorders>
              <w:top w:val="single" w:sz="4" w:space="0" w:color="auto"/>
              <w:left w:val="single" w:sz="4" w:space="0" w:color="auto"/>
              <w:bottom w:val="single" w:sz="4" w:space="0" w:color="auto"/>
              <w:right w:val="single" w:sz="4" w:space="0" w:color="auto"/>
            </w:tcBorders>
            <w:vAlign w:val="center"/>
          </w:tcPr>
          <w:p w14:paraId="01F6CE2F" w14:textId="77777777" w:rsidR="0042122E" w:rsidRPr="005E3251" w:rsidRDefault="0042122E" w:rsidP="00D37B76">
            <w:pPr>
              <w:pStyle w:val="TableText0"/>
              <w:widowControl w:val="0"/>
              <w:jc w:val="center"/>
            </w:pPr>
            <w:r w:rsidRPr="005E3251">
              <w:t>6/43</w:t>
            </w:r>
          </w:p>
        </w:tc>
        <w:tc>
          <w:tcPr>
            <w:tcW w:w="782" w:type="pct"/>
            <w:tcBorders>
              <w:top w:val="single" w:sz="4" w:space="0" w:color="auto"/>
              <w:left w:val="single" w:sz="4" w:space="0" w:color="auto"/>
              <w:bottom w:val="single" w:sz="4" w:space="0" w:color="auto"/>
              <w:right w:val="single" w:sz="4" w:space="0" w:color="auto"/>
            </w:tcBorders>
            <w:vAlign w:val="center"/>
          </w:tcPr>
          <w:p w14:paraId="74508BB5" w14:textId="77777777" w:rsidR="0042122E" w:rsidRPr="005E3251" w:rsidRDefault="0042122E" w:rsidP="00D37B76">
            <w:pPr>
              <w:pStyle w:val="TableText0"/>
              <w:widowControl w:val="0"/>
              <w:jc w:val="center"/>
            </w:pPr>
            <w:r w:rsidRPr="005E3251">
              <w:t>7/44</w:t>
            </w:r>
          </w:p>
        </w:tc>
        <w:tc>
          <w:tcPr>
            <w:tcW w:w="628" w:type="pct"/>
            <w:tcBorders>
              <w:top w:val="single" w:sz="4" w:space="0" w:color="auto"/>
              <w:left w:val="single" w:sz="4" w:space="0" w:color="auto"/>
              <w:bottom w:val="single" w:sz="4" w:space="0" w:color="auto"/>
              <w:right w:val="single" w:sz="4" w:space="0" w:color="auto"/>
            </w:tcBorders>
            <w:vAlign w:val="center"/>
          </w:tcPr>
          <w:p w14:paraId="510C8628"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6883908F" w14:textId="77777777" w:rsidR="0042122E" w:rsidRPr="005E3251" w:rsidRDefault="0042122E" w:rsidP="00D37B76">
            <w:pPr>
              <w:pStyle w:val="TableText0"/>
              <w:widowControl w:val="0"/>
              <w:jc w:val="center"/>
            </w:pPr>
            <w:r w:rsidRPr="005E3251">
              <w:t>14.0</w:t>
            </w:r>
          </w:p>
        </w:tc>
        <w:tc>
          <w:tcPr>
            <w:tcW w:w="459" w:type="pct"/>
            <w:tcBorders>
              <w:top w:val="single" w:sz="4" w:space="0" w:color="auto"/>
              <w:left w:val="single" w:sz="4" w:space="0" w:color="auto"/>
              <w:bottom w:val="single" w:sz="4" w:space="0" w:color="auto"/>
              <w:right w:val="single" w:sz="4" w:space="0" w:color="auto"/>
            </w:tcBorders>
            <w:vAlign w:val="center"/>
          </w:tcPr>
          <w:p w14:paraId="1A4DAA99" w14:textId="77777777" w:rsidR="0042122E" w:rsidRPr="005E3251" w:rsidRDefault="0042122E" w:rsidP="00D37B76">
            <w:pPr>
              <w:pStyle w:val="TableText0"/>
              <w:widowControl w:val="0"/>
              <w:jc w:val="center"/>
            </w:pPr>
            <w:r w:rsidRPr="005E3251">
              <w:t>15.9</w:t>
            </w:r>
          </w:p>
        </w:tc>
        <w:tc>
          <w:tcPr>
            <w:tcW w:w="777" w:type="pct"/>
            <w:tcBorders>
              <w:top w:val="single" w:sz="4" w:space="0" w:color="auto"/>
              <w:left w:val="single" w:sz="4" w:space="0" w:color="auto"/>
              <w:bottom w:val="single" w:sz="4" w:space="0" w:color="auto"/>
              <w:right w:val="single" w:sz="4" w:space="0" w:color="auto"/>
            </w:tcBorders>
            <w:vAlign w:val="center"/>
          </w:tcPr>
          <w:p w14:paraId="30967198" w14:textId="77777777" w:rsidR="0042122E" w:rsidRPr="005E3251" w:rsidRDefault="0042122E" w:rsidP="00D37B76">
            <w:pPr>
              <w:pStyle w:val="TableText0"/>
              <w:widowControl w:val="0"/>
              <w:jc w:val="center"/>
            </w:pPr>
            <w:r w:rsidRPr="005E3251">
              <w:t>-0.02</w:t>
            </w:r>
          </w:p>
        </w:tc>
      </w:tr>
      <w:tr w:rsidR="0042122E" w:rsidRPr="005E3251" w14:paraId="24396C88"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97A571" w14:textId="77777777" w:rsidR="0042122E" w:rsidRPr="005E3251" w:rsidRDefault="0042122E" w:rsidP="00D37B76">
            <w:pPr>
              <w:pStyle w:val="TableText0"/>
              <w:widowControl w:val="0"/>
            </w:pPr>
            <w:r w:rsidRPr="005E3251">
              <w:t>Pooled meta-analysis for FFA 0.4 mg/kg/day vs placebo used in the indirect comparison</w:t>
            </w:r>
          </w:p>
        </w:tc>
        <w:tc>
          <w:tcPr>
            <w:tcW w:w="777" w:type="pct"/>
            <w:tcBorders>
              <w:top w:val="single" w:sz="4" w:space="0" w:color="auto"/>
              <w:left w:val="single" w:sz="4" w:space="0" w:color="auto"/>
              <w:bottom w:val="single" w:sz="4" w:space="0" w:color="auto"/>
              <w:right w:val="single" w:sz="4" w:space="0" w:color="auto"/>
            </w:tcBorders>
            <w:vAlign w:val="center"/>
          </w:tcPr>
          <w:p w14:paraId="1FB2AA3B" w14:textId="77777777" w:rsidR="0042122E" w:rsidRPr="005E3251" w:rsidRDefault="0042122E" w:rsidP="00D37B76">
            <w:pPr>
              <w:pStyle w:val="TableText0"/>
              <w:widowControl w:val="0"/>
              <w:jc w:val="center"/>
            </w:pPr>
            <w:r w:rsidRPr="005E3251">
              <w:t xml:space="preserve">-0.02 </w:t>
            </w:r>
          </w:p>
        </w:tc>
      </w:tr>
      <w:tr w:rsidR="0042122E" w:rsidRPr="005E3251" w14:paraId="2C1C89A5"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561BE" w14:textId="77777777" w:rsidR="0042122E" w:rsidRPr="005E3251" w:rsidRDefault="0042122E" w:rsidP="00D37B76">
            <w:pPr>
              <w:pStyle w:val="TableText0"/>
              <w:widowControl w:val="0"/>
            </w:pPr>
            <w:r w:rsidRPr="005E3251">
              <w:t>GWPCARE2 (CBD vs PBO)</w:t>
            </w:r>
          </w:p>
        </w:tc>
        <w:tc>
          <w:tcPr>
            <w:tcW w:w="555" w:type="pct"/>
            <w:tcBorders>
              <w:top w:val="single" w:sz="4" w:space="0" w:color="auto"/>
              <w:left w:val="single" w:sz="4" w:space="0" w:color="auto"/>
              <w:bottom w:val="single" w:sz="4" w:space="0" w:color="auto"/>
              <w:right w:val="single" w:sz="4" w:space="0" w:color="auto"/>
            </w:tcBorders>
            <w:vAlign w:val="center"/>
          </w:tcPr>
          <w:p w14:paraId="4B8382AD" w14:textId="77777777" w:rsidR="0042122E" w:rsidRPr="005E3251" w:rsidRDefault="0042122E" w:rsidP="00D37B76">
            <w:pPr>
              <w:pStyle w:val="TableText0"/>
              <w:widowControl w:val="0"/>
              <w:jc w:val="center"/>
            </w:pPr>
            <w:r w:rsidRPr="005E3251">
              <w:t>17/66</w:t>
            </w:r>
          </w:p>
        </w:tc>
        <w:tc>
          <w:tcPr>
            <w:tcW w:w="782" w:type="pct"/>
            <w:tcBorders>
              <w:top w:val="single" w:sz="4" w:space="0" w:color="auto"/>
              <w:left w:val="single" w:sz="4" w:space="0" w:color="auto"/>
              <w:bottom w:val="single" w:sz="4" w:space="0" w:color="auto"/>
              <w:right w:val="single" w:sz="4" w:space="0" w:color="auto"/>
            </w:tcBorders>
            <w:vAlign w:val="center"/>
          </w:tcPr>
          <w:p w14:paraId="0F38F9B9" w14:textId="77777777" w:rsidR="0042122E" w:rsidRPr="005E3251" w:rsidRDefault="0042122E" w:rsidP="00D37B76">
            <w:pPr>
              <w:pStyle w:val="TableText0"/>
              <w:widowControl w:val="0"/>
              <w:jc w:val="center"/>
            </w:pPr>
            <w:r w:rsidRPr="005E3251">
              <w:t>10/65</w:t>
            </w:r>
          </w:p>
        </w:tc>
        <w:tc>
          <w:tcPr>
            <w:tcW w:w="628" w:type="pct"/>
            <w:tcBorders>
              <w:top w:val="single" w:sz="4" w:space="0" w:color="auto"/>
              <w:left w:val="single" w:sz="4" w:space="0" w:color="auto"/>
              <w:bottom w:val="single" w:sz="4" w:space="0" w:color="auto"/>
              <w:right w:val="single" w:sz="4" w:space="0" w:color="auto"/>
            </w:tcBorders>
            <w:vAlign w:val="center"/>
          </w:tcPr>
          <w:p w14:paraId="17D0DDA4" w14:textId="77777777" w:rsidR="0042122E" w:rsidRPr="005E3251" w:rsidRDefault="0042122E" w:rsidP="00D37B76">
            <w:pPr>
              <w:pStyle w:val="TableText0"/>
              <w:widowControl w:val="0"/>
              <w:jc w:val="center"/>
            </w:pPr>
          </w:p>
        </w:tc>
        <w:tc>
          <w:tcPr>
            <w:tcW w:w="543" w:type="pct"/>
            <w:tcBorders>
              <w:top w:val="single" w:sz="4" w:space="0" w:color="auto"/>
              <w:left w:val="single" w:sz="4" w:space="0" w:color="auto"/>
              <w:bottom w:val="single" w:sz="4" w:space="0" w:color="auto"/>
              <w:right w:val="single" w:sz="4" w:space="0" w:color="auto"/>
            </w:tcBorders>
            <w:vAlign w:val="center"/>
          </w:tcPr>
          <w:p w14:paraId="42D38F3B" w14:textId="77777777" w:rsidR="0042122E" w:rsidRPr="005E3251" w:rsidRDefault="0042122E" w:rsidP="00D37B76">
            <w:pPr>
              <w:pStyle w:val="TableText0"/>
              <w:widowControl w:val="0"/>
              <w:jc w:val="center"/>
            </w:pPr>
            <w:r w:rsidRPr="005E3251">
              <w:t>26.5</w:t>
            </w:r>
          </w:p>
        </w:tc>
        <w:tc>
          <w:tcPr>
            <w:tcW w:w="459" w:type="pct"/>
            <w:tcBorders>
              <w:top w:val="single" w:sz="4" w:space="0" w:color="auto"/>
              <w:left w:val="single" w:sz="4" w:space="0" w:color="auto"/>
              <w:bottom w:val="single" w:sz="4" w:space="0" w:color="auto"/>
              <w:right w:val="single" w:sz="4" w:space="0" w:color="auto"/>
            </w:tcBorders>
            <w:vAlign w:val="center"/>
          </w:tcPr>
          <w:p w14:paraId="492A9C2E" w14:textId="77777777" w:rsidR="0042122E" w:rsidRPr="005E3251" w:rsidRDefault="0042122E" w:rsidP="00D37B76">
            <w:pPr>
              <w:pStyle w:val="TableText0"/>
              <w:widowControl w:val="0"/>
              <w:jc w:val="center"/>
            </w:pPr>
            <w:r w:rsidRPr="005E3251">
              <w:t>15.4</w:t>
            </w:r>
          </w:p>
        </w:tc>
        <w:tc>
          <w:tcPr>
            <w:tcW w:w="777" w:type="pct"/>
            <w:tcBorders>
              <w:top w:val="single" w:sz="4" w:space="0" w:color="auto"/>
              <w:left w:val="single" w:sz="4" w:space="0" w:color="auto"/>
              <w:bottom w:val="single" w:sz="4" w:space="0" w:color="auto"/>
              <w:right w:val="single" w:sz="4" w:space="0" w:color="auto"/>
            </w:tcBorders>
            <w:vAlign w:val="center"/>
          </w:tcPr>
          <w:p w14:paraId="02B67113" w14:textId="77777777" w:rsidR="0042122E" w:rsidRPr="005E3251" w:rsidRDefault="0042122E" w:rsidP="00D37B76">
            <w:pPr>
              <w:pStyle w:val="TableText0"/>
              <w:widowControl w:val="0"/>
              <w:jc w:val="center"/>
            </w:pPr>
            <w:r w:rsidRPr="005E3251">
              <w:t>0.11</w:t>
            </w:r>
          </w:p>
        </w:tc>
      </w:tr>
      <w:tr w:rsidR="0042122E" w:rsidRPr="005E3251" w14:paraId="505BB036"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D94B12" w14:textId="77777777" w:rsidR="0042122E" w:rsidRPr="005E3251" w:rsidRDefault="0042122E" w:rsidP="00D37B76">
            <w:pPr>
              <w:pStyle w:val="TableText0"/>
              <w:widowControl w:val="0"/>
            </w:pPr>
            <w:r w:rsidRPr="005E3251">
              <w:t>Pooled meta-analysis for CBD 10 mg/kg/day vs PBO used in the indirect comparison</w:t>
            </w:r>
          </w:p>
        </w:tc>
        <w:tc>
          <w:tcPr>
            <w:tcW w:w="777" w:type="pct"/>
            <w:tcBorders>
              <w:top w:val="single" w:sz="4" w:space="0" w:color="auto"/>
              <w:left w:val="single" w:sz="4" w:space="0" w:color="auto"/>
              <w:bottom w:val="single" w:sz="4" w:space="0" w:color="auto"/>
              <w:right w:val="single" w:sz="4" w:space="0" w:color="auto"/>
            </w:tcBorders>
            <w:vAlign w:val="center"/>
          </w:tcPr>
          <w:p w14:paraId="7421D0FF" w14:textId="77777777" w:rsidR="0042122E" w:rsidRPr="005E3251" w:rsidRDefault="0042122E" w:rsidP="00D37B76">
            <w:pPr>
              <w:pStyle w:val="TableText0"/>
              <w:widowControl w:val="0"/>
              <w:jc w:val="center"/>
            </w:pPr>
            <w:r w:rsidRPr="005E3251">
              <w:t>0.11</w:t>
            </w:r>
          </w:p>
        </w:tc>
      </w:tr>
      <w:tr w:rsidR="0042122E" w:rsidRPr="005E3251" w14:paraId="1CC4E275"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83DEE8" w14:textId="77777777" w:rsidR="0042122E" w:rsidRPr="005E3251" w:rsidRDefault="0042122E" w:rsidP="00D37B76">
            <w:pPr>
              <w:pStyle w:val="TableText0"/>
              <w:widowControl w:val="0"/>
            </w:pPr>
            <w:r w:rsidRPr="005E3251">
              <w:t>Indirect comparison: FFA 0.4 mg/kg/day vs CBD 10 mg/kg/day</w:t>
            </w:r>
          </w:p>
        </w:tc>
        <w:tc>
          <w:tcPr>
            <w:tcW w:w="777" w:type="pct"/>
            <w:tcBorders>
              <w:top w:val="single" w:sz="4" w:space="0" w:color="auto"/>
              <w:left w:val="single" w:sz="4" w:space="0" w:color="auto"/>
              <w:bottom w:val="single" w:sz="4" w:space="0" w:color="auto"/>
              <w:right w:val="single" w:sz="4" w:space="0" w:color="auto"/>
            </w:tcBorders>
            <w:vAlign w:val="center"/>
          </w:tcPr>
          <w:p w14:paraId="260B5B93" w14:textId="77777777" w:rsidR="0042122E" w:rsidRPr="005E3251" w:rsidRDefault="0042122E" w:rsidP="00D37B76">
            <w:pPr>
              <w:pStyle w:val="TableText0"/>
              <w:widowControl w:val="0"/>
              <w:jc w:val="center"/>
            </w:pPr>
            <w:r w:rsidRPr="005E3251">
              <w:t>-0.13 (NR)</w:t>
            </w:r>
          </w:p>
        </w:tc>
      </w:tr>
      <w:tr w:rsidR="0042122E" w:rsidRPr="005E3251" w14:paraId="0378D7AD" w14:textId="77777777" w:rsidTr="005B4B23">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3063FE" w14:textId="77777777" w:rsidR="0042122E" w:rsidRPr="005E3251" w:rsidRDefault="0042122E" w:rsidP="00D37B76">
            <w:pPr>
              <w:pStyle w:val="In-tableHeading"/>
              <w:widowControl w:val="0"/>
            </w:pPr>
            <w:r w:rsidRPr="005E3251">
              <w:t>FFA 0.7 mg/kg/day (-STP) vs STP 50 mg/kg/day</w:t>
            </w:r>
          </w:p>
        </w:tc>
      </w:tr>
      <w:tr w:rsidR="0042122E" w:rsidRPr="005E3251" w14:paraId="635CB522"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6B780" w14:textId="77777777" w:rsidR="0042122E" w:rsidRPr="005E3251" w:rsidRDefault="0042122E" w:rsidP="00D37B76">
            <w:pPr>
              <w:pStyle w:val="TableText0"/>
              <w:widowControl w:val="0"/>
            </w:pPr>
            <w:r w:rsidRPr="005E3251">
              <w:t>Study 1 (FFA vs PBO)</w:t>
            </w:r>
          </w:p>
        </w:tc>
        <w:tc>
          <w:tcPr>
            <w:tcW w:w="555" w:type="pct"/>
            <w:tcBorders>
              <w:top w:val="single" w:sz="4" w:space="0" w:color="auto"/>
              <w:left w:val="single" w:sz="4" w:space="0" w:color="auto"/>
              <w:bottom w:val="single" w:sz="4" w:space="0" w:color="auto"/>
              <w:right w:val="single" w:sz="4" w:space="0" w:color="auto"/>
            </w:tcBorders>
            <w:vAlign w:val="center"/>
          </w:tcPr>
          <w:p w14:paraId="0CEA976C" w14:textId="77777777" w:rsidR="0042122E" w:rsidRPr="005E3251" w:rsidRDefault="0042122E" w:rsidP="00D37B76">
            <w:pPr>
              <w:pStyle w:val="TableText0"/>
              <w:widowControl w:val="0"/>
              <w:jc w:val="center"/>
            </w:pPr>
            <w:r w:rsidRPr="005E3251">
              <w:t>5/40</w:t>
            </w:r>
          </w:p>
        </w:tc>
        <w:tc>
          <w:tcPr>
            <w:tcW w:w="782" w:type="pct"/>
            <w:tcBorders>
              <w:top w:val="single" w:sz="4" w:space="0" w:color="auto"/>
              <w:left w:val="single" w:sz="4" w:space="0" w:color="auto"/>
              <w:bottom w:val="single" w:sz="4" w:space="0" w:color="auto"/>
              <w:right w:val="single" w:sz="4" w:space="0" w:color="auto"/>
            </w:tcBorders>
            <w:vAlign w:val="center"/>
          </w:tcPr>
          <w:p w14:paraId="1EBFCF9F" w14:textId="77777777" w:rsidR="0042122E" w:rsidRPr="005E3251" w:rsidRDefault="0042122E" w:rsidP="00D37B76">
            <w:pPr>
              <w:pStyle w:val="TableText0"/>
              <w:widowControl w:val="0"/>
              <w:jc w:val="center"/>
            </w:pPr>
            <w:r w:rsidRPr="005E3251">
              <w:t>4/40</w:t>
            </w:r>
          </w:p>
        </w:tc>
        <w:tc>
          <w:tcPr>
            <w:tcW w:w="628" w:type="pct"/>
            <w:tcBorders>
              <w:top w:val="single" w:sz="4" w:space="0" w:color="auto"/>
              <w:left w:val="single" w:sz="4" w:space="0" w:color="auto"/>
              <w:bottom w:val="single" w:sz="4" w:space="0" w:color="auto"/>
              <w:right w:val="single" w:sz="4" w:space="0" w:color="auto"/>
            </w:tcBorders>
            <w:vAlign w:val="center"/>
          </w:tcPr>
          <w:p w14:paraId="3F8CC1E1"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15F6BAA5" w14:textId="77777777" w:rsidR="0042122E" w:rsidRPr="005E3251" w:rsidRDefault="0042122E" w:rsidP="00D37B76">
            <w:pPr>
              <w:pStyle w:val="TableText0"/>
              <w:widowControl w:val="0"/>
              <w:jc w:val="center"/>
            </w:pPr>
            <w:r w:rsidRPr="005E3251">
              <w:t>12.5</w:t>
            </w:r>
          </w:p>
        </w:tc>
        <w:tc>
          <w:tcPr>
            <w:tcW w:w="459" w:type="pct"/>
            <w:tcBorders>
              <w:top w:val="single" w:sz="4" w:space="0" w:color="auto"/>
              <w:left w:val="single" w:sz="4" w:space="0" w:color="auto"/>
              <w:bottom w:val="single" w:sz="4" w:space="0" w:color="auto"/>
              <w:right w:val="single" w:sz="4" w:space="0" w:color="auto"/>
            </w:tcBorders>
            <w:vAlign w:val="center"/>
          </w:tcPr>
          <w:p w14:paraId="3563009E" w14:textId="77777777" w:rsidR="0042122E" w:rsidRPr="005E3251" w:rsidRDefault="0042122E" w:rsidP="00D37B76">
            <w:pPr>
              <w:pStyle w:val="TableText0"/>
              <w:widowControl w:val="0"/>
              <w:jc w:val="center"/>
            </w:pPr>
            <w:r w:rsidRPr="005E3251">
              <w:t>10.0</w:t>
            </w:r>
          </w:p>
        </w:tc>
        <w:tc>
          <w:tcPr>
            <w:tcW w:w="777" w:type="pct"/>
            <w:tcBorders>
              <w:top w:val="single" w:sz="4" w:space="0" w:color="auto"/>
              <w:left w:val="single" w:sz="4" w:space="0" w:color="auto"/>
              <w:bottom w:val="single" w:sz="4" w:space="0" w:color="auto"/>
              <w:right w:val="single" w:sz="4" w:space="0" w:color="auto"/>
            </w:tcBorders>
            <w:vAlign w:val="center"/>
          </w:tcPr>
          <w:p w14:paraId="321B7B7A" w14:textId="77777777" w:rsidR="0042122E" w:rsidRPr="005E3251" w:rsidRDefault="0042122E" w:rsidP="00D37B76">
            <w:pPr>
              <w:pStyle w:val="TableText0"/>
              <w:widowControl w:val="0"/>
              <w:jc w:val="center"/>
            </w:pPr>
            <w:r w:rsidRPr="005E3251">
              <w:t>0.06 (NR)</w:t>
            </w:r>
          </w:p>
        </w:tc>
      </w:tr>
      <w:tr w:rsidR="0042122E" w:rsidRPr="005E3251" w14:paraId="091ADB9F"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DD3EE" w14:textId="77777777" w:rsidR="0042122E" w:rsidRPr="005E3251" w:rsidRDefault="0042122E" w:rsidP="00D37B76">
            <w:pPr>
              <w:pStyle w:val="TableText0"/>
              <w:widowControl w:val="0"/>
            </w:pPr>
            <w:r w:rsidRPr="005E3251">
              <w:t>Study 3 (FFA vs PBO)</w:t>
            </w:r>
          </w:p>
        </w:tc>
        <w:tc>
          <w:tcPr>
            <w:tcW w:w="555" w:type="pct"/>
            <w:tcBorders>
              <w:top w:val="single" w:sz="4" w:space="0" w:color="auto"/>
              <w:left w:val="single" w:sz="4" w:space="0" w:color="auto"/>
              <w:bottom w:val="single" w:sz="4" w:space="0" w:color="auto"/>
              <w:right w:val="single" w:sz="4" w:space="0" w:color="auto"/>
            </w:tcBorders>
            <w:vAlign w:val="center"/>
          </w:tcPr>
          <w:p w14:paraId="1FD857F6" w14:textId="77777777" w:rsidR="0042122E" w:rsidRPr="005E3251" w:rsidRDefault="0042122E" w:rsidP="00D37B76">
            <w:pPr>
              <w:pStyle w:val="TableText0"/>
              <w:widowControl w:val="0"/>
              <w:jc w:val="center"/>
            </w:pPr>
            <w:r w:rsidRPr="005E3251">
              <w:t>3/48</w:t>
            </w:r>
          </w:p>
        </w:tc>
        <w:tc>
          <w:tcPr>
            <w:tcW w:w="782" w:type="pct"/>
            <w:tcBorders>
              <w:top w:val="single" w:sz="4" w:space="0" w:color="auto"/>
              <w:left w:val="single" w:sz="4" w:space="0" w:color="auto"/>
              <w:bottom w:val="single" w:sz="4" w:space="0" w:color="auto"/>
              <w:right w:val="single" w:sz="4" w:space="0" w:color="auto"/>
            </w:tcBorders>
            <w:vAlign w:val="center"/>
          </w:tcPr>
          <w:p w14:paraId="49B32DA4" w14:textId="77777777" w:rsidR="0042122E" w:rsidRPr="005E3251" w:rsidRDefault="0042122E" w:rsidP="00D37B76">
            <w:pPr>
              <w:pStyle w:val="TableText0"/>
              <w:widowControl w:val="0"/>
              <w:jc w:val="center"/>
            </w:pPr>
            <w:r w:rsidRPr="005E3251">
              <w:t>2/48</w:t>
            </w:r>
          </w:p>
        </w:tc>
        <w:tc>
          <w:tcPr>
            <w:tcW w:w="628" w:type="pct"/>
            <w:tcBorders>
              <w:top w:val="single" w:sz="4" w:space="0" w:color="auto"/>
              <w:left w:val="single" w:sz="4" w:space="0" w:color="auto"/>
              <w:bottom w:val="single" w:sz="4" w:space="0" w:color="auto"/>
              <w:right w:val="single" w:sz="4" w:space="0" w:color="auto"/>
            </w:tcBorders>
            <w:vAlign w:val="center"/>
          </w:tcPr>
          <w:p w14:paraId="79EACC09"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3FA25ED8" w14:textId="77777777" w:rsidR="0042122E" w:rsidRPr="005E3251" w:rsidRDefault="0042122E" w:rsidP="00D37B76">
            <w:pPr>
              <w:pStyle w:val="TableText0"/>
              <w:widowControl w:val="0"/>
              <w:jc w:val="center"/>
            </w:pPr>
            <w:r w:rsidRPr="005E3251">
              <w:t>6.3</w:t>
            </w:r>
          </w:p>
        </w:tc>
        <w:tc>
          <w:tcPr>
            <w:tcW w:w="459" w:type="pct"/>
            <w:tcBorders>
              <w:top w:val="single" w:sz="4" w:space="0" w:color="auto"/>
              <w:left w:val="single" w:sz="4" w:space="0" w:color="auto"/>
              <w:bottom w:val="single" w:sz="4" w:space="0" w:color="auto"/>
              <w:right w:val="single" w:sz="4" w:space="0" w:color="auto"/>
            </w:tcBorders>
            <w:vAlign w:val="center"/>
          </w:tcPr>
          <w:p w14:paraId="531D5BC2" w14:textId="77777777" w:rsidR="0042122E" w:rsidRPr="005E3251" w:rsidRDefault="0042122E" w:rsidP="00D37B76">
            <w:pPr>
              <w:pStyle w:val="TableText0"/>
              <w:widowControl w:val="0"/>
              <w:jc w:val="center"/>
            </w:pPr>
            <w:r w:rsidRPr="005E3251">
              <w:t>4.2</w:t>
            </w:r>
          </w:p>
        </w:tc>
        <w:tc>
          <w:tcPr>
            <w:tcW w:w="777" w:type="pct"/>
            <w:tcBorders>
              <w:top w:val="single" w:sz="4" w:space="0" w:color="auto"/>
              <w:left w:val="single" w:sz="4" w:space="0" w:color="auto"/>
              <w:bottom w:val="single" w:sz="4" w:space="0" w:color="auto"/>
              <w:right w:val="single" w:sz="4" w:space="0" w:color="auto"/>
            </w:tcBorders>
            <w:vAlign w:val="center"/>
          </w:tcPr>
          <w:p w14:paraId="285612C5" w14:textId="77777777" w:rsidR="0042122E" w:rsidRPr="005E3251" w:rsidRDefault="0042122E" w:rsidP="00D37B76">
            <w:pPr>
              <w:pStyle w:val="TableText0"/>
              <w:widowControl w:val="0"/>
              <w:jc w:val="center"/>
            </w:pPr>
            <w:r w:rsidRPr="005E3251">
              <w:t>0.02 (NR)</w:t>
            </w:r>
          </w:p>
        </w:tc>
      </w:tr>
      <w:tr w:rsidR="0042122E" w:rsidRPr="005E3251" w14:paraId="6BEB6552"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68243F" w14:textId="77777777" w:rsidR="0042122E" w:rsidRPr="005E3251" w:rsidRDefault="0042122E" w:rsidP="00D37B76">
            <w:pPr>
              <w:pStyle w:val="TableText0"/>
              <w:widowControl w:val="0"/>
            </w:pPr>
            <w:r w:rsidRPr="005E3251">
              <w:t xml:space="preserve">Pooled meta-analysis for FFA 0.7 mg/kg/day vs PBO </w:t>
            </w:r>
            <w:r w:rsidRPr="005E3251">
              <w:rPr>
                <w:vertAlign w:val="superscript"/>
              </w:rPr>
              <w:t>a</w:t>
            </w:r>
          </w:p>
        </w:tc>
        <w:tc>
          <w:tcPr>
            <w:tcW w:w="777" w:type="pct"/>
            <w:tcBorders>
              <w:top w:val="single" w:sz="4" w:space="0" w:color="auto"/>
              <w:left w:val="single" w:sz="4" w:space="0" w:color="auto"/>
              <w:bottom w:val="single" w:sz="4" w:space="0" w:color="auto"/>
              <w:right w:val="single" w:sz="4" w:space="0" w:color="auto"/>
            </w:tcBorders>
            <w:vAlign w:val="center"/>
          </w:tcPr>
          <w:p w14:paraId="44437BA6" w14:textId="77777777" w:rsidR="0042122E" w:rsidRPr="005E3251" w:rsidRDefault="0042122E" w:rsidP="00D37B76">
            <w:pPr>
              <w:pStyle w:val="TableText0"/>
              <w:widowControl w:val="0"/>
              <w:jc w:val="center"/>
            </w:pPr>
            <w:r w:rsidRPr="005E3251">
              <w:t>0.02 (-0.05, 0.10)</w:t>
            </w:r>
          </w:p>
        </w:tc>
      </w:tr>
      <w:tr w:rsidR="0042122E" w:rsidRPr="005E3251" w14:paraId="173F1529" w14:textId="77777777" w:rsidTr="005B4B23">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AE8B6" w14:textId="77777777" w:rsidR="0042122E" w:rsidRPr="005E3251" w:rsidRDefault="0042122E" w:rsidP="00D37B76">
            <w:pPr>
              <w:pStyle w:val="TableText0"/>
              <w:widowControl w:val="0"/>
            </w:pPr>
            <w:r w:rsidRPr="005E3251">
              <w:t>STICLO – France &amp; Italy (STP vs PBO)</w:t>
            </w:r>
          </w:p>
        </w:tc>
        <w:tc>
          <w:tcPr>
            <w:tcW w:w="555" w:type="pct"/>
            <w:tcBorders>
              <w:top w:val="single" w:sz="4" w:space="0" w:color="auto"/>
              <w:left w:val="single" w:sz="4" w:space="0" w:color="auto"/>
              <w:bottom w:val="single" w:sz="4" w:space="0" w:color="auto"/>
              <w:right w:val="single" w:sz="4" w:space="0" w:color="auto"/>
            </w:tcBorders>
            <w:vAlign w:val="center"/>
          </w:tcPr>
          <w:p w14:paraId="11DE5394" w14:textId="77777777" w:rsidR="0042122E" w:rsidRPr="005E3251" w:rsidRDefault="0042122E" w:rsidP="00D37B76">
            <w:pPr>
              <w:pStyle w:val="TableText0"/>
              <w:widowControl w:val="0"/>
              <w:jc w:val="center"/>
            </w:pPr>
            <w:r w:rsidRPr="005E3251">
              <w:t>10/61</w:t>
            </w:r>
          </w:p>
        </w:tc>
        <w:tc>
          <w:tcPr>
            <w:tcW w:w="782" w:type="pct"/>
            <w:tcBorders>
              <w:top w:val="single" w:sz="4" w:space="0" w:color="auto"/>
              <w:left w:val="single" w:sz="4" w:space="0" w:color="auto"/>
              <w:bottom w:val="single" w:sz="4" w:space="0" w:color="auto"/>
              <w:right w:val="single" w:sz="4" w:space="0" w:color="auto"/>
            </w:tcBorders>
            <w:vAlign w:val="center"/>
          </w:tcPr>
          <w:p w14:paraId="193916DB" w14:textId="77777777" w:rsidR="0042122E" w:rsidRPr="005E3251" w:rsidRDefault="0042122E" w:rsidP="00D37B76">
            <w:pPr>
              <w:pStyle w:val="TableText0"/>
              <w:widowControl w:val="0"/>
              <w:jc w:val="center"/>
            </w:pPr>
            <w:r w:rsidRPr="005E3251">
              <w:t>3/51</w:t>
            </w:r>
          </w:p>
        </w:tc>
        <w:tc>
          <w:tcPr>
            <w:tcW w:w="628" w:type="pct"/>
            <w:tcBorders>
              <w:top w:val="single" w:sz="4" w:space="0" w:color="auto"/>
              <w:left w:val="single" w:sz="4" w:space="0" w:color="auto"/>
              <w:bottom w:val="single" w:sz="4" w:space="0" w:color="auto"/>
              <w:right w:val="single" w:sz="4" w:space="0" w:color="auto"/>
            </w:tcBorders>
            <w:vAlign w:val="center"/>
          </w:tcPr>
          <w:p w14:paraId="3E2E8AFA" w14:textId="77777777" w:rsidR="0042122E" w:rsidRPr="005E3251" w:rsidRDefault="0042122E"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1A96743C" w14:textId="77777777" w:rsidR="0042122E" w:rsidRPr="005E3251" w:rsidRDefault="0042122E" w:rsidP="00D37B76">
            <w:pPr>
              <w:pStyle w:val="TableText0"/>
              <w:widowControl w:val="0"/>
              <w:jc w:val="center"/>
            </w:pPr>
            <w:r w:rsidRPr="005E3251">
              <w:t>16.4</w:t>
            </w:r>
          </w:p>
        </w:tc>
        <w:tc>
          <w:tcPr>
            <w:tcW w:w="459" w:type="pct"/>
            <w:tcBorders>
              <w:top w:val="single" w:sz="4" w:space="0" w:color="auto"/>
              <w:left w:val="single" w:sz="4" w:space="0" w:color="auto"/>
              <w:bottom w:val="single" w:sz="4" w:space="0" w:color="auto"/>
              <w:right w:val="single" w:sz="4" w:space="0" w:color="auto"/>
            </w:tcBorders>
            <w:vAlign w:val="center"/>
          </w:tcPr>
          <w:p w14:paraId="18F5EC5A" w14:textId="77777777" w:rsidR="0042122E" w:rsidRPr="005E3251" w:rsidRDefault="0042122E" w:rsidP="00D37B76">
            <w:pPr>
              <w:pStyle w:val="TableText0"/>
              <w:widowControl w:val="0"/>
              <w:jc w:val="center"/>
            </w:pPr>
            <w:r w:rsidRPr="005E3251">
              <w:t>5.1</w:t>
            </w:r>
          </w:p>
        </w:tc>
        <w:tc>
          <w:tcPr>
            <w:tcW w:w="777" w:type="pct"/>
            <w:tcBorders>
              <w:top w:val="single" w:sz="4" w:space="0" w:color="auto"/>
              <w:left w:val="single" w:sz="4" w:space="0" w:color="auto"/>
              <w:bottom w:val="single" w:sz="4" w:space="0" w:color="auto"/>
              <w:right w:val="single" w:sz="4" w:space="0" w:color="auto"/>
            </w:tcBorders>
            <w:vAlign w:val="center"/>
          </w:tcPr>
          <w:p w14:paraId="2D790845" w14:textId="77777777" w:rsidR="0042122E" w:rsidRPr="005E3251" w:rsidRDefault="0042122E" w:rsidP="00D37B76">
            <w:pPr>
              <w:pStyle w:val="TableText0"/>
              <w:widowControl w:val="0"/>
              <w:jc w:val="center"/>
            </w:pPr>
            <w:r w:rsidRPr="005E3251">
              <w:t>-0.04 (-0.17, 0.10)</w:t>
            </w:r>
          </w:p>
        </w:tc>
      </w:tr>
      <w:tr w:rsidR="0042122E" w:rsidRPr="005E3251" w14:paraId="582E4DFE"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1B946B" w14:textId="77777777" w:rsidR="0042122E" w:rsidRPr="005E3251" w:rsidRDefault="0042122E" w:rsidP="00D37B76">
            <w:pPr>
              <w:pStyle w:val="TableText0"/>
              <w:widowControl w:val="0"/>
            </w:pPr>
            <w:r w:rsidRPr="005E3251">
              <w:t xml:space="preserve">Pooled meta-analysis for STP 50 mg/kg/day vs PBO used in the indirect comparison </w:t>
            </w:r>
            <w:r w:rsidRPr="005E3251">
              <w:rPr>
                <w:vertAlign w:val="superscript"/>
              </w:rPr>
              <w:t>a</w:t>
            </w:r>
          </w:p>
        </w:tc>
        <w:tc>
          <w:tcPr>
            <w:tcW w:w="777" w:type="pct"/>
            <w:tcBorders>
              <w:top w:val="single" w:sz="4" w:space="0" w:color="auto"/>
              <w:left w:val="single" w:sz="4" w:space="0" w:color="auto"/>
              <w:bottom w:val="single" w:sz="4" w:space="0" w:color="auto"/>
              <w:right w:val="single" w:sz="4" w:space="0" w:color="auto"/>
            </w:tcBorders>
            <w:vAlign w:val="center"/>
          </w:tcPr>
          <w:p w14:paraId="3F19B47F" w14:textId="77777777" w:rsidR="0042122E" w:rsidRPr="005E3251" w:rsidRDefault="0042122E" w:rsidP="00D37B76">
            <w:pPr>
              <w:pStyle w:val="TableText0"/>
              <w:widowControl w:val="0"/>
              <w:jc w:val="center"/>
            </w:pPr>
            <w:r w:rsidRPr="005E3251">
              <w:t>-0.04 (-0.17, 0.10)</w:t>
            </w:r>
          </w:p>
        </w:tc>
      </w:tr>
      <w:tr w:rsidR="0042122E" w:rsidRPr="005E3251" w14:paraId="7BB36F2D"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72EBA9" w14:textId="77777777" w:rsidR="0042122E" w:rsidRPr="005E3251" w:rsidRDefault="0042122E" w:rsidP="00D37B76">
            <w:pPr>
              <w:pStyle w:val="TableText0"/>
              <w:widowControl w:val="0"/>
            </w:pPr>
            <w:r w:rsidRPr="005E3251">
              <w:t xml:space="preserve">Indirect comparison: FFA 0.7 mg/kg/day vs STP 50 mg/kg/day </w:t>
            </w:r>
            <w:r w:rsidRPr="005E3251">
              <w:rPr>
                <w:vertAlign w:val="superscript"/>
              </w:rPr>
              <w:t>b</w:t>
            </w:r>
          </w:p>
        </w:tc>
        <w:tc>
          <w:tcPr>
            <w:tcW w:w="777" w:type="pct"/>
            <w:tcBorders>
              <w:top w:val="single" w:sz="4" w:space="0" w:color="auto"/>
              <w:left w:val="single" w:sz="4" w:space="0" w:color="auto"/>
              <w:bottom w:val="single" w:sz="4" w:space="0" w:color="auto"/>
              <w:right w:val="single" w:sz="4" w:space="0" w:color="auto"/>
            </w:tcBorders>
            <w:vAlign w:val="center"/>
          </w:tcPr>
          <w:p w14:paraId="6AC75276" w14:textId="77777777" w:rsidR="0042122E" w:rsidRPr="005E3251" w:rsidRDefault="0042122E" w:rsidP="00D37B76">
            <w:pPr>
              <w:pStyle w:val="TableText0"/>
              <w:widowControl w:val="0"/>
              <w:jc w:val="center"/>
            </w:pPr>
            <w:r w:rsidRPr="005E3251">
              <w:t>0.06 (NR)</w:t>
            </w:r>
          </w:p>
        </w:tc>
      </w:tr>
      <w:tr w:rsidR="005B4B23" w:rsidRPr="005E3251" w14:paraId="4026394C" w14:textId="77777777" w:rsidTr="005B4B23">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A702E1" w14:textId="792E0C93" w:rsidR="005B4B23" w:rsidRPr="005E3251" w:rsidRDefault="005B4B23" w:rsidP="00D37B76">
            <w:pPr>
              <w:pStyle w:val="In-tableHeading"/>
              <w:widowControl w:val="0"/>
            </w:pPr>
            <w:r w:rsidRPr="005E3251">
              <w:t xml:space="preserve">FFA 0.4 mg/kg/day (+STP) vs </w:t>
            </w:r>
            <w:r w:rsidR="001C09DF">
              <w:t>PBO</w:t>
            </w:r>
            <w:r w:rsidR="001C09DF" w:rsidRPr="005E3251">
              <w:t xml:space="preserve"> </w:t>
            </w:r>
            <w:r w:rsidR="00A818D5" w:rsidRPr="005E3251">
              <w:t>(</w:t>
            </w:r>
            <w:r w:rsidR="001C09DF">
              <w:t xml:space="preserve">STP </w:t>
            </w:r>
            <w:r w:rsidR="00A818D5" w:rsidRPr="005E3251">
              <w:t>unknown dose</w:t>
            </w:r>
            <w:r w:rsidR="00A818D5" w:rsidRPr="00A44404">
              <w:t>) [Study 2 trial</w:t>
            </w:r>
            <w:r w:rsidR="00A818D5" w:rsidRPr="005E3251">
              <w:t xml:space="preserve"> results]</w:t>
            </w:r>
          </w:p>
        </w:tc>
      </w:tr>
      <w:tr w:rsidR="005B4B23" w:rsidRPr="005E3251" w14:paraId="0FCE25D6" w14:textId="77777777" w:rsidTr="005B4B23">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570DDFF" w14:textId="77777777" w:rsidR="005B4B23" w:rsidRPr="005E3251" w:rsidRDefault="005B4B23" w:rsidP="00D37B76">
            <w:pPr>
              <w:pStyle w:val="TableText0"/>
              <w:widowControl w:val="0"/>
            </w:pPr>
            <w:r w:rsidRPr="005E3251">
              <w:t>Study 2 (FFA vs PBO)</w:t>
            </w:r>
          </w:p>
        </w:tc>
        <w:tc>
          <w:tcPr>
            <w:tcW w:w="560" w:type="pct"/>
            <w:gridSpan w:val="2"/>
            <w:tcBorders>
              <w:top w:val="single" w:sz="4" w:space="0" w:color="auto"/>
              <w:left w:val="single" w:sz="4" w:space="0" w:color="auto"/>
              <w:bottom w:val="single" w:sz="4" w:space="0" w:color="auto"/>
              <w:right w:val="single" w:sz="4" w:space="0" w:color="auto"/>
            </w:tcBorders>
            <w:vAlign w:val="center"/>
          </w:tcPr>
          <w:p w14:paraId="26013AC2" w14:textId="77777777" w:rsidR="005B4B23" w:rsidRPr="005E3251" w:rsidRDefault="005B4B23" w:rsidP="00D37B76">
            <w:pPr>
              <w:pStyle w:val="TableText0"/>
              <w:widowControl w:val="0"/>
              <w:jc w:val="center"/>
            </w:pPr>
            <w:r w:rsidRPr="005E3251">
              <w:t>6/43</w:t>
            </w:r>
          </w:p>
        </w:tc>
        <w:tc>
          <w:tcPr>
            <w:tcW w:w="782" w:type="pct"/>
            <w:tcBorders>
              <w:top w:val="single" w:sz="4" w:space="0" w:color="auto"/>
              <w:left w:val="single" w:sz="4" w:space="0" w:color="auto"/>
              <w:bottom w:val="single" w:sz="4" w:space="0" w:color="auto"/>
              <w:right w:val="single" w:sz="4" w:space="0" w:color="auto"/>
            </w:tcBorders>
            <w:vAlign w:val="center"/>
          </w:tcPr>
          <w:p w14:paraId="1837E405" w14:textId="77777777" w:rsidR="005B4B23" w:rsidRPr="005E3251" w:rsidRDefault="005B4B23" w:rsidP="00D37B76">
            <w:pPr>
              <w:pStyle w:val="TableText0"/>
              <w:widowControl w:val="0"/>
              <w:jc w:val="center"/>
            </w:pPr>
            <w:r w:rsidRPr="005E3251">
              <w:t>7/44</w:t>
            </w:r>
          </w:p>
        </w:tc>
        <w:tc>
          <w:tcPr>
            <w:tcW w:w="628" w:type="pct"/>
            <w:tcBorders>
              <w:top w:val="single" w:sz="4" w:space="0" w:color="auto"/>
              <w:left w:val="single" w:sz="4" w:space="0" w:color="auto"/>
              <w:bottom w:val="single" w:sz="4" w:space="0" w:color="auto"/>
              <w:right w:val="single" w:sz="4" w:space="0" w:color="auto"/>
            </w:tcBorders>
            <w:vAlign w:val="center"/>
          </w:tcPr>
          <w:p w14:paraId="3333487E" w14:textId="77777777" w:rsidR="005B4B23" w:rsidRPr="005E3251" w:rsidRDefault="005B4B23" w:rsidP="00D37B76">
            <w:pPr>
              <w:pStyle w:val="TableText0"/>
              <w:widowControl w:val="0"/>
              <w:jc w:val="center"/>
            </w:pPr>
            <w:r w:rsidRPr="005E3251">
              <w:t>NR</w:t>
            </w:r>
          </w:p>
        </w:tc>
        <w:tc>
          <w:tcPr>
            <w:tcW w:w="543" w:type="pct"/>
            <w:tcBorders>
              <w:top w:val="single" w:sz="4" w:space="0" w:color="auto"/>
              <w:left w:val="single" w:sz="4" w:space="0" w:color="auto"/>
              <w:bottom w:val="single" w:sz="4" w:space="0" w:color="auto"/>
              <w:right w:val="single" w:sz="4" w:space="0" w:color="auto"/>
            </w:tcBorders>
            <w:vAlign w:val="center"/>
          </w:tcPr>
          <w:p w14:paraId="5170D7D9" w14:textId="77777777" w:rsidR="005B4B23" w:rsidRPr="005E3251" w:rsidRDefault="005B4B23" w:rsidP="00D37B76">
            <w:pPr>
              <w:pStyle w:val="TableText0"/>
              <w:widowControl w:val="0"/>
              <w:jc w:val="center"/>
            </w:pPr>
            <w:r w:rsidRPr="005E3251">
              <w:t>14.0</w:t>
            </w:r>
          </w:p>
        </w:tc>
        <w:tc>
          <w:tcPr>
            <w:tcW w:w="459" w:type="pct"/>
            <w:tcBorders>
              <w:top w:val="single" w:sz="4" w:space="0" w:color="auto"/>
              <w:left w:val="single" w:sz="4" w:space="0" w:color="auto"/>
              <w:bottom w:val="single" w:sz="4" w:space="0" w:color="auto"/>
              <w:right w:val="single" w:sz="4" w:space="0" w:color="auto"/>
            </w:tcBorders>
            <w:vAlign w:val="center"/>
          </w:tcPr>
          <w:p w14:paraId="71158402" w14:textId="77777777" w:rsidR="005B4B23" w:rsidRPr="005E3251" w:rsidRDefault="005B4B23" w:rsidP="00D37B76">
            <w:pPr>
              <w:pStyle w:val="TableText0"/>
              <w:widowControl w:val="0"/>
              <w:jc w:val="center"/>
            </w:pPr>
            <w:r w:rsidRPr="005E3251">
              <w:t>15.9</w:t>
            </w:r>
          </w:p>
        </w:tc>
        <w:tc>
          <w:tcPr>
            <w:tcW w:w="777" w:type="pct"/>
            <w:tcBorders>
              <w:top w:val="single" w:sz="4" w:space="0" w:color="auto"/>
              <w:left w:val="single" w:sz="4" w:space="0" w:color="auto"/>
              <w:bottom w:val="single" w:sz="4" w:space="0" w:color="auto"/>
              <w:right w:val="single" w:sz="4" w:space="0" w:color="auto"/>
            </w:tcBorders>
            <w:vAlign w:val="center"/>
          </w:tcPr>
          <w:p w14:paraId="61763B4F" w14:textId="77777777" w:rsidR="005B4B23" w:rsidRPr="005E3251" w:rsidRDefault="005B4B23" w:rsidP="00D37B76">
            <w:pPr>
              <w:pStyle w:val="TableText0"/>
              <w:widowControl w:val="0"/>
              <w:jc w:val="center"/>
            </w:pPr>
            <w:r w:rsidRPr="005E3251">
              <w:t>-0.02</w:t>
            </w:r>
          </w:p>
        </w:tc>
      </w:tr>
      <w:tr w:rsidR="005B4B23" w:rsidRPr="005E3251" w14:paraId="399FFA67"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28E37F0" w14:textId="6430DFEC" w:rsidR="005B4B23" w:rsidRPr="005E3251" w:rsidRDefault="005B4B23" w:rsidP="00D37B76">
            <w:pPr>
              <w:pStyle w:val="TableText0"/>
              <w:widowControl w:val="0"/>
            </w:pPr>
            <w:r w:rsidRPr="005E3251">
              <w:t xml:space="preserve">Pooled meta-analysis for FFA 0.4 mg/kg/day vs </w:t>
            </w:r>
            <w:r w:rsidR="00A818D5" w:rsidRPr="005E3251">
              <w:t>STP</w:t>
            </w:r>
          </w:p>
        </w:tc>
        <w:tc>
          <w:tcPr>
            <w:tcW w:w="777" w:type="pct"/>
            <w:tcBorders>
              <w:top w:val="single" w:sz="4" w:space="0" w:color="auto"/>
              <w:left w:val="single" w:sz="4" w:space="0" w:color="auto"/>
              <w:bottom w:val="single" w:sz="4" w:space="0" w:color="auto"/>
              <w:right w:val="single" w:sz="4" w:space="0" w:color="auto"/>
            </w:tcBorders>
            <w:vAlign w:val="center"/>
          </w:tcPr>
          <w:p w14:paraId="5504F10A" w14:textId="77777777" w:rsidR="005B4B23" w:rsidRPr="005E3251" w:rsidRDefault="005B4B23" w:rsidP="00D37B76">
            <w:pPr>
              <w:pStyle w:val="TableText0"/>
              <w:widowControl w:val="0"/>
              <w:jc w:val="center"/>
            </w:pPr>
            <w:r w:rsidRPr="005E3251">
              <w:t xml:space="preserve">-0.02 </w:t>
            </w:r>
          </w:p>
        </w:tc>
      </w:tr>
      <w:tr w:rsidR="005B4B23" w:rsidRPr="005E3251" w14:paraId="6AE53A39" w14:textId="77777777" w:rsidTr="005B4B23">
        <w:tc>
          <w:tcPr>
            <w:tcW w:w="422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A9ED08" w14:textId="28EC38D4" w:rsidR="005B4B23" w:rsidRPr="005E3251" w:rsidRDefault="00A818D5" w:rsidP="00253F67">
            <w:pPr>
              <w:pStyle w:val="TableText0"/>
              <w:keepNext w:val="0"/>
              <w:widowControl w:val="0"/>
            </w:pPr>
            <w:r w:rsidRPr="005E3251">
              <w:t>C</w:t>
            </w:r>
            <w:r w:rsidR="005B4B23" w:rsidRPr="005E3251">
              <w:t xml:space="preserve">omparison: FFA 0.4 mg/kg/day </w:t>
            </w:r>
            <w:r w:rsidRPr="005E3251">
              <w:t xml:space="preserve">(+STP) </w:t>
            </w:r>
            <w:r w:rsidR="005B4B23" w:rsidRPr="005E3251">
              <w:t xml:space="preserve">vs STP </w:t>
            </w:r>
            <w:r w:rsidRPr="005E3251">
              <w:t>(unknown dose)</w:t>
            </w:r>
            <w:r w:rsidR="005B4B23" w:rsidRPr="005E3251">
              <w:t xml:space="preserve"> </w:t>
            </w:r>
            <w:r w:rsidR="005B4B23" w:rsidRPr="005E3251">
              <w:rPr>
                <w:vertAlign w:val="superscript"/>
              </w:rPr>
              <w:t>b</w:t>
            </w:r>
          </w:p>
        </w:tc>
        <w:tc>
          <w:tcPr>
            <w:tcW w:w="777" w:type="pct"/>
            <w:tcBorders>
              <w:top w:val="single" w:sz="4" w:space="0" w:color="auto"/>
              <w:left w:val="single" w:sz="4" w:space="0" w:color="auto"/>
              <w:bottom w:val="single" w:sz="4" w:space="0" w:color="auto"/>
              <w:right w:val="single" w:sz="4" w:space="0" w:color="auto"/>
            </w:tcBorders>
            <w:vAlign w:val="center"/>
          </w:tcPr>
          <w:p w14:paraId="1FF73CD3" w14:textId="451A9C55" w:rsidR="005B4B23" w:rsidRPr="005E3251" w:rsidRDefault="005B4B23" w:rsidP="00253F67">
            <w:pPr>
              <w:pStyle w:val="TableText0"/>
              <w:keepNext w:val="0"/>
              <w:widowControl w:val="0"/>
              <w:jc w:val="center"/>
            </w:pPr>
            <w:r w:rsidRPr="005E3251">
              <w:t>-0.</w:t>
            </w:r>
            <w:r w:rsidR="00A818D5" w:rsidRPr="005E3251">
              <w:t xml:space="preserve">02 </w:t>
            </w:r>
            <w:r w:rsidRPr="005E3251">
              <w:t>(NR)</w:t>
            </w:r>
          </w:p>
        </w:tc>
      </w:tr>
    </w:tbl>
    <w:p w14:paraId="2DBD0A5C" w14:textId="775A4A0A" w:rsidR="0042122E" w:rsidRPr="005E3251" w:rsidRDefault="0042122E" w:rsidP="00D37B76">
      <w:pPr>
        <w:pStyle w:val="TableFigureFooter"/>
      </w:pPr>
      <w:r w:rsidRPr="005E3251">
        <w:t xml:space="preserve">Source: Compiled during the evaluation Table 2-49, p98, Table 2-50, p98, Table 2-54, p101, Table 2-56, p103, Table 2-58, p104, Table 2-60, p106, Table 2-63, p110, Table 2-64, p112, Table 2-69, p132, Table A-11, p11, Appendix 1 of the submission, Guerrini et al 2024, p119 of the submission. </w:t>
      </w:r>
    </w:p>
    <w:p w14:paraId="650C4829" w14:textId="77777777" w:rsidR="00FE1266" w:rsidRDefault="0042122E" w:rsidP="00D37B76">
      <w:pPr>
        <w:pStyle w:val="TableFigureFooter"/>
      </w:pPr>
      <w:r w:rsidRPr="005E3251">
        <w:t>AE= adverse event; CBD = cannabidiol; CI= confidence interval; FFA = fenfluramine; n= number of participants with event; N= total number of participants in the treatment arm; NR = not reported; PBO = placebo; RD= risk difference; RR= risk ratio; SAE = serious adverse event; STP = stiripentol; TE = treatment emergent.</w:t>
      </w:r>
    </w:p>
    <w:p w14:paraId="1F2AAE95" w14:textId="77777777" w:rsidR="00FE1266" w:rsidRDefault="0042122E" w:rsidP="00D37B76">
      <w:pPr>
        <w:pStyle w:val="TableFigureFooter"/>
      </w:pPr>
      <w:r w:rsidRPr="005E3251">
        <w:rPr>
          <w:vertAlign w:val="superscript"/>
        </w:rPr>
        <w:t>a</w:t>
      </w:r>
      <w:r w:rsidRPr="005E3251">
        <w:t xml:space="preserve"> Pooled risk difference calculated during the evaluation using random-effects meta-analyses.</w:t>
      </w:r>
    </w:p>
    <w:p w14:paraId="48432C62" w14:textId="6818EC35" w:rsidR="0042122E" w:rsidRPr="005E3251" w:rsidRDefault="0042122E" w:rsidP="00D37B76">
      <w:pPr>
        <w:pStyle w:val="TableFigureFooter"/>
      </w:pPr>
      <w:r w:rsidRPr="005E3251">
        <w:rPr>
          <w:vertAlign w:val="superscript"/>
        </w:rPr>
        <w:t>b</w:t>
      </w:r>
      <w:r w:rsidRPr="005E3251">
        <w:t xml:space="preserve"> Results of unanchored indirect treatment comparison conducted during the evaluation.</w:t>
      </w:r>
    </w:p>
    <w:p w14:paraId="357411C8" w14:textId="31B4BBAA" w:rsidR="0042122E" w:rsidRPr="005E3251" w:rsidRDefault="0042122E" w:rsidP="000308B5">
      <w:pPr>
        <w:pStyle w:val="3-BodyText"/>
      </w:pPr>
      <w:r w:rsidRPr="005E3251">
        <w:lastRenderedPageBreak/>
        <w:t>The results indicated that fenfluramine (all doses) resulted in numerically fewer</w:t>
      </w:r>
      <w:r w:rsidR="00780F3A" w:rsidRPr="005E3251">
        <w:t xml:space="preserve"> </w:t>
      </w:r>
      <w:r w:rsidRPr="005E3251">
        <w:t xml:space="preserve">severe adverse events compared to cannabidiol (any dose) and resulted in numerically higher severe adverse events compared to </w:t>
      </w:r>
      <w:r w:rsidRPr="00A44404">
        <w:t xml:space="preserve">stiripentol. </w:t>
      </w:r>
      <w:r w:rsidR="00693CD6" w:rsidRPr="00A44404">
        <w:t>Due to</w:t>
      </w:r>
      <w:r w:rsidRPr="00A44404">
        <w:t xml:space="preserve"> the nature of the analysis, confidence intervals or statistical tests for significance</w:t>
      </w:r>
      <w:r w:rsidRPr="005E3251">
        <w:t xml:space="preserve"> were not feasible. </w:t>
      </w:r>
      <w:r w:rsidR="00905E03" w:rsidRPr="00550BF0">
        <w:t xml:space="preserve">The PSCR re-iterated the submission argument </w:t>
      </w:r>
      <w:r w:rsidR="000841BF" w:rsidRPr="00550BF0">
        <w:t xml:space="preserve">that </w:t>
      </w:r>
      <w:r w:rsidR="00905E03" w:rsidRPr="00550BF0">
        <w:t>there is insufficient information available from the respective comparator trials to conduct a meaningful comparison of safety outcomes and argued the data supports the submission conclusion that fenfluramine is generally well tolerated and can be added to most other AED regimens.</w:t>
      </w:r>
      <w:r w:rsidR="00110458">
        <w:t xml:space="preserve"> </w:t>
      </w:r>
    </w:p>
    <w:p w14:paraId="067D0E8E" w14:textId="77777777" w:rsidR="00CE7338" w:rsidRPr="005E3251" w:rsidRDefault="00CE7338" w:rsidP="00CE7338">
      <w:pPr>
        <w:pStyle w:val="4-SubsectionHeading"/>
        <w:rPr>
          <w:i w:val="0"/>
        </w:rPr>
      </w:pPr>
      <w:bookmarkStart w:id="62" w:name="_Toc22897643"/>
      <w:bookmarkStart w:id="63" w:name="_Toc177562907"/>
      <w:r w:rsidRPr="005E3251">
        <w:rPr>
          <w:i w:val="0"/>
        </w:rPr>
        <w:t>Benefits/harms</w:t>
      </w:r>
      <w:bookmarkEnd w:id="62"/>
      <w:bookmarkEnd w:id="63"/>
    </w:p>
    <w:p w14:paraId="061459F1" w14:textId="6BE98448" w:rsidR="00DD7BF9" w:rsidRPr="00D87CFA" w:rsidRDefault="00DD7BF9" w:rsidP="00D87CFA">
      <w:pPr>
        <w:pStyle w:val="3-BodyText"/>
      </w:pPr>
      <w:r w:rsidRPr="00D87CFA">
        <w:t xml:space="preserve">The small sample sizes and transitivity issues between the included trials presented in the submission </w:t>
      </w:r>
      <w:r w:rsidR="00095047" w:rsidRPr="00D87CFA">
        <w:t xml:space="preserve">introduced significant uncertainty in the </w:t>
      </w:r>
      <w:r w:rsidRPr="00D87CFA">
        <w:t>comparison of the benefits and harms of fenfluramine vs cannabidiol or fenfluramine vs stiripentol.</w:t>
      </w:r>
      <w:r w:rsidR="00095047" w:rsidRPr="00D87CFA">
        <w:t xml:space="preserve"> </w:t>
      </w:r>
    </w:p>
    <w:p w14:paraId="357D1BCD" w14:textId="77478D11" w:rsidR="00180862" w:rsidRPr="00D87CFA" w:rsidRDefault="00180862" w:rsidP="00D87CFA">
      <w:pPr>
        <w:pStyle w:val="3-BodyText"/>
      </w:pPr>
      <w:r w:rsidRPr="00D87CFA">
        <w:t>The trials included in</w:t>
      </w:r>
      <w:r w:rsidR="00EB6C0B" w:rsidRPr="00D87CFA">
        <w:t xml:space="preserve"> the</w:t>
      </w:r>
      <w:r w:rsidRPr="00D87CFA">
        <w:t xml:space="preserve"> submission did not present safety outcomes of abnormal echocardiogram and pulmonary hypertension or metabolism and nutrition disorders for the cannabidiol and stiripentol trials, with a relatively high frequency reported in the fenfluramine trials. </w:t>
      </w:r>
    </w:p>
    <w:p w14:paraId="5D88D77E" w14:textId="24E30A47" w:rsidR="00CE7338" w:rsidRPr="00D87CFA" w:rsidRDefault="00CE7338" w:rsidP="00D87CFA">
      <w:pPr>
        <w:pStyle w:val="3-BodyText"/>
        <w:rPr>
          <w:rStyle w:val="cf01"/>
          <w:rFonts w:asciiTheme="minorHAnsi" w:hAnsiTheme="minorHAnsi" w:cs="Arial"/>
          <w:color w:val="auto"/>
          <w:sz w:val="24"/>
          <w:szCs w:val="24"/>
        </w:rPr>
      </w:pPr>
      <w:r w:rsidRPr="00D87CFA">
        <w:t xml:space="preserve">A summary of the comparative benefits and harms for fenfluramine, cannabidiol and stiripentol is presented in </w:t>
      </w:r>
      <w:r w:rsidR="000E3E8A" w:rsidRPr="00D87CFA">
        <w:fldChar w:fldCharType="begin" w:fldLock="1"/>
      </w:r>
      <w:r w:rsidR="000E3E8A" w:rsidRPr="00D87CFA">
        <w:instrText xml:space="preserve"> REF _Ref174984115 \h </w:instrText>
      </w:r>
      <w:r w:rsidR="005E3251" w:rsidRPr="00D87CFA">
        <w:instrText xml:space="preserve"> \* MERGEFORMAT </w:instrText>
      </w:r>
      <w:r w:rsidR="000E3E8A" w:rsidRPr="00D87CFA">
        <w:fldChar w:fldCharType="separate"/>
      </w:r>
      <w:r w:rsidR="00D72887" w:rsidRPr="00D87CFA">
        <w:t>Table 13</w:t>
      </w:r>
      <w:r w:rsidR="000E3E8A" w:rsidRPr="00D87CFA">
        <w:fldChar w:fldCharType="end"/>
      </w:r>
      <w:r w:rsidRPr="00D87CFA">
        <w:t>.</w:t>
      </w:r>
    </w:p>
    <w:p w14:paraId="65BFF482" w14:textId="1B86303D" w:rsidR="00CE7338" w:rsidRPr="005E3251" w:rsidRDefault="00CE7338" w:rsidP="00CE7338">
      <w:pPr>
        <w:pStyle w:val="Caption"/>
      </w:pPr>
      <w:bookmarkStart w:id="64" w:name="_Ref174984115"/>
      <w:r w:rsidRPr="005E3251">
        <w:t xml:space="preserve">Table </w:t>
      </w:r>
      <w:r w:rsidR="00D72887">
        <w:fldChar w:fldCharType="begin" w:fldLock="1"/>
      </w:r>
      <w:r w:rsidR="00D72887">
        <w:instrText xml:space="preserve"> SEQ Table \* ARABIC </w:instrText>
      </w:r>
      <w:r w:rsidR="00D72887">
        <w:fldChar w:fldCharType="separate"/>
      </w:r>
      <w:r w:rsidR="00D72887">
        <w:rPr>
          <w:noProof/>
        </w:rPr>
        <w:t>13</w:t>
      </w:r>
      <w:r w:rsidR="00D72887">
        <w:rPr>
          <w:noProof/>
        </w:rPr>
        <w:fldChar w:fldCharType="end"/>
      </w:r>
      <w:bookmarkEnd w:id="64"/>
      <w:r w:rsidRPr="005E3251">
        <w:tab/>
        <w:t xml:space="preserve">Summary of the comparative benefits and harms for fenfluramine, cannabidiol and stiripentol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1953"/>
        <w:gridCol w:w="1975"/>
      </w:tblGrid>
      <w:tr w:rsidR="004213A0" w:rsidRPr="005E3251" w14:paraId="1AE81005" w14:textId="77777777" w:rsidTr="00966AE6">
        <w:trPr>
          <w:trHeight w:val="178"/>
        </w:trPr>
        <w:tc>
          <w:tcPr>
            <w:tcW w:w="2764" w:type="pct"/>
            <w:shd w:val="clear" w:color="auto" w:fill="auto"/>
            <w:noWrap/>
            <w:vAlign w:val="bottom"/>
            <w:hideMark/>
          </w:tcPr>
          <w:p w14:paraId="55355039" w14:textId="77777777" w:rsidR="004213A0" w:rsidRPr="005E3251" w:rsidRDefault="004213A0" w:rsidP="00470AA0">
            <w:pPr>
              <w:pStyle w:val="In-tableHeading"/>
            </w:pPr>
          </w:p>
        </w:tc>
        <w:tc>
          <w:tcPr>
            <w:tcW w:w="1112" w:type="pct"/>
            <w:shd w:val="clear" w:color="auto" w:fill="auto"/>
            <w:noWrap/>
            <w:vAlign w:val="bottom"/>
            <w:hideMark/>
          </w:tcPr>
          <w:p w14:paraId="79537930" w14:textId="77777777" w:rsidR="004213A0" w:rsidRPr="005E3251" w:rsidRDefault="004213A0" w:rsidP="00966397">
            <w:pPr>
              <w:pStyle w:val="In-tableHeading"/>
              <w:jc w:val="center"/>
            </w:pPr>
            <w:r w:rsidRPr="005E3251">
              <w:t>RR (95% CI)</w:t>
            </w:r>
          </w:p>
        </w:tc>
        <w:tc>
          <w:tcPr>
            <w:tcW w:w="1124" w:type="pct"/>
            <w:shd w:val="clear" w:color="auto" w:fill="auto"/>
            <w:noWrap/>
            <w:vAlign w:val="bottom"/>
            <w:hideMark/>
          </w:tcPr>
          <w:p w14:paraId="125D2884" w14:textId="77777777" w:rsidR="004213A0" w:rsidRPr="005E3251" w:rsidRDefault="004213A0" w:rsidP="00966397">
            <w:pPr>
              <w:pStyle w:val="In-tableHeading"/>
              <w:jc w:val="center"/>
            </w:pPr>
            <w:r w:rsidRPr="005E3251">
              <w:t>RD (95% CI)</w:t>
            </w:r>
          </w:p>
        </w:tc>
      </w:tr>
      <w:tr w:rsidR="00470AA0" w:rsidRPr="005E3251" w14:paraId="3F6DB37E" w14:textId="77777777" w:rsidTr="00966AE6">
        <w:trPr>
          <w:trHeight w:val="82"/>
        </w:trPr>
        <w:tc>
          <w:tcPr>
            <w:tcW w:w="5000" w:type="pct"/>
            <w:gridSpan w:val="3"/>
            <w:shd w:val="clear" w:color="auto" w:fill="auto"/>
            <w:noWrap/>
            <w:vAlign w:val="bottom"/>
            <w:hideMark/>
          </w:tcPr>
          <w:p w14:paraId="4521DED0" w14:textId="0FA35735" w:rsidR="00470AA0" w:rsidRPr="005E3251" w:rsidRDefault="00470AA0" w:rsidP="00470AA0">
            <w:pPr>
              <w:pStyle w:val="TableText0"/>
            </w:pPr>
            <w:r w:rsidRPr="005E3251">
              <w:rPr>
                <w:b/>
                <w:bCs w:val="0"/>
              </w:rPr>
              <w:t>Dichotomous outcome I: ≥50% reduction in monthly CSF</w:t>
            </w:r>
          </w:p>
        </w:tc>
      </w:tr>
      <w:tr w:rsidR="004213A0" w:rsidRPr="005E3251" w14:paraId="1D116A83" w14:textId="77777777" w:rsidTr="00966AE6">
        <w:trPr>
          <w:trHeight w:val="50"/>
        </w:trPr>
        <w:tc>
          <w:tcPr>
            <w:tcW w:w="2764" w:type="pct"/>
            <w:shd w:val="clear" w:color="auto" w:fill="auto"/>
            <w:noWrap/>
            <w:vAlign w:val="bottom"/>
            <w:hideMark/>
          </w:tcPr>
          <w:p w14:paraId="6E8BD21F" w14:textId="77777777" w:rsidR="004213A0" w:rsidRPr="005E3251" w:rsidRDefault="004213A0" w:rsidP="00470AA0">
            <w:pPr>
              <w:pStyle w:val="TableText0"/>
            </w:pPr>
            <w:r w:rsidRPr="005E3251">
              <w:t>FFA 0.7 mg/kg/day (-STP) vs CBD 20 mg/kg/day (+/- STP)</w:t>
            </w:r>
          </w:p>
        </w:tc>
        <w:tc>
          <w:tcPr>
            <w:tcW w:w="1112" w:type="pct"/>
            <w:shd w:val="clear" w:color="auto" w:fill="auto"/>
            <w:noWrap/>
            <w:vAlign w:val="bottom"/>
            <w:hideMark/>
          </w:tcPr>
          <w:p w14:paraId="0508D7F1" w14:textId="77777777" w:rsidR="004213A0" w:rsidRPr="005E3251" w:rsidRDefault="004213A0" w:rsidP="00966397">
            <w:pPr>
              <w:pStyle w:val="TableText0"/>
              <w:jc w:val="center"/>
              <w:rPr>
                <w:b/>
                <w:bCs w:val="0"/>
              </w:rPr>
            </w:pPr>
            <w:r w:rsidRPr="005E3251">
              <w:rPr>
                <w:b/>
                <w:bCs w:val="0"/>
              </w:rPr>
              <w:t>4.21 (1.86, 9.50)</w:t>
            </w:r>
          </w:p>
        </w:tc>
        <w:tc>
          <w:tcPr>
            <w:tcW w:w="1124" w:type="pct"/>
            <w:shd w:val="clear" w:color="auto" w:fill="auto"/>
            <w:noWrap/>
            <w:vAlign w:val="bottom"/>
            <w:hideMark/>
          </w:tcPr>
          <w:p w14:paraId="3F50E296" w14:textId="77777777" w:rsidR="004213A0" w:rsidRPr="005E3251" w:rsidRDefault="004213A0" w:rsidP="00966397">
            <w:pPr>
              <w:pStyle w:val="TableText0"/>
              <w:jc w:val="center"/>
              <w:rPr>
                <w:b/>
                <w:bCs w:val="0"/>
              </w:rPr>
            </w:pPr>
            <w:r w:rsidRPr="005E3251">
              <w:rPr>
                <w:b/>
                <w:bCs w:val="0"/>
              </w:rPr>
              <w:t>0.43 (0.27, 0.59)</w:t>
            </w:r>
          </w:p>
        </w:tc>
      </w:tr>
      <w:tr w:rsidR="004213A0" w:rsidRPr="005E3251" w14:paraId="7A08AD45" w14:textId="77777777" w:rsidTr="00966AE6">
        <w:trPr>
          <w:cantSplit/>
          <w:trHeight w:val="50"/>
        </w:trPr>
        <w:tc>
          <w:tcPr>
            <w:tcW w:w="2764" w:type="pct"/>
            <w:shd w:val="clear" w:color="auto" w:fill="auto"/>
            <w:noWrap/>
            <w:vAlign w:val="bottom"/>
            <w:hideMark/>
          </w:tcPr>
          <w:p w14:paraId="402FEB26" w14:textId="77777777" w:rsidR="004213A0" w:rsidRPr="005E3251" w:rsidRDefault="004213A0" w:rsidP="00470AA0">
            <w:pPr>
              <w:pStyle w:val="TableText0"/>
            </w:pPr>
            <w:r w:rsidRPr="005E3251">
              <w:t>FFA 0.7 mg/kg/day (-STP) vs CBD 10 mg/kg/day (+/- STP)</w:t>
            </w:r>
          </w:p>
        </w:tc>
        <w:tc>
          <w:tcPr>
            <w:tcW w:w="1112" w:type="pct"/>
            <w:shd w:val="clear" w:color="auto" w:fill="auto"/>
            <w:noWrap/>
            <w:vAlign w:val="bottom"/>
            <w:hideMark/>
          </w:tcPr>
          <w:p w14:paraId="095CD631" w14:textId="77777777" w:rsidR="004213A0" w:rsidRPr="005E3251" w:rsidRDefault="004213A0" w:rsidP="00966397">
            <w:pPr>
              <w:pStyle w:val="TableText0"/>
              <w:jc w:val="center"/>
              <w:rPr>
                <w:b/>
                <w:bCs w:val="0"/>
              </w:rPr>
            </w:pPr>
            <w:r w:rsidRPr="005E3251">
              <w:rPr>
                <w:b/>
                <w:bCs w:val="0"/>
              </w:rPr>
              <w:t>4.33 (1.79, 10.49)</w:t>
            </w:r>
          </w:p>
        </w:tc>
        <w:tc>
          <w:tcPr>
            <w:tcW w:w="1124" w:type="pct"/>
            <w:shd w:val="clear" w:color="auto" w:fill="auto"/>
            <w:noWrap/>
            <w:vAlign w:val="bottom"/>
            <w:hideMark/>
          </w:tcPr>
          <w:p w14:paraId="4991D0EB" w14:textId="77777777" w:rsidR="004213A0" w:rsidRPr="005E3251" w:rsidRDefault="004213A0" w:rsidP="00966397">
            <w:pPr>
              <w:pStyle w:val="TableText0"/>
              <w:jc w:val="center"/>
              <w:rPr>
                <w:b/>
                <w:bCs w:val="0"/>
              </w:rPr>
            </w:pPr>
            <w:r w:rsidRPr="005E3251">
              <w:rPr>
                <w:b/>
                <w:bCs w:val="0"/>
              </w:rPr>
              <w:t>0.44 (0.25, 0.63)</w:t>
            </w:r>
          </w:p>
        </w:tc>
      </w:tr>
      <w:tr w:rsidR="004213A0" w:rsidRPr="005E3251" w14:paraId="256A8216" w14:textId="77777777" w:rsidTr="00966AE6">
        <w:trPr>
          <w:cantSplit/>
          <w:trHeight w:val="50"/>
        </w:trPr>
        <w:tc>
          <w:tcPr>
            <w:tcW w:w="2764" w:type="pct"/>
            <w:shd w:val="clear" w:color="auto" w:fill="auto"/>
            <w:noWrap/>
            <w:vAlign w:val="bottom"/>
            <w:hideMark/>
          </w:tcPr>
          <w:p w14:paraId="39EC3178" w14:textId="77777777" w:rsidR="004213A0" w:rsidRPr="005E3251" w:rsidRDefault="004213A0" w:rsidP="00470AA0">
            <w:pPr>
              <w:pStyle w:val="TableText0"/>
            </w:pPr>
            <w:r w:rsidRPr="005E3251">
              <w:t>FFA 0.4 mg/kg/day (+STP) vs CBD 20 mg/kg/day (+/- STP)</w:t>
            </w:r>
          </w:p>
        </w:tc>
        <w:tc>
          <w:tcPr>
            <w:tcW w:w="1112" w:type="pct"/>
            <w:shd w:val="clear" w:color="auto" w:fill="auto"/>
            <w:noWrap/>
            <w:vAlign w:val="bottom"/>
            <w:hideMark/>
          </w:tcPr>
          <w:p w14:paraId="353296BF" w14:textId="7CBC9A7F" w:rsidR="004213A0" w:rsidRPr="005E3251" w:rsidRDefault="004213A0" w:rsidP="00966397">
            <w:pPr>
              <w:pStyle w:val="TableText0"/>
              <w:jc w:val="center"/>
              <w:rPr>
                <w:b/>
                <w:bCs w:val="0"/>
              </w:rPr>
            </w:pPr>
            <w:r w:rsidRPr="005E3251">
              <w:rPr>
                <w:b/>
                <w:bCs w:val="0"/>
              </w:rPr>
              <w:t>6.8</w:t>
            </w:r>
            <w:r w:rsidR="003155A6" w:rsidRPr="005E3251">
              <w:rPr>
                <w:b/>
                <w:bCs w:val="0"/>
              </w:rPr>
              <w:t>0</w:t>
            </w:r>
            <w:r w:rsidRPr="005E3251">
              <w:rPr>
                <w:b/>
                <w:bCs w:val="0"/>
              </w:rPr>
              <w:t xml:space="preserve"> (1.63, 28.32)</w:t>
            </w:r>
          </w:p>
        </w:tc>
        <w:tc>
          <w:tcPr>
            <w:tcW w:w="1124" w:type="pct"/>
            <w:shd w:val="clear" w:color="auto" w:fill="auto"/>
            <w:noWrap/>
            <w:vAlign w:val="bottom"/>
            <w:hideMark/>
          </w:tcPr>
          <w:p w14:paraId="70CDE22B" w14:textId="0A2E7113" w:rsidR="004213A0" w:rsidRPr="005E3251" w:rsidRDefault="004213A0" w:rsidP="00966397">
            <w:pPr>
              <w:pStyle w:val="TableText0"/>
              <w:jc w:val="center"/>
              <w:rPr>
                <w:b/>
                <w:bCs w:val="0"/>
              </w:rPr>
            </w:pPr>
            <w:r w:rsidRPr="005E3251">
              <w:rPr>
                <w:b/>
                <w:bCs w:val="0"/>
              </w:rPr>
              <w:t>0.3</w:t>
            </w:r>
            <w:r w:rsidR="003155A6" w:rsidRPr="005E3251">
              <w:rPr>
                <w:b/>
                <w:bCs w:val="0"/>
              </w:rPr>
              <w:t>0</w:t>
            </w:r>
            <w:r w:rsidRPr="005E3251">
              <w:rPr>
                <w:b/>
                <w:bCs w:val="0"/>
              </w:rPr>
              <w:t xml:space="preserve"> (0.10, 0.50)</w:t>
            </w:r>
          </w:p>
        </w:tc>
      </w:tr>
      <w:tr w:rsidR="004213A0" w:rsidRPr="005E3251" w14:paraId="5C116432" w14:textId="77777777" w:rsidTr="00966AE6">
        <w:trPr>
          <w:cantSplit/>
          <w:trHeight w:val="50"/>
        </w:trPr>
        <w:tc>
          <w:tcPr>
            <w:tcW w:w="2764" w:type="pct"/>
            <w:shd w:val="clear" w:color="auto" w:fill="auto"/>
            <w:noWrap/>
            <w:vAlign w:val="bottom"/>
            <w:hideMark/>
          </w:tcPr>
          <w:p w14:paraId="020D4037" w14:textId="77777777" w:rsidR="004213A0" w:rsidRPr="005E3251" w:rsidRDefault="004213A0" w:rsidP="00470AA0">
            <w:pPr>
              <w:pStyle w:val="TableText0"/>
            </w:pPr>
            <w:r w:rsidRPr="005E3251">
              <w:t>FFA 0.4 mg/kg/day (+STP) vs CBD 10 mg/kg/day (+/- STP)</w:t>
            </w:r>
          </w:p>
        </w:tc>
        <w:tc>
          <w:tcPr>
            <w:tcW w:w="1112" w:type="pct"/>
            <w:shd w:val="clear" w:color="auto" w:fill="auto"/>
            <w:noWrap/>
            <w:vAlign w:val="bottom"/>
            <w:hideMark/>
          </w:tcPr>
          <w:p w14:paraId="516536A0" w14:textId="77777777" w:rsidR="004213A0" w:rsidRPr="005E3251" w:rsidRDefault="004213A0" w:rsidP="00966397">
            <w:pPr>
              <w:pStyle w:val="TableText0"/>
              <w:jc w:val="center"/>
              <w:rPr>
                <w:b/>
                <w:bCs w:val="0"/>
              </w:rPr>
            </w:pPr>
            <w:r w:rsidRPr="005E3251">
              <w:rPr>
                <w:b/>
                <w:bCs w:val="0"/>
              </w:rPr>
              <w:t>7.01 (1.61, 30.40)</w:t>
            </w:r>
          </w:p>
        </w:tc>
        <w:tc>
          <w:tcPr>
            <w:tcW w:w="1124" w:type="pct"/>
            <w:shd w:val="clear" w:color="auto" w:fill="auto"/>
            <w:noWrap/>
            <w:vAlign w:val="bottom"/>
            <w:hideMark/>
          </w:tcPr>
          <w:p w14:paraId="32ED7E41" w14:textId="77777777" w:rsidR="004213A0" w:rsidRPr="005E3251" w:rsidRDefault="004213A0" w:rsidP="00966397">
            <w:pPr>
              <w:pStyle w:val="TableText0"/>
              <w:jc w:val="center"/>
              <w:rPr>
                <w:b/>
                <w:bCs w:val="0"/>
              </w:rPr>
            </w:pPr>
            <w:r w:rsidRPr="005E3251">
              <w:rPr>
                <w:b/>
                <w:bCs w:val="0"/>
              </w:rPr>
              <w:t>0.31 (0.08, 0.54)</w:t>
            </w:r>
          </w:p>
        </w:tc>
      </w:tr>
      <w:tr w:rsidR="004213A0" w:rsidRPr="005E3251" w14:paraId="6426FD9C" w14:textId="77777777" w:rsidTr="00966AE6">
        <w:trPr>
          <w:cantSplit/>
          <w:trHeight w:val="50"/>
        </w:trPr>
        <w:tc>
          <w:tcPr>
            <w:tcW w:w="2764" w:type="pct"/>
            <w:shd w:val="clear" w:color="auto" w:fill="auto"/>
            <w:noWrap/>
            <w:vAlign w:val="bottom"/>
            <w:hideMark/>
          </w:tcPr>
          <w:p w14:paraId="223DB12D" w14:textId="553AC568" w:rsidR="004213A0" w:rsidRPr="005E3251" w:rsidRDefault="004213A0" w:rsidP="00470AA0">
            <w:pPr>
              <w:pStyle w:val="TableText0"/>
            </w:pPr>
            <w:r w:rsidRPr="005E3251">
              <w:t>FFA 0.7 mg/kg/day (-</w:t>
            </w:r>
            <w:r w:rsidR="00A0397F" w:rsidRPr="005E3251">
              <w:t>STP</w:t>
            </w:r>
            <w:r w:rsidRPr="005E3251">
              <w:t>) vs STP 50 mg/kg/day</w:t>
            </w:r>
          </w:p>
        </w:tc>
        <w:tc>
          <w:tcPr>
            <w:tcW w:w="1112" w:type="pct"/>
            <w:shd w:val="clear" w:color="auto" w:fill="auto"/>
            <w:noWrap/>
            <w:vAlign w:val="bottom"/>
            <w:hideMark/>
          </w:tcPr>
          <w:p w14:paraId="33C2CB1D" w14:textId="0A866863" w:rsidR="004213A0" w:rsidRPr="005E3251" w:rsidRDefault="004213A0" w:rsidP="00966397">
            <w:pPr>
              <w:pStyle w:val="TableText0"/>
              <w:jc w:val="center"/>
            </w:pPr>
            <w:r w:rsidRPr="005E3251">
              <w:t>0.7</w:t>
            </w:r>
            <w:r w:rsidR="003155A6" w:rsidRPr="005E3251">
              <w:t>0</w:t>
            </w:r>
            <w:r w:rsidRPr="005E3251">
              <w:t xml:space="preserve"> (0.15, 3.26)</w:t>
            </w:r>
          </w:p>
        </w:tc>
        <w:tc>
          <w:tcPr>
            <w:tcW w:w="1124" w:type="pct"/>
            <w:shd w:val="clear" w:color="auto" w:fill="auto"/>
            <w:noWrap/>
            <w:vAlign w:val="bottom"/>
            <w:hideMark/>
          </w:tcPr>
          <w:p w14:paraId="52F6E11D" w14:textId="74A101EC" w:rsidR="004213A0" w:rsidRPr="005E3251" w:rsidRDefault="004213A0" w:rsidP="00966397">
            <w:pPr>
              <w:pStyle w:val="TableText0"/>
              <w:jc w:val="center"/>
            </w:pPr>
            <w:r w:rsidRPr="005E3251">
              <w:t>-0.3</w:t>
            </w:r>
            <w:r w:rsidR="003155A6" w:rsidRPr="005E3251">
              <w:t>0</w:t>
            </w:r>
            <w:r w:rsidRPr="005E3251">
              <w:t xml:space="preserve"> (-0.24, 1.81)</w:t>
            </w:r>
          </w:p>
        </w:tc>
      </w:tr>
      <w:tr w:rsidR="007E2CD3" w:rsidRPr="005E3251" w14:paraId="39F326E2" w14:textId="77777777" w:rsidTr="00966AE6">
        <w:trPr>
          <w:cantSplit/>
          <w:trHeight w:val="50"/>
        </w:trPr>
        <w:tc>
          <w:tcPr>
            <w:tcW w:w="2764" w:type="pct"/>
            <w:shd w:val="clear" w:color="auto" w:fill="auto"/>
            <w:noWrap/>
            <w:vAlign w:val="bottom"/>
            <w:hideMark/>
          </w:tcPr>
          <w:p w14:paraId="34BBA83E" w14:textId="1C170DB0" w:rsidR="007E2CD3" w:rsidRPr="00A44404" w:rsidRDefault="007E2CD3" w:rsidP="007E2CD3">
            <w:pPr>
              <w:pStyle w:val="TableText0"/>
            </w:pPr>
            <w:r w:rsidRPr="00A44404">
              <w:t xml:space="preserve">FFA 0.4 mg/kg/day (+STP) vs. </w:t>
            </w:r>
            <w:r w:rsidR="0094414C" w:rsidRPr="00A44404">
              <w:t xml:space="preserve">PBO </w:t>
            </w:r>
            <w:r w:rsidRPr="00A44404">
              <w:t>(</w:t>
            </w:r>
            <w:r w:rsidR="0094414C" w:rsidRPr="00A44404">
              <w:t xml:space="preserve">STP </w:t>
            </w:r>
            <w:r w:rsidRPr="00A44404">
              <w:t>unknown dose) [Study 2]</w:t>
            </w:r>
          </w:p>
        </w:tc>
        <w:tc>
          <w:tcPr>
            <w:tcW w:w="1112" w:type="pct"/>
            <w:shd w:val="clear" w:color="auto" w:fill="auto"/>
            <w:noWrap/>
            <w:vAlign w:val="center"/>
            <w:hideMark/>
          </w:tcPr>
          <w:p w14:paraId="1E32192F" w14:textId="54CA55FB" w:rsidR="007E2CD3" w:rsidRPr="00A44404" w:rsidRDefault="007E2CD3" w:rsidP="007E2CD3">
            <w:pPr>
              <w:pStyle w:val="TableText0"/>
              <w:jc w:val="center"/>
            </w:pPr>
            <w:r w:rsidRPr="00A44404">
              <w:rPr>
                <w:b/>
                <w:bCs w:val="0"/>
              </w:rPr>
              <w:t>11.77 (2.95, 46.89)</w:t>
            </w:r>
          </w:p>
        </w:tc>
        <w:tc>
          <w:tcPr>
            <w:tcW w:w="1124" w:type="pct"/>
            <w:shd w:val="clear" w:color="auto" w:fill="auto"/>
            <w:noWrap/>
            <w:vAlign w:val="center"/>
            <w:hideMark/>
          </w:tcPr>
          <w:p w14:paraId="02FCDE92" w14:textId="5AA49917" w:rsidR="007E2CD3" w:rsidRPr="005E3251" w:rsidRDefault="007E2CD3" w:rsidP="007E2CD3">
            <w:pPr>
              <w:pStyle w:val="TableText0"/>
              <w:jc w:val="center"/>
            </w:pPr>
            <w:r w:rsidRPr="005E3251">
              <w:rPr>
                <w:b/>
                <w:bCs w:val="0"/>
              </w:rPr>
              <w:t>0.49 (0.33, 0.65)</w:t>
            </w:r>
          </w:p>
        </w:tc>
      </w:tr>
      <w:tr w:rsidR="004213A0" w:rsidRPr="005E3251" w14:paraId="0802F67B" w14:textId="77777777" w:rsidTr="00966AE6">
        <w:trPr>
          <w:trHeight w:val="50"/>
        </w:trPr>
        <w:tc>
          <w:tcPr>
            <w:tcW w:w="5000" w:type="pct"/>
            <w:gridSpan w:val="3"/>
            <w:shd w:val="clear" w:color="auto" w:fill="auto"/>
            <w:noWrap/>
            <w:vAlign w:val="bottom"/>
            <w:hideMark/>
          </w:tcPr>
          <w:p w14:paraId="46DC2EFA" w14:textId="17C8B988" w:rsidR="004213A0" w:rsidRPr="00A44404" w:rsidRDefault="004213A0" w:rsidP="00470AA0">
            <w:pPr>
              <w:pStyle w:val="TableText0"/>
              <w:rPr>
                <w:b/>
                <w:bCs w:val="0"/>
              </w:rPr>
            </w:pPr>
            <w:r w:rsidRPr="00A44404">
              <w:rPr>
                <w:b/>
                <w:bCs w:val="0"/>
              </w:rPr>
              <w:t xml:space="preserve">Continuous outcome I: Change in </w:t>
            </w:r>
            <w:r w:rsidR="00157D66" w:rsidRPr="00A44404">
              <w:rPr>
                <w:b/>
                <w:bCs w:val="0"/>
              </w:rPr>
              <w:t>CSF</w:t>
            </w:r>
            <w:r w:rsidRPr="00A44404">
              <w:rPr>
                <w:b/>
                <w:bCs w:val="0"/>
              </w:rPr>
              <w:t xml:space="preserve"> from baseline [indirect comparison]</w:t>
            </w:r>
            <w:r w:rsidR="00470AA0" w:rsidRPr="00A44404">
              <w:rPr>
                <w:b/>
                <w:bCs w:val="0"/>
              </w:rPr>
              <w:t xml:space="preserve"> </w:t>
            </w:r>
            <w:r w:rsidRPr="00A44404">
              <w:rPr>
                <w:b/>
                <w:bCs w:val="0"/>
                <w:vertAlign w:val="superscript"/>
              </w:rPr>
              <w:t>a</w:t>
            </w:r>
          </w:p>
        </w:tc>
      </w:tr>
      <w:tr w:rsidR="004213A0" w:rsidRPr="005E3251" w14:paraId="4C67E5D6" w14:textId="77777777" w:rsidTr="00966AE6">
        <w:trPr>
          <w:trHeight w:val="50"/>
        </w:trPr>
        <w:tc>
          <w:tcPr>
            <w:tcW w:w="2764" w:type="pct"/>
            <w:shd w:val="clear" w:color="auto" w:fill="auto"/>
            <w:noWrap/>
            <w:vAlign w:val="bottom"/>
            <w:hideMark/>
          </w:tcPr>
          <w:p w14:paraId="74B66EFF" w14:textId="77777777" w:rsidR="004213A0" w:rsidRPr="00A44404" w:rsidRDefault="004213A0" w:rsidP="00470AA0">
            <w:pPr>
              <w:pStyle w:val="TableText0"/>
            </w:pPr>
            <w:r w:rsidRPr="00A44404">
              <w:t>FFA 0.7 mg/kg/day (-STP) vs CBD 20 mg/kg/day (+/- STP)</w:t>
            </w:r>
          </w:p>
        </w:tc>
        <w:tc>
          <w:tcPr>
            <w:tcW w:w="1112" w:type="pct"/>
            <w:shd w:val="clear" w:color="auto" w:fill="auto"/>
            <w:noWrap/>
            <w:vAlign w:val="bottom"/>
            <w:hideMark/>
          </w:tcPr>
          <w:p w14:paraId="15CD342F" w14:textId="77777777" w:rsidR="004213A0" w:rsidRPr="00A44404" w:rsidRDefault="004213A0" w:rsidP="00470AA0">
            <w:pPr>
              <w:pStyle w:val="TableText0"/>
              <w:jc w:val="center"/>
            </w:pPr>
            <w:r w:rsidRPr="00A44404">
              <w:t>NR</w:t>
            </w:r>
          </w:p>
        </w:tc>
        <w:tc>
          <w:tcPr>
            <w:tcW w:w="1124" w:type="pct"/>
            <w:shd w:val="clear" w:color="auto" w:fill="auto"/>
            <w:noWrap/>
            <w:vAlign w:val="bottom"/>
            <w:hideMark/>
          </w:tcPr>
          <w:p w14:paraId="7C57B92D" w14:textId="77777777" w:rsidR="004213A0" w:rsidRPr="005E3251" w:rsidRDefault="004213A0" w:rsidP="00966397">
            <w:pPr>
              <w:pStyle w:val="TableText0"/>
              <w:jc w:val="center"/>
              <w:rPr>
                <w:b/>
                <w:bCs w:val="0"/>
              </w:rPr>
            </w:pPr>
            <w:r w:rsidRPr="005E3251">
              <w:rPr>
                <w:b/>
                <w:bCs w:val="0"/>
              </w:rPr>
              <w:t>-39.6 (-56.9, -22.37)</w:t>
            </w:r>
          </w:p>
        </w:tc>
      </w:tr>
      <w:tr w:rsidR="004213A0" w:rsidRPr="005E3251" w14:paraId="0755EB4A" w14:textId="77777777" w:rsidTr="00966AE6">
        <w:trPr>
          <w:trHeight w:val="50"/>
        </w:trPr>
        <w:tc>
          <w:tcPr>
            <w:tcW w:w="2764" w:type="pct"/>
            <w:shd w:val="clear" w:color="auto" w:fill="auto"/>
            <w:noWrap/>
            <w:vAlign w:val="bottom"/>
            <w:hideMark/>
          </w:tcPr>
          <w:p w14:paraId="48E93190" w14:textId="77777777" w:rsidR="004213A0" w:rsidRPr="00A44404" w:rsidRDefault="004213A0" w:rsidP="00470AA0">
            <w:pPr>
              <w:pStyle w:val="TableText0"/>
            </w:pPr>
            <w:r w:rsidRPr="00A44404">
              <w:t>FFA 0.7 mg/kg/day (-STP) vs CBD 10 mg/kg/day (+/- STP)</w:t>
            </w:r>
          </w:p>
        </w:tc>
        <w:tc>
          <w:tcPr>
            <w:tcW w:w="1112" w:type="pct"/>
            <w:shd w:val="clear" w:color="auto" w:fill="auto"/>
            <w:noWrap/>
            <w:hideMark/>
          </w:tcPr>
          <w:p w14:paraId="351F2D97" w14:textId="77777777" w:rsidR="004213A0" w:rsidRPr="00A44404" w:rsidRDefault="004213A0" w:rsidP="00470AA0">
            <w:pPr>
              <w:pStyle w:val="TableText0"/>
              <w:jc w:val="center"/>
            </w:pPr>
            <w:r w:rsidRPr="00A44404">
              <w:t>NR</w:t>
            </w:r>
          </w:p>
        </w:tc>
        <w:tc>
          <w:tcPr>
            <w:tcW w:w="1124" w:type="pct"/>
            <w:shd w:val="clear" w:color="auto" w:fill="auto"/>
            <w:noWrap/>
            <w:vAlign w:val="bottom"/>
            <w:hideMark/>
          </w:tcPr>
          <w:p w14:paraId="0824D040" w14:textId="77777777" w:rsidR="004213A0" w:rsidRPr="005E3251" w:rsidRDefault="004213A0" w:rsidP="00966397">
            <w:pPr>
              <w:pStyle w:val="TableText0"/>
              <w:jc w:val="center"/>
              <w:rPr>
                <w:b/>
                <w:bCs w:val="0"/>
              </w:rPr>
            </w:pPr>
            <w:r w:rsidRPr="005E3251">
              <w:rPr>
                <w:b/>
                <w:bCs w:val="0"/>
              </w:rPr>
              <w:t>-33.9 (-54.6, -13.2)</w:t>
            </w:r>
          </w:p>
        </w:tc>
      </w:tr>
      <w:tr w:rsidR="004213A0" w:rsidRPr="005E3251" w14:paraId="0586A31A" w14:textId="77777777" w:rsidTr="00966AE6">
        <w:trPr>
          <w:trHeight w:val="116"/>
        </w:trPr>
        <w:tc>
          <w:tcPr>
            <w:tcW w:w="2764" w:type="pct"/>
            <w:shd w:val="clear" w:color="auto" w:fill="auto"/>
            <w:noWrap/>
            <w:vAlign w:val="bottom"/>
            <w:hideMark/>
          </w:tcPr>
          <w:p w14:paraId="063026AA" w14:textId="77777777" w:rsidR="004213A0" w:rsidRPr="00A44404" w:rsidRDefault="004213A0" w:rsidP="00470AA0">
            <w:pPr>
              <w:pStyle w:val="TableText0"/>
            </w:pPr>
            <w:r w:rsidRPr="00A44404">
              <w:t>FFA 0.4 mg/kg/day (+STP) vs CBD 20 mg/kg/day (+/- STP)</w:t>
            </w:r>
          </w:p>
        </w:tc>
        <w:tc>
          <w:tcPr>
            <w:tcW w:w="1112" w:type="pct"/>
            <w:shd w:val="clear" w:color="auto" w:fill="auto"/>
            <w:noWrap/>
            <w:hideMark/>
          </w:tcPr>
          <w:p w14:paraId="004804C1" w14:textId="77777777" w:rsidR="004213A0" w:rsidRPr="00A44404" w:rsidRDefault="004213A0" w:rsidP="00470AA0">
            <w:pPr>
              <w:pStyle w:val="TableText0"/>
              <w:jc w:val="center"/>
            </w:pPr>
            <w:r w:rsidRPr="00A44404">
              <w:t>NR</w:t>
            </w:r>
          </w:p>
        </w:tc>
        <w:tc>
          <w:tcPr>
            <w:tcW w:w="1124" w:type="pct"/>
            <w:shd w:val="clear" w:color="auto" w:fill="auto"/>
            <w:noWrap/>
            <w:vAlign w:val="bottom"/>
            <w:hideMark/>
          </w:tcPr>
          <w:p w14:paraId="65EB0E0B" w14:textId="77777777" w:rsidR="004213A0" w:rsidRPr="005E3251" w:rsidRDefault="004213A0" w:rsidP="00966397">
            <w:pPr>
              <w:pStyle w:val="TableText0"/>
              <w:jc w:val="center"/>
              <w:rPr>
                <w:b/>
                <w:bCs w:val="0"/>
              </w:rPr>
            </w:pPr>
            <w:r w:rsidRPr="005E3251">
              <w:rPr>
                <w:b/>
                <w:bCs w:val="0"/>
              </w:rPr>
              <w:t>-29.9 (-51.8, -8.0)</w:t>
            </w:r>
          </w:p>
        </w:tc>
      </w:tr>
      <w:tr w:rsidR="004213A0" w:rsidRPr="005E3251" w14:paraId="0DAECBA8" w14:textId="77777777" w:rsidTr="00966AE6">
        <w:trPr>
          <w:trHeight w:val="50"/>
        </w:trPr>
        <w:tc>
          <w:tcPr>
            <w:tcW w:w="2764" w:type="pct"/>
            <w:shd w:val="clear" w:color="auto" w:fill="auto"/>
            <w:noWrap/>
            <w:vAlign w:val="bottom"/>
            <w:hideMark/>
          </w:tcPr>
          <w:p w14:paraId="192BDBEA" w14:textId="77777777" w:rsidR="004213A0" w:rsidRPr="00A44404" w:rsidRDefault="004213A0" w:rsidP="00470AA0">
            <w:pPr>
              <w:pStyle w:val="TableText0"/>
            </w:pPr>
            <w:r w:rsidRPr="00A44404">
              <w:t>FFA 0.4 mg/kg/day (+STP) vs CBD 10 mg/kg/day (+/- STP)</w:t>
            </w:r>
          </w:p>
        </w:tc>
        <w:tc>
          <w:tcPr>
            <w:tcW w:w="1112" w:type="pct"/>
            <w:shd w:val="clear" w:color="auto" w:fill="auto"/>
            <w:noWrap/>
            <w:hideMark/>
          </w:tcPr>
          <w:p w14:paraId="42A04DB7" w14:textId="77777777" w:rsidR="004213A0" w:rsidRPr="00A44404" w:rsidRDefault="004213A0" w:rsidP="00470AA0">
            <w:pPr>
              <w:pStyle w:val="TableText0"/>
              <w:jc w:val="center"/>
            </w:pPr>
            <w:r w:rsidRPr="00A44404">
              <w:t>NR</w:t>
            </w:r>
          </w:p>
        </w:tc>
        <w:tc>
          <w:tcPr>
            <w:tcW w:w="1124" w:type="pct"/>
            <w:shd w:val="clear" w:color="auto" w:fill="auto"/>
            <w:noWrap/>
            <w:vAlign w:val="bottom"/>
            <w:hideMark/>
          </w:tcPr>
          <w:p w14:paraId="1AD237AE" w14:textId="77777777" w:rsidR="004213A0" w:rsidRPr="005E3251" w:rsidRDefault="004213A0" w:rsidP="00966397">
            <w:pPr>
              <w:pStyle w:val="TableText0"/>
              <w:jc w:val="center"/>
            </w:pPr>
            <w:r w:rsidRPr="005E3251">
              <w:t>-24.2 (-48.8, 0.4)</w:t>
            </w:r>
          </w:p>
        </w:tc>
      </w:tr>
      <w:tr w:rsidR="004213A0" w:rsidRPr="005E3251" w14:paraId="1B7E2377" w14:textId="77777777" w:rsidTr="00966AE6">
        <w:trPr>
          <w:trHeight w:val="68"/>
        </w:trPr>
        <w:tc>
          <w:tcPr>
            <w:tcW w:w="2764" w:type="pct"/>
            <w:shd w:val="clear" w:color="auto" w:fill="auto"/>
            <w:noWrap/>
            <w:vAlign w:val="bottom"/>
            <w:hideMark/>
          </w:tcPr>
          <w:p w14:paraId="05C79D6A" w14:textId="3E029C81" w:rsidR="004213A0" w:rsidRPr="00A44404" w:rsidRDefault="004213A0" w:rsidP="00470AA0">
            <w:pPr>
              <w:pStyle w:val="TableText0"/>
            </w:pPr>
            <w:r w:rsidRPr="00A44404">
              <w:t>FFA 0.7 mg/kg/day (-</w:t>
            </w:r>
            <w:r w:rsidR="00A0397F" w:rsidRPr="00A44404">
              <w:t>STP</w:t>
            </w:r>
            <w:r w:rsidRPr="00A44404">
              <w:t>) vs STP 50 mg/kg/day</w:t>
            </w:r>
          </w:p>
        </w:tc>
        <w:tc>
          <w:tcPr>
            <w:tcW w:w="1112" w:type="pct"/>
            <w:shd w:val="clear" w:color="auto" w:fill="auto"/>
            <w:noWrap/>
            <w:hideMark/>
          </w:tcPr>
          <w:p w14:paraId="55EE9385" w14:textId="77777777" w:rsidR="004213A0" w:rsidRPr="00A44404" w:rsidRDefault="004213A0" w:rsidP="00470AA0">
            <w:pPr>
              <w:pStyle w:val="TableText0"/>
              <w:jc w:val="center"/>
            </w:pPr>
            <w:r w:rsidRPr="00A44404">
              <w:t>NR</w:t>
            </w:r>
          </w:p>
        </w:tc>
        <w:tc>
          <w:tcPr>
            <w:tcW w:w="1124" w:type="pct"/>
            <w:shd w:val="clear" w:color="auto" w:fill="auto"/>
            <w:noWrap/>
            <w:vAlign w:val="bottom"/>
            <w:hideMark/>
          </w:tcPr>
          <w:p w14:paraId="3C9E2F02" w14:textId="77777777" w:rsidR="004213A0" w:rsidRPr="005E3251" w:rsidRDefault="004213A0" w:rsidP="00966397">
            <w:pPr>
              <w:pStyle w:val="TableText0"/>
              <w:jc w:val="center"/>
            </w:pPr>
            <w:r w:rsidRPr="005E3251">
              <w:t>6.7 (-19.0, 32.4)</w:t>
            </w:r>
          </w:p>
        </w:tc>
      </w:tr>
      <w:tr w:rsidR="004D0EBC" w:rsidRPr="005E3251" w14:paraId="7CF8658D" w14:textId="77777777" w:rsidTr="00966AE6">
        <w:trPr>
          <w:cantSplit/>
          <w:trHeight w:val="50"/>
        </w:trPr>
        <w:tc>
          <w:tcPr>
            <w:tcW w:w="2764" w:type="pct"/>
            <w:shd w:val="clear" w:color="auto" w:fill="auto"/>
            <w:noWrap/>
            <w:vAlign w:val="bottom"/>
            <w:hideMark/>
          </w:tcPr>
          <w:p w14:paraId="272E291D" w14:textId="3B74D9FA" w:rsidR="004D0EBC" w:rsidRPr="00A44404" w:rsidRDefault="007E2CD3" w:rsidP="00253F67">
            <w:pPr>
              <w:pStyle w:val="TableText0"/>
            </w:pPr>
            <w:r w:rsidRPr="00A44404">
              <w:t xml:space="preserve">FFA 0.4 mg/kg/day (+STP) vs. </w:t>
            </w:r>
            <w:r w:rsidR="0094414C" w:rsidRPr="00A44404">
              <w:t xml:space="preserve">PBO </w:t>
            </w:r>
            <w:r w:rsidRPr="00A44404">
              <w:t>(</w:t>
            </w:r>
            <w:r w:rsidR="0094414C" w:rsidRPr="00A44404">
              <w:t xml:space="preserve">STP </w:t>
            </w:r>
            <w:r w:rsidRPr="00A44404">
              <w:t>unknown dose) [Study 2]</w:t>
            </w:r>
          </w:p>
        </w:tc>
        <w:tc>
          <w:tcPr>
            <w:tcW w:w="1112" w:type="pct"/>
            <w:shd w:val="clear" w:color="auto" w:fill="auto"/>
            <w:noWrap/>
            <w:hideMark/>
          </w:tcPr>
          <w:p w14:paraId="30EC0817" w14:textId="26892916" w:rsidR="004D0EBC" w:rsidRPr="00A44404" w:rsidRDefault="004D0EBC" w:rsidP="004D0EBC">
            <w:pPr>
              <w:pStyle w:val="TableText0"/>
              <w:jc w:val="center"/>
            </w:pPr>
            <w:r w:rsidRPr="00A44404">
              <w:t>NR</w:t>
            </w:r>
          </w:p>
        </w:tc>
        <w:tc>
          <w:tcPr>
            <w:tcW w:w="1124" w:type="pct"/>
            <w:shd w:val="clear" w:color="auto" w:fill="auto"/>
            <w:noWrap/>
            <w:hideMark/>
          </w:tcPr>
          <w:p w14:paraId="69FF29ED" w14:textId="5D087A78" w:rsidR="004D0EBC" w:rsidRPr="005E3251" w:rsidRDefault="007E2CD3" w:rsidP="00966397">
            <w:pPr>
              <w:pStyle w:val="TableText0"/>
              <w:jc w:val="center"/>
            </w:pPr>
            <w:r w:rsidRPr="005E3251">
              <w:rPr>
                <w:b/>
                <w:bCs w:val="0"/>
              </w:rPr>
              <w:t>-54.0 (-67.2, -35.</w:t>
            </w:r>
            <w:r w:rsidR="00DA1BB6" w:rsidRPr="005E3251">
              <w:rPr>
                <w:b/>
                <w:bCs w:val="0"/>
              </w:rPr>
              <w:t>6</w:t>
            </w:r>
            <w:r w:rsidRPr="005E3251">
              <w:rPr>
                <w:b/>
                <w:bCs w:val="0"/>
              </w:rPr>
              <w:t>)</w:t>
            </w:r>
          </w:p>
        </w:tc>
      </w:tr>
      <w:tr w:rsidR="00470AA0" w:rsidRPr="005E3251" w14:paraId="4AD27739" w14:textId="77777777" w:rsidTr="00966AE6">
        <w:trPr>
          <w:trHeight w:val="50"/>
        </w:trPr>
        <w:tc>
          <w:tcPr>
            <w:tcW w:w="5000" w:type="pct"/>
            <w:gridSpan w:val="3"/>
            <w:shd w:val="clear" w:color="auto" w:fill="auto"/>
            <w:noWrap/>
            <w:vAlign w:val="bottom"/>
            <w:hideMark/>
          </w:tcPr>
          <w:p w14:paraId="6E30379D" w14:textId="754FFCBB" w:rsidR="00470AA0" w:rsidRPr="00A44404" w:rsidRDefault="00470AA0" w:rsidP="00470AA0">
            <w:pPr>
              <w:pStyle w:val="TableText0"/>
              <w:jc w:val="both"/>
              <w:rPr>
                <w:b/>
                <w:bCs w:val="0"/>
                <w:szCs w:val="20"/>
              </w:rPr>
            </w:pPr>
            <w:r w:rsidRPr="00A44404">
              <w:rPr>
                <w:b/>
                <w:bCs w:val="0"/>
              </w:rPr>
              <w:t>Harms: Serious adverse events</w:t>
            </w:r>
            <w:r w:rsidR="00A6140A" w:rsidRPr="00A44404">
              <w:rPr>
                <w:b/>
                <w:bCs w:val="0"/>
              </w:rPr>
              <w:t xml:space="preserve"> [unanchored indirect comparison]</w:t>
            </w:r>
          </w:p>
        </w:tc>
      </w:tr>
      <w:tr w:rsidR="004213A0" w:rsidRPr="005E3251" w14:paraId="385B8242" w14:textId="77777777" w:rsidTr="00966AE6">
        <w:trPr>
          <w:trHeight w:val="50"/>
        </w:trPr>
        <w:tc>
          <w:tcPr>
            <w:tcW w:w="2764" w:type="pct"/>
            <w:shd w:val="clear" w:color="auto" w:fill="auto"/>
            <w:noWrap/>
            <w:vAlign w:val="bottom"/>
            <w:hideMark/>
          </w:tcPr>
          <w:p w14:paraId="0734A2D9" w14:textId="77777777" w:rsidR="004213A0" w:rsidRPr="00A44404" w:rsidRDefault="004213A0" w:rsidP="00470AA0">
            <w:pPr>
              <w:pStyle w:val="TableText0"/>
            </w:pPr>
            <w:r w:rsidRPr="00A44404">
              <w:t>FFA 0.7 mg/kg/day (-STP) vs CBD 20 mg/kg/day (+/- STP)</w:t>
            </w:r>
          </w:p>
        </w:tc>
        <w:tc>
          <w:tcPr>
            <w:tcW w:w="1112" w:type="pct"/>
            <w:shd w:val="clear" w:color="auto" w:fill="auto"/>
            <w:noWrap/>
            <w:hideMark/>
          </w:tcPr>
          <w:p w14:paraId="095809D8" w14:textId="77777777" w:rsidR="004213A0" w:rsidRPr="00A44404" w:rsidRDefault="004213A0" w:rsidP="00470AA0">
            <w:pPr>
              <w:pStyle w:val="TableText0"/>
              <w:jc w:val="center"/>
            </w:pPr>
            <w:r w:rsidRPr="00A44404">
              <w:t>NR</w:t>
            </w:r>
          </w:p>
        </w:tc>
        <w:tc>
          <w:tcPr>
            <w:tcW w:w="1124" w:type="pct"/>
            <w:shd w:val="clear" w:color="auto" w:fill="auto"/>
            <w:noWrap/>
            <w:vAlign w:val="bottom"/>
            <w:hideMark/>
          </w:tcPr>
          <w:p w14:paraId="117E60FD" w14:textId="77777777" w:rsidR="004213A0" w:rsidRPr="005E3251" w:rsidRDefault="004213A0" w:rsidP="00966397">
            <w:pPr>
              <w:pStyle w:val="TableText0"/>
              <w:jc w:val="center"/>
              <w:rPr>
                <w:rFonts w:cs="Calibri"/>
              </w:rPr>
            </w:pPr>
            <w:r w:rsidRPr="005E3251">
              <w:rPr>
                <w:rFonts w:cs="Calibri"/>
              </w:rPr>
              <w:t>-0.06 (NR)</w:t>
            </w:r>
          </w:p>
        </w:tc>
      </w:tr>
      <w:tr w:rsidR="004213A0" w:rsidRPr="005E3251" w14:paraId="472F3082" w14:textId="77777777" w:rsidTr="00966AE6">
        <w:trPr>
          <w:cantSplit/>
          <w:trHeight w:val="50"/>
        </w:trPr>
        <w:tc>
          <w:tcPr>
            <w:tcW w:w="2764" w:type="pct"/>
            <w:shd w:val="clear" w:color="auto" w:fill="auto"/>
            <w:noWrap/>
            <w:vAlign w:val="bottom"/>
            <w:hideMark/>
          </w:tcPr>
          <w:p w14:paraId="29A0E83B" w14:textId="77777777" w:rsidR="004213A0" w:rsidRPr="00A44404" w:rsidRDefault="004213A0" w:rsidP="00470AA0">
            <w:pPr>
              <w:pStyle w:val="TableText0"/>
            </w:pPr>
            <w:r w:rsidRPr="00A44404">
              <w:t>FFA 0.7 mg/kg/day (-STP) vs CBD 10 mg/kg/day (+/- STP)</w:t>
            </w:r>
          </w:p>
        </w:tc>
        <w:tc>
          <w:tcPr>
            <w:tcW w:w="1112" w:type="pct"/>
            <w:shd w:val="clear" w:color="auto" w:fill="auto"/>
            <w:noWrap/>
            <w:hideMark/>
          </w:tcPr>
          <w:p w14:paraId="1CF9F980" w14:textId="77777777" w:rsidR="004213A0" w:rsidRPr="00A44404" w:rsidRDefault="004213A0" w:rsidP="00470AA0">
            <w:pPr>
              <w:pStyle w:val="TableText0"/>
              <w:jc w:val="center"/>
            </w:pPr>
            <w:r w:rsidRPr="00A44404">
              <w:t>NR</w:t>
            </w:r>
          </w:p>
        </w:tc>
        <w:tc>
          <w:tcPr>
            <w:tcW w:w="1124" w:type="pct"/>
            <w:shd w:val="clear" w:color="auto" w:fill="auto"/>
            <w:noWrap/>
            <w:vAlign w:val="bottom"/>
            <w:hideMark/>
          </w:tcPr>
          <w:p w14:paraId="3CE563B7" w14:textId="77777777" w:rsidR="004213A0" w:rsidRPr="005E3251" w:rsidRDefault="004213A0" w:rsidP="00966397">
            <w:pPr>
              <w:pStyle w:val="TableText0"/>
              <w:jc w:val="center"/>
              <w:rPr>
                <w:rFonts w:cs="Calibri"/>
              </w:rPr>
            </w:pPr>
            <w:r w:rsidRPr="005E3251">
              <w:rPr>
                <w:rFonts w:cs="Calibri"/>
              </w:rPr>
              <w:t>-0.09 (NR)</w:t>
            </w:r>
          </w:p>
        </w:tc>
      </w:tr>
      <w:tr w:rsidR="004213A0" w:rsidRPr="005E3251" w14:paraId="55674049" w14:textId="77777777" w:rsidTr="00966AE6">
        <w:trPr>
          <w:cantSplit/>
          <w:trHeight w:val="50"/>
        </w:trPr>
        <w:tc>
          <w:tcPr>
            <w:tcW w:w="2764" w:type="pct"/>
            <w:shd w:val="clear" w:color="auto" w:fill="auto"/>
            <w:noWrap/>
            <w:vAlign w:val="bottom"/>
            <w:hideMark/>
          </w:tcPr>
          <w:p w14:paraId="7864BA93" w14:textId="77777777" w:rsidR="004213A0" w:rsidRPr="00A44404" w:rsidRDefault="004213A0" w:rsidP="00470AA0">
            <w:pPr>
              <w:pStyle w:val="TableText0"/>
            </w:pPr>
            <w:r w:rsidRPr="00A44404">
              <w:t>FFA 0.4 mg/kg/day (+STP) vs CBD 20 mg/kg/day (+/- STP)</w:t>
            </w:r>
          </w:p>
        </w:tc>
        <w:tc>
          <w:tcPr>
            <w:tcW w:w="1112" w:type="pct"/>
            <w:shd w:val="clear" w:color="auto" w:fill="auto"/>
            <w:noWrap/>
            <w:hideMark/>
          </w:tcPr>
          <w:p w14:paraId="4B5680F4" w14:textId="77777777" w:rsidR="004213A0" w:rsidRPr="00A44404" w:rsidRDefault="004213A0" w:rsidP="00470AA0">
            <w:pPr>
              <w:pStyle w:val="TableText0"/>
              <w:jc w:val="center"/>
            </w:pPr>
            <w:r w:rsidRPr="00A44404">
              <w:t>NR</w:t>
            </w:r>
          </w:p>
        </w:tc>
        <w:tc>
          <w:tcPr>
            <w:tcW w:w="1124" w:type="pct"/>
            <w:shd w:val="clear" w:color="auto" w:fill="auto"/>
            <w:noWrap/>
            <w:vAlign w:val="bottom"/>
            <w:hideMark/>
          </w:tcPr>
          <w:p w14:paraId="509DEBAE" w14:textId="77777777" w:rsidR="004213A0" w:rsidRPr="005E3251" w:rsidRDefault="004213A0" w:rsidP="00966397">
            <w:pPr>
              <w:pStyle w:val="TableText0"/>
              <w:jc w:val="center"/>
              <w:rPr>
                <w:rFonts w:cs="Calibri"/>
              </w:rPr>
            </w:pPr>
            <w:r w:rsidRPr="005E3251">
              <w:rPr>
                <w:rFonts w:cs="Calibri"/>
              </w:rPr>
              <w:t>-0.06 (NR)</w:t>
            </w:r>
          </w:p>
        </w:tc>
      </w:tr>
      <w:tr w:rsidR="004213A0" w:rsidRPr="005E3251" w14:paraId="18BE8B62" w14:textId="77777777" w:rsidTr="00966AE6">
        <w:trPr>
          <w:cantSplit/>
          <w:trHeight w:val="50"/>
        </w:trPr>
        <w:tc>
          <w:tcPr>
            <w:tcW w:w="2764" w:type="pct"/>
            <w:shd w:val="clear" w:color="auto" w:fill="auto"/>
            <w:noWrap/>
            <w:vAlign w:val="bottom"/>
            <w:hideMark/>
          </w:tcPr>
          <w:p w14:paraId="751A14B2" w14:textId="77777777" w:rsidR="004213A0" w:rsidRPr="00A44404" w:rsidRDefault="004213A0" w:rsidP="00470AA0">
            <w:pPr>
              <w:pStyle w:val="TableText0"/>
            </w:pPr>
            <w:r w:rsidRPr="00A44404">
              <w:t>FFA 0.4 mg/kg/day (+STP) vs CBD 10 mg/kg/day (+/- STP)</w:t>
            </w:r>
          </w:p>
        </w:tc>
        <w:tc>
          <w:tcPr>
            <w:tcW w:w="1112" w:type="pct"/>
            <w:shd w:val="clear" w:color="auto" w:fill="auto"/>
            <w:noWrap/>
            <w:hideMark/>
          </w:tcPr>
          <w:p w14:paraId="0498EB40" w14:textId="77777777" w:rsidR="004213A0" w:rsidRPr="00A44404" w:rsidRDefault="004213A0" w:rsidP="00470AA0">
            <w:pPr>
              <w:pStyle w:val="TableText0"/>
              <w:jc w:val="center"/>
            </w:pPr>
            <w:r w:rsidRPr="00A44404">
              <w:t>NR</w:t>
            </w:r>
          </w:p>
        </w:tc>
        <w:tc>
          <w:tcPr>
            <w:tcW w:w="1124" w:type="pct"/>
            <w:shd w:val="clear" w:color="auto" w:fill="auto"/>
            <w:noWrap/>
            <w:vAlign w:val="bottom"/>
            <w:hideMark/>
          </w:tcPr>
          <w:p w14:paraId="7985B004" w14:textId="77777777" w:rsidR="004213A0" w:rsidRPr="005E3251" w:rsidRDefault="004213A0" w:rsidP="00966397">
            <w:pPr>
              <w:pStyle w:val="TableText0"/>
              <w:jc w:val="center"/>
              <w:rPr>
                <w:rFonts w:cs="Calibri"/>
              </w:rPr>
            </w:pPr>
            <w:r w:rsidRPr="005E3251">
              <w:rPr>
                <w:rFonts w:cs="Calibri"/>
              </w:rPr>
              <w:t>-0.13 (NR)</w:t>
            </w:r>
          </w:p>
        </w:tc>
      </w:tr>
      <w:tr w:rsidR="004213A0" w:rsidRPr="005E3251" w14:paraId="655142BF" w14:textId="77777777" w:rsidTr="00966AE6">
        <w:trPr>
          <w:cantSplit/>
          <w:trHeight w:val="50"/>
        </w:trPr>
        <w:tc>
          <w:tcPr>
            <w:tcW w:w="2764" w:type="pct"/>
            <w:shd w:val="clear" w:color="auto" w:fill="auto"/>
            <w:noWrap/>
            <w:vAlign w:val="bottom"/>
            <w:hideMark/>
          </w:tcPr>
          <w:p w14:paraId="60F5E0E0" w14:textId="7090DF30" w:rsidR="004213A0" w:rsidRPr="00A44404" w:rsidRDefault="004213A0" w:rsidP="00470AA0">
            <w:pPr>
              <w:pStyle w:val="TableText0"/>
            </w:pPr>
            <w:r w:rsidRPr="00A44404">
              <w:t>FFA 0.7 mg/kg/day (-</w:t>
            </w:r>
            <w:r w:rsidR="00BD6EA1" w:rsidRPr="00A44404">
              <w:t>STP</w:t>
            </w:r>
            <w:r w:rsidRPr="00A44404">
              <w:t>) vs STP 50 mg/kg/day</w:t>
            </w:r>
          </w:p>
        </w:tc>
        <w:tc>
          <w:tcPr>
            <w:tcW w:w="1112" w:type="pct"/>
            <w:shd w:val="clear" w:color="auto" w:fill="auto"/>
            <w:noWrap/>
            <w:hideMark/>
          </w:tcPr>
          <w:p w14:paraId="53C0ED01" w14:textId="77777777" w:rsidR="004213A0" w:rsidRPr="00A44404" w:rsidRDefault="004213A0" w:rsidP="00470AA0">
            <w:pPr>
              <w:pStyle w:val="TableText0"/>
              <w:jc w:val="center"/>
            </w:pPr>
            <w:r w:rsidRPr="00A44404">
              <w:t>NR</w:t>
            </w:r>
          </w:p>
        </w:tc>
        <w:tc>
          <w:tcPr>
            <w:tcW w:w="1124" w:type="pct"/>
            <w:shd w:val="clear" w:color="auto" w:fill="auto"/>
            <w:noWrap/>
            <w:vAlign w:val="bottom"/>
            <w:hideMark/>
          </w:tcPr>
          <w:p w14:paraId="2B513454" w14:textId="77777777" w:rsidR="004213A0" w:rsidRPr="005E3251" w:rsidRDefault="004213A0" w:rsidP="00966397">
            <w:pPr>
              <w:pStyle w:val="TableText0"/>
              <w:jc w:val="center"/>
              <w:rPr>
                <w:rFonts w:cs="Calibri"/>
              </w:rPr>
            </w:pPr>
            <w:r w:rsidRPr="005E3251">
              <w:rPr>
                <w:rFonts w:cs="Calibri"/>
              </w:rPr>
              <w:t>0.06 (NR)</w:t>
            </w:r>
          </w:p>
        </w:tc>
      </w:tr>
      <w:tr w:rsidR="00BD6EA1" w:rsidRPr="005E3251" w14:paraId="123B458E" w14:textId="77777777" w:rsidTr="00966AE6">
        <w:trPr>
          <w:cantSplit/>
          <w:trHeight w:val="50"/>
        </w:trPr>
        <w:tc>
          <w:tcPr>
            <w:tcW w:w="2764" w:type="pct"/>
            <w:shd w:val="clear" w:color="auto" w:fill="auto"/>
            <w:noWrap/>
            <w:vAlign w:val="bottom"/>
            <w:hideMark/>
          </w:tcPr>
          <w:p w14:paraId="4CE5095D" w14:textId="0CDB18C6" w:rsidR="00BD6EA1" w:rsidRPr="00A44404" w:rsidRDefault="007E2CD3" w:rsidP="00253F67">
            <w:pPr>
              <w:pStyle w:val="TableText0"/>
            </w:pPr>
            <w:r w:rsidRPr="00A44404">
              <w:t xml:space="preserve">FFA 0.4 mg/kg/day (+STP) vs. </w:t>
            </w:r>
            <w:r w:rsidR="0094414C" w:rsidRPr="00A44404">
              <w:t xml:space="preserve">PBO </w:t>
            </w:r>
            <w:r w:rsidRPr="00A44404">
              <w:t>(</w:t>
            </w:r>
            <w:r w:rsidR="0094414C" w:rsidRPr="00A44404">
              <w:t xml:space="preserve">STP </w:t>
            </w:r>
            <w:r w:rsidRPr="00A44404">
              <w:t>unknown dose) [Study 2]</w:t>
            </w:r>
          </w:p>
        </w:tc>
        <w:tc>
          <w:tcPr>
            <w:tcW w:w="1112" w:type="pct"/>
            <w:shd w:val="clear" w:color="auto" w:fill="auto"/>
            <w:noWrap/>
            <w:hideMark/>
          </w:tcPr>
          <w:p w14:paraId="09A51A3E" w14:textId="77777777" w:rsidR="00BD6EA1" w:rsidRPr="00A44404" w:rsidRDefault="00BD6EA1" w:rsidP="00253F67">
            <w:pPr>
              <w:pStyle w:val="TableText0"/>
              <w:jc w:val="center"/>
            </w:pPr>
            <w:r w:rsidRPr="00A44404">
              <w:t>NR</w:t>
            </w:r>
          </w:p>
        </w:tc>
        <w:tc>
          <w:tcPr>
            <w:tcW w:w="1124" w:type="pct"/>
            <w:shd w:val="clear" w:color="auto" w:fill="auto"/>
            <w:noWrap/>
            <w:vAlign w:val="bottom"/>
            <w:hideMark/>
          </w:tcPr>
          <w:p w14:paraId="1DEC6DC1" w14:textId="5F7A1E89" w:rsidR="00BD6EA1" w:rsidRPr="005E3251" w:rsidRDefault="00B07A85" w:rsidP="00966397">
            <w:pPr>
              <w:pStyle w:val="TableText0"/>
              <w:jc w:val="center"/>
              <w:rPr>
                <w:rFonts w:cs="Calibri"/>
              </w:rPr>
            </w:pPr>
            <w:r w:rsidRPr="005E3251">
              <w:rPr>
                <w:rFonts w:cs="Calibri"/>
              </w:rPr>
              <w:t>-</w:t>
            </w:r>
            <w:r w:rsidR="00BD6EA1" w:rsidRPr="005E3251">
              <w:rPr>
                <w:rFonts w:cs="Calibri"/>
              </w:rPr>
              <w:t>0.</w:t>
            </w:r>
            <w:r w:rsidR="007E2CD3" w:rsidRPr="005E3251">
              <w:rPr>
                <w:rFonts w:cs="Calibri"/>
              </w:rPr>
              <w:t xml:space="preserve">02 </w:t>
            </w:r>
            <w:r w:rsidR="00BD6EA1" w:rsidRPr="005E3251">
              <w:rPr>
                <w:rFonts w:cs="Calibri"/>
              </w:rPr>
              <w:t>(NR)</w:t>
            </w:r>
          </w:p>
        </w:tc>
      </w:tr>
    </w:tbl>
    <w:p w14:paraId="375E2DE1" w14:textId="3C7355C8" w:rsidR="004C7717" w:rsidRPr="005E3251" w:rsidRDefault="00CE7338" w:rsidP="004C7717">
      <w:pPr>
        <w:pStyle w:val="TableFigureFooter"/>
        <w:jc w:val="left"/>
      </w:pPr>
      <w:r w:rsidRPr="005E3251">
        <w:t>Source: Compiled during the evaluation</w:t>
      </w:r>
      <w:r w:rsidR="00A0397F" w:rsidRPr="005E3251">
        <w:t xml:space="preserve"> from </w:t>
      </w:r>
      <w:r w:rsidR="00CC63F8" w:rsidRPr="005E3251">
        <w:t xml:space="preserve">para. </w:t>
      </w:r>
      <w:r w:rsidR="00C3055C" w:rsidRPr="005E3251">
        <w:t>6.38</w:t>
      </w:r>
      <w:r w:rsidR="00CC63F8" w:rsidRPr="005E3251">
        <w:t xml:space="preserve"> and para. </w:t>
      </w:r>
      <w:r w:rsidR="00C3055C" w:rsidRPr="005E3251">
        <w:t>6.47</w:t>
      </w:r>
      <w:r w:rsidR="00470AA0" w:rsidRPr="005E3251">
        <w:t>.</w:t>
      </w:r>
      <w:r w:rsidRPr="005E3251">
        <w:t xml:space="preserve"> </w:t>
      </w:r>
    </w:p>
    <w:p w14:paraId="6D80CEB5" w14:textId="183A6D83" w:rsidR="00CE7338" w:rsidRPr="005E3251" w:rsidRDefault="00CE7338" w:rsidP="004C7717">
      <w:pPr>
        <w:pStyle w:val="TableFigureFooter"/>
        <w:jc w:val="left"/>
      </w:pPr>
      <w:r w:rsidRPr="005E3251">
        <w:t xml:space="preserve">CBD = cannabidiol; </w:t>
      </w:r>
      <w:r w:rsidR="001E0588" w:rsidRPr="005E3251">
        <w:t xml:space="preserve">CI= confidence interval; </w:t>
      </w:r>
      <w:r w:rsidR="006E5600" w:rsidRPr="005E3251">
        <w:t xml:space="preserve">CSF = convulsive seizure frequency; </w:t>
      </w:r>
      <w:r w:rsidRPr="005E3251">
        <w:t xml:space="preserve">FFA = fenfluramine; n= number of participants with event; </w:t>
      </w:r>
      <w:r w:rsidR="001E0588" w:rsidRPr="005E3251">
        <w:t xml:space="preserve">N= total number of participants in the treatment arm; NR = not reported; </w:t>
      </w:r>
      <w:r w:rsidRPr="005E3251">
        <w:t xml:space="preserve">PBO = placebo; </w:t>
      </w:r>
      <w:r w:rsidR="001E0588" w:rsidRPr="005E3251">
        <w:t xml:space="preserve">RD= risk difference; RR= risk ratio; </w:t>
      </w:r>
      <w:r w:rsidRPr="005E3251">
        <w:t>SAE = serious adverse event; STP = stiripentol; TE = treatment emergent.</w:t>
      </w:r>
      <w:r w:rsidRPr="005E3251">
        <w:br/>
      </w:r>
      <w:r w:rsidRPr="005E3251">
        <w:rPr>
          <w:vertAlign w:val="superscript"/>
        </w:rPr>
        <w:t>a</w:t>
      </w:r>
      <w:r w:rsidRPr="005E3251">
        <w:t xml:space="preserve"> </w:t>
      </w:r>
      <w:r w:rsidR="004C7717" w:rsidRPr="005E3251">
        <w:t>mean difference between intervention and comparator.</w:t>
      </w:r>
    </w:p>
    <w:p w14:paraId="0186DA03" w14:textId="110EFA8F" w:rsidR="00CE7338" w:rsidRPr="00D87CFA" w:rsidRDefault="00CE7338" w:rsidP="00D87CFA">
      <w:pPr>
        <w:pStyle w:val="3-BodyText"/>
      </w:pPr>
      <w:r w:rsidRPr="00D87CFA">
        <w:lastRenderedPageBreak/>
        <w:t>The data presented is from the published cannabidiol and stiripentol trials. The only relevant and comparable safety outcome available across the fenfluramine, cannabidiol and stiripentol trials was incidence of serious adverse events.</w:t>
      </w:r>
    </w:p>
    <w:p w14:paraId="683E009A" w14:textId="075D08AE" w:rsidR="002B0ABF" w:rsidRPr="005E3251" w:rsidRDefault="002B0ABF" w:rsidP="00D87CFA">
      <w:pPr>
        <w:pStyle w:val="3-BodyText"/>
        <w:numPr>
          <w:ilvl w:val="0"/>
          <w:numId w:val="0"/>
        </w:numPr>
        <w:rPr>
          <w:u w:val="single"/>
        </w:rPr>
      </w:pPr>
      <w:r w:rsidRPr="005E3251">
        <w:rPr>
          <w:u w:val="single"/>
        </w:rPr>
        <w:t>Fenfluramine vs cannabidiol</w:t>
      </w:r>
    </w:p>
    <w:p w14:paraId="2D665A11" w14:textId="59A77431" w:rsidR="00CE7338" w:rsidRPr="005E3251" w:rsidRDefault="00CE7338" w:rsidP="00D87CFA">
      <w:pPr>
        <w:pStyle w:val="3-BodyText"/>
        <w:spacing w:before="120"/>
      </w:pPr>
      <w:r w:rsidRPr="005E3251">
        <w:t>On the basis of indirect comparison evidence presented by the submission comparing fenfluramine 0.7 mg/kg/day (without stiripentol) and cannabidiol 20 mg/kg/day (+/-stiripentol)</w:t>
      </w:r>
      <w:r w:rsidR="31241996" w:rsidRPr="005E3251">
        <w:t>, for every 100 patients treated over 14 weeks</w:t>
      </w:r>
      <w:r w:rsidRPr="005E3251">
        <w:t>:</w:t>
      </w:r>
    </w:p>
    <w:p w14:paraId="4A9A01C3" w14:textId="2034257B" w:rsidR="00CE7338" w:rsidRPr="005E3251" w:rsidRDefault="004F7A21" w:rsidP="00CE7338">
      <w:pPr>
        <w:pStyle w:val="ListParagraph"/>
        <w:ind w:left="1134"/>
      </w:pPr>
      <w:r w:rsidRPr="005E3251">
        <w:t>A</w:t>
      </w:r>
      <w:r w:rsidR="00CE7338" w:rsidRPr="005E3251">
        <w:t xml:space="preserve">pproximately 43 additional patients would have a reduction in monthly convulsive seizures by </w:t>
      </w:r>
      <w:r w:rsidR="00CE7338" w:rsidRPr="005E3251">
        <w:rPr>
          <w:rFonts w:cstheme="minorBidi"/>
        </w:rPr>
        <w:t>≥</w:t>
      </w:r>
      <w:r w:rsidR="00CE7338" w:rsidRPr="005E3251">
        <w:t>50%.</w:t>
      </w:r>
    </w:p>
    <w:p w14:paraId="1142750A" w14:textId="7246B0CE" w:rsidR="00CE7338" w:rsidRPr="005E3251" w:rsidRDefault="00CE7338" w:rsidP="00CE7338">
      <w:pPr>
        <w:pStyle w:val="ListParagraph"/>
        <w:ind w:left="1134"/>
      </w:pPr>
      <w:r w:rsidRPr="005E3251">
        <w:rPr>
          <w:snapToGrid/>
          <w:lang w:val="en-US"/>
        </w:rPr>
        <w:t xml:space="preserve">Patients would experience approximately a 39.6% reduction in 28-day seizure frequency from baseline. </w:t>
      </w:r>
    </w:p>
    <w:p w14:paraId="3D90BEAD" w14:textId="0B8EA406" w:rsidR="00CE7338" w:rsidRPr="005E3251" w:rsidRDefault="00F22C42" w:rsidP="00CE7338">
      <w:pPr>
        <w:pStyle w:val="ListParagraph"/>
        <w:ind w:left="1134"/>
      </w:pPr>
      <w:r w:rsidRPr="005E3251">
        <w:t>A</w:t>
      </w:r>
      <w:r w:rsidR="00CE7338" w:rsidRPr="005E3251">
        <w:t>pproximately 6 fewer patients would experience a serious adverse event</w:t>
      </w:r>
      <w:r w:rsidR="25847160" w:rsidRPr="005E3251">
        <w:t xml:space="preserve"> (but the adverse events likely to be experienced would differ)</w:t>
      </w:r>
      <w:r w:rsidR="00CE7338" w:rsidRPr="005E3251">
        <w:t>.</w:t>
      </w:r>
    </w:p>
    <w:p w14:paraId="74EFB59B" w14:textId="281E6D59" w:rsidR="00CE7338" w:rsidRPr="00D87CFA" w:rsidRDefault="00CE7338" w:rsidP="00D87CFA">
      <w:pPr>
        <w:pStyle w:val="3-BodyText"/>
      </w:pPr>
      <w:r w:rsidRPr="00D87CFA">
        <w:t>On the basis of indirect comparison evidence presented by the submission comparing fenfluramine 0.7 mg/kg/day (without stiripentol) and cannabidiol 10 mg/kg/day (+/-stiripentol)</w:t>
      </w:r>
      <w:r w:rsidR="1C63029D" w:rsidRPr="00D87CFA">
        <w:t xml:space="preserve"> for every 100 patients treated over 14 weeks</w:t>
      </w:r>
      <w:r w:rsidRPr="00D87CFA">
        <w:t>:</w:t>
      </w:r>
    </w:p>
    <w:p w14:paraId="2B16F571" w14:textId="7A372077" w:rsidR="00CE7338" w:rsidRPr="005E3251" w:rsidRDefault="00F22C42" w:rsidP="00CE7338">
      <w:pPr>
        <w:pStyle w:val="ListParagraph"/>
        <w:ind w:left="1134"/>
      </w:pPr>
      <w:r w:rsidRPr="005E3251">
        <w:t>A</w:t>
      </w:r>
      <w:r w:rsidR="00CE7338" w:rsidRPr="005E3251">
        <w:t xml:space="preserve">pproximately 44 additional patients would have a reduction in monthly convulsive seizures by </w:t>
      </w:r>
      <w:r w:rsidR="00CE7338" w:rsidRPr="005E3251">
        <w:rPr>
          <w:rFonts w:cstheme="minorBidi"/>
        </w:rPr>
        <w:t>≥</w:t>
      </w:r>
      <w:r w:rsidR="00CE7338" w:rsidRPr="005E3251">
        <w:t>50%.</w:t>
      </w:r>
    </w:p>
    <w:p w14:paraId="2AD2CCE3" w14:textId="36E03AF9" w:rsidR="00CE7338" w:rsidRPr="005E3251" w:rsidRDefault="00CE7338" w:rsidP="00CE7338">
      <w:pPr>
        <w:pStyle w:val="ListParagraph"/>
        <w:ind w:left="1134"/>
      </w:pPr>
      <w:r w:rsidRPr="005E3251">
        <w:rPr>
          <w:snapToGrid/>
          <w:lang w:val="en-US"/>
        </w:rPr>
        <w:t xml:space="preserve">Patients would experience approximately a 33.9% reduction in 28-day seizure frequency from baseline. </w:t>
      </w:r>
    </w:p>
    <w:p w14:paraId="740AFC53" w14:textId="2FE56E77" w:rsidR="00CE7338" w:rsidRPr="005E3251" w:rsidRDefault="00F22C42" w:rsidP="00CE7338">
      <w:pPr>
        <w:pStyle w:val="ListParagraph"/>
        <w:ind w:left="1134"/>
      </w:pPr>
      <w:r w:rsidRPr="005E3251">
        <w:t>A</w:t>
      </w:r>
      <w:r w:rsidR="00CE7338" w:rsidRPr="005E3251">
        <w:t>pproximately 9 fewer patients would experience a serious adverse event.</w:t>
      </w:r>
    </w:p>
    <w:p w14:paraId="647EF084" w14:textId="14F556E5" w:rsidR="00CE7338" w:rsidRPr="00D87CFA" w:rsidRDefault="00CE7338" w:rsidP="00D87CFA">
      <w:pPr>
        <w:pStyle w:val="3-BodyText"/>
      </w:pPr>
      <w:r w:rsidRPr="00D87CFA">
        <w:t>On the basis of indirect comparison evidence presented by the submission comparing fenfluramine 0.4 mg/kg/day (with stiripentol) and cannabidiol 20 mg/kg/day (+/-stiripentol)</w:t>
      </w:r>
      <w:r w:rsidR="69F43F99" w:rsidRPr="00D87CFA">
        <w:t>, for every 100 patients treated over 14 weeks</w:t>
      </w:r>
      <w:r w:rsidRPr="00D87CFA">
        <w:t>:</w:t>
      </w:r>
    </w:p>
    <w:p w14:paraId="74DDD53C" w14:textId="0FCBA12D" w:rsidR="00CE7338" w:rsidRPr="005E3251" w:rsidRDefault="00F22C42" w:rsidP="00CE7338">
      <w:pPr>
        <w:pStyle w:val="ListParagraph"/>
        <w:ind w:left="1134"/>
      </w:pPr>
      <w:r w:rsidRPr="005E3251">
        <w:t>A</w:t>
      </w:r>
      <w:r w:rsidR="00CE7338" w:rsidRPr="005E3251">
        <w:t xml:space="preserve">pproximately 30 additional patients would have a reduction in monthly convulsive seizures by </w:t>
      </w:r>
      <w:r w:rsidR="00CE7338" w:rsidRPr="005E3251">
        <w:rPr>
          <w:rFonts w:cstheme="minorBidi"/>
        </w:rPr>
        <w:t>≥</w:t>
      </w:r>
      <w:r w:rsidR="00CE7338" w:rsidRPr="005E3251">
        <w:t>50%.</w:t>
      </w:r>
    </w:p>
    <w:p w14:paraId="7D4A6477" w14:textId="62035BAE" w:rsidR="00CE7338" w:rsidRPr="005E3251" w:rsidRDefault="00CE7338" w:rsidP="00CE7338">
      <w:pPr>
        <w:pStyle w:val="ListParagraph"/>
        <w:ind w:left="1134"/>
      </w:pPr>
      <w:r w:rsidRPr="005E3251">
        <w:rPr>
          <w:snapToGrid/>
          <w:lang w:val="en-US"/>
        </w:rPr>
        <w:t xml:space="preserve">Patients would experience approximately a 29.9% reduction in 28-day seizure frequency from baseline. </w:t>
      </w:r>
    </w:p>
    <w:p w14:paraId="29FD2B3C" w14:textId="11F2FBF0" w:rsidR="00CE7338" w:rsidRPr="005E3251" w:rsidRDefault="00F22C42" w:rsidP="00CE7338">
      <w:pPr>
        <w:pStyle w:val="ListParagraph"/>
        <w:ind w:left="1134"/>
      </w:pPr>
      <w:r w:rsidRPr="005E3251">
        <w:t>A</w:t>
      </w:r>
      <w:r w:rsidR="00CE7338" w:rsidRPr="005E3251">
        <w:t>pproximately 6 fewer patients would experience a serious adverse event.</w:t>
      </w:r>
    </w:p>
    <w:p w14:paraId="2C5EC5AC" w14:textId="3E8F16F6" w:rsidR="00CE7338" w:rsidRPr="00D87CFA" w:rsidRDefault="00CE7338" w:rsidP="00D87CFA">
      <w:pPr>
        <w:pStyle w:val="3-BodyText"/>
      </w:pPr>
      <w:r w:rsidRPr="00D87CFA">
        <w:t>On the basis of indirect comparison evidence presented by the submission comparing fenfluramine 0.4 mg/kg/day (with stiripentol) and cannabidiol 10 mg/kg/day (+/-stiripentol)</w:t>
      </w:r>
      <w:r w:rsidR="64097BCE" w:rsidRPr="00D87CFA">
        <w:t>, for every 100 patients treated over 14 weeks</w:t>
      </w:r>
      <w:r w:rsidRPr="00D87CFA">
        <w:t>:</w:t>
      </w:r>
    </w:p>
    <w:p w14:paraId="4AD22B1B" w14:textId="31B7EFB1" w:rsidR="00CE7338" w:rsidRPr="005E3251" w:rsidRDefault="00F22C42" w:rsidP="00CE7338">
      <w:pPr>
        <w:pStyle w:val="ListParagraph"/>
        <w:ind w:left="1134"/>
      </w:pPr>
      <w:r w:rsidRPr="005E3251">
        <w:t>A</w:t>
      </w:r>
      <w:r w:rsidR="00CE7338" w:rsidRPr="005E3251">
        <w:t xml:space="preserve">pproximately 31 additional patients would have a reduction in monthly convulsive seizures by </w:t>
      </w:r>
      <w:r w:rsidR="00CE7338" w:rsidRPr="005E3251">
        <w:rPr>
          <w:rFonts w:cstheme="minorBidi"/>
        </w:rPr>
        <w:t>≥</w:t>
      </w:r>
      <w:r w:rsidR="00CE7338" w:rsidRPr="005E3251">
        <w:t>50%.</w:t>
      </w:r>
    </w:p>
    <w:p w14:paraId="7BCC798E" w14:textId="0F37A46A" w:rsidR="00CE7338" w:rsidRPr="005E3251" w:rsidRDefault="00CE7338" w:rsidP="00CE7338">
      <w:pPr>
        <w:pStyle w:val="ListParagraph"/>
        <w:ind w:left="1134"/>
      </w:pPr>
      <w:r w:rsidRPr="005E3251">
        <w:rPr>
          <w:snapToGrid/>
          <w:lang w:val="en-US"/>
        </w:rPr>
        <w:t>Patients would experience a similar reduction in 28-day seizure frequency from baseline</w:t>
      </w:r>
      <w:r w:rsidR="001B76E9" w:rsidRPr="005E3251">
        <w:rPr>
          <w:snapToGrid/>
          <w:lang w:val="en-US"/>
        </w:rPr>
        <w:t>.</w:t>
      </w:r>
    </w:p>
    <w:p w14:paraId="6E60391D" w14:textId="78733A68" w:rsidR="00CE7338" w:rsidRPr="005E3251" w:rsidRDefault="009A44C4" w:rsidP="00CE7338">
      <w:pPr>
        <w:pStyle w:val="ListParagraph"/>
        <w:ind w:left="1134"/>
      </w:pPr>
      <w:r w:rsidRPr="005E3251">
        <w:lastRenderedPageBreak/>
        <w:t>A</w:t>
      </w:r>
      <w:r w:rsidR="00CE7338" w:rsidRPr="005E3251">
        <w:t>pproximately 13 fewer patients would experience a serious adverse event.</w:t>
      </w:r>
    </w:p>
    <w:p w14:paraId="6FC4D957" w14:textId="1F52EB7F" w:rsidR="002B0ABF" w:rsidRPr="005E3251" w:rsidRDefault="002B0ABF" w:rsidP="00D87CFA">
      <w:pPr>
        <w:pStyle w:val="ListBullet"/>
        <w:numPr>
          <w:ilvl w:val="0"/>
          <w:numId w:val="0"/>
        </w:numPr>
        <w:spacing w:before="120" w:after="120"/>
        <w:ind w:left="360" w:hanging="360"/>
        <w:rPr>
          <w:u w:val="single"/>
        </w:rPr>
      </w:pPr>
      <w:r w:rsidRPr="005E3251">
        <w:rPr>
          <w:u w:val="single"/>
        </w:rPr>
        <w:t>Fenfluramine vs stiripentol</w:t>
      </w:r>
    </w:p>
    <w:p w14:paraId="7C7C098A" w14:textId="0D279652" w:rsidR="00CE7338" w:rsidRPr="00D87CFA" w:rsidRDefault="00CE7338" w:rsidP="00D87CFA">
      <w:pPr>
        <w:pStyle w:val="3-BodyText"/>
      </w:pPr>
      <w:proofErr w:type="gramStart"/>
      <w:r w:rsidRPr="00D87CFA">
        <w:t>On the basis of</w:t>
      </w:r>
      <w:proofErr w:type="gramEnd"/>
      <w:r w:rsidRPr="00D87CFA">
        <w:t xml:space="preserve"> indirect comparison evidence presented by the submission comparing fenfluramine 0.7 mg/kg/day (with</w:t>
      </w:r>
      <w:r w:rsidR="00821622" w:rsidRPr="00D87CFA">
        <w:t>out</w:t>
      </w:r>
      <w:r w:rsidRPr="00D87CFA">
        <w:t xml:space="preserve"> stiripentol) and stiripentol 50 mg/kg/day</w:t>
      </w:r>
      <w:r w:rsidR="00F62074" w:rsidRPr="00D87CFA">
        <w:t xml:space="preserve">, for every 100 patients treated </w:t>
      </w:r>
      <w:r w:rsidR="00A6140A" w:rsidRPr="00D87CFA">
        <w:t>with fenfluramine over</w:t>
      </w:r>
      <w:r w:rsidR="00F62074" w:rsidRPr="00D87CFA">
        <w:t xml:space="preserve"> 14 weeks</w:t>
      </w:r>
      <w:r w:rsidR="00A6140A" w:rsidRPr="00D87CFA">
        <w:t xml:space="preserve"> and stiripentol over 8</w:t>
      </w:r>
      <w:r w:rsidR="009B116D">
        <w:t> </w:t>
      </w:r>
      <w:r w:rsidR="00A6140A" w:rsidRPr="00D87CFA">
        <w:t>weeks</w:t>
      </w:r>
      <w:r w:rsidRPr="00D87CFA">
        <w:t>:</w:t>
      </w:r>
    </w:p>
    <w:p w14:paraId="3D86E4A6" w14:textId="3E46F85F" w:rsidR="00CE7338" w:rsidRPr="005E3251" w:rsidRDefault="00F62074" w:rsidP="00CE7338">
      <w:pPr>
        <w:pStyle w:val="ListParagraph"/>
        <w:ind w:left="1134"/>
      </w:pPr>
      <w:r w:rsidRPr="005E3251">
        <w:t>A</w:t>
      </w:r>
      <w:r w:rsidR="00CE7338" w:rsidRPr="005E3251">
        <w:t xml:space="preserve"> similar proportion of patients would have a reduction in monthly convulsive seizures by </w:t>
      </w:r>
      <w:r w:rsidR="00CE7338" w:rsidRPr="005E3251">
        <w:rPr>
          <w:rFonts w:cstheme="minorBidi"/>
        </w:rPr>
        <w:t>≥</w:t>
      </w:r>
      <w:r w:rsidR="00CE7338" w:rsidRPr="005E3251">
        <w:t>50%.</w:t>
      </w:r>
    </w:p>
    <w:p w14:paraId="7AFE9555" w14:textId="705B6AEC" w:rsidR="00CE7338" w:rsidRPr="005E3251" w:rsidRDefault="00CE7338" w:rsidP="00CE7338">
      <w:pPr>
        <w:pStyle w:val="ListParagraph"/>
        <w:ind w:left="1134"/>
      </w:pPr>
      <w:r w:rsidRPr="005E3251">
        <w:rPr>
          <w:snapToGrid/>
          <w:lang w:val="en-US"/>
        </w:rPr>
        <w:t xml:space="preserve">Patients would experience a similar </w:t>
      </w:r>
      <w:r w:rsidR="00697EE2">
        <w:rPr>
          <w:snapToGrid/>
          <w:lang w:val="en-US"/>
        </w:rPr>
        <w:t>change</w:t>
      </w:r>
      <w:r w:rsidR="00697EE2" w:rsidRPr="005E3251">
        <w:rPr>
          <w:snapToGrid/>
          <w:lang w:val="en-US"/>
        </w:rPr>
        <w:t xml:space="preserve"> </w:t>
      </w:r>
      <w:r w:rsidRPr="005E3251">
        <w:rPr>
          <w:snapToGrid/>
          <w:lang w:val="en-US"/>
        </w:rPr>
        <w:t xml:space="preserve">in </w:t>
      </w:r>
      <w:r w:rsidR="00A6140A" w:rsidRPr="005E3251">
        <w:rPr>
          <w:snapToGrid/>
          <w:lang w:val="en-US"/>
        </w:rPr>
        <w:t>monthly</w:t>
      </w:r>
      <w:r w:rsidRPr="005E3251">
        <w:rPr>
          <w:snapToGrid/>
          <w:lang w:val="en-US"/>
        </w:rPr>
        <w:t xml:space="preserve"> </w:t>
      </w:r>
      <w:r w:rsidR="00821622" w:rsidRPr="005E3251">
        <w:rPr>
          <w:snapToGrid/>
          <w:lang w:val="en-US"/>
        </w:rPr>
        <w:t>CSF</w:t>
      </w:r>
      <w:r w:rsidRPr="005E3251">
        <w:rPr>
          <w:snapToGrid/>
          <w:lang w:val="en-US"/>
        </w:rPr>
        <w:t xml:space="preserve"> from baseline</w:t>
      </w:r>
      <w:r w:rsidR="0058378B" w:rsidRPr="005E3251">
        <w:rPr>
          <w:snapToGrid/>
          <w:lang w:val="en-US"/>
        </w:rPr>
        <w:t>.</w:t>
      </w:r>
      <w:r w:rsidRPr="005E3251">
        <w:rPr>
          <w:snapToGrid/>
          <w:lang w:val="en-US"/>
        </w:rPr>
        <w:t xml:space="preserve"> </w:t>
      </w:r>
    </w:p>
    <w:p w14:paraId="13B3E6B3" w14:textId="23E8BBFB" w:rsidR="00CE7338" w:rsidRPr="005E3251" w:rsidRDefault="0058378B" w:rsidP="00CE7338">
      <w:pPr>
        <w:pStyle w:val="ListParagraph"/>
        <w:ind w:left="1134"/>
      </w:pPr>
      <w:r w:rsidRPr="005E3251">
        <w:t>A</w:t>
      </w:r>
      <w:r w:rsidR="00CE7338" w:rsidRPr="005E3251">
        <w:t xml:space="preserve">pproximately 6 </w:t>
      </w:r>
      <w:r w:rsidR="00CE7338" w:rsidRPr="005F4968">
        <w:t>more</w:t>
      </w:r>
      <w:r w:rsidR="00CE7338" w:rsidRPr="005E3251">
        <w:t xml:space="preserve"> patients would experience a serious adverse event.</w:t>
      </w:r>
    </w:p>
    <w:p w14:paraId="69821AC5" w14:textId="6A3E146C" w:rsidR="00821622" w:rsidRPr="00D87CFA" w:rsidRDefault="00821622" w:rsidP="00D87CFA">
      <w:pPr>
        <w:pStyle w:val="3-BodyText"/>
      </w:pPr>
      <w:r w:rsidRPr="00D87CFA">
        <w:t>On the basis of compar</w:t>
      </w:r>
      <w:r w:rsidR="00370A06" w:rsidRPr="00D87CFA">
        <w:t>ative</w:t>
      </w:r>
      <w:r w:rsidRPr="00D87CFA">
        <w:t xml:space="preserve"> evidence </w:t>
      </w:r>
      <w:r w:rsidR="00370A06" w:rsidRPr="00D87CFA">
        <w:t xml:space="preserve">(Study 2) </w:t>
      </w:r>
      <w:r w:rsidRPr="00D87CFA">
        <w:t xml:space="preserve">presented by the submission comparing fenfluramine 0.4 mg/kg/day (with stiripentol) and </w:t>
      </w:r>
      <w:r w:rsidR="0094414C" w:rsidRPr="00D87CFA">
        <w:t xml:space="preserve">placebo </w:t>
      </w:r>
      <w:r w:rsidR="006A6844" w:rsidRPr="00D87CFA">
        <w:t>(</w:t>
      </w:r>
      <w:r w:rsidR="0094414C" w:rsidRPr="00D87CFA">
        <w:t xml:space="preserve">stiripentol </w:t>
      </w:r>
      <w:r w:rsidR="006A6844" w:rsidRPr="00D87CFA">
        <w:t>unknown dose)</w:t>
      </w:r>
      <w:r w:rsidRPr="00D87CFA">
        <w:t>, for every 100 patients treated with fenfluramine over 14 weeks:</w:t>
      </w:r>
    </w:p>
    <w:p w14:paraId="1190D4C1" w14:textId="3CA92555" w:rsidR="006A6844" w:rsidRPr="005E3251" w:rsidRDefault="006A6844" w:rsidP="006A6844">
      <w:pPr>
        <w:pStyle w:val="ListParagraph"/>
        <w:ind w:left="1134"/>
      </w:pPr>
      <w:r w:rsidRPr="005E3251">
        <w:t xml:space="preserve">Approximately 49 additional patients would have a reduction in monthly convulsive seizures by </w:t>
      </w:r>
      <w:r w:rsidRPr="005E3251">
        <w:rPr>
          <w:rFonts w:cstheme="minorBidi"/>
        </w:rPr>
        <w:t>≥</w:t>
      </w:r>
      <w:r w:rsidRPr="005E3251">
        <w:t>50%.</w:t>
      </w:r>
    </w:p>
    <w:p w14:paraId="7C3E9C51" w14:textId="6C7201B4" w:rsidR="006A6844" w:rsidRPr="005E3251" w:rsidRDefault="006A6844" w:rsidP="006A6844">
      <w:pPr>
        <w:pStyle w:val="ListParagraph"/>
        <w:ind w:left="1134"/>
      </w:pPr>
      <w:r w:rsidRPr="005E3251">
        <w:rPr>
          <w:snapToGrid/>
          <w:lang w:val="en-US"/>
        </w:rPr>
        <w:t xml:space="preserve">Patients would experience approximately a 54.0% reduction in 28-day seizure frequency from baseline. </w:t>
      </w:r>
    </w:p>
    <w:p w14:paraId="08FFD613" w14:textId="621128F4" w:rsidR="006A6844" w:rsidRPr="005E3251" w:rsidRDefault="006A6844" w:rsidP="006A6844">
      <w:pPr>
        <w:pStyle w:val="ListParagraph"/>
        <w:ind w:left="1134"/>
      </w:pPr>
      <w:r w:rsidRPr="005E3251">
        <w:t>Approximately 2 fewer patients would experience a serious adverse event.</w:t>
      </w:r>
    </w:p>
    <w:p w14:paraId="77A62E93" w14:textId="70823BAC" w:rsidR="00CE7338" w:rsidRPr="00D87CFA" w:rsidRDefault="00CE7338" w:rsidP="00D87CFA">
      <w:pPr>
        <w:pStyle w:val="4-SubsectionHeading"/>
      </w:pPr>
      <w:bookmarkStart w:id="65" w:name="_Toc22897644"/>
      <w:bookmarkStart w:id="66" w:name="_Toc177562908"/>
      <w:r w:rsidRPr="00D87CFA">
        <w:t>Clinical claim</w:t>
      </w:r>
      <w:bookmarkEnd w:id="65"/>
      <w:bookmarkEnd w:id="66"/>
    </w:p>
    <w:p w14:paraId="3D55BD88" w14:textId="77777777" w:rsidR="00CE7338" w:rsidRPr="005E3251" w:rsidRDefault="00CE7338" w:rsidP="00D87CFA">
      <w:pPr>
        <w:spacing w:after="120"/>
      </w:pPr>
      <w:r w:rsidRPr="005E3251">
        <w:rPr>
          <w:u w:val="single"/>
        </w:rPr>
        <w:t>Fenfluramine vs cannabidiol</w:t>
      </w:r>
    </w:p>
    <w:p w14:paraId="1D54D543" w14:textId="4467BA86" w:rsidR="00CE7338" w:rsidRPr="005E3251" w:rsidRDefault="00CE7338" w:rsidP="00CE7338">
      <w:pPr>
        <w:pStyle w:val="3-BodyText"/>
      </w:pPr>
      <w:r w:rsidRPr="005E3251">
        <w:t xml:space="preserve">The submission described fenfluramine as superior in terms of effectiveness compared with cannabidiol and similar in terms of safety compared to cannabidiol. </w:t>
      </w:r>
    </w:p>
    <w:p w14:paraId="40F6E370" w14:textId="4A9E8A94" w:rsidR="00B55A91" w:rsidRPr="00550BF0" w:rsidRDefault="00CE7338" w:rsidP="33B7A8B9">
      <w:pPr>
        <w:pStyle w:val="3-BodyText"/>
      </w:pPr>
      <w:bookmarkStart w:id="67" w:name="_Ref177375222"/>
      <w:r w:rsidRPr="005E3251">
        <w:t xml:space="preserve">The therapeutic conclusion regarding efficacy presented in the submission was </w:t>
      </w:r>
      <w:r w:rsidR="00291BEF" w:rsidRPr="005E3251">
        <w:t xml:space="preserve">reasonably </w:t>
      </w:r>
      <w:r w:rsidRPr="005E3251">
        <w:t>supported for fenfluramine vs cannabidiol</w:t>
      </w:r>
      <w:r w:rsidR="00775E87" w:rsidRPr="005E3251">
        <w:t>.</w:t>
      </w:r>
      <w:r w:rsidRPr="005E3251">
        <w:t xml:space="preserve"> </w:t>
      </w:r>
      <w:r w:rsidR="002C75EF" w:rsidRPr="005E3251">
        <w:t>T</w:t>
      </w:r>
      <w:r w:rsidRPr="005E3251">
        <w:t xml:space="preserve">he indirect comparisons indicated that fenfluramine 0.7 mg/kg/day (without stiripentol) resulted in a greater decrease in the 28-day </w:t>
      </w:r>
      <w:r w:rsidR="00157D66" w:rsidRPr="005E3251">
        <w:t>CSF</w:t>
      </w:r>
      <w:r w:rsidRPr="005E3251">
        <w:t xml:space="preserve"> and a </w:t>
      </w:r>
      <w:r w:rsidR="009C74E7">
        <w:t>greater</w:t>
      </w:r>
      <w:r w:rsidRPr="005E3251">
        <w:t xml:space="preserve"> </w:t>
      </w:r>
      <w:r w:rsidR="001053AE">
        <w:t xml:space="preserve">increase </w:t>
      </w:r>
      <w:r w:rsidR="009142CE">
        <w:t xml:space="preserve">in the </w:t>
      </w:r>
      <w:r w:rsidRPr="005E3251">
        <w:t xml:space="preserve">proportion of participants who achieved </w:t>
      </w:r>
      <w:r w:rsidR="00C768D1" w:rsidRPr="005E3251">
        <w:t>≥</w:t>
      </w:r>
      <w:r w:rsidRPr="005E3251">
        <w:t xml:space="preserve">50% reduction in </w:t>
      </w:r>
      <w:r w:rsidR="00157D66" w:rsidRPr="005E3251">
        <w:t>CSF</w:t>
      </w:r>
      <w:r w:rsidRPr="005E3251">
        <w:t xml:space="preserve"> compared with cannabidiol 10 or 20 mg/kg/day. </w:t>
      </w:r>
      <w:r w:rsidR="005064A4" w:rsidRPr="005E3251">
        <w:t>T</w:t>
      </w:r>
      <w:r w:rsidR="00310057" w:rsidRPr="005E3251">
        <w:t>he magnitude of benefit and clinical significance of the results was highly uncertain because</w:t>
      </w:r>
      <w:bookmarkEnd w:id="67"/>
      <w:r w:rsidR="009D72A7">
        <w:t xml:space="preserve"> t</w:t>
      </w:r>
      <w:r w:rsidR="009D72A7" w:rsidRPr="009D72A7">
        <w:t>he sample sizes were small in the treatment arms across all the included trials</w:t>
      </w:r>
      <w:r w:rsidR="000E58B6">
        <w:t xml:space="preserve"> and there were</w:t>
      </w:r>
      <w:r w:rsidR="00C76FF9" w:rsidRPr="00C76FF9">
        <w:t xml:space="preserve"> significant between-trial differences that limit the exchangeability of the included fenfluramine and cannabidiol trials</w:t>
      </w:r>
      <w:r w:rsidR="000E58B6">
        <w:t xml:space="preserve"> (paragraphs </w:t>
      </w:r>
      <w:r w:rsidR="000E58B6">
        <w:fldChar w:fldCharType="begin" w:fldLock="1"/>
      </w:r>
      <w:r w:rsidR="000E58B6">
        <w:instrText xml:space="preserve"> REF _Ref176520435 \r \h </w:instrText>
      </w:r>
      <w:r w:rsidR="000E58B6">
        <w:fldChar w:fldCharType="separate"/>
      </w:r>
      <w:r w:rsidR="00D72887">
        <w:t>6.18</w:t>
      </w:r>
      <w:r w:rsidR="000E58B6">
        <w:fldChar w:fldCharType="end"/>
      </w:r>
      <w:r w:rsidR="008B71C2">
        <w:t xml:space="preserve"> and </w:t>
      </w:r>
      <w:r w:rsidR="000E58B6">
        <w:fldChar w:fldCharType="begin" w:fldLock="1"/>
      </w:r>
      <w:r w:rsidR="000E58B6">
        <w:instrText xml:space="preserve"> REF _Ref183516938 \r \h </w:instrText>
      </w:r>
      <w:r w:rsidR="000E58B6">
        <w:fldChar w:fldCharType="separate"/>
      </w:r>
      <w:r w:rsidR="00D72887">
        <w:t>6.19</w:t>
      </w:r>
      <w:r w:rsidR="000E58B6">
        <w:fldChar w:fldCharType="end"/>
      </w:r>
      <w:r w:rsidR="000E58B6">
        <w:t xml:space="preserve">). </w:t>
      </w:r>
      <w:bookmarkStart w:id="68" w:name="_Ref176520814"/>
      <w:r w:rsidR="00B55A91" w:rsidRPr="00550BF0">
        <w:t xml:space="preserve">The ESC considered that for the comparison with cannabidiol that whilst there were numerous uncertainties with the indirect treatment comparison, that a claim of superior comparative effectiveness </w:t>
      </w:r>
      <w:r w:rsidR="00BA3CAA" w:rsidRPr="00550BF0">
        <w:t>was likely to</w:t>
      </w:r>
      <w:r w:rsidR="00B55A91" w:rsidRPr="00550BF0">
        <w:t xml:space="preserve"> be reasonable.</w:t>
      </w:r>
    </w:p>
    <w:p w14:paraId="24D16B73" w14:textId="69048D39" w:rsidR="00B55A91" w:rsidRDefault="00CE7338" w:rsidP="00B55A91">
      <w:pPr>
        <w:pStyle w:val="3-BodyText"/>
      </w:pPr>
      <w:r w:rsidRPr="005E3251">
        <w:t xml:space="preserve">The therapeutic conclusion regarding safety presented in the submission was not adequately supported for fenfluramine vs cannabidiol because while the overall incidence of AEs across trials appear similar, the types of AEs were different. In </w:t>
      </w:r>
      <w:r w:rsidRPr="005E3251">
        <w:lastRenderedPageBreak/>
        <w:t>particular, the incidence of AEs that may have long-lasting impact on children with epilepsy and may be difficult to manage with minimal</w:t>
      </w:r>
      <w:r w:rsidR="7658094F" w:rsidRPr="005E3251">
        <w:t xml:space="preserve"> medical</w:t>
      </w:r>
      <w:r w:rsidRPr="005E3251">
        <w:t xml:space="preserve"> intervention was numerically higher in the fenfluramine trials than the cannabidiol trials (e.g. metabolism and nutrition disorders and abnormal echocardiogram indicating valvular damage). On the other hand, the common AEs reported in the cannabidiol trials, such as diarrhoea and vomiting, may be treated with minimal intervention.</w:t>
      </w:r>
      <w:bookmarkEnd w:id="68"/>
      <w:r w:rsidRPr="005E3251">
        <w:t xml:space="preserve"> </w:t>
      </w:r>
    </w:p>
    <w:p w14:paraId="478BA7DF" w14:textId="17A1F502" w:rsidR="00B45F74" w:rsidRDefault="00B55A91" w:rsidP="00B45F74">
      <w:pPr>
        <w:pStyle w:val="3-BodyText"/>
      </w:pPr>
      <w:r w:rsidRPr="00550BF0">
        <w:t>The ESC considered the claim of similar comparative safety to cannabidiol to be uncertain, given the adverse even profiles of these agents were different and the long-term safety of fenfluramine</w:t>
      </w:r>
      <w:r w:rsidR="00C04419" w:rsidRPr="00550BF0">
        <w:t>, especially</w:t>
      </w:r>
      <w:r w:rsidRPr="00550BF0">
        <w:t xml:space="preserve"> with respect to its impact on cardiac outcomes</w:t>
      </w:r>
      <w:r w:rsidR="00C04419" w:rsidRPr="00550BF0">
        <w:t>,</w:t>
      </w:r>
      <w:r w:rsidRPr="00550BF0">
        <w:t xml:space="preserve"> remained unclear.</w:t>
      </w:r>
      <w:r w:rsidR="00B45F74">
        <w:t xml:space="preserve"> </w:t>
      </w:r>
    </w:p>
    <w:p w14:paraId="66196897" w14:textId="0BF5C8D3" w:rsidR="00B45F74" w:rsidRPr="00FD4CD6" w:rsidRDefault="00B45F74" w:rsidP="00B45F74">
      <w:pPr>
        <w:widowControl w:val="0"/>
        <w:numPr>
          <w:ilvl w:val="1"/>
          <w:numId w:val="3"/>
        </w:numPr>
        <w:spacing w:after="120"/>
        <w:rPr>
          <w:rFonts w:asciiTheme="minorHAnsi" w:hAnsiTheme="minorHAnsi"/>
          <w:snapToGrid w:val="0"/>
          <w:szCs w:val="20"/>
        </w:rPr>
      </w:pPr>
      <w:bookmarkStart w:id="69" w:name="_Hlk76376200"/>
      <w:r w:rsidRPr="00FD4CD6">
        <w:rPr>
          <w:rFonts w:asciiTheme="minorHAnsi" w:hAnsiTheme="minorHAnsi"/>
          <w:iCs/>
          <w:snapToGrid w:val="0"/>
        </w:rPr>
        <w:t>The</w:t>
      </w:r>
      <w:r w:rsidRPr="00FD4CD6">
        <w:rPr>
          <w:rFonts w:asciiTheme="minorHAnsi" w:hAnsiTheme="minorHAnsi"/>
          <w:snapToGrid w:val="0"/>
          <w:szCs w:val="20"/>
        </w:rPr>
        <w:t xml:space="preserve"> PBAC considered that the claim of superior comparative effectiveness</w:t>
      </w:r>
      <w:r w:rsidR="00685470" w:rsidRPr="00FD4CD6">
        <w:rPr>
          <w:rFonts w:asciiTheme="minorHAnsi" w:hAnsiTheme="minorHAnsi"/>
          <w:snapToGrid w:val="0"/>
          <w:szCs w:val="20"/>
        </w:rPr>
        <w:t xml:space="preserve"> to cannabidiol</w:t>
      </w:r>
      <w:r w:rsidRPr="00FD4CD6">
        <w:rPr>
          <w:rFonts w:asciiTheme="minorHAnsi" w:hAnsiTheme="minorHAnsi"/>
          <w:snapToGrid w:val="0"/>
          <w:szCs w:val="20"/>
        </w:rPr>
        <w:t xml:space="preserve"> was reasonable</w:t>
      </w:r>
      <w:r w:rsidR="00685470" w:rsidRPr="00FD4CD6">
        <w:rPr>
          <w:rFonts w:asciiTheme="minorHAnsi" w:hAnsiTheme="minorHAnsi"/>
          <w:snapToGrid w:val="0"/>
          <w:szCs w:val="20"/>
        </w:rPr>
        <w:t>.</w:t>
      </w:r>
    </w:p>
    <w:p w14:paraId="0DD6020D" w14:textId="4F54959B" w:rsidR="00B45F74" w:rsidRPr="00541154" w:rsidRDefault="00B45F74" w:rsidP="00541154">
      <w:pPr>
        <w:widowControl w:val="0"/>
        <w:numPr>
          <w:ilvl w:val="1"/>
          <w:numId w:val="3"/>
        </w:numPr>
        <w:spacing w:after="120"/>
        <w:rPr>
          <w:rFonts w:asciiTheme="minorHAnsi" w:hAnsiTheme="minorHAnsi"/>
          <w:snapToGrid w:val="0"/>
          <w:szCs w:val="20"/>
        </w:rPr>
      </w:pPr>
      <w:r w:rsidRPr="00FD4CD6">
        <w:rPr>
          <w:rFonts w:asciiTheme="minorHAnsi" w:hAnsiTheme="minorHAnsi"/>
          <w:snapToGrid w:val="0"/>
          <w:szCs w:val="20"/>
        </w:rPr>
        <w:t xml:space="preserve">The PBAC considered that the claim of </w:t>
      </w:r>
      <w:r w:rsidR="00870464" w:rsidRPr="00FD4CD6">
        <w:rPr>
          <w:rFonts w:asciiTheme="minorHAnsi" w:hAnsiTheme="minorHAnsi"/>
          <w:snapToGrid w:val="0"/>
          <w:szCs w:val="20"/>
        </w:rPr>
        <w:t xml:space="preserve">similar </w:t>
      </w:r>
      <w:r w:rsidRPr="00FD4CD6">
        <w:rPr>
          <w:rFonts w:asciiTheme="minorHAnsi" w:hAnsiTheme="minorHAnsi"/>
          <w:snapToGrid w:val="0"/>
          <w:szCs w:val="20"/>
        </w:rPr>
        <w:t>comparative safety</w:t>
      </w:r>
      <w:r w:rsidR="00870464" w:rsidRPr="00FD4CD6">
        <w:rPr>
          <w:rFonts w:asciiTheme="minorHAnsi" w:hAnsiTheme="minorHAnsi"/>
          <w:snapToGrid w:val="0"/>
          <w:szCs w:val="20"/>
        </w:rPr>
        <w:t xml:space="preserve"> to cannabidiol to be uncertain, but the available evidence did not allow a </w:t>
      </w:r>
      <w:r w:rsidR="000914CB" w:rsidRPr="00FD4CD6">
        <w:rPr>
          <w:rFonts w:asciiTheme="minorHAnsi" w:hAnsiTheme="minorHAnsi"/>
          <w:snapToGrid w:val="0"/>
          <w:szCs w:val="20"/>
        </w:rPr>
        <w:t>clear assessment of whether one could be considered superior</w:t>
      </w:r>
      <w:r w:rsidR="007C4B5E">
        <w:rPr>
          <w:rFonts w:asciiTheme="minorHAnsi" w:hAnsiTheme="minorHAnsi"/>
          <w:snapToGrid w:val="0"/>
          <w:szCs w:val="20"/>
        </w:rPr>
        <w:t xml:space="preserve"> (or inferior)</w:t>
      </w:r>
      <w:r w:rsidR="000914CB" w:rsidRPr="00FD4CD6">
        <w:rPr>
          <w:rFonts w:asciiTheme="minorHAnsi" w:hAnsiTheme="minorHAnsi"/>
          <w:snapToGrid w:val="0"/>
          <w:szCs w:val="20"/>
        </w:rPr>
        <w:t xml:space="preserve"> to </w:t>
      </w:r>
      <w:r w:rsidR="00FD4CD6" w:rsidRPr="00FD4CD6">
        <w:rPr>
          <w:rFonts w:asciiTheme="minorHAnsi" w:hAnsiTheme="minorHAnsi"/>
          <w:snapToGrid w:val="0"/>
          <w:szCs w:val="20"/>
        </w:rPr>
        <w:t>another.</w:t>
      </w:r>
      <w:r w:rsidRPr="00FD4CD6">
        <w:rPr>
          <w:rFonts w:asciiTheme="minorHAnsi" w:hAnsiTheme="minorHAnsi"/>
          <w:snapToGrid w:val="0"/>
          <w:szCs w:val="20"/>
        </w:rPr>
        <w:t xml:space="preserve"> </w:t>
      </w:r>
      <w:bookmarkEnd w:id="69"/>
    </w:p>
    <w:p w14:paraId="7A825195" w14:textId="77777777" w:rsidR="006569B4" w:rsidRPr="005E3251" w:rsidRDefault="00CE7338" w:rsidP="00D87CFA">
      <w:pPr>
        <w:keepNext/>
        <w:spacing w:after="120"/>
        <w:jc w:val="left"/>
        <w:rPr>
          <w:u w:val="single"/>
        </w:rPr>
      </w:pPr>
      <w:r w:rsidRPr="005E3251">
        <w:rPr>
          <w:u w:val="single"/>
        </w:rPr>
        <w:t>Fenfluramine vs stiripentol</w:t>
      </w:r>
      <w:bookmarkStart w:id="70" w:name="_Ref177410381"/>
    </w:p>
    <w:p w14:paraId="509CCCEA" w14:textId="0FD510A2" w:rsidR="00CE7338" w:rsidRPr="00621ACD" w:rsidRDefault="00CE7338" w:rsidP="006569B4">
      <w:pPr>
        <w:pStyle w:val="3-BodyText"/>
        <w:rPr>
          <w:u w:val="single"/>
        </w:rPr>
      </w:pPr>
      <w:bookmarkStart w:id="71" w:name="_Ref183087228"/>
      <w:r w:rsidRPr="005E3251">
        <w:t>The submission described fenfluramine 0.7 mg/kg/day (without stiripentol) as uncertain in terms of effectiveness compared with stiripentol 50 mg/kg/day and did not make a clinical claim in terms of safety to stiripentol</w:t>
      </w:r>
      <w:r w:rsidR="00D60CEA">
        <w:t>.</w:t>
      </w:r>
      <w:r w:rsidR="00317A2F">
        <w:t xml:space="preserve"> </w:t>
      </w:r>
      <w:r w:rsidR="005135D4" w:rsidRPr="005E3251">
        <w:t xml:space="preserve">The indirect comparisons </w:t>
      </w:r>
      <w:r w:rsidR="000A3825">
        <w:t>suggested</w:t>
      </w:r>
      <w:r w:rsidR="000A3825" w:rsidRPr="005E3251">
        <w:t xml:space="preserve"> </w:t>
      </w:r>
      <w:r w:rsidR="005135D4" w:rsidRPr="005E3251">
        <w:t>that fenfluramine 0.7 mg/kg/day (without stiripentol) resulted in a similar decrease in the 28-day CSF and a similar increase in the proportion of participants who achieved ≥50% reduction in CSF compared with stiripentol 50 mg/kg/day.</w:t>
      </w:r>
      <w:r w:rsidR="005135D4" w:rsidRPr="005E3251">
        <w:rPr>
          <w:bCs/>
        </w:rPr>
        <w:t xml:space="preserve"> </w:t>
      </w:r>
      <w:r w:rsidR="0093374B" w:rsidRPr="007166C9">
        <w:rPr>
          <w:bCs/>
        </w:rPr>
        <w:t xml:space="preserve">On the other hand, the placebo-controlled </w:t>
      </w:r>
      <w:r w:rsidR="0093374B" w:rsidRPr="00621ACD">
        <w:rPr>
          <w:bCs/>
        </w:rPr>
        <w:t>RCT Study 2 trial showed that fenfluramine 0.4</w:t>
      </w:r>
      <w:r w:rsidR="00951DDB">
        <w:rPr>
          <w:bCs/>
        </w:rPr>
        <w:t> </w:t>
      </w:r>
      <w:r w:rsidR="0093374B" w:rsidRPr="00621ACD">
        <w:rPr>
          <w:bCs/>
        </w:rPr>
        <w:t>mg/kg/day (with stiripentol) resulted in a significant decrease in the 28-day CSF and a significant increase in the proportion of participants who achieved ≥50% reduction in CSF compared with</w:t>
      </w:r>
      <w:r w:rsidR="003251F5" w:rsidRPr="00621ACD">
        <w:rPr>
          <w:bCs/>
        </w:rPr>
        <w:t xml:space="preserve"> placebo</w:t>
      </w:r>
      <w:r w:rsidR="0093374B" w:rsidRPr="00621ACD">
        <w:rPr>
          <w:bCs/>
        </w:rPr>
        <w:t xml:space="preserve"> </w:t>
      </w:r>
      <w:r w:rsidR="00821D32" w:rsidRPr="00621ACD">
        <w:rPr>
          <w:bCs/>
        </w:rPr>
        <w:t xml:space="preserve">with </w:t>
      </w:r>
      <w:r w:rsidR="0093374B" w:rsidRPr="00621ACD">
        <w:rPr>
          <w:bCs/>
        </w:rPr>
        <w:t xml:space="preserve">stiripentol </w:t>
      </w:r>
      <w:r w:rsidR="00821D32" w:rsidRPr="00621ACD">
        <w:rPr>
          <w:bCs/>
        </w:rPr>
        <w:t>(</w:t>
      </w:r>
      <w:r w:rsidR="0093374B" w:rsidRPr="00621ACD">
        <w:rPr>
          <w:bCs/>
        </w:rPr>
        <w:t>unknown dose).</w:t>
      </w:r>
      <w:bookmarkEnd w:id="70"/>
      <w:bookmarkEnd w:id="71"/>
    </w:p>
    <w:p w14:paraId="5B138E6A" w14:textId="7D90273F" w:rsidR="008F3326" w:rsidRPr="00550BF0" w:rsidRDefault="008F3326" w:rsidP="00B55A91">
      <w:pPr>
        <w:pStyle w:val="3-BodyText"/>
      </w:pPr>
      <w:r w:rsidRPr="00550BF0">
        <w:t>The PSCR stated it was incorrect to describe the evidence networks connecting fenfluramine and cannabidiol and fenfluramine to stiripentol as being similar, and argued additional differences between the fenflur</w:t>
      </w:r>
      <w:r w:rsidR="00C04419" w:rsidRPr="00550BF0">
        <w:t>a</w:t>
      </w:r>
      <w:r w:rsidRPr="00550BF0">
        <w:t>mine and stiripentol trials that undermine reliable comparison included differences in eligibility criteria, treatment settings, concurrent AED regimens, outcome measures, time points, length of follow up, assessment window for seizure frequency outcomes and statistical methods.</w:t>
      </w:r>
    </w:p>
    <w:p w14:paraId="20651D1B" w14:textId="0FC023B4" w:rsidR="00B55A91" w:rsidRPr="00550BF0" w:rsidRDefault="00B55A91" w:rsidP="00B55A91">
      <w:pPr>
        <w:pStyle w:val="3-BodyText"/>
      </w:pPr>
      <w:r w:rsidRPr="00550BF0">
        <w:t xml:space="preserve">The ESC acknowledged </w:t>
      </w:r>
      <w:r w:rsidR="008F3326" w:rsidRPr="00550BF0">
        <w:t>these additional issues for the</w:t>
      </w:r>
      <w:r w:rsidR="00685470">
        <w:t xml:space="preserve"> indirect</w:t>
      </w:r>
      <w:r w:rsidR="008F3326" w:rsidRPr="00550BF0">
        <w:t xml:space="preserve"> comparison of fenfluramine and stiripentol, however considered that whilst these differences impact the robustness of the indirect treatment comparisons, the fact that stiripentol is a reasonable comparator for the proposed listing necessitates consideration of the comparative effectiveness and safety of these two agents. Based on the available data, the ESC considered a claim of superior comparative effectiveness or safety to stiripentol </w:t>
      </w:r>
      <w:r w:rsidR="00EE43DB" w:rsidRPr="00550BF0">
        <w:t xml:space="preserve">may be </w:t>
      </w:r>
      <w:r w:rsidR="008F3326" w:rsidRPr="00550BF0">
        <w:t>challenging to support</w:t>
      </w:r>
      <w:r w:rsidR="00EE43DB" w:rsidRPr="00550BF0">
        <w:t>.</w:t>
      </w:r>
      <w:r w:rsidR="008F3326" w:rsidRPr="00550BF0">
        <w:t xml:space="preserve"> </w:t>
      </w:r>
    </w:p>
    <w:p w14:paraId="70FFF7AA" w14:textId="4D2C8F76" w:rsidR="00B45F74" w:rsidRDefault="00B55A91" w:rsidP="00B45F74">
      <w:pPr>
        <w:pStyle w:val="3-BodyText"/>
      </w:pPr>
      <w:r w:rsidRPr="00550BF0">
        <w:lastRenderedPageBreak/>
        <w:t>Further to above, the ESC considered it important to reiterate that whilst the comparisons to cannabidiol and stiripentol have substantial uncertainties, the available evidence supports a conclusion that fenfluramine is an effective therapy for Dravet Syndrome, and there remains a substantial unmet clinical need for effective treatments in this rare and devastating disease.</w:t>
      </w:r>
      <w:r w:rsidR="00B45F74">
        <w:t xml:space="preserve"> </w:t>
      </w:r>
    </w:p>
    <w:p w14:paraId="2F378F62" w14:textId="4C583FAF" w:rsidR="00B45F74" w:rsidRPr="00541154" w:rsidRDefault="00B45F74" w:rsidP="00D87CFA">
      <w:pPr>
        <w:numPr>
          <w:ilvl w:val="1"/>
          <w:numId w:val="3"/>
        </w:numPr>
        <w:spacing w:after="120"/>
        <w:rPr>
          <w:rFonts w:asciiTheme="minorHAnsi" w:hAnsiTheme="minorHAnsi"/>
          <w:snapToGrid w:val="0"/>
          <w:szCs w:val="20"/>
        </w:rPr>
      </w:pPr>
      <w:bookmarkStart w:id="72" w:name="_Ref183087292"/>
      <w:r w:rsidRPr="00524363">
        <w:rPr>
          <w:rFonts w:asciiTheme="minorHAnsi" w:hAnsiTheme="minorHAnsi"/>
          <w:iCs/>
          <w:snapToGrid w:val="0"/>
        </w:rPr>
        <w:t>The</w:t>
      </w:r>
      <w:r w:rsidRPr="00524363">
        <w:rPr>
          <w:rFonts w:asciiTheme="minorHAnsi" w:hAnsiTheme="minorHAnsi"/>
          <w:snapToGrid w:val="0"/>
          <w:szCs w:val="20"/>
        </w:rPr>
        <w:t xml:space="preserve"> PBAC </w:t>
      </w:r>
      <w:r w:rsidR="00E518A6" w:rsidRPr="00524363">
        <w:rPr>
          <w:rFonts w:asciiTheme="minorHAnsi" w:hAnsiTheme="minorHAnsi"/>
          <w:snapToGrid w:val="0"/>
          <w:szCs w:val="20"/>
        </w:rPr>
        <w:t>a</w:t>
      </w:r>
      <w:r w:rsidR="00FD4CD6">
        <w:rPr>
          <w:rFonts w:asciiTheme="minorHAnsi" w:hAnsiTheme="minorHAnsi"/>
          <w:snapToGrid w:val="0"/>
          <w:szCs w:val="20"/>
        </w:rPr>
        <w:t>greed</w:t>
      </w:r>
      <w:r w:rsidR="00E518A6" w:rsidRPr="00524363">
        <w:rPr>
          <w:rFonts w:asciiTheme="minorHAnsi" w:hAnsiTheme="minorHAnsi"/>
          <w:snapToGrid w:val="0"/>
          <w:szCs w:val="20"/>
        </w:rPr>
        <w:t xml:space="preserve"> stiripentol was a </w:t>
      </w:r>
      <w:r w:rsidR="00EA0E3F" w:rsidRPr="00524363">
        <w:rPr>
          <w:rFonts w:asciiTheme="minorHAnsi" w:hAnsiTheme="minorHAnsi"/>
          <w:snapToGrid w:val="0"/>
          <w:szCs w:val="20"/>
        </w:rPr>
        <w:t xml:space="preserve">reasonable comparator, however considered that given the magnitude of the transitivity issues between the fenfluramine data and the pivotal stiripentol trial, that it was not possible to draw meaningful conclusions </w:t>
      </w:r>
      <w:r w:rsidR="00B945E0" w:rsidRPr="00524363">
        <w:rPr>
          <w:rFonts w:asciiTheme="minorHAnsi" w:hAnsiTheme="minorHAnsi"/>
          <w:snapToGrid w:val="0"/>
          <w:szCs w:val="20"/>
        </w:rPr>
        <w:t>regarding the comparative effectiveness and safety of these therapies.</w:t>
      </w:r>
      <w:r w:rsidR="00CD31F7" w:rsidRPr="00524363">
        <w:rPr>
          <w:rFonts w:asciiTheme="minorHAnsi" w:hAnsiTheme="minorHAnsi"/>
          <w:snapToGrid w:val="0"/>
          <w:szCs w:val="20"/>
        </w:rPr>
        <w:t xml:space="preserve"> The Comm</w:t>
      </w:r>
      <w:r w:rsidR="000913E5" w:rsidRPr="00524363">
        <w:rPr>
          <w:rFonts w:asciiTheme="minorHAnsi" w:hAnsiTheme="minorHAnsi"/>
          <w:snapToGrid w:val="0"/>
          <w:szCs w:val="20"/>
        </w:rPr>
        <w:t xml:space="preserve">ittee did note, however, that the available safety data highlights the different adverse event profiles of </w:t>
      </w:r>
      <w:r w:rsidR="00870464">
        <w:rPr>
          <w:rFonts w:asciiTheme="minorHAnsi" w:hAnsiTheme="minorHAnsi"/>
          <w:snapToGrid w:val="0"/>
          <w:szCs w:val="20"/>
        </w:rPr>
        <w:t>fenfluramine, cannabidiol and stiripentol</w:t>
      </w:r>
      <w:r w:rsidR="00216A20">
        <w:rPr>
          <w:rFonts w:asciiTheme="minorHAnsi" w:hAnsiTheme="minorHAnsi"/>
          <w:snapToGrid w:val="0"/>
          <w:szCs w:val="20"/>
        </w:rPr>
        <w:t xml:space="preserve">, and the long-term safety of fenfluramine with respect to </w:t>
      </w:r>
      <w:r w:rsidR="005B46C8">
        <w:rPr>
          <w:rFonts w:asciiTheme="minorHAnsi" w:hAnsiTheme="minorHAnsi"/>
          <w:snapToGrid w:val="0"/>
          <w:szCs w:val="20"/>
        </w:rPr>
        <w:t xml:space="preserve">risk of pulmonary hypertension or valvular heart disease is </w:t>
      </w:r>
      <w:r w:rsidR="002A71D1">
        <w:rPr>
          <w:rFonts w:asciiTheme="minorHAnsi" w:hAnsiTheme="minorHAnsi"/>
          <w:snapToGrid w:val="0"/>
          <w:szCs w:val="20"/>
        </w:rPr>
        <w:t>not yet clear</w:t>
      </w:r>
      <w:r w:rsidR="00524363" w:rsidRPr="00524363">
        <w:rPr>
          <w:rFonts w:asciiTheme="minorHAnsi" w:hAnsiTheme="minorHAnsi"/>
          <w:snapToGrid w:val="0"/>
          <w:szCs w:val="20"/>
        </w:rPr>
        <w:t>.</w:t>
      </w:r>
      <w:r w:rsidR="00B945E0" w:rsidRPr="00524363">
        <w:rPr>
          <w:rFonts w:asciiTheme="minorHAnsi" w:hAnsiTheme="minorHAnsi"/>
          <w:snapToGrid w:val="0"/>
          <w:szCs w:val="20"/>
        </w:rPr>
        <w:t xml:space="preserve"> </w:t>
      </w:r>
      <w:r w:rsidR="00524363" w:rsidRPr="00524363">
        <w:rPr>
          <w:rFonts w:asciiTheme="minorHAnsi" w:hAnsiTheme="minorHAnsi"/>
          <w:snapToGrid w:val="0"/>
          <w:szCs w:val="20"/>
        </w:rPr>
        <w:t>In addition</w:t>
      </w:r>
      <w:r w:rsidR="00B945E0" w:rsidRPr="00524363">
        <w:rPr>
          <w:rFonts w:asciiTheme="minorHAnsi" w:hAnsiTheme="minorHAnsi"/>
          <w:snapToGrid w:val="0"/>
          <w:szCs w:val="20"/>
        </w:rPr>
        <w:t xml:space="preserve">, the PBAC agreed with the ESC </w:t>
      </w:r>
      <w:r w:rsidR="009E0032" w:rsidRPr="00524363">
        <w:rPr>
          <w:rFonts w:asciiTheme="minorHAnsi" w:hAnsiTheme="minorHAnsi"/>
          <w:snapToGrid w:val="0"/>
          <w:szCs w:val="20"/>
        </w:rPr>
        <w:t>that the available evidence supports a conclusion that fenfluramine is an effective therapy and there is a substantial unmet need for additional effective treatment options in Dravet Syndrome.</w:t>
      </w:r>
      <w:bookmarkEnd w:id="72"/>
    </w:p>
    <w:p w14:paraId="289B66D7" w14:textId="77777777" w:rsidR="00CE7338" w:rsidRPr="006B5229" w:rsidRDefault="00CE7338" w:rsidP="00CE7338">
      <w:pPr>
        <w:pStyle w:val="4-SubsectionHeading"/>
      </w:pPr>
      <w:bookmarkStart w:id="73" w:name="_Toc22897645"/>
      <w:bookmarkStart w:id="74" w:name="_Toc177562909"/>
      <w:r w:rsidRPr="006B5229">
        <w:t>Economic analysis</w:t>
      </w:r>
      <w:bookmarkEnd w:id="73"/>
      <w:bookmarkEnd w:id="74"/>
      <w:r w:rsidRPr="006B5229">
        <w:t xml:space="preserve"> </w:t>
      </w:r>
    </w:p>
    <w:p w14:paraId="3209CB67" w14:textId="44DC4B87" w:rsidR="000C423C" w:rsidRPr="00550BF0" w:rsidRDefault="00897D0A" w:rsidP="00585B86">
      <w:pPr>
        <w:pStyle w:val="3-BodyText"/>
      </w:pPr>
      <w:bookmarkStart w:id="75" w:name="_Ref183089472"/>
      <w:r w:rsidRPr="00550BF0">
        <w:t>The ESC noted the</w:t>
      </w:r>
      <w:r w:rsidR="00EC4454" w:rsidRPr="00550BF0">
        <w:t xml:space="preserve"> economic</w:t>
      </w:r>
      <w:r w:rsidRPr="00550BF0">
        <w:t xml:space="preserve"> model used a weighted ICER approach based on two cohorts stratified by use of concomitant stiripentol (either 100% for both fenfluramine and cannabidiol, or none), which individually produced vastly different ICERs (dominant in the + stiripentol </w:t>
      </w:r>
      <w:r w:rsidR="00C04419" w:rsidRPr="00550BF0">
        <w:t>cohort</w:t>
      </w:r>
      <w:r w:rsidRPr="00550BF0">
        <w:t xml:space="preserve"> and </w:t>
      </w:r>
      <w:r w:rsidR="00BA2CA8" w:rsidRPr="00BA2CA8">
        <w:t>$155,000 to &lt; $255,000</w:t>
      </w:r>
      <w:r w:rsidR="006F2828">
        <w:t xml:space="preserve"> </w:t>
      </w:r>
      <w:r w:rsidRPr="00550BF0">
        <w:t xml:space="preserve">per QALY in the no stiripentol </w:t>
      </w:r>
      <w:r w:rsidR="00C04419" w:rsidRPr="00550BF0">
        <w:t>cohort</w:t>
      </w:r>
      <w:r w:rsidRPr="00550BF0">
        <w:t xml:space="preserve">) and considered this highlighted major uncertainties with the model. In particular, the ESC noted the model was </w:t>
      </w:r>
      <w:r w:rsidR="00632A03" w:rsidRPr="00550BF0">
        <w:t xml:space="preserve">very </w:t>
      </w:r>
      <w:r w:rsidRPr="00550BF0">
        <w:t>sensitive to parameters that determine the cost of treatment with cannabidiol (+/- stiripentol) in both cohorts</w:t>
      </w:r>
      <w:r w:rsidR="00632A03" w:rsidRPr="00550BF0">
        <w:t>.  Further, the ESC noted that the relevant inputs</w:t>
      </w:r>
      <w:r w:rsidRPr="00550BF0">
        <w:t xml:space="preserve"> </w:t>
      </w:r>
      <w:r w:rsidR="00560AD3" w:rsidRPr="00550BF0">
        <w:t>were</w:t>
      </w:r>
      <w:r w:rsidR="00632A03" w:rsidRPr="00550BF0">
        <w:t xml:space="preserve"> </w:t>
      </w:r>
      <w:r w:rsidRPr="00550BF0">
        <w:t xml:space="preserve">inconsistent with prior PBAC considerations for stiripentol and cannabidiol </w:t>
      </w:r>
      <w:r w:rsidR="00632A03" w:rsidRPr="00550BF0">
        <w:t>including</w:t>
      </w:r>
      <w:r w:rsidRPr="00550BF0">
        <w:t xml:space="preserve"> time horizon, starting age, cannabidiol dose and extent of combination use of cannabidiol and stiripentol.</w:t>
      </w:r>
      <w:bookmarkEnd w:id="75"/>
      <w:r w:rsidRPr="00550BF0">
        <w:t xml:space="preserve"> </w:t>
      </w:r>
    </w:p>
    <w:p w14:paraId="7B31AD3F" w14:textId="67EFB41F" w:rsidR="00585B86" w:rsidRPr="00550BF0" w:rsidRDefault="002B2960" w:rsidP="00585B86">
      <w:pPr>
        <w:pStyle w:val="3-BodyText"/>
      </w:pPr>
      <w:r w:rsidRPr="00550BF0">
        <w:t xml:space="preserve">The ESC considered a model structure with health states relevant to frequency and/or reduction to seizure frequency </w:t>
      </w:r>
      <w:r w:rsidR="00632A03" w:rsidRPr="00550BF0">
        <w:t xml:space="preserve">was likely to </w:t>
      </w:r>
      <w:r w:rsidRPr="00550BF0">
        <w:t>have more accurately captured the incremental clinical benefits of treatment</w:t>
      </w:r>
      <w:r w:rsidR="00632A03" w:rsidRPr="00550BF0">
        <w:t>, compared to the current structure with health states based on treatment status</w:t>
      </w:r>
      <w:r w:rsidRPr="00550BF0">
        <w:t>.</w:t>
      </w:r>
      <w:r w:rsidR="00A77415">
        <w:t xml:space="preserve"> The Pre-PBAC Response acknowledged the possibility that a model structure with health states relevant to seizure free days or seizure freedom might have better captured the incremental benefits of treatment. </w:t>
      </w:r>
    </w:p>
    <w:p w14:paraId="59F2945D" w14:textId="11CE9CEA" w:rsidR="00897D0A" w:rsidRPr="00550BF0" w:rsidRDefault="00897D0A" w:rsidP="00EC4454">
      <w:pPr>
        <w:pStyle w:val="3-BodyText"/>
      </w:pPr>
      <w:r w:rsidRPr="00550BF0">
        <w:t>The ESC considered that given the clinical comparisons were uncertain due to the available data and exchangeability issues that limit the robustness of the indirect treatment comparisons (discussed above), the results of the model also reflect this uncertainty. Overall, the ESC considered the weighted ICER approach to be inappropriate and given the resultant ICERs in the individual cohorts to the aforementioned parameters, considered the submission approach to be unreliable for decision-making.</w:t>
      </w:r>
    </w:p>
    <w:p w14:paraId="74ED426D" w14:textId="71DE00EB" w:rsidR="00E20ADB" w:rsidRDefault="00897D0A" w:rsidP="00897D0A">
      <w:pPr>
        <w:pStyle w:val="3-BodyText"/>
      </w:pPr>
      <w:bookmarkStart w:id="76" w:name="_Ref183075921"/>
      <w:r w:rsidRPr="00550BF0">
        <w:lastRenderedPageBreak/>
        <w:t xml:space="preserve">However, the ESC recognised that Dravet Syndrome is a rare and devastating illness </w:t>
      </w:r>
      <w:r w:rsidR="005F4968" w:rsidRPr="00550BF0">
        <w:t xml:space="preserve">and there was a </w:t>
      </w:r>
      <w:r w:rsidRPr="00550BF0">
        <w:t xml:space="preserve">clinical need for additional effective therapies, and that the evidence supports a conclusion that fenfluramine is </w:t>
      </w:r>
      <w:r w:rsidR="00632A03" w:rsidRPr="00550BF0">
        <w:t xml:space="preserve">likely </w:t>
      </w:r>
      <w:r w:rsidRPr="00550BF0">
        <w:t>an effective treatment. Therefore, the ESC considered an alternative</w:t>
      </w:r>
      <w:r w:rsidR="00EE43DB" w:rsidRPr="00550BF0">
        <w:t>, simplified</w:t>
      </w:r>
      <w:r w:rsidRPr="00550BF0">
        <w:t xml:space="preserve"> approach to determining an acceptably cost</w:t>
      </w:r>
      <w:r w:rsidR="008E4E71" w:rsidRPr="00550BF0">
        <w:t>-</w:t>
      </w:r>
      <w:r w:rsidRPr="00550BF0">
        <w:t>effective price for fenfluramine may be justified in recognition of the available evidence and clinical need</w:t>
      </w:r>
      <w:r w:rsidR="005F4968" w:rsidRPr="00550BF0">
        <w:t>.</w:t>
      </w:r>
      <w:r w:rsidR="00104A05">
        <w:t xml:space="preserve"> The Pre-PBAC Response acknowledged </w:t>
      </w:r>
      <w:r w:rsidR="00DB7362">
        <w:t xml:space="preserve">the advice of the ESC, however reiterated it was reasonable for fenfluramine to have a price premium over </w:t>
      </w:r>
      <w:r w:rsidR="00853FEC">
        <w:t>relevant comparisons (where appropriate)</w:t>
      </w:r>
      <w:r w:rsidR="00093DD0">
        <w:t>.</w:t>
      </w:r>
      <w:bookmarkEnd w:id="76"/>
    </w:p>
    <w:p w14:paraId="4A32AAB2" w14:textId="1DA15F70" w:rsidR="00897D0A" w:rsidRPr="00550BF0" w:rsidRDefault="00201B4F" w:rsidP="00897D0A">
      <w:pPr>
        <w:pStyle w:val="3-BodyText"/>
      </w:pPr>
      <w:r>
        <w:t>The PBAC agreed with the ESC and considered</w:t>
      </w:r>
      <w:r w:rsidR="004E1819">
        <w:t xml:space="preserve"> the economic model in the submission was unreliable for decision-making and agreed</w:t>
      </w:r>
      <w:r>
        <w:t xml:space="preserve"> a simpler alternative approach to assess the cost</w:t>
      </w:r>
      <w:r w:rsidR="000F34E4">
        <w:t>-</w:t>
      </w:r>
      <w:r>
        <w:t>effectiveness of fenfluramine was reasonable, in the context of the rarity and high clinical need</w:t>
      </w:r>
      <w:r w:rsidR="004E1819">
        <w:t xml:space="preserve"> for additional effective therapies</w:t>
      </w:r>
      <w:r>
        <w:t xml:space="preserve"> in Dravet Syndrome.</w:t>
      </w:r>
      <w:r w:rsidR="00E20ADB">
        <w:t xml:space="preserve"> The approach</w:t>
      </w:r>
      <w:r w:rsidR="00CF4C6D">
        <w:t xml:space="preserve"> relied upon</w:t>
      </w:r>
      <w:r w:rsidR="00E20ADB">
        <w:t xml:space="preserve"> by the PBAC</w:t>
      </w:r>
      <w:r w:rsidR="00CF4C6D">
        <w:t xml:space="preserve"> to consider the cost</w:t>
      </w:r>
      <w:r w:rsidR="00A63388">
        <w:t>-</w:t>
      </w:r>
      <w:r w:rsidR="00CF4C6D">
        <w:t>effectiveness of fenfluramine</w:t>
      </w:r>
      <w:r w:rsidR="00E20ADB">
        <w:t xml:space="preserve"> is discussed in the ‘cost per responder analyses’ section below</w:t>
      </w:r>
      <w:r w:rsidR="006D31A8">
        <w:t>, following the summary of the model included in the submission.</w:t>
      </w:r>
    </w:p>
    <w:p w14:paraId="4FF8B226" w14:textId="7CA4639E" w:rsidR="009A7EA7" w:rsidRPr="00D87CFA" w:rsidRDefault="00CE7338" w:rsidP="00D87CFA">
      <w:pPr>
        <w:pStyle w:val="3-BodyText"/>
      </w:pPr>
      <w:r w:rsidRPr="00D87CFA">
        <w:t xml:space="preserve">The submission presented a modelled economic evaluation based on </w:t>
      </w:r>
      <w:r w:rsidR="009A7EA7" w:rsidRPr="00D87CFA">
        <w:t>indirect comparisons between fenfluramine (0.7 mg/kg/day without stiripentol and 0.4</w:t>
      </w:r>
      <w:r w:rsidR="006F2828">
        <w:t> </w:t>
      </w:r>
      <w:r w:rsidR="009A7EA7" w:rsidRPr="00D87CFA">
        <w:t>mg/kg/day with stiripentol) and cannabidiol (10 or 20 mg/kg/day +/- stiripentol) for the outcome of percentage change from baseline in CSF. The indirect comparisons were informed by a meta-analysis of the Study 1 and 3 trials (fenfluramine 0.7</w:t>
      </w:r>
      <w:r w:rsidR="006F2828">
        <w:t> </w:t>
      </w:r>
      <w:r w:rsidR="009A7EA7" w:rsidRPr="00D87CFA">
        <w:t>mg/kg/day without stiripentol), the Study 2 trial (fenfluramine 0.4 mg/kg/day with stiripentol), the GWPCARE1 trial (cannabidiol 10 mg/kg/day +/- stiripentol) and a meta-analysis of the GWPCARE1 and GWPCARE2 trials (cannabidiol 20 mg/kg/day +/- stiripentol) (</w:t>
      </w:r>
      <w:r w:rsidR="009176CD" w:rsidRPr="00D87CFA">
        <w:fldChar w:fldCharType="begin" w:fldLock="1"/>
      </w:r>
      <w:r w:rsidR="009176CD" w:rsidRPr="00D87CFA">
        <w:instrText xml:space="preserve"> REF _Ref174488824 \h </w:instrText>
      </w:r>
      <w:r w:rsidR="005E3251" w:rsidRPr="00D87CFA">
        <w:instrText xml:space="preserve"> \* MERGEFORMAT </w:instrText>
      </w:r>
      <w:r w:rsidR="009176CD" w:rsidRPr="00D87CFA">
        <w:fldChar w:fldCharType="separate"/>
      </w:r>
      <w:r w:rsidR="00D72887" w:rsidRPr="00D87CFA">
        <w:t>Table 9</w:t>
      </w:r>
      <w:r w:rsidR="009176CD" w:rsidRPr="00D87CFA">
        <w:fldChar w:fldCharType="end"/>
      </w:r>
      <w:r w:rsidR="009A7EA7" w:rsidRPr="00D87CFA">
        <w:t>)</w:t>
      </w:r>
      <w:r w:rsidRPr="00D87CFA">
        <w:t xml:space="preserve">. </w:t>
      </w:r>
    </w:p>
    <w:p w14:paraId="790A20D4" w14:textId="3F96E621" w:rsidR="00D77753" w:rsidRPr="00D87CFA" w:rsidRDefault="00D77753" w:rsidP="00D87CFA">
      <w:pPr>
        <w:pStyle w:val="3-BodyText"/>
      </w:pPr>
      <w:r w:rsidRPr="00D87CFA">
        <w:t>The type of economic evaluation presented was a cost-utility analysis</w:t>
      </w:r>
      <w:r w:rsidR="005F4968" w:rsidRPr="00D87CFA">
        <w:t xml:space="preserve">, </w:t>
      </w:r>
      <w:r w:rsidRPr="00D87CFA">
        <w:t xml:space="preserve">consistent with the clinical claim of superior effectiveness of fenfluramine compared with cannabidiol. </w:t>
      </w:r>
    </w:p>
    <w:p w14:paraId="6CC51C7F" w14:textId="474227AB" w:rsidR="00CE7338" w:rsidRPr="00D87CFA" w:rsidRDefault="00CE7338" w:rsidP="00D87CFA">
      <w:pPr>
        <w:pStyle w:val="3-BodyText"/>
      </w:pPr>
      <w:r w:rsidRPr="00D87CFA">
        <w:t>The economic model was stratified into two cohorts:</w:t>
      </w:r>
    </w:p>
    <w:p w14:paraId="60E31E89" w14:textId="01E5A755" w:rsidR="00CE7338" w:rsidRPr="005E3251" w:rsidRDefault="00CE7338" w:rsidP="00060C53">
      <w:pPr>
        <w:pStyle w:val="ListParagraph"/>
        <w:numPr>
          <w:ilvl w:val="0"/>
          <w:numId w:val="7"/>
        </w:numPr>
        <w:ind w:left="1080"/>
      </w:pPr>
      <w:r w:rsidRPr="005E3251">
        <w:t>Cohort 1 (patients receiving a background AED regimen including stiripentol 50</w:t>
      </w:r>
      <w:r w:rsidR="006F2828">
        <w:t> </w:t>
      </w:r>
      <w:r w:rsidRPr="005E3251">
        <w:t xml:space="preserve">mg/kg/day): </w:t>
      </w:r>
    </w:p>
    <w:p w14:paraId="041744EA" w14:textId="77777777" w:rsidR="00CE7338" w:rsidRPr="005E3251" w:rsidRDefault="00CE7338" w:rsidP="00060C53">
      <w:pPr>
        <w:pStyle w:val="ListParagraph"/>
        <w:numPr>
          <w:ilvl w:val="1"/>
          <w:numId w:val="7"/>
        </w:numPr>
        <w:ind w:left="1800"/>
      </w:pPr>
      <w:r w:rsidRPr="005E3251">
        <w:t>Intervention arm: Fenfluramine 0.4 mg/kg/day; versus</w:t>
      </w:r>
    </w:p>
    <w:p w14:paraId="0BBB8201" w14:textId="5C17A94B" w:rsidR="00CE7338" w:rsidRPr="005E3251" w:rsidRDefault="00CE7338" w:rsidP="00060C53">
      <w:pPr>
        <w:pStyle w:val="ListParagraph"/>
        <w:numPr>
          <w:ilvl w:val="1"/>
          <w:numId w:val="7"/>
        </w:numPr>
        <w:ind w:left="1800"/>
      </w:pPr>
      <w:r w:rsidRPr="005E3251">
        <w:t>Comparator arm: Cannabidiol weighted average of 10 and 20</w:t>
      </w:r>
      <w:r w:rsidR="006F2828">
        <w:t> </w:t>
      </w:r>
      <w:r w:rsidRPr="005E3251">
        <w:t>mg/kg/day.</w:t>
      </w:r>
    </w:p>
    <w:p w14:paraId="33770E4C" w14:textId="77777777" w:rsidR="00CE7338" w:rsidRPr="005E3251" w:rsidRDefault="00CE7338" w:rsidP="00060C53">
      <w:pPr>
        <w:pStyle w:val="ListParagraph"/>
        <w:numPr>
          <w:ilvl w:val="0"/>
          <w:numId w:val="7"/>
        </w:numPr>
        <w:ind w:left="1080"/>
      </w:pPr>
      <w:r w:rsidRPr="005E3251">
        <w:t xml:space="preserve">Cohort 2 (patients receiving a background AED regimen excluding stiripentol): </w:t>
      </w:r>
    </w:p>
    <w:p w14:paraId="796C3A58" w14:textId="64C3DBF4" w:rsidR="00CE7338" w:rsidRPr="005E3251" w:rsidRDefault="00CE7338" w:rsidP="00060C53">
      <w:pPr>
        <w:pStyle w:val="ListParagraph"/>
        <w:numPr>
          <w:ilvl w:val="1"/>
          <w:numId w:val="7"/>
        </w:numPr>
        <w:ind w:left="1800"/>
      </w:pPr>
      <w:r w:rsidRPr="005E3251">
        <w:t>Intervention arm: Fenfluramine 0.7</w:t>
      </w:r>
      <w:r w:rsidR="006F2828">
        <w:t> </w:t>
      </w:r>
      <w:r w:rsidRPr="005E3251">
        <w:t>mg/kg/day; versus</w:t>
      </w:r>
    </w:p>
    <w:p w14:paraId="48073FC6" w14:textId="70BA0D85" w:rsidR="00CE7338" w:rsidRPr="005E3251" w:rsidRDefault="00CE7338" w:rsidP="00060C53">
      <w:pPr>
        <w:pStyle w:val="ListParagraph"/>
        <w:numPr>
          <w:ilvl w:val="1"/>
          <w:numId w:val="7"/>
        </w:numPr>
        <w:ind w:left="1800"/>
      </w:pPr>
      <w:r w:rsidRPr="005E3251">
        <w:t>Comparator arm: Cannabidiol weighted average of 10 and 20</w:t>
      </w:r>
      <w:r w:rsidR="006F2828">
        <w:t> </w:t>
      </w:r>
      <w:r w:rsidRPr="005E3251">
        <w:t>mg/kg/day.</w:t>
      </w:r>
    </w:p>
    <w:p w14:paraId="592667DE" w14:textId="461EC647" w:rsidR="00CE7338" w:rsidRPr="00D87CFA" w:rsidRDefault="00CE7338" w:rsidP="00D87CFA">
      <w:pPr>
        <w:pStyle w:val="3-BodyText"/>
      </w:pPr>
      <w:bookmarkStart w:id="77" w:name="_Ref177307273"/>
      <w:r w:rsidRPr="00D87CFA">
        <w:t>Stratification</w:t>
      </w:r>
      <w:r w:rsidR="00003E24" w:rsidRPr="00D87CFA">
        <w:t xml:space="preserve"> into two cohorts</w:t>
      </w:r>
      <w:r w:rsidRPr="00D87CFA">
        <w:t xml:space="preserve"> based on concomitant stiripentol was consistent with the fenfluramine trials. However, this stratification did not align with the cannabidiol trial where some patients received concomitant stiripentol. This modelling approach </w:t>
      </w:r>
      <w:r w:rsidR="00575F92" w:rsidRPr="00D87CFA">
        <w:t xml:space="preserve">did not account for </w:t>
      </w:r>
      <w:r w:rsidRPr="00D87CFA">
        <w:t>the treatment effect of adding stiripentol to cannabidiol.</w:t>
      </w:r>
      <w:r w:rsidR="006D3830" w:rsidRPr="00D87CFA">
        <w:t xml:space="preserve"> </w:t>
      </w:r>
      <w:bookmarkEnd w:id="77"/>
    </w:p>
    <w:p w14:paraId="316BA0CB" w14:textId="3EC3AC87" w:rsidR="00CE7338" w:rsidRPr="00D87CFA" w:rsidRDefault="00CE7338" w:rsidP="00D87CFA">
      <w:pPr>
        <w:pStyle w:val="3-BodyText"/>
      </w:pPr>
      <w:r w:rsidRPr="00D87CFA">
        <w:lastRenderedPageBreak/>
        <w:t xml:space="preserve">Stiripentol was not considered </w:t>
      </w:r>
      <w:r w:rsidR="00C74E0B" w:rsidRPr="00D87CFA">
        <w:t xml:space="preserve">as </w:t>
      </w:r>
      <w:r w:rsidRPr="00D87CFA">
        <w:t>a comparator</w:t>
      </w:r>
      <w:r w:rsidR="00370D11" w:rsidRPr="00D87CFA">
        <w:t xml:space="preserve"> in the</w:t>
      </w:r>
      <w:r w:rsidR="00D369FB" w:rsidRPr="00D87CFA">
        <w:t xml:space="preserve"> economic model provided in the </w:t>
      </w:r>
      <w:r w:rsidR="00370D11" w:rsidRPr="00D87CFA">
        <w:t>submission</w:t>
      </w:r>
      <w:r w:rsidR="34029923" w:rsidRPr="00D87CFA">
        <w:t>.</w:t>
      </w:r>
      <w:r w:rsidRPr="00D87CFA">
        <w:t xml:space="preserve"> This was inconsistent with the treatment algorithm and the financial estimates, which both consider substitution from stiripentol to fenfluramine.</w:t>
      </w:r>
      <w:r w:rsidR="005B6DEB" w:rsidRPr="00D87CFA">
        <w:t xml:space="preserve"> </w:t>
      </w:r>
    </w:p>
    <w:p w14:paraId="04926D05" w14:textId="49F100A8" w:rsidR="00CE7338" w:rsidRPr="00D87CFA" w:rsidRDefault="00CE7338" w:rsidP="00D87CFA">
      <w:pPr>
        <w:pStyle w:val="3-BodyText"/>
      </w:pPr>
      <w:r w:rsidRPr="00D87CFA">
        <w:t xml:space="preserve">A summary of the model structure and key inputs is presented in </w:t>
      </w:r>
      <w:r w:rsidR="000E3E8A" w:rsidRPr="00D87CFA">
        <w:fldChar w:fldCharType="begin" w:fldLock="1"/>
      </w:r>
      <w:r w:rsidR="000E3E8A" w:rsidRPr="00D87CFA">
        <w:instrText xml:space="preserve"> REF _Ref174460635 \h </w:instrText>
      </w:r>
      <w:r w:rsidR="005E3251" w:rsidRPr="00D87CFA">
        <w:instrText xml:space="preserve"> \* MERGEFORMAT </w:instrText>
      </w:r>
      <w:r w:rsidR="000E3E8A" w:rsidRPr="00D87CFA">
        <w:fldChar w:fldCharType="separate"/>
      </w:r>
      <w:r w:rsidR="00D72887" w:rsidRPr="00D87CFA">
        <w:t>Table 14</w:t>
      </w:r>
      <w:r w:rsidR="000E3E8A" w:rsidRPr="00D87CFA">
        <w:fldChar w:fldCharType="end"/>
      </w:r>
      <w:r w:rsidRPr="00D87CFA">
        <w:t>.</w:t>
      </w:r>
    </w:p>
    <w:p w14:paraId="006D021B" w14:textId="74B285ED" w:rsidR="00CE7338" w:rsidRPr="005E3251" w:rsidRDefault="00CE7338" w:rsidP="00CE7338">
      <w:pPr>
        <w:pStyle w:val="Caption"/>
        <w:jc w:val="left"/>
        <w:rPr>
          <w:rStyle w:val="CommentReference"/>
          <w:b/>
          <w:szCs w:val="24"/>
        </w:rPr>
      </w:pPr>
      <w:bookmarkStart w:id="78" w:name="_Ref174460635"/>
      <w:r w:rsidRPr="005E3251">
        <w:t xml:space="preserve">Table </w:t>
      </w:r>
      <w:r w:rsidR="00D72887">
        <w:fldChar w:fldCharType="begin" w:fldLock="1"/>
      </w:r>
      <w:r w:rsidR="00D72887">
        <w:instrText xml:space="preserve"> SEQ Table \* ARABIC </w:instrText>
      </w:r>
      <w:r w:rsidR="00D72887">
        <w:fldChar w:fldCharType="separate"/>
      </w:r>
      <w:r w:rsidR="00D72887">
        <w:rPr>
          <w:noProof/>
        </w:rPr>
        <w:t>14</w:t>
      </w:r>
      <w:r w:rsidR="00D72887">
        <w:rPr>
          <w:noProof/>
        </w:rPr>
        <w:fldChar w:fldCharType="end"/>
      </w:r>
      <w:bookmarkEnd w:id="78"/>
      <w:r w:rsidRPr="005E3251">
        <w:t>:</w:t>
      </w:r>
      <w:r w:rsidRPr="005E3251">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38"/>
        <w:gridCol w:w="7179"/>
      </w:tblGrid>
      <w:tr w:rsidR="006B5229" w:rsidRPr="005E3251" w14:paraId="6F2F811A" w14:textId="77777777" w:rsidTr="33B7A8B9">
        <w:trPr>
          <w:tblHeader/>
        </w:trPr>
        <w:tc>
          <w:tcPr>
            <w:tcW w:w="1019" w:type="pct"/>
            <w:shd w:val="clear" w:color="auto" w:fill="auto"/>
            <w:vAlign w:val="center"/>
          </w:tcPr>
          <w:p w14:paraId="70F67C81" w14:textId="77777777" w:rsidR="00CE7338" w:rsidRPr="005E3251" w:rsidRDefault="00CE7338">
            <w:pPr>
              <w:pStyle w:val="In-tableHeading"/>
            </w:pPr>
            <w:r w:rsidRPr="005E3251">
              <w:t>Component</w:t>
            </w:r>
          </w:p>
        </w:tc>
        <w:tc>
          <w:tcPr>
            <w:tcW w:w="3981" w:type="pct"/>
            <w:shd w:val="clear" w:color="auto" w:fill="auto"/>
            <w:vAlign w:val="center"/>
          </w:tcPr>
          <w:p w14:paraId="3B1351A2" w14:textId="77777777" w:rsidR="00CE7338" w:rsidRPr="005E3251" w:rsidRDefault="00CE7338">
            <w:pPr>
              <w:pStyle w:val="In-tableHeading"/>
            </w:pPr>
            <w:r w:rsidRPr="005E3251">
              <w:t>Summary</w:t>
            </w:r>
          </w:p>
        </w:tc>
      </w:tr>
      <w:tr w:rsidR="006B5229" w:rsidRPr="005E3251" w14:paraId="7B3AD5FD" w14:textId="77777777" w:rsidTr="33B7A8B9">
        <w:tc>
          <w:tcPr>
            <w:tcW w:w="1019" w:type="pct"/>
            <w:shd w:val="clear" w:color="auto" w:fill="auto"/>
            <w:vAlign w:val="center"/>
          </w:tcPr>
          <w:p w14:paraId="0C78A6B4" w14:textId="77777777" w:rsidR="00CE7338" w:rsidRPr="005E3251" w:rsidRDefault="00CE7338">
            <w:pPr>
              <w:pStyle w:val="TableText0"/>
              <w:keepNext w:val="0"/>
            </w:pPr>
            <w:r w:rsidRPr="005E3251">
              <w:t>Treatments</w:t>
            </w:r>
          </w:p>
        </w:tc>
        <w:tc>
          <w:tcPr>
            <w:tcW w:w="3981" w:type="pct"/>
            <w:shd w:val="clear" w:color="auto" w:fill="auto"/>
            <w:vAlign w:val="center"/>
          </w:tcPr>
          <w:p w14:paraId="0B9FFC5E" w14:textId="1600964C" w:rsidR="00CE7338" w:rsidRPr="005E3251" w:rsidRDefault="00CE7338">
            <w:pPr>
              <w:pStyle w:val="TableText0"/>
              <w:keepNext w:val="0"/>
            </w:pPr>
            <w:r w:rsidRPr="005E3251">
              <w:t xml:space="preserve">Cohort 1: </w:t>
            </w:r>
            <w:r w:rsidR="00001B10" w:rsidRPr="005E3251">
              <w:t xml:space="preserve">FFA </w:t>
            </w:r>
            <w:r w:rsidRPr="005E3251">
              <w:t xml:space="preserve">0.4 mg/kg/day + </w:t>
            </w:r>
            <w:r w:rsidR="00001B10" w:rsidRPr="005E3251">
              <w:t xml:space="preserve">STP </w:t>
            </w:r>
            <w:r w:rsidRPr="005E3251">
              <w:t xml:space="preserve">50 mg/kg/day vs </w:t>
            </w:r>
            <w:r w:rsidR="00001B10" w:rsidRPr="005E3251">
              <w:t xml:space="preserve">CBD </w:t>
            </w:r>
            <w:r w:rsidRPr="005E3251">
              <w:t xml:space="preserve">(10 mg/kg/day or 20 mg/kg/day) + </w:t>
            </w:r>
            <w:r w:rsidR="00001B10" w:rsidRPr="005E3251">
              <w:t xml:space="preserve">STP </w:t>
            </w:r>
            <w:r w:rsidRPr="005E3251">
              <w:t>50 mg/kg/day</w:t>
            </w:r>
          </w:p>
          <w:p w14:paraId="13A165BD" w14:textId="240F8E72" w:rsidR="00CE7338" w:rsidRPr="005E3251" w:rsidRDefault="00CE7338">
            <w:pPr>
              <w:pStyle w:val="TableText0"/>
              <w:keepNext w:val="0"/>
            </w:pPr>
            <w:r w:rsidRPr="005E3251">
              <w:t xml:space="preserve">Cohort 2: </w:t>
            </w:r>
            <w:r w:rsidR="00001B10" w:rsidRPr="005E3251">
              <w:t xml:space="preserve">FFA </w:t>
            </w:r>
            <w:r w:rsidRPr="005E3251">
              <w:t xml:space="preserve">0.7 mg/kg/day vs </w:t>
            </w:r>
            <w:r w:rsidR="00001B10" w:rsidRPr="005E3251">
              <w:t xml:space="preserve">CBD </w:t>
            </w:r>
            <w:r w:rsidRPr="005E3251">
              <w:t>(10 mg/kg/day or 20 mg/kg/day)</w:t>
            </w:r>
          </w:p>
          <w:p w14:paraId="31C8B0FE" w14:textId="03D8627E" w:rsidR="00CE7338" w:rsidRPr="005E3251" w:rsidRDefault="00001B10">
            <w:pPr>
              <w:pStyle w:val="TableText0"/>
              <w:keepNext w:val="0"/>
            </w:pPr>
            <w:r w:rsidRPr="005E3251">
              <w:t xml:space="preserve">CBD </w:t>
            </w:r>
            <w:r w:rsidR="00CE7338" w:rsidRPr="005E3251">
              <w:t>dose distribution: 50%:50% 10 mg/kg/day vs 20 mg/kg/day</w:t>
            </w:r>
            <w:r w:rsidR="00271E7C" w:rsidRPr="005E3251">
              <w:t>. This may not be appropriate. The PBAC previously noted clinical advice that a dose of 10 mg/kg/day or less was likely to be used in most patients with Dravet Syndrome (para. 11.5, cannabidiol, PSD, addendum to the July 2020 PBAC Minutes).</w:t>
            </w:r>
          </w:p>
        </w:tc>
      </w:tr>
      <w:tr w:rsidR="006B5229" w:rsidRPr="005E3251" w14:paraId="253ECAE3" w14:textId="77777777" w:rsidTr="33B7A8B9">
        <w:tc>
          <w:tcPr>
            <w:tcW w:w="1019" w:type="pct"/>
            <w:shd w:val="clear" w:color="auto" w:fill="auto"/>
            <w:vAlign w:val="center"/>
          </w:tcPr>
          <w:p w14:paraId="1B304353" w14:textId="77777777" w:rsidR="00CE7338" w:rsidRPr="005E3251" w:rsidRDefault="00CE7338">
            <w:pPr>
              <w:pStyle w:val="TableText0"/>
              <w:keepNext w:val="0"/>
            </w:pPr>
            <w:r w:rsidRPr="005E3251">
              <w:t>Type of analysis</w:t>
            </w:r>
          </w:p>
        </w:tc>
        <w:tc>
          <w:tcPr>
            <w:tcW w:w="3981" w:type="pct"/>
            <w:shd w:val="clear" w:color="auto" w:fill="auto"/>
            <w:vAlign w:val="center"/>
          </w:tcPr>
          <w:p w14:paraId="259376BC" w14:textId="77777777" w:rsidR="00CE7338" w:rsidRPr="005E3251" w:rsidRDefault="00CE7338">
            <w:pPr>
              <w:pStyle w:val="TableText0"/>
              <w:keepNext w:val="0"/>
            </w:pPr>
            <w:r w:rsidRPr="005E3251">
              <w:t xml:space="preserve">Cost-utility analysis. </w:t>
            </w:r>
          </w:p>
        </w:tc>
      </w:tr>
      <w:tr w:rsidR="006B5229" w:rsidRPr="005E3251" w14:paraId="080673F5" w14:textId="77777777" w:rsidTr="33B7A8B9">
        <w:tc>
          <w:tcPr>
            <w:tcW w:w="1019" w:type="pct"/>
            <w:shd w:val="clear" w:color="auto" w:fill="auto"/>
            <w:vAlign w:val="center"/>
          </w:tcPr>
          <w:p w14:paraId="74FA2FF7" w14:textId="77777777" w:rsidR="00CE7338" w:rsidRPr="005E3251" w:rsidRDefault="00CE7338">
            <w:pPr>
              <w:pStyle w:val="TableText0"/>
              <w:keepNext w:val="0"/>
            </w:pPr>
            <w:r w:rsidRPr="005E3251">
              <w:t>Time horizon</w:t>
            </w:r>
          </w:p>
        </w:tc>
        <w:tc>
          <w:tcPr>
            <w:tcW w:w="3981" w:type="pct"/>
            <w:shd w:val="clear" w:color="auto" w:fill="auto"/>
            <w:vAlign w:val="center"/>
          </w:tcPr>
          <w:p w14:paraId="3D0F1E34" w14:textId="7A8816FF" w:rsidR="00CE7338" w:rsidRPr="005E3251" w:rsidRDefault="00CE7338">
            <w:pPr>
              <w:pStyle w:val="TableText0"/>
              <w:keepNext w:val="0"/>
            </w:pPr>
            <w:r w:rsidRPr="005E3251">
              <w:t>16 years in the model base case versus 14 weeks in the key trials (Study 1-3 and GWPCARE1 &amp; 2). The modelled time horizon was long compared to the duration of follow-up in the fenfluramine and cannabidiol trials.</w:t>
            </w:r>
            <w:r w:rsidR="008D6B70" w:rsidRPr="005E3251">
              <w:t xml:space="preserve"> The</w:t>
            </w:r>
            <w:r w:rsidR="005D59EA" w:rsidRPr="005E3251">
              <w:t xml:space="preserve"> </w:t>
            </w:r>
            <w:r w:rsidR="008D6B70" w:rsidRPr="005E3251">
              <w:t xml:space="preserve">stiripentol model </w:t>
            </w:r>
            <w:r w:rsidR="005D59EA" w:rsidRPr="005E3251">
              <w:t xml:space="preserve">previously considered by the PBAC </w:t>
            </w:r>
            <w:r w:rsidR="008D6B70" w:rsidRPr="005E3251">
              <w:t>included a time horizon of 5 years (para 6.24, stiripentol, PSD, March 2020 PBAC Meeting). The ESC</w:t>
            </w:r>
            <w:r w:rsidR="00C87B33" w:rsidRPr="005E3251">
              <w:t xml:space="preserve"> previously</w:t>
            </w:r>
            <w:r w:rsidR="008D6B70" w:rsidRPr="005E3251">
              <w:t xml:space="preserve"> advised that a time horizon of 5 years would be appropriate for the cannabidiol model (para. 6.50, cannabidiol, PSD, July 2020 PBAC Meeting).</w:t>
            </w:r>
          </w:p>
        </w:tc>
      </w:tr>
      <w:tr w:rsidR="006B5229" w:rsidRPr="005E3251" w14:paraId="4C31CBB0" w14:textId="77777777" w:rsidTr="33B7A8B9">
        <w:tc>
          <w:tcPr>
            <w:tcW w:w="1019" w:type="pct"/>
            <w:shd w:val="clear" w:color="auto" w:fill="auto"/>
            <w:vAlign w:val="center"/>
          </w:tcPr>
          <w:p w14:paraId="7A9B20EB" w14:textId="77777777" w:rsidR="00CE7338" w:rsidRPr="005E3251" w:rsidRDefault="00CE7338">
            <w:pPr>
              <w:pStyle w:val="TableText0"/>
              <w:keepNext w:val="0"/>
            </w:pPr>
            <w:r w:rsidRPr="005E3251">
              <w:t>Outcomes</w:t>
            </w:r>
          </w:p>
        </w:tc>
        <w:tc>
          <w:tcPr>
            <w:tcW w:w="3981" w:type="pct"/>
            <w:shd w:val="clear" w:color="auto" w:fill="auto"/>
            <w:vAlign w:val="center"/>
          </w:tcPr>
          <w:p w14:paraId="2C4AC9F0" w14:textId="77777777" w:rsidR="00CE7338" w:rsidRPr="005E3251" w:rsidRDefault="00CE7338">
            <w:pPr>
              <w:pStyle w:val="TableText0"/>
              <w:keepNext w:val="0"/>
            </w:pPr>
            <w:r w:rsidRPr="005E3251">
              <w:t xml:space="preserve">Quality-adjusted life years, convulsive seizure events, status epilepticus events, and deaths </w:t>
            </w:r>
          </w:p>
        </w:tc>
      </w:tr>
      <w:tr w:rsidR="006B5229" w:rsidRPr="005E3251" w14:paraId="36FDA5C2" w14:textId="77777777" w:rsidTr="33B7A8B9">
        <w:tc>
          <w:tcPr>
            <w:tcW w:w="1019" w:type="pct"/>
            <w:shd w:val="clear" w:color="auto" w:fill="auto"/>
            <w:vAlign w:val="center"/>
          </w:tcPr>
          <w:p w14:paraId="2D5FEE10" w14:textId="77777777" w:rsidR="00CE7338" w:rsidRPr="005E3251" w:rsidRDefault="00CE7338">
            <w:pPr>
              <w:pStyle w:val="TableText0"/>
              <w:keepNext w:val="0"/>
            </w:pPr>
            <w:r w:rsidRPr="005E3251">
              <w:t>Methods used to generate results</w:t>
            </w:r>
          </w:p>
        </w:tc>
        <w:tc>
          <w:tcPr>
            <w:tcW w:w="3981" w:type="pct"/>
            <w:shd w:val="clear" w:color="auto" w:fill="auto"/>
            <w:vAlign w:val="center"/>
          </w:tcPr>
          <w:p w14:paraId="19AEAA23" w14:textId="301F6F16" w:rsidR="00BC6D8E" w:rsidRPr="005E3251" w:rsidRDefault="00CE7338">
            <w:pPr>
              <w:pStyle w:val="TableText0"/>
              <w:keepNext w:val="0"/>
            </w:pPr>
            <w:r w:rsidRPr="005E3251">
              <w:t xml:space="preserve">Stratified Markov model, with stratification </w:t>
            </w:r>
            <w:r w:rsidR="009F13E5" w:rsidRPr="005E3251">
              <w:t xml:space="preserve">into two cohorts </w:t>
            </w:r>
            <w:r w:rsidRPr="005E3251">
              <w:t>based on concomitant stiripentol treatment</w:t>
            </w:r>
            <w:r w:rsidR="009D5825" w:rsidRPr="005E3251">
              <w:t>.</w:t>
            </w:r>
            <w:r w:rsidRPr="005E3251">
              <w:t xml:space="preserve"> </w:t>
            </w:r>
            <w:r w:rsidR="009D5825" w:rsidRPr="005E3251">
              <w:t xml:space="preserve">Patients </w:t>
            </w:r>
            <w:r w:rsidRPr="005E3251">
              <w:t xml:space="preserve">in Cohort 1 received concomitant stiripentol 50 mg/kg/day, while patients in Cohort 2 did not receive concomitant stiripentol. </w:t>
            </w:r>
            <w:r w:rsidR="009D5825" w:rsidRPr="005E3251">
              <w:t xml:space="preserve">ICERs for each cohort were calculated separately, </w:t>
            </w:r>
            <w:r w:rsidR="001E4BB6" w:rsidRPr="005E3251">
              <w:t>then a weighted ICER was estimated by assuming 31% of patients were in Cohort 1, based</w:t>
            </w:r>
            <w:r w:rsidRPr="005E3251">
              <w:t xml:space="preserve"> on PBS utilisation data for cannabidiol and stiripentol as </w:t>
            </w:r>
            <w:r w:rsidR="001E4BB6" w:rsidRPr="005E3251">
              <w:t xml:space="preserve">concomitant </w:t>
            </w:r>
            <w:r w:rsidRPr="005E3251">
              <w:t>treatment for Dravet Syndrome</w:t>
            </w:r>
            <w:r w:rsidR="00785402">
              <w:t>.</w:t>
            </w:r>
          </w:p>
          <w:p w14:paraId="2B5230C7" w14:textId="77777777" w:rsidR="00BC6D8E" w:rsidRPr="005E3251" w:rsidRDefault="00BC6D8E">
            <w:pPr>
              <w:pStyle w:val="TableText0"/>
              <w:keepNext w:val="0"/>
            </w:pPr>
          </w:p>
          <w:p w14:paraId="543CAE75" w14:textId="3EFCC931" w:rsidR="00CE7338" w:rsidRPr="005E3251" w:rsidRDefault="009529E1">
            <w:pPr>
              <w:pStyle w:val="TableText0"/>
              <w:keepNext w:val="0"/>
            </w:pPr>
            <w:r w:rsidRPr="005E3251">
              <w:t>The use of a Markov model was appropriate</w:t>
            </w:r>
            <w:r w:rsidR="006947B7" w:rsidRPr="005E3251">
              <w:t>, although there were issues with the model structure (see</w:t>
            </w:r>
            <w:r w:rsidR="00DC17E6" w:rsidRPr="005E3251">
              <w:t xml:space="preserve"> para. </w:t>
            </w:r>
            <w:r w:rsidR="00F220FB" w:rsidRPr="005E3251">
              <w:fldChar w:fldCharType="begin" w:fldLock="1"/>
            </w:r>
            <w:r w:rsidR="00F220FB" w:rsidRPr="005E3251">
              <w:instrText xml:space="preserve"> REF _Ref177561392 \r \h </w:instrText>
            </w:r>
            <w:r w:rsidR="005E3251" w:rsidRPr="005E3251">
              <w:instrText xml:space="preserve"> \* MERGEFORMAT </w:instrText>
            </w:r>
            <w:r w:rsidR="00F220FB" w:rsidRPr="005E3251">
              <w:fldChar w:fldCharType="separate"/>
            </w:r>
            <w:r w:rsidR="00D72887">
              <w:t>6.90</w:t>
            </w:r>
            <w:r w:rsidR="00F220FB" w:rsidRPr="005E3251">
              <w:fldChar w:fldCharType="end"/>
            </w:r>
            <w:r w:rsidR="006947B7" w:rsidRPr="005E3251">
              <w:t>)</w:t>
            </w:r>
            <w:r w:rsidRPr="005E3251">
              <w:t>.</w:t>
            </w:r>
          </w:p>
        </w:tc>
      </w:tr>
      <w:tr w:rsidR="006B5229" w:rsidRPr="005E3251" w14:paraId="070A099E" w14:textId="77777777" w:rsidTr="33B7A8B9">
        <w:tc>
          <w:tcPr>
            <w:tcW w:w="1019" w:type="pct"/>
            <w:shd w:val="clear" w:color="auto" w:fill="auto"/>
            <w:vAlign w:val="center"/>
          </w:tcPr>
          <w:p w14:paraId="3BCCC27E" w14:textId="77777777" w:rsidR="00CE7338" w:rsidRPr="005E3251" w:rsidRDefault="00CE7338">
            <w:pPr>
              <w:pStyle w:val="TableText0"/>
              <w:keepNext w:val="0"/>
            </w:pPr>
            <w:r w:rsidRPr="005E3251">
              <w:t>Health states</w:t>
            </w:r>
          </w:p>
        </w:tc>
        <w:tc>
          <w:tcPr>
            <w:tcW w:w="3981" w:type="pct"/>
            <w:shd w:val="clear" w:color="auto" w:fill="auto"/>
            <w:vAlign w:val="center"/>
          </w:tcPr>
          <w:p w14:paraId="394E2C66" w14:textId="3DBEA5CA" w:rsidR="00CE7338" w:rsidRPr="005E3251" w:rsidRDefault="00CE7338">
            <w:pPr>
              <w:pStyle w:val="TableText0"/>
              <w:keepNext w:val="0"/>
            </w:pPr>
            <w:r w:rsidRPr="005E3251">
              <w:t xml:space="preserve">3 health states: Alive on treatment, Alive discontinued, Dead. The health states do not </w:t>
            </w:r>
            <w:r w:rsidR="00495649" w:rsidRPr="005E3251">
              <w:t xml:space="preserve">align </w:t>
            </w:r>
            <w:r w:rsidR="00982F41" w:rsidRPr="005E3251">
              <w:t>with</w:t>
            </w:r>
            <w:r w:rsidRPr="005E3251">
              <w:t xml:space="preserve"> the health outcomes </w:t>
            </w:r>
            <w:r w:rsidR="00982F41" w:rsidRPr="005E3251">
              <w:t>from</w:t>
            </w:r>
            <w:r w:rsidRPr="005E3251">
              <w:t xml:space="preserve"> the key trials</w:t>
            </w:r>
            <w:r w:rsidRPr="005E3251" w:rsidDel="00982F41">
              <w:t>.</w:t>
            </w:r>
            <w:r w:rsidR="00DA2E7B" w:rsidRPr="005E3251">
              <w:t xml:space="preserve"> The health states were consistent with the 3 fenfluramine models identified by the submission; however, the cannabidiol and stiripentol models for Dravet Syndrome identified by the submission utilised health states </w:t>
            </w:r>
            <w:r w:rsidR="005A2F28" w:rsidRPr="005E3251">
              <w:t>relating</w:t>
            </w:r>
            <w:r w:rsidR="00DA2E7B" w:rsidRPr="005E3251">
              <w:t xml:space="preserve"> to seizure</w:t>
            </w:r>
            <w:r w:rsidR="00A83CF4" w:rsidRPr="005E3251">
              <w:t xml:space="preserve"> frequency or</w:t>
            </w:r>
            <w:r w:rsidR="00DA2E7B" w:rsidRPr="005E3251">
              <w:t xml:space="preserve"> reduction. Further, two systematic review</w:t>
            </w:r>
            <w:r w:rsidR="00A83CF4" w:rsidRPr="005E3251">
              <w:t xml:space="preserve">s cited in the submission identified 11 economic evaluations of </w:t>
            </w:r>
            <w:r w:rsidR="00DA2E7B" w:rsidRPr="005E3251">
              <w:t>paediatric drug-resistant epileps</w:t>
            </w:r>
            <w:r w:rsidR="00A83CF4" w:rsidRPr="005E3251">
              <w:t xml:space="preserve">y treatments; 7 used Markov models </w:t>
            </w:r>
            <w:r w:rsidR="00136BC1" w:rsidRPr="005E3251">
              <w:t>with health states relating</w:t>
            </w:r>
            <w:r w:rsidR="00A83CF4" w:rsidRPr="005E3251">
              <w:t xml:space="preserve"> to seizure frequency or reduction, 4 used decision trees, and none used health states linked to treatment (Elliott 2019 and Erku 2021).</w:t>
            </w:r>
          </w:p>
        </w:tc>
      </w:tr>
      <w:tr w:rsidR="006B5229" w:rsidRPr="005E3251" w14:paraId="5EB6BDDC" w14:textId="77777777" w:rsidTr="33B7A8B9">
        <w:tc>
          <w:tcPr>
            <w:tcW w:w="1019" w:type="pct"/>
            <w:shd w:val="clear" w:color="auto" w:fill="auto"/>
            <w:vAlign w:val="center"/>
          </w:tcPr>
          <w:p w14:paraId="271FAD98" w14:textId="77777777" w:rsidR="00CE7338" w:rsidRPr="005E3251" w:rsidRDefault="00CE7338">
            <w:pPr>
              <w:pStyle w:val="TableText0"/>
              <w:keepNext w:val="0"/>
            </w:pPr>
            <w:r w:rsidRPr="005E3251">
              <w:t>Cycle length</w:t>
            </w:r>
          </w:p>
        </w:tc>
        <w:tc>
          <w:tcPr>
            <w:tcW w:w="3981" w:type="pct"/>
            <w:shd w:val="clear" w:color="auto" w:fill="auto"/>
            <w:vAlign w:val="center"/>
          </w:tcPr>
          <w:p w14:paraId="055366BB" w14:textId="77777777" w:rsidR="00CE7338" w:rsidRPr="005E3251" w:rsidRDefault="00CE7338">
            <w:pPr>
              <w:pStyle w:val="TableText0"/>
              <w:keepNext w:val="0"/>
            </w:pPr>
            <w:r w:rsidRPr="005E3251">
              <w:t>Cycle 0: 14 weeks (2 weeks titration + 12 weeks maintenance). Subsequent cycles: 12 weeks.</w:t>
            </w:r>
          </w:p>
          <w:p w14:paraId="6B98C47C" w14:textId="25748914" w:rsidR="00CE7338" w:rsidRPr="005E3251" w:rsidRDefault="00CE7338">
            <w:pPr>
              <w:pStyle w:val="TableText0"/>
              <w:keepNext w:val="0"/>
            </w:pPr>
            <w:r w:rsidRPr="005E3251">
              <w:t xml:space="preserve">The cycle lengths were reasonable. </w:t>
            </w:r>
            <w:r w:rsidR="0012589E" w:rsidRPr="005E3251">
              <w:t xml:space="preserve"> </w:t>
            </w:r>
            <w:r w:rsidRPr="005E3251" w:rsidDel="0012589E">
              <w:t xml:space="preserve">No half cycle correction was applied. </w:t>
            </w:r>
            <w:r w:rsidR="0012589E" w:rsidRPr="005E3251">
              <w:t>This was not appropriate.</w:t>
            </w:r>
          </w:p>
        </w:tc>
      </w:tr>
      <w:tr w:rsidR="006B5229" w:rsidRPr="005E3251" w14:paraId="50CF837F" w14:textId="77777777" w:rsidTr="33B7A8B9">
        <w:trPr>
          <w:trHeight w:val="300"/>
        </w:trPr>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239E81A8" w14:textId="77777777" w:rsidR="00CE7338" w:rsidRPr="005E3251" w:rsidRDefault="00CE7338">
            <w:pPr>
              <w:pStyle w:val="TableText0"/>
              <w:keepNext w:val="0"/>
            </w:pPr>
            <w:r w:rsidRPr="005E3251">
              <w:t>Population</w:t>
            </w:r>
          </w:p>
        </w:tc>
        <w:tc>
          <w:tcPr>
            <w:tcW w:w="3981" w:type="pct"/>
            <w:tcBorders>
              <w:top w:val="single" w:sz="4" w:space="0" w:color="auto"/>
              <w:left w:val="single" w:sz="4" w:space="0" w:color="auto"/>
              <w:bottom w:val="single" w:sz="4" w:space="0" w:color="auto"/>
              <w:right w:val="single" w:sz="4" w:space="0" w:color="auto"/>
            </w:tcBorders>
            <w:shd w:val="clear" w:color="auto" w:fill="auto"/>
          </w:tcPr>
          <w:p w14:paraId="12E0D09E" w14:textId="638C74CD" w:rsidR="00CE7338" w:rsidRPr="005E3251" w:rsidRDefault="00CE7338">
            <w:pPr>
              <w:pStyle w:val="TableText0"/>
              <w:keepNext w:val="0"/>
              <w:widowControl w:val="0"/>
            </w:pPr>
            <w:r w:rsidRPr="005E3251">
              <w:t>Starting age: 9.2 years, based on the Study 1-3 trials.</w:t>
            </w:r>
            <w:r w:rsidR="001A03D0" w:rsidRPr="005E3251">
              <w:t xml:space="preserve"> </w:t>
            </w:r>
            <w:r w:rsidR="007B1742" w:rsidRPr="005E3251">
              <w:t xml:space="preserve">This was consistent with the trials </w:t>
            </w:r>
            <w:r w:rsidR="00D06F98" w:rsidRPr="005E3251">
              <w:t xml:space="preserve">and reasonable due to </w:t>
            </w:r>
            <w:r w:rsidR="0033368D" w:rsidRPr="005E3251">
              <w:t>patients needing to be refractory to multiple AEDs before commencing treatment with fenfluramine</w:t>
            </w:r>
            <w:r w:rsidR="00D06F98" w:rsidRPr="005E3251">
              <w:t>. However, it was</w:t>
            </w:r>
            <w:r w:rsidR="007B1742" w:rsidRPr="005E3251">
              <w:t xml:space="preserve"> inconsistent with the financial estimates that estimated an age distribution from 2 to 25 years. </w:t>
            </w:r>
          </w:p>
          <w:p w14:paraId="55AFF4EB" w14:textId="77777777" w:rsidR="00CE7338" w:rsidRPr="005E3251" w:rsidRDefault="00CE7338">
            <w:pPr>
              <w:pStyle w:val="TableText0"/>
              <w:keepNext w:val="0"/>
              <w:widowControl w:val="0"/>
            </w:pPr>
          </w:p>
          <w:p w14:paraId="5A53CC10" w14:textId="77777777" w:rsidR="00CE7338" w:rsidRPr="005E3251" w:rsidRDefault="00CE7338">
            <w:pPr>
              <w:pStyle w:val="TableText0"/>
              <w:keepNext w:val="0"/>
              <w:widowControl w:val="0"/>
            </w:pPr>
            <w:r w:rsidRPr="005E3251">
              <w:t>Weight: 29 kg, based on ANZSPED weight chart.</w:t>
            </w:r>
          </w:p>
          <w:p w14:paraId="5BC862D8" w14:textId="77777777" w:rsidR="00CE7338" w:rsidRPr="005E3251" w:rsidRDefault="00CE7338">
            <w:pPr>
              <w:pStyle w:val="TableText0"/>
              <w:keepNext w:val="0"/>
              <w:widowControl w:val="0"/>
            </w:pPr>
          </w:p>
          <w:p w14:paraId="3184DAED" w14:textId="20F41B3E" w:rsidR="00CE7338" w:rsidRPr="005E3251" w:rsidRDefault="00CE7338">
            <w:pPr>
              <w:pStyle w:val="TableText0"/>
              <w:keepNext w:val="0"/>
              <w:widowControl w:val="0"/>
            </w:pPr>
            <w:r w:rsidRPr="005E3251">
              <w:t xml:space="preserve">Baseline CSF: 45.6 per month, based on </w:t>
            </w:r>
            <w:r w:rsidR="005D2DD4" w:rsidRPr="005E3251">
              <w:t xml:space="preserve">a weighted average of all patients in the </w:t>
            </w:r>
            <w:r w:rsidRPr="005E3251">
              <w:t>Study 1-3 trials.</w:t>
            </w:r>
            <w:r w:rsidR="007B1742" w:rsidRPr="005E3251">
              <w:t xml:space="preserve"> Applied to fenfluramine and cannabidiol arms in Cohorts 1 and 2.</w:t>
            </w:r>
            <w:r w:rsidR="009338BE" w:rsidRPr="005E3251">
              <w:t xml:space="preserve"> Applying </w:t>
            </w:r>
            <w:r w:rsidR="007F0ACA" w:rsidRPr="005E3251">
              <w:t xml:space="preserve">different </w:t>
            </w:r>
            <w:r w:rsidR="009338BE" w:rsidRPr="005E3251">
              <w:t xml:space="preserve">baseline CSF values for each cohort based on the relevant fenfluramine trials would be more appropriate. </w:t>
            </w:r>
          </w:p>
        </w:tc>
      </w:tr>
      <w:tr w:rsidR="006B5229" w:rsidRPr="005E3251" w14:paraId="5E2F7477" w14:textId="77777777" w:rsidTr="33B7A8B9">
        <w:tc>
          <w:tcPr>
            <w:tcW w:w="1019" w:type="pct"/>
            <w:shd w:val="clear" w:color="auto" w:fill="auto"/>
            <w:vAlign w:val="center"/>
          </w:tcPr>
          <w:p w14:paraId="43F49154" w14:textId="77777777" w:rsidR="00CE7338" w:rsidRPr="005E3251" w:rsidRDefault="00CE7338">
            <w:pPr>
              <w:pStyle w:val="TableText0"/>
              <w:keepNext w:val="0"/>
            </w:pPr>
            <w:r w:rsidRPr="005E3251">
              <w:lastRenderedPageBreak/>
              <w:t>Transition probabilities</w:t>
            </w:r>
          </w:p>
        </w:tc>
        <w:tc>
          <w:tcPr>
            <w:tcW w:w="3981" w:type="pct"/>
            <w:shd w:val="clear" w:color="auto" w:fill="auto"/>
            <w:vAlign w:val="center"/>
          </w:tcPr>
          <w:p w14:paraId="18781677" w14:textId="6B5BA0B2" w:rsidR="00CE7338" w:rsidRPr="005E3251" w:rsidRDefault="00CE7338">
            <w:pPr>
              <w:pStyle w:val="TableText0"/>
            </w:pPr>
            <w:r w:rsidRPr="005E3251">
              <w:t xml:space="preserve">Treatment effect (mean reduction in monthly </w:t>
            </w:r>
            <w:r w:rsidR="00157D66" w:rsidRPr="005E3251">
              <w:t>CSF</w:t>
            </w:r>
            <w:r w:rsidRPr="005E3251">
              <w:t>):</w:t>
            </w:r>
          </w:p>
          <w:p w14:paraId="78719443" w14:textId="765D176D" w:rsidR="00FF16F6" w:rsidRPr="005E3251" w:rsidRDefault="004F4910" w:rsidP="00FF16F6">
            <w:pPr>
              <w:pStyle w:val="TableText0"/>
              <w:keepLines/>
            </w:pPr>
            <w:r w:rsidRPr="005E3251">
              <w:t xml:space="preserve">Cohort 1, FFA </w:t>
            </w:r>
            <w:r w:rsidR="00CE7338" w:rsidRPr="005E3251">
              <w:t>0.4 mg/kg/day (</w:t>
            </w:r>
            <w:r w:rsidRPr="005E3251">
              <w:t>+ STP</w:t>
            </w:r>
            <w:r w:rsidR="00CE7338" w:rsidRPr="005E3251">
              <w:t>)</w:t>
            </w:r>
            <w:r w:rsidR="00FF16F6" w:rsidRPr="005E3251">
              <w:t xml:space="preserve"> (Study 2 trial):</w:t>
            </w:r>
            <w:r w:rsidRPr="005E3251">
              <w:t xml:space="preserve"> </w:t>
            </w:r>
          </w:p>
          <w:p w14:paraId="520289A1" w14:textId="3D78DC69" w:rsidR="00CE7338" w:rsidRPr="005E3251" w:rsidRDefault="004F4910" w:rsidP="00FF16F6">
            <w:pPr>
              <w:pStyle w:val="TableText0"/>
              <w:keepLines/>
              <w:numPr>
                <w:ilvl w:val="0"/>
                <w:numId w:val="5"/>
              </w:numPr>
              <w:ind w:left="685"/>
            </w:pPr>
            <w:r w:rsidRPr="005E3251">
              <w:t>54.00%</w:t>
            </w:r>
            <w:r w:rsidR="00CE7338" w:rsidRPr="005E3251">
              <w:t xml:space="preserve"> </w:t>
            </w:r>
          </w:p>
          <w:p w14:paraId="15B482F2" w14:textId="77777777" w:rsidR="00FF16F6" w:rsidRPr="005E3251" w:rsidRDefault="00FF16F6" w:rsidP="00FF16F6">
            <w:pPr>
              <w:pStyle w:val="TableText0"/>
              <w:keepLines/>
              <w:ind w:left="720"/>
            </w:pPr>
          </w:p>
          <w:p w14:paraId="0F3F12F1" w14:textId="541E6760" w:rsidR="004F4910" w:rsidRPr="005E3251" w:rsidRDefault="004F4910" w:rsidP="00FF16F6">
            <w:pPr>
              <w:pStyle w:val="TableText0"/>
              <w:keepLines/>
            </w:pPr>
            <w:r w:rsidRPr="005E3251">
              <w:t>Cohort 1, CBD 10 mg/kg/day and 20 mg/kg/day (+/- STP) (indirect comparison results vs FFA 0.4 mg/kg/day (+ STP), weighted by CBD dose 50%:50%)</w:t>
            </w:r>
            <w:r w:rsidR="00FF16F6" w:rsidRPr="005E3251">
              <w:t>:</w:t>
            </w:r>
          </w:p>
          <w:p w14:paraId="0A297141" w14:textId="5472C57F" w:rsidR="00FF16F6" w:rsidRPr="005E3251" w:rsidRDefault="00FF16F6" w:rsidP="00FF16F6">
            <w:pPr>
              <w:pStyle w:val="TableText0"/>
              <w:keepLines/>
              <w:numPr>
                <w:ilvl w:val="0"/>
                <w:numId w:val="5"/>
              </w:numPr>
              <w:ind w:left="685"/>
            </w:pPr>
            <w:r w:rsidRPr="005E3251">
              <w:t>26.96%</w:t>
            </w:r>
          </w:p>
          <w:p w14:paraId="792FD873" w14:textId="77777777" w:rsidR="00FF16F6" w:rsidRPr="005E3251" w:rsidRDefault="00FF16F6" w:rsidP="00FF16F6">
            <w:pPr>
              <w:pStyle w:val="TableText0"/>
              <w:keepLines/>
              <w:ind w:left="720"/>
            </w:pPr>
          </w:p>
          <w:p w14:paraId="1B1F098A" w14:textId="04A43B28" w:rsidR="00FF16F6" w:rsidRPr="005E3251" w:rsidRDefault="004F4910" w:rsidP="00FF16F6">
            <w:pPr>
              <w:pStyle w:val="TableText0"/>
              <w:keepLines/>
            </w:pPr>
            <w:r w:rsidRPr="005E3251">
              <w:t xml:space="preserve">Cohort 2, FFA </w:t>
            </w:r>
            <w:r w:rsidR="00CE7338" w:rsidRPr="005E3251">
              <w:t>0.7 mg/kg/day (</w:t>
            </w:r>
            <w:r w:rsidRPr="005E3251">
              <w:t>- STP</w:t>
            </w:r>
            <w:r w:rsidR="00CE7338" w:rsidRPr="005E3251">
              <w:t>)</w:t>
            </w:r>
            <w:r w:rsidR="00FF16F6" w:rsidRPr="005E3251">
              <w:t xml:space="preserve"> (meta-analysis of the Study 1 &amp; 3 trials):</w:t>
            </w:r>
            <w:r w:rsidRPr="005E3251">
              <w:t xml:space="preserve"> </w:t>
            </w:r>
          </w:p>
          <w:p w14:paraId="4666BA62" w14:textId="0E129CFC" w:rsidR="00CE7338" w:rsidRPr="005E3251" w:rsidRDefault="004F4910" w:rsidP="00FF16F6">
            <w:pPr>
              <w:pStyle w:val="TableText0"/>
              <w:keepLines/>
              <w:numPr>
                <w:ilvl w:val="0"/>
                <w:numId w:val="5"/>
              </w:numPr>
              <w:ind w:left="685"/>
            </w:pPr>
            <w:r w:rsidRPr="005E3251">
              <w:t>63.69%</w:t>
            </w:r>
            <w:r w:rsidR="00CE7338" w:rsidRPr="005E3251">
              <w:t xml:space="preserve"> </w:t>
            </w:r>
          </w:p>
          <w:p w14:paraId="67CF8F9D" w14:textId="77777777" w:rsidR="00FF16F6" w:rsidRPr="005E3251" w:rsidRDefault="00FF16F6" w:rsidP="00FF16F6">
            <w:pPr>
              <w:pStyle w:val="TableText0"/>
              <w:keepLines/>
            </w:pPr>
          </w:p>
          <w:p w14:paraId="67E6540E" w14:textId="4A3544B4" w:rsidR="00FF16F6" w:rsidRPr="005E3251" w:rsidRDefault="004F4910" w:rsidP="00FF16F6">
            <w:pPr>
              <w:pStyle w:val="TableText0"/>
              <w:keepLines/>
            </w:pPr>
            <w:r w:rsidRPr="005E3251">
              <w:t xml:space="preserve">Cohort 2, CBD </w:t>
            </w:r>
            <w:r w:rsidR="00CE7338" w:rsidRPr="005E3251">
              <w:t xml:space="preserve">10 mg/kg/day and 20 mg/kg/day (+/- </w:t>
            </w:r>
            <w:r w:rsidRPr="005E3251">
              <w:t>STP</w:t>
            </w:r>
            <w:r w:rsidR="00CE7338" w:rsidRPr="005E3251">
              <w:t>)</w:t>
            </w:r>
            <w:r w:rsidR="00FF16F6" w:rsidRPr="005E3251">
              <w:t xml:space="preserve"> (indirect comparison results vs FFA 0.7 mg/kg/day (- STP), weighted by CBD dose 50%:50%):</w:t>
            </w:r>
          </w:p>
          <w:p w14:paraId="6D467D0A" w14:textId="0C9E721B" w:rsidR="00CE7338" w:rsidRPr="005E3251" w:rsidRDefault="004F4910" w:rsidP="00FF16F6">
            <w:pPr>
              <w:pStyle w:val="TableText0"/>
              <w:keepLines/>
              <w:numPr>
                <w:ilvl w:val="0"/>
                <w:numId w:val="5"/>
              </w:numPr>
              <w:ind w:left="685"/>
            </w:pPr>
            <w:r w:rsidRPr="005E3251">
              <w:t xml:space="preserve">26.96% </w:t>
            </w:r>
          </w:p>
          <w:p w14:paraId="4437EAEF" w14:textId="77777777" w:rsidR="00CE7338" w:rsidRPr="005E3251" w:rsidRDefault="00CE7338">
            <w:pPr>
              <w:pStyle w:val="TableText0"/>
              <w:keepNext w:val="0"/>
              <w:widowControl w:val="0"/>
            </w:pPr>
          </w:p>
          <w:p w14:paraId="303CA7DE" w14:textId="2EE16A6E" w:rsidR="00CE7338" w:rsidRPr="005E3251" w:rsidRDefault="00CE7338">
            <w:pPr>
              <w:pStyle w:val="TableText0"/>
              <w:keepNext w:val="0"/>
              <w:widowControl w:val="0"/>
            </w:pPr>
            <w:r w:rsidRPr="005E3251">
              <w:t xml:space="preserve">Status epilepticus events: Assumed to be 0.17% of convulsive seizure events, based on post-hoc analysis from Studies 1 &amp; 2. </w:t>
            </w:r>
            <w:r w:rsidR="00CC44F2" w:rsidRPr="005E3251">
              <w:t>The post-hoc analysis was not provided and could not be verified</w:t>
            </w:r>
            <w:r w:rsidR="00DB4B30">
              <w:t xml:space="preserve"> during the evaluation</w:t>
            </w:r>
            <w:r w:rsidR="00CC44F2" w:rsidRPr="005E3251">
              <w:t xml:space="preserve">. </w:t>
            </w:r>
            <w:r w:rsidRPr="005E3251">
              <w:t xml:space="preserve">The use of only Study 1 &amp; 2 to estimate status epilepticus events was inconsistent with trial-based model sources, which included Study 3 and stratified results based on concomitant stiripentol. </w:t>
            </w:r>
            <w:r w:rsidR="00CC44F2" w:rsidRPr="005E3251">
              <w:t xml:space="preserve">The trial data was presented as the number </w:t>
            </w:r>
            <w:r w:rsidR="00EE74EB" w:rsidRPr="005E3251">
              <w:t xml:space="preserve">of </w:t>
            </w:r>
            <w:r w:rsidR="00CC44F2" w:rsidRPr="005E3251">
              <w:t xml:space="preserve">participants with events, not the total number of events. The impact of including Study 3 cannot be determined based on the evidence provided in the submission. </w:t>
            </w:r>
            <w:r w:rsidRPr="005E3251">
              <w:t>The weighted ICER was sensitive to the proportion of convulsive seizure events that were status epilepticus.</w:t>
            </w:r>
          </w:p>
          <w:p w14:paraId="2200CFB5" w14:textId="77777777" w:rsidR="00CE7338" w:rsidRPr="005E3251" w:rsidRDefault="00CE7338">
            <w:pPr>
              <w:pStyle w:val="TableText0"/>
              <w:keepNext w:val="0"/>
              <w:widowControl w:val="0"/>
            </w:pPr>
          </w:p>
          <w:p w14:paraId="142D275A" w14:textId="77777777" w:rsidR="00CE7338" w:rsidRPr="005E3251" w:rsidRDefault="00CE7338">
            <w:pPr>
              <w:pStyle w:val="TableText0"/>
              <w:keepNext w:val="0"/>
              <w:widowControl w:val="0"/>
            </w:pPr>
            <w:r w:rsidRPr="005E3251">
              <w:t>Disease-specific mortality: Assumed to be linked to convulsive seizures. Modelled survival calibrated to fit Cooper (2016), which estimated a mortality rate of 15.84 per 1,000 person years.</w:t>
            </w:r>
          </w:p>
          <w:p w14:paraId="234B5DF2" w14:textId="77777777" w:rsidR="00CE7338" w:rsidRPr="005E3251" w:rsidRDefault="00CE7338">
            <w:pPr>
              <w:pStyle w:val="TableText0"/>
              <w:keepNext w:val="0"/>
              <w:widowControl w:val="0"/>
            </w:pPr>
          </w:p>
          <w:p w14:paraId="1D5FD3E0" w14:textId="52B800B5" w:rsidR="00CE7338" w:rsidRPr="005E3251" w:rsidRDefault="00CE7338">
            <w:pPr>
              <w:pStyle w:val="TableText0"/>
              <w:keepNext w:val="0"/>
              <w:widowControl w:val="0"/>
            </w:pPr>
            <w:r w:rsidRPr="005E3251">
              <w:t>Adherence: 100% (</w:t>
            </w:r>
            <w:r w:rsidR="003A09AF">
              <w:t>a</w:t>
            </w:r>
            <w:r w:rsidRPr="005E3251">
              <w:t>ssumption)</w:t>
            </w:r>
            <w:r w:rsidR="003A09AF">
              <w:t>.</w:t>
            </w:r>
          </w:p>
          <w:p w14:paraId="004FEC61" w14:textId="77777777" w:rsidR="00CE7338" w:rsidRPr="005E3251" w:rsidRDefault="00CE7338">
            <w:pPr>
              <w:pStyle w:val="TableText0"/>
              <w:keepNext w:val="0"/>
              <w:widowControl w:val="0"/>
            </w:pPr>
          </w:p>
          <w:p w14:paraId="152BFAF7" w14:textId="77777777" w:rsidR="00CE7338" w:rsidRPr="005E3251" w:rsidRDefault="00CE7338">
            <w:pPr>
              <w:pStyle w:val="TableText0"/>
              <w:keepNext w:val="0"/>
              <w:widowControl w:val="0"/>
            </w:pPr>
            <w:r w:rsidRPr="005E3251">
              <w:t>Treatment discontinuation:</w:t>
            </w:r>
          </w:p>
          <w:p w14:paraId="68A62EB7" w14:textId="6B91F971" w:rsidR="00A76749" w:rsidRPr="005E3251" w:rsidRDefault="00A76749" w:rsidP="00060C53">
            <w:pPr>
              <w:pStyle w:val="TableText0"/>
              <w:keepLines/>
              <w:numPr>
                <w:ilvl w:val="0"/>
                <w:numId w:val="14"/>
              </w:numPr>
            </w:pPr>
            <w:r w:rsidRPr="005E3251">
              <w:t>Cycle 0 based on Studies 1-3 for fenfluramine and GWPCARE1 &amp; 2 for cannabidiol</w:t>
            </w:r>
          </w:p>
          <w:p w14:paraId="53479246" w14:textId="7F21ACA5" w:rsidR="00CE7338" w:rsidRPr="005E3251" w:rsidRDefault="00CE7338" w:rsidP="00060C53">
            <w:pPr>
              <w:pStyle w:val="TableText0"/>
              <w:keepLines/>
              <w:numPr>
                <w:ilvl w:val="1"/>
                <w:numId w:val="14"/>
              </w:numPr>
            </w:pPr>
            <w:r w:rsidRPr="005E3251">
              <w:t xml:space="preserve">Fenfluramine: </w:t>
            </w:r>
            <w:r w:rsidR="00A76749" w:rsidRPr="005E3251">
              <w:t>Cohort 1 = 16.28%, Cohort 2 = 10.55%</w:t>
            </w:r>
          </w:p>
          <w:p w14:paraId="7BC366A4" w14:textId="49E936AB" w:rsidR="00CE7338" w:rsidRPr="005E3251" w:rsidRDefault="00CE7338" w:rsidP="00060C53">
            <w:pPr>
              <w:pStyle w:val="TableText0"/>
              <w:keepLines/>
              <w:numPr>
                <w:ilvl w:val="1"/>
                <w:numId w:val="14"/>
              </w:numPr>
            </w:pPr>
            <w:r w:rsidRPr="005E3251">
              <w:t xml:space="preserve">Cannabidiol: </w:t>
            </w:r>
            <w:r w:rsidR="00A76749" w:rsidRPr="005E3251">
              <w:t>10 mg/kg/day = 4.50%, 20 mg/kg/day = 11.90%</w:t>
            </w:r>
          </w:p>
          <w:p w14:paraId="1245A47B" w14:textId="2EA66898" w:rsidR="00CE7338" w:rsidRPr="005E3251" w:rsidRDefault="00CE7338" w:rsidP="00060C53">
            <w:pPr>
              <w:pStyle w:val="TableText0"/>
              <w:keepLines/>
              <w:numPr>
                <w:ilvl w:val="0"/>
                <w:numId w:val="14"/>
              </w:numPr>
            </w:pPr>
            <w:r w:rsidRPr="005E3251">
              <w:t>Subsequent cycles: 5% per annum (expert clinical advice).</w:t>
            </w:r>
          </w:p>
          <w:p w14:paraId="14C3C2C0" w14:textId="57005B2C" w:rsidR="00CE7338" w:rsidRPr="005E3251" w:rsidRDefault="00CE7338">
            <w:pPr>
              <w:pStyle w:val="TableText0"/>
              <w:keepNext w:val="0"/>
              <w:widowControl w:val="0"/>
            </w:pPr>
            <w:r w:rsidRPr="005E3251">
              <w:t>These were reasonable.</w:t>
            </w:r>
            <w:r w:rsidR="00CC44F2" w:rsidRPr="005E3251">
              <w:t xml:space="preserve"> </w:t>
            </w:r>
          </w:p>
          <w:p w14:paraId="3512FED7" w14:textId="77777777" w:rsidR="00CE7338" w:rsidRPr="005E3251" w:rsidRDefault="00CE7338">
            <w:pPr>
              <w:pStyle w:val="TableText0"/>
              <w:keepNext w:val="0"/>
              <w:widowControl w:val="0"/>
            </w:pPr>
          </w:p>
          <w:p w14:paraId="34C755B3" w14:textId="77777777" w:rsidR="00CE7338" w:rsidRPr="005E3251" w:rsidRDefault="00CE7338">
            <w:pPr>
              <w:pStyle w:val="TableText0"/>
              <w:keepNext w:val="0"/>
            </w:pPr>
            <w:r w:rsidRPr="005E3251">
              <w:t>Age-specific background mortality: Australian life tables. This was reasonable.</w:t>
            </w:r>
          </w:p>
        </w:tc>
      </w:tr>
      <w:tr w:rsidR="006B5229" w:rsidRPr="005E3251" w14:paraId="57DC55AF" w14:textId="77777777" w:rsidTr="33B7A8B9">
        <w:tc>
          <w:tcPr>
            <w:tcW w:w="1019" w:type="pct"/>
            <w:shd w:val="clear" w:color="auto" w:fill="auto"/>
            <w:vAlign w:val="center"/>
          </w:tcPr>
          <w:p w14:paraId="5D93DB29" w14:textId="77777777" w:rsidR="00CE7338" w:rsidRPr="005E3251" w:rsidRDefault="00CE7338">
            <w:pPr>
              <w:pStyle w:val="TableText0"/>
              <w:keepNext w:val="0"/>
            </w:pPr>
            <w:r w:rsidRPr="005E3251">
              <w:t>Extrapolation method</w:t>
            </w:r>
          </w:p>
        </w:tc>
        <w:tc>
          <w:tcPr>
            <w:tcW w:w="3981" w:type="pct"/>
            <w:shd w:val="clear" w:color="auto" w:fill="auto"/>
            <w:vAlign w:val="center"/>
          </w:tcPr>
          <w:p w14:paraId="0C4B9D3F" w14:textId="5C79CB22" w:rsidR="00CE7338" w:rsidRPr="005E3251" w:rsidRDefault="00CE7338">
            <w:pPr>
              <w:pStyle w:val="TableText0"/>
              <w:keepNext w:val="0"/>
            </w:pPr>
            <w:r w:rsidRPr="005E3251">
              <w:t xml:space="preserve">Treatment discontinuation was based on the key trials for Cycle 0, then assumed to be 5% per annum thereafter. This was </w:t>
            </w:r>
            <w:r w:rsidR="005D602E" w:rsidRPr="005E3251">
              <w:t>reasonable</w:t>
            </w:r>
            <w:r w:rsidRPr="005E3251">
              <w:t>.</w:t>
            </w:r>
            <w:r w:rsidR="00904D9B" w:rsidRPr="005E3251">
              <w:t xml:space="preserve"> Modelled long-term discontinuations were compared to data from the fenfluramine open-label extension study (Study 1503) during the evaluation. The Study 1503 study did not stratify fenfluramine by concomitant stiripentol. Model Cohort 1 (with stiripentol) appeared to overestimate discontinuations at 12 months but aligned with trial data at 24 and 36 months. Model Cohort 2 (without stiripentol) appeared to align with trial data at 12 months but underestimated discontinuations at 24 and 36 months.</w:t>
            </w:r>
          </w:p>
          <w:p w14:paraId="4BDC3C33" w14:textId="77777777" w:rsidR="00CE7338" w:rsidRPr="005E3251" w:rsidRDefault="00CE7338">
            <w:pPr>
              <w:pStyle w:val="TableText0"/>
              <w:keepNext w:val="0"/>
            </w:pPr>
          </w:p>
          <w:p w14:paraId="5AFE40D9" w14:textId="09EB1DDC" w:rsidR="00CE7338" w:rsidRPr="005E3251" w:rsidRDefault="00CE7338">
            <w:pPr>
              <w:pStyle w:val="TableText0"/>
              <w:keepNext w:val="0"/>
            </w:pPr>
            <w:r w:rsidRPr="005E3251">
              <w:t xml:space="preserve">The submission assumed that the treatment effects observed in the 14-week trials would remain constant while patients remained on treatment to the 16-year modelled time horizon. Patients returned to baseline </w:t>
            </w:r>
            <w:r w:rsidR="00157D66" w:rsidRPr="005E3251">
              <w:t>CSF</w:t>
            </w:r>
            <w:r w:rsidRPr="005E3251">
              <w:t xml:space="preserve"> (and mortality) upon entering the ‘alive discontinued’ health state. Assuming constant treatment effect while on treatment may be reasonable</w:t>
            </w:r>
            <w:r w:rsidR="00E1075E" w:rsidRPr="005E3251">
              <w:t xml:space="preserve"> based on the long</w:t>
            </w:r>
            <w:r w:rsidR="00473EB9" w:rsidRPr="005E3251">
              <w:t>-</w:t>
            </w:r>
            <w:r w:rsidR="00E1075E" w:rsidRPr="005E3251">
              <w:t>term data from the Study 1503 study</w:t>
            </w:r>
            <w:r w:rsidRPr="005E3251">
              <w:t xml:space="preserve">; assuming patients return to baseline mean </w:t>
            </w:r>
            <w:r w:rsidR="00157D66" w:rsidRPr="005E3251">
              <w:t>CSF</w:t>
            </w:r>
            <w:r w:rsidRPr="005E3251">
              <w:t xml:space="preserve"> upon discontinuation may not be reasonable</w:t>
            </w:r>
            <w:r w:rsidR="00C34280" w:rsidRPr="005E3251">
              <w:t xml:space="preserve"> given the placebo effect observed in the fenfluramine and cannabidiol trials</w:t>
            </w:r>
            <w:r w:rsidRPr="005E3251">
              <w:t>.</w:t>
            </w:r>
          </w:p>
          <w:p w14:paraId="670ABA3E" w14:textId="77777777" w:rsidR="00CE7338" w:rsidRPr="005E3251" w:rsidRDefault="00CE7338">
            <w:pPr>
              <w:pStyle w:val="TableText0"/>
              <w:keepNext w:val="0"/>
            </w:pPr>
          </w:p>
          <w:p w14:paraId="2197CE91" w14:textId="77777777" w:rsidR="00CE7338" w:rsidRPr="005E3251" w:rsidRDefault="00CE7338">
            <w:pPr>
              <w:pStyle w:val="TableText0"/>
              <w:keepNext w:val="0"/>
            </w:pPr>
            <w:r w:rsidRPr="005E3251">
              <w:lastRenderedPageBreak/>
              <w:t>98.53% of QALYs gained, 99.97% of LY gained, and 99.94% of costs (undiscounted) occurred in the extrapolated period.</w:t>
            </w:r>
          </w:p>
        </w:tc>
      </w:tr>
      <w:tr w:rsidR="006B5229" w:rsidRPr="005E3251" w14:paraId="269F57D0" w14:textId="77777777" w:rsidTr="33B7A8B9">
        <w:tc>
          <w:tcPr>
            <w:tcW w:w="1019" w:type="pct"/>
            <w:shd w:val="clear" w:color="auto" w:fill="auto"/>
            <w:vAlign w:val="center"/>
          </w:tcPr>
          <w:p w14:paraId="3ACFFF94" w14:textId="77777777" w:rsidR="00CE7338" w:rsidRPr="005E3251" w:rsidRDefault="00CE7338">
            <w:pPr>
              <w:pStyle w:val="TableText0"/>
              <w:keepNext w:val="0"/>
            </w:pPr>
            <w:r w:rsidRPr="005E3251">
              <w:lastRenderedPageBreak/>
              <w:t>Health related quality of life</w:t>
            </w:r>
          </w:p>
        </w:tc>
        <w:tc>
          <w:tcPr>
            <w:tcW w:w="3981" w:type="pct"/>
            <w:shd w:val="clear" w:color="auto" w:fill="auto"/>
            <w:vAlign w:val="center"/>
          </w:tcPr>
          <w:p w14:paraId="588CA4E9" w14:textId="69908D46" w:rsidR="00CE7338" w:rsidRPr="005E3251" w:rsidRDefault="00CE7338">
            <w:pPr>
              <w:pStyle w:val="TableText0"/>
              <w:keepNext w:val="0"/>
            </w:pPr>
            <w:r w:rsidRPr="005E3251">
              <w:t xml:space="preserve">PedsQL data from fenfluramine Study 1-3 trials was mapped to EQ-5D-Y. A regression equation linked </w:t>
            </w:r>
            <w:r w:rsidR="00157D66" w:rsidRPr="005E3251">
              <w:t>CSF</w:t>
            </w:r>
            <w:r w:rsidRPr="005E3251">
              <w:t xml:space="preserve"> to EQ-5D-Y. Linking EQ-5D-Y to </w:t>
            </w:r>
            <w:r w:rsidR="00157D66" w:rsidRPr="005E3251">
              <w:t>CSF</w:t>
            </w:r>
            <w:r w:rsidRPr="005E3251">
              <w:t xml:space="preserve"> added complexity but reasonable given no utility data were collected in the cannabidiol trials.</w:t>
            </w:r>
          </w:p>
        </w:tc>
      </w:tr>
      <w:tr w:rsidR="006B5229" w:rsidRPr="005E3251" w14:paraId="68DF8487" w14:textId="77777777" w:rsidTr="33B7A8B9">
        <w:tc>
          <w:tcPr>
            <w:tcW w:w="1019" w:type="pct"/>
            <w:shd w:val="clear" w:color="auto" w:fill="auto"/>
            <w:vAlign w:val="center"/>
          </w:tcPr>
          <w:p w14:paraId="49F87FE2" w14:textId="77777777" w:rsidR="00CE7338" w:rsidRPr="005E3251" w:rsidRDefault="00CE7338">
            <w:pPr>
              <w:pStyle w:val="TableText0"/>
              <w:keepNext w:val="0"/>
            </w:pPr>
            <w:r w:rsidRPr="005E3251">
              <w:t xml:space="preserve">Costs </w:t>
            </w:r>
          </w:p>
        </w:tc>
        <w:tc>
          <w:tcPr>
            <w:tcW w:w="3981" w:type="pct"/>
            <w:shd w:val="clear" w:color="auto" w:fill="auto"/>
            <w:vAlign w:val="center"/>
          </w:tcPr>
          <w:p w14:paraId="5D4ED937" w14:textId="77777777" w:rsidR="00CE7338" w:rsidRPr="005E3251" w:rsidRDefault="00CE7338">
            <w:pPr>
              <w:rPr>
                <w:rFonts w:ascii="Arial Narrow" w:eastAsiaTheme="majorEastAsia" w:hAnsi="Arial Narrow" w:cstheme="majorBidi"/>
                <w:bCs/>
                <w:sz w:val="20"/>
              </w:rPr>
            </w:pPr>
            <w:r w:rsidRPr="005E3251">
              <w:rPr>
                <w:rFonts w:ascii="Arial Narrow" w:eastAsiaTheme="majorEastAsia" w:hAnsi="Arial Narrow" w:cstheme="majorBidi"/>
                <w:bCs/>
                <w:sz w:val="20"/>
              </w:rPr>
              <w:t>Doses:</w:t>
            </w:r>
          </w:p>
          <w:p w14:paraId="34F00433" w14:textId="77777777" w:rsidR="00CE7338" w:rsidRPr="005E3251" w:rsidRDefault="00CE7338">
            <w:pPr>
              <w:rPr>
                <w:rFonts w:ascii="Arial Narrow" w:eastAsiaTheme="majorEastAsia" w:hAnsi="Arial Narrow" w:cstheme="majorBidi"/>
                <w:bCs/>
                <w:sz w:val="20"/>
              </w:rPr>
            </w:pPr>
            <w:r w:rsidRPr="005E3251">
              <w:rPr>
                <w:rFonts w:ascii="Arial Narrow" w:eastAsiaTheme="majorEastAsia" w:hAnsi="Arial Narrow" w:cstheme="majorBidi"/>
                <w:bCs/>
                <w:sz w:val="20"/>
              </w:rPr>
              <w:t>Fenfluramine:</w:t>
            </w:r>
          </w:p>
          <w:p w14:paraId="76DDDD9C" w14:textId="4FC5EC3E" w:rsidR="00CE7338" w:rsidRPr="005E3251" w:rsidRDefault="00CE7338" w:rsidP="00060C53">
            <w:pPr>
              <w:pStyle w:val="TableText0"/>
              <w:keepLines/>
              <w:numPr>
                <w:ilvl w:val="0"/>
                <w:numId w:val="14"/>
              </w:numPr>
            </w:pPr>
            <w:r w:rsidRPr="005E3251">
              <w:t xml:space="preserve">Cohort 1: 0.4 mg/kg/day </w:t>
            </w:r>
            <w:r w:rsidR="00D621B8" w:rsidRPr="005E3251">
              <w:t xml:space="preserve">(max dose 17 mg/day) </w:t>
            </w:r>
            <w:r w:rsidRPr="005E3251">
              <w:t>based on Study 2</w:t>
            </w:r>
          </w:p>
          <w:p w14:paraId="388B95A5" w14:textId="7704F4BD" w:rsidR="00CE7338" w:rsidRPr="005E3251" w:rsidRDefault="00CE7338" w:rsidP="00060C53">
            <w:pPr>
              <w:pStyle w:val="TableText0"/>
              <w:keepLines/>
              <w:numPr>
                <w:ilvl w:val="0"/>
                <w:numId w:val="14"/>
              </w:numPr>
            </w:pPr>
            <w:r w:rsidRPr="005E3251">
              <w:t>Cohort 2: 0.7 mg/kg/day</w:t>
            </w:r>
            <w:r w:rsidR="00D621B8" w:rsidRPr="005E3251">
              <w:t xml:space="preserve"> (max dose 26 mg/day)</w:t>
            </w:r>
            <w:r w:rsidRPr="005E3251">
              <w:t xml:space="preserve"> based on Study 1 &amp; 3 </w:t>
            </w:r>
          </w:p>
          <w:p w14:paraId="64EF53F0" w14:textId="4F9D64F1" w:rsidR="00D621B8" w:rsidRPr="005E3251" w:rsidRDefault="00D621B8" w:rsidP="00060C53">
            <w:pPr>
              <w:pStyle w:val="TableText0"/>
              <w:keepLines/>
              <w:numPr>
                <w:ilvl w:val="0"/>
                <w:numId w:val="14"/>
              </w:numPr>
            </w:pPr>
            <w:r w:rsidRPr="005E3251">
              <w:t xml:space="preserve">The maximum daily doses for fenfluramine were reached when patients </w:t>
            </w:r>
            <w:r w:rsidR="00C65A22" w:rsidRPr="005E3251">
              <w:t xml:space="preserve">were </w:t>
            </w:r>
            <w:r w:rsidRPr="005E3251">
              <w:t>13 years</w:t>
            </w:r>
            <w:r w:rsidR="00C65A22" w:rsidRPr="005E3251">
              <w:t xml:space="preserve"> (46 kg</w:t>
            </w:r>
            <w:r w:rsidRPr="005E3251">
              <w:t xml:space="preserve">) in Cohort 1 and </w:t>
            </w:r>
            <w:r w:rsidR="00C65A22" w:rsidRPr="005E3251">
              <w:t>12 years (42 kg) in Cohort 2.</w:t>
            </w:r>
            <w:r w:rsidRPr="005E3251">
              <w:t xml:space="preserve">  </w:t>
            </w:r>
          </w:p>
          <w:p w14:paraId="5353DA23" w14:textId="77777777" w:rsidR="003970D3" w:rsidRPr="005E3251" w:rsidRDefault="003970D3" w:rsidP="003970D3">
            <w:pPr>
              <w:pStyle w:val="TableText0"/>
              <w:keepLines/>
              <w:ind w:left="397"/>
            </w:pPr>
          </w:p>
          <w:p w14:paraId="5DF8AB0A" w14:textId="28E4A2C3" w:rsidR="00CE7338" w:rsidRPr="005E3251" w:rsidRDefault="00CE7338">
            <w:pPr>
              <w:pStyle w:val="TableText0"/>
              <w:keepNext w:val="0"/>
              <w:widowControl w:val="0"/>
            </w:pPr>
            <w:r w:rsidRPr="005E3251">
              <w:t>Cannabidiol: assumed to be an evenly weighted average of 10 and 20 mg/kg/day regimens (50%:50%)</w:t>
            </w:r>
            <w:r w:rsidR="00D621B8" w:rsidRPr="005E3251">
              <w:t>, i.e., 15 mg/kg/day</w:t>
            </w:r>
            <w:r w:rsidRPr="005E3251">
              <w:t>.</w:t>
            </w:r>
            <w:r w:rsidR="002E207B" w:rsidRPr="005E3251">
              <w:t xml:space="preserve"> The cohort-level ICERs and the weighted ICER were sensitive to changes in the proportion of patients receiving cannabidiol 10 mg/kg/day.</w:t>
            </w:r>
          </w:p>
          <w:p w14:paraId="2C50BD11" w14:textId="77777777" w:rsidR="003970D3" w:rsidRPr="005E3251" w:rsidRDefault="003970D3">
            <w:pPr>
              <w:pStyle w:val="TableText0"/>
              <w:keepNext w:val="0"/>
              <w:widowControl w:val="0"/>
            </w:pPr>
          </w:p>
          <w:p w14:paraId="27C67F24" w14:textId="43DE9DD6" w:rsidR="00CE7338" w:rsidRPr="005E3251" w:rsidRDefault="00CE7338">
            <w:pPr>
              <w:pStyle w:val="TableText0"/>
              <w:keepNext w:val="0"/>
              <w:widowControl w:val="0"/>
            </w:pPr>
            <w:r w:rsidRPr="005E3251">
              <w:t>Stiripentol: assumed to be 50 mg/kg/day.</w:t>
            </w:r>
            <w:r w:rsidR="00C65A22" w:rsidRPr="005E3251">
              <w:t xml:space="preserve"> The cost of stiripentol was applied to 100%</w:t>
            </w:r>
            <w:r w:rsidR="00632277" w:rsidRPr="005E3251">
              <w:t xml:space="preserve"> of</w:t>
            </w:r>
            <w:r w:rsidR="00C65A22" w:rsidRPr="005E3251">
              <w:t xml:space="preserve"> patients in the cannabidiol arm of Cohort 1 and 0% of the patients in the cannabidiol arm of Cohort 2. This was inconsistent with the GWPCARE1 and GWPCARE2 trials, where 42% and 34% of patients were treated with stiripentol, respectively.</w:t>
            </w:r>
          </w:p>
          <w:p w14:paraId="62B5B6BA" w14:textId="77777777" w:rsidR="00632277" w:rsidRPr="005E3251" w:rsidRDefault="00632277">
            <w:pPr>
              <w:pStyle w:val="TableText0"/>
              <w:keepNext w:val="0"/>
              <w:widowControl w:val="0"/>
            </w:pPr>
          </w:p>
          <w:p w14:paraId="0508601F" w14:textId="5009D37D" w:rsidR="00CE7338" w:rsidRPr="005E3251" w:rsidRDefault="00CE7338">
            <w:pPr>
              <w:pStyle w:val="TableText0"/>
              <w:keepNext w:val="0"/>
              <w:widowControl w:val="0"/>
            </w:pPr>
            <w:r w:rsidRPr="005E3251">
              <w:t>Wastage was not considered.</w:t>
            </w:r>
            <w:r w:rsidR="00D925AB" w:rsidRPr="005E3251">
              <w:t xml:space="preserve"> Excluding wastage was not reasonable.</w:t>
            </w:r>
          </w:p>
          <w:p w14:paraId="2D5C4926" w14:textId="77777777" w:rsidR="00CE7338" w:rsidRPr="005E3251" w:rsidRDefault="00CE7338">
            <w:pPr>
              <w:pStyle w:val="TableText0"/>
              <w:keepNext w:val="0"/>
              <w:widowControl w:val="0"/>
            </w:pPr>
          </w:p>
          <w:p w14:paraId="486F0002" w14:textId="79804CC1" w:rsidR="00CE7338" w:rsidRPr="005E3251" w:rsidRDefault="00CE7338">
            <w:pPr>
              <w:pStyle w:val="TableText0"/>
              <w:keepNext w:val="0"/>
              <w:widowControl w:val="0"/>
            </w:pPr>
            <w:r w:rsidRPr="005E3251">
              <w:t xml:space="preserve">Treatment costs: As proposed for fenfluramine. Published DPMQ for stiripentol. The submission assumed a Special Pricing Arrangement (SPA) reduction of </w:t>
            </w:r>
            <w:r w:rsidR="008114C4" w:rsidRPr="008114C4">
              <w:rPr>
                <w:color w:val="000000"/>
                <w:spacing w:val="54"/>
                <w:shd w:val="solid" w:color="000000" w:fill="000000"/>
                <w:fitText w:val="334" w:id="-761538553"/>
                <w14:textFill>
                  <w14:solidFill>
                    <w14:srgbClr w14:val="000000">
                      <w14:alpha w14:val="100000"/>
                    </w14:srgbClr>
                  </w14:solidFill>
                </w14:textFill>
              </w:rPr>
              <w:t>|||</w:t>
            </w:r>
            <w:r w:rsidR="008114C4" w:rsidRPr="008114C4">
              <w:rPr>
                <w:color w:val="000000"/>
                <w:spacing w:val="2"/>
                <w:shd w:val="solid" w:color="000000" w:fill="000000"/>
                <w:fitText w:val="334" w:id="-761538553"/>
                <w14:textFill>
                  <w14:solidFill>
                    <w14:srgbClr w14:val="000000">
                      <w14:alpha w14:val="100000"/>
                    </w14:srgbClr>
                  </w14:solidFill>
                </w14:textFill>
              </w:rPr>
              <w:t>|</w:t>
            </w:r>
            <w:r w:rsidRPr="005E3251">
              <w:t>% applied to the published price of cannabidiol (assumed effective DPMQ = $</w:t>
            </w:r>
            <w:r w:rsidR="008114C4" w:rsidRPr="008114C4">
              <w:rPr>
                <w:color w:val="000000"/>
                <w:spacing w:val="54"/>
                <w:shd w:val="solid" w:color="000000" w:fill="000000"/>
                <w:fitText w:val="333" w:id="-761538552"/>
                <w14:textFill>
                  <w14:solidFill>
                    <w14:srgbClr w14:val="000000">
                      <w14:alpha w14:val="100000"/>
                    </w14:srgbClr>
                  </w14:solidFill>
                </w14:textFill>
              </w:rPr>
              <w:t>|||</w:t>
            </w:r>
            <w:r w:rsidR="008114C4" w:rsidRPr="008114C4">
              <w:rPr>
                <w:color w:val="000000"/>
                <w:spacing w:val="1"/>
                <w:shd w:val="solid" w:color="000000" w:fill="000000"/>
                <w:fitText w:val="333" w:id="-761538552"/>
                <w14:textFill>
                  <w14:solidFill>
                    <w14:srgbClr w14:val="000000">
                      <w14:alpha w14:val="100000"/>
                    </w14:srgbClr>
                  </w14:solidFill>
                </w14:textFill>
              </w:rPr>
              <w:t>|</w:t>
            </w:r>
            <w:r w:rsidRPr="005E3251">
              <w:t xml:space="preserve"> * </w:t>
            </w:r>
            <w:r w:rsidR="008114C4" w:rsidRPr="008114C4">
              <w:rPr>
                <w:color w:val="000000"/>
                <w:spacing w:val="49"/>
                <w:shd w:val="solid" w:color="000000" w:fill="000000"/>
                <w:fitText w:val="320" w:id="-761538551"/>
                <w14:textFill>
                  <w14:solidFill>
                    <w14:srgbClr w14:val="000000">
                      <w14:alpha w14:val="100000"/>
                    </w14:srgbClr>
                  </w14:solidFill>
                </w14:textFill>
              </w:rPr>
              <w:t>|||</w:t>
            </w:r>
            <w:r w:rsidR="008114C4" w:rsidRPr="008114C4">
              <w:rPr>
                <w:color w:val="000000"/>
                <w:spacing w:val="3"/>
                <w:shd w:val="solid" w:color="000000" w:fill="000000"/>
                <w:fitText w:val="320" w:id="-761538551"/>
                <w14:textFill>
                  <w14:solidFill>
                    <w14:srgbClr w14:val="000000">
                      <w14:alpha w14:val="100000"/>
                    </w14:srgbClr>
                  </w14:solidFill>
                </w14:textFill>
              </w:rPr>
              <w:t>|</w:t>
            </w:r>
            <w:r w:rsidRPr="005E3251">
              <w:t xml:space="preserve"> = $</w:t>
            </w:r>
            <w:r w:rsidR="008114C4" w:rsidRPr="008114C4">
              <w:rPr>
                <w:color w:val="000000"/>
                <w:spacing w:val="54"/>
                <w:shd w:val="solid" w:color="000000" w:fill="000000"/>
                <w:fitText w:val="333" w:id="-761538550"/>
                <w14:textFill>
                  <w14:solidFill>
                    <w14:srgbClr w14:val="000000">
                      <w14:alpha w14:val="100000"/>
                    </w14:srgbClr>
                  </w14:solidFill>
                </w14:textFill>
              </w:rPr>
              <w:t>|||</w:t>
            </w:r>
            <w:r w:rsidR="008114C4" w:rsidRPr="008114C4">
              <w:rPr>
                <w:color w:val="000000"/>
                <w:spacing w:val="1"/>
                <w:shd w:val="solid" w:color="000000" w:fill="000000"/>
                <w:fitText w:val="333" w:id="-761538550"/>
                <w14:textFill>
                  <w14:solidFill>
                    <w14:srgbClr w14:val="000000">
                      <w14:alpha w14:val="100000"/>
                    </w14:srgbClr>
                  </w14:solidFill>
                </w14:textFill>
              </w:rPr>
              <w:t>|</w:t>
            </w:r>
            <w:r w:rsidRPr="005E3251">
              <w:t>).</w:t>
            </w:r>
          </w:p>
          <w:p w14:paraId="65603852" w14:textId="77777777" w:rsidR="00CE7338" w:rsidRPr="005E3251" w:rsidRDefault="00CE7338">
            <w:pPr>
              <w:pStyle w:val="TableText0"/>
              <w:keepNext w:val="0"/>
              <w:widowControl w:val="0"/>
            </w:pPr>
          </w:p>
          <w:p w14:paraId="316698C4" w14:textId="77777777" w:rsidR="00D925AB" w:rsidRPr="005E3251" w:rsidRDefault="00CE7338">
            <w:pPr>
              <w:pStyle w:val="TableText0"/>
              <w:keepNext w:val="0"/>
            </w:pPr>
            <w:r w:rsidRPr="005E3251">
              <w:t xml:space="preserve">Costs of monitoring and hospitalisation for status epilepticus included. </w:t>
            </w:r>
          </w:p>
          <w:p w14:paraId="6E07A8F3" w14:textId="68CC949F" w:rsidR="00D925AB" w:rsidRPr="005E3251" w:rsidRDefault="00D925AB">
            <w:pPr>
              <w:pStyle w:val="TableText0"/>
              <w:keepNext w:val="0"/>
            </w:pPr>
            <w:r w:rsidRPr="005E3251">
              <w:t>The treatment, monitoring, status epilepticus costs included and excluded were reasonable.</w:t>
            </w:r>
          </w:p>
          <w:p w14:paraId="2F42DC85" w14:textId="77777777" w:rsidR="00D925AB" w:rsidRPr="005E3251" w:rsidRDefault="00D925AB">
            <w:pPr>
              <w:pStyle w:val="TableText0"/>
              <w:keepNext w:val="0"/>
            </w:pPr>
          </w:p>
          <w:p w14:paraId="1CD078D0" w14:textId="40150DE1" w:rsidR="00D925AB" w:rsidRPr="005E3251" w:rsidRDefault="00CE7338">
            <w:pPr>
              <w:pStyle w:val="TableText0"/>
              <w:keepNext w:val="0"/>
            </w:pPr>
            <w:r w:rsidRPr="005E3251">
              <w:t>Background AEDs (e.g., valproate) were excluded.</w:t>
            </w:r>
            <w:r w:rsidR="00891565" w:rsidRPr="005E3251">
              <w:t xml:space="preserve"> This may not be reasonable given differences in background AEDs across the included trials</w:t>
            </w:r>
            <w:r w:rsidR="002E207B" w:rsidRPr="005E3251">
              <w:t xml:space="preserve">. Assuming no difference </w:t>
            </w:r>
            <w:r w:rsidR="00891565" w:rsidRPr="005E3251">
              <w:t xml:space="preserve">may not accurately reflect clinical practice. </w:t>
            </w:r>
          </w:p>
          <w:p w14:paraId="22DFBEC8" w14:textId="77777777" w:rsidR="00D925AB" w:rsidRPr="005E3251" w:rsidRDefault="00D925AB">
            <w:pPr>
              <w:pStyle w:val="TableText0"/>
              <w:keepNext w:val="0"/>
            </w:pPr>
          </w:p>
          <w:p w14:paraId="1258847E" w14:textId="7109CED5" w:rsidR="00CE7338" w:rsidRPr="005E3251" w:rsidRDefault="00CE7338">
            <w:pPr>
              <w:pStyle w:val="TableText0"/>
              <w:keepNext w:val="0"/>
            </w:pPr>
            <w:r w:rsidRPr="005E3251">
              <w:t>The model did not include adverse events.</w:t>
            </w:r>
            <w:r w:rsidR="000C54F1" w:rsidRPr="005E3251">
              <w:t xml:space="preserve"> Excluding adverse events may not be reasonable, given the different types of events experienced in the fenfluramine vs cannabidiol trials. </w:t>
            </w:r>
          </w:p>
        </w:tc>
      </w:tr>
      <w:tr w:rsidR="006B5229" w:rsidRPr="005E3251" w14:paraId="55BD2D13" w14:textId="77777777" w:rsidTr="00496654">
        <w:trPr>
          <w:trHeight w:val="447"/>
        </w:trPr>
        <w:tc>
          <w:tcPr>
            <w:tcW w:w="1019" w:type="pct"/>
            <w:shd w:val="clear" w:color="auto" w:fill="auto"/>
            <w:vAlign w:val="center"/>
          </w:tcPr>
          <w:p w14:paraId="61EC1611" w14:textId="77777777" w:rsidR="00CE7338" w:rsidRPr="005E3251" w:rsidRDefault="00CE7338">
            <w:pPr>
              <w:pStyle w:val="TableText0"/>
              <w:keepNext w:val="0"/>
            </w:pPr>
            <w:r w:rsidRPr="005E3251">
              <w:t>Weighted ICER</w:t>
            </w:r>
          </w:p>
        </w:tc>
        <w:tc>
          <w:tcPr>
            <w:tcW w:w="3981" w:type="pct"/>
            <w:shd w:val="clear" w:color="auto" w:fill="auto"/>
            <w:vAlign w:val="center"/>
          </w:tcPr>
          <w:p w14:paraId="39178103" w14:textId="5FA2CE57" w:rsidR="00CE7338" w:rsidRPr="005E3251" w:rsidRDefault="007141A6">
            <w:pPr>
              <w:pStyle w:val="TableText0"/>
              <w:keepNext w:val="0"/>
            </w:pPr>
            <w:r w:rsidRPr="005E3251">
              <w:t xml:space="preserve">Cohort 1 was </w:t>
            </w:r>
            <w:r w:rsidR="00071E9C" w:rsidRPr="005E3251">
              <w:t>dominant</w:t>
            </w:r>
            <w:r w:rsidR="008D5F45" w:rsidRPr="005E3251">
              <w:t>:</w:t>
            </w:r>
            <w:r w:rsidR="00895ACF" w:rsidRPr="005E3251">
              <w:t xml:space="preserve"> </w:t>
            </w:r>
            <w:r w:rsidRPr="005E3251">
              <w:t xml:space="preserve">associated with a </w:t>
            </w:r>
            <w:r w:rsidR="00155D80" w:rsidRPr="005E3251">
              <w:t xml:space="preserve">QALY gain and </w:t>
            </w:r>
            <w:r w:rsidR="00071E9C" w:rsidRPr="005E3251">
              <w:t>was less costly</w:t>
            </w:r>
            <w:r w:rsidRPr="005E3251">
              <w:t xml:space="preserve"> (</w:t>
            </w:r>
            <w:r w:rsidR="00EB5A51" w:rsidRPr="005E3251">
              <w:t>0.1085</w:t>
            </w:r>
            <w:r w:rsidRPr="005E3251">
              <w:t xml:space="preserve"> QALY gained,</w:t>
            </w:r>
            <w:r w:rsidR="00155D80" w:rsidRPr="005E3251">
              <w:t xml:space="preserve"> </w:t>
            </w:r>
            <w:r w:rsidR="00EB5A51" w:rsidRPr="005E3251">
              <w:t>$</w:t>
            </w:r>
            <w:r w:rsidR="008114C4">
              <w:rPr>
                <w:color w:val="000000"/>
                <w:spacing w:val="53"/>
                <w:shd w:val="solid" w:color="000000" w:fill="000000"/>
                <w:fitText w:val="333" w:id="-761538549"/>
                <w14:textFill>
                  <w14:solidFill>
                    <w14:srgbClr w14:val="000000">
                      <w14:alpha w14:val="100000"/>
                    </w14:srgbClr>
                  </w14:solidFill>
                </w14:textFill>
              </w:rPr>
              <w:t>|||</w:t>
            </w:r>
            <w:r w:rsidR="008114C4">
              <w:rPr>
                <w:color w:val="000000"/>
                <w:spacing w:val="2"/>
                <w:shd w:val="solid" w:color="000000" w:fill="000000"/>
                <w:fitText w:val="333" w:id="-761538549"/>
                <w14:textFill>
                  <w14:solidFill>
                    <w14:srgbClr w14:val="000000">
                      <w14:alpha w14:val="100000"/>
                    </w14:srgbClr>
                  </w14:solidFill>
                </w14:textFill>
              </w:rPr>
              <w:t>|</w:t>
            </w:r>
            <w:r w:rsidR="00155D80" w:rsidRPr="005E3251">
              <w:t xml:space="preserve"> </w:t>
            </w:r>
            <w:r w:rsidR="00EB5A51" w:rsidRPr="005E3251">
              <w:t>less</w:t>
            </w:r>
            <w:r w:rsidR="00155D80" w:rsidRPr="005E3251">
              <w:t xml:space="preserve"> cost</w:t>
            </w:r>
            <w:r w:rsidR="00EB5A51" w:rsidRPr="005E3251">
              <w:t>ly</w:t>
            </w:r>
            <w:r w:rsidR="00155D80" w:rsidRPr="005E3251">
              <w:t>) and therefore had a negative ICER (</w:t>
            </w:r>
            <w:r w:rsidR="008D5F45" w:rsidRPr="005E3251">
              <w:t xml:space="preserve">representing the </w:t>
            </w:r>
            <w:r w:rsidR="00840768" w:rsidRPr="005E3251">
              <w:t>south-east quadrant</w:t>
            </w:r>
            <w:r w:rsidR="006235D6" w:rsidRPr="005E3251">
              <w:t xml:space="preserve"> on the</w:t>
            </w:r>
            <w:r w:rsidR="00840768" w:rsidRPr="005E3251">
              <w:t xml:space="preserve"> CE plane). </w:t>
            </w:r>
            <w:r w:rsidR="00CE7338" w:rsidRPr="005E3251">
              <w:t>The ICER for Cohort 1 was</w:t>
            </w:r>
            <w:r w:rsidR="00337F08" w:rsidRPr="005E3251">
              <w:t xml:space="preserve"> </w:t>
            </w:r>
            <w:r w:rsidR="00CE7338" w:rsidRPr="005E3251">
              <w:t>-</w:t>
            </w:r>
            <w:r w:rsidR="0038181C" w:rsidRPr="0038181C">
              <w:t>$755,000 to &lt; $855,000</w:t>
            </w:r>
            <w:r w:rsidR="0097789F" w:rsidRPr="005E3251">
              <w:t>/QALY</w:t>
            </w:r>
            <w:r w:rsidR="00CE7338" w:rsidRPr="005E3251">
              <w:t xml:space="preserve"> (i.e., fenfluramine + stiripentol was less costly and more effective than cannabidiol +</w:t>
            </w:r>
            <w:r w:rsidR="00C65A22" w:rsidRPr="005E3251">
              <w:t>/-</w:t>
            </w:r>
            <w:r w:rsidR="00CE7338" w:rsidRPr="005E3251">
              <w:t xml:space="preserve"> stiripentol) and the ICER for Cohort 2 was </w:t>
            </w:r>
            <w:r w:rsidR="009A69E7" w:rsidRPr="009A69E7">
              <w:t>$255,000 to &lt; $355,000</w:t>
            </w:r>
            <w:r w:rsidR="0097789F" w:rsidRPr="005E3251">
              <w:t>/QALY</w:t>
            </w:r>
            <w:r w:rsidR="00CE7338" w:rsidRPr="005E3251">
              <w:t xml:space="preserve"> (fenfluramine was more costly and more effective than cannabidiol). The weighted ICER was </w:t>
            </w:r>
            <w:r w:rsidR="00361BDC" w:rsidRPr="00361BDC">
              <w:t>$15,000 to &lt; $25,000</w:t>
            </w:r>
            <w:r w:rsidR="0097789F" w:rsidRPr="005E3251">
              <w:t>/QALY</w:t>
            </w:r>
            <w:r w:rsidR="00CE7338" w:rsidRPr="005E3251">
              <w:t xml:space="preserve">. Many sensitivity analyses had strong impacts at the Cohort level </w:t>
            </w:r>
            <w:r w:rsidR="00D145D2" w:rsidRPr="005E3251">
              <w:t xml:space="preserve">ICER </w:t>
            </w:r>
            <w:r w:rsidR="00CE7338" w:rsidRPr="005E3251">
              <w:t>but minimal impact on the weighted ICER. Key drivers of the weighted ICER were the proportion of patients in each Cohort, the starting age of patients, and the proportion of patients receiving cannabidiol 10 mg/kg/day vs 20 mg/kg/day.</w:t>
            </w:r>
          </w:p>
        </w:tc>
      </w:tr>
    </w:tbl>
    <w:p w14:paraId="55771BB3" w14:textId="029CF50C" w:rsidR="00CE7338" w:rsidRPr="005E3251" w:rsidRDefault="00CE7338" w:rsidP="00CE7338">
      <w:pPr>
        <w:pStyle w:val="TableFigureFooter"/>
      </w:pPr>
      <w:r w:rsidRPr="005E3251">
        <w:t xml:space="preserve">Source: Tables 3-1 &amp; 3-2, pp142 &amp; 148 of the submission; pp140, 149-151, 153, 155-158 &amp; 166 of the submission; Sheets ‘Totals_undiscounted’ and ‘Results’ of the Section 3 workbook. </w:t>
      </w:r>
    </w:p>
    <w:p w14:paraId="556E8E26" w14:textId="08293E3A" w:rsidR="00CE7338" w:rsidRPr="005E3251" w:rsidRDefault="00CE7338" w:rsidP="00CE7338">
      <w:pPr>
        <w:pStyle w:val="TableFigureFooter"/>
      </w:pPr>
      <w:r w:rsidRPr="005E3251">
        <w:t xml:space="preserve">AEDs = anti-epileptic drugs; ANZSPED = Australia and New Zealand Society for Paediatric Endocrinology and Diabetes; </w:t>
      </w:r>
      <w:r w:rsidR="00225A11" w:rsidRPr="005E3251">
        <w:t xml:space="preserve">CBD = cannabidiol; </w:t>
      </w:r>
      <w:r w:rsidR="006E5600" w:rsidRPr="005E3251">
        <w:t xml:space="preserve">CAF = convulsive seizure frequency; </w:t>
      </w:r>
      <w:r w:rsidRPr="005E3251">
        <w:t>EQ-5D-Y = child specific version of EuroQol – 5 Dimension;</w:t>
      </w:r>
      <w:r w:rsidR="00225A11" w:rsidRPr="005E3251">
        <w:t xml:space="preserve"> FFA = fenfluramine;</w:t>
      </w:r>
      <w:r w:rsidRPr="005E3251">
        <w:t xml:space="preserve"> ICER = Incremental Cost Effectiveness Ratio; LYs = Life Years; PedsQL = Pediatric Quality of Life Inventory; QALYs = Quality Adjusted Life Years; RCTs = Randomised Controlled Trials</w:t>
      </w:r>
      <w:r w:rsidR="00225A11" w:rsidRPr="005E3251">
        <w:t>; STP = stiripentol</w:t>
      </w:r>
      <w:r w:rsidRPr="005E3251">
        <w:t>.</w:t>
      </w:r>
    </w:p>
    <w:p w14:paraId="47A46214" w14:textId="2848C594" w:rsidR="00A632C8" w:rsidRPr="005E3251" w:rsidRDefault="00CE7338" w:rsidP="005D2DD4">
      <w:pPr>
        <w:pStyle w:val="3-BodyText"/>
      </w:pPr>
      <w:r w:rsidRPr="005E3251">
        <w:t xml:space="preserve">The economic model presented in the submission was structured as a stratified Markov process with three health states (alive on treatment, alive discontinued, </w:t>
      </w:r>
      <w:r w:rsidRPr="005E3251">
        <w:lastRenderedPageBreak/>
        <w:t xml:space="preserve">dead). </w:t>
      </w:r>
      <w:r w:rsidR="005D2DD4" w:rsidRPr="005E3251">
        <w:t xml:space="preserve"> Transitions between ‘alive on treatment’ and ‘alive discontinued’ were informed by discontinuation rates in the fenfluramine and cannabidiol trials</w:t>
      </w:r>
      <w:r w:rsidR="00A76749" w:rsidRPr="005E3251">
        <w:t xml:space="preserve"> for cycle 0 and expert clinical advice for subsequent cycles</w:t>
      </w:r>
      <w:r w:rsidR="005D2DD4" w:rsidRPr="005E3251">
        <w:t xml:space="preserve">. </w:t>
      </w:r>
    </w:p>
    <w:p w14:paraId="46C85607" w14:textId="00A082CA" w:rsidR="005D2DD4" w:rsidRPr="005E3251" w:rsidRDefault="00A76749" w:rsidP="005D2DD4">
      <w:pPr>
        <w:pStyle w:val="3-BodyText"/>
      </w:pPr>
      <w:r w:rsidRPr="005E3251">
        <w:t>Transitions to ‘dead’ were estimated by first estimating age-specific background mortality, then estimating a relative risk of death due to Dravet syndrome using a linear regression, with monthly CSF as an explanatory variable. T</w:t>
      </w:r>
      <w:r w:rsidR="00373ED1" w:rsidRPr="005E3251">
        <w:t>his meant t</w:t>
      </w:r>
      <w:r w:rsidRPr="005E3251">
        <w:t xml:space="preserve">reatment effects (in terms of a reduction in monthly CSF) </w:t>
      </w:r>
      <w:r w:rsidR="00373ED1" w:rsidRPr="005E3251">
        <w:t xml:space="preserve">were linked to survival gains via a reduction in the risk of death due to Dravet Syndrome. </w:t>
      </w:r>
    </w:p>
    <w:p w14:paraId="0D41AD78" w14:textId="36BB3D35" w:rsidR="004519C4" w:rsidRPr="005E3251" w:rsidRDefault="00CE7338" w:rsidP="00D87CFA">
      <w:pPr>
        <w:pStyle w:val="3-BodyText"/>
      </w:pPr>
      <w:bookmarkStart w:id="79" w:name="_Ref177561392"/>
      <w:bookmarkStart w:id="80" w:name="_Ref176713643"/>
      <w:r w:rsidRPr="005E3251">
        <w:t>The model</w:t>
      </w:r>
      <w:r w:rsidR="007E7E35" w:rsidRPr="005E3251">
        <w:t>’s</w:t>
      </w:r>
      <w:r w:rsidR="004519C4" w:rsidRPr="005E3251">
        <w:t xml:space="preserve"> health states were</w:t>
      </w:r>
      <w:r w:rsidRPr="005E3251">
        <w:t xml:space="preserve"> not consistent with the clinical trials that had primary outcomes related to seizure frequency. The model</w:t>
      </w:r>
      <w:r w:rsidR="00167A06" w:rsidRPr="005E3251">
        <w:t>’s</w:t>
      </w:r>
      <w:r w:rsidR="004519C4" w:rsidRPr="005E3251">
        <w:t xml:space="preserve"> health states were</w:t>
      </w:r>
      <w:r w:rsidRPr="005E3251">
        <w:t xml:space="preserve"> consistent with the </w:t>
      </w:r>
      <w:r w:rsidR="004519C4" w:rsidRPr="005E3251">
        <w:t xml:space="preserve">3 </w:t>
      </w:r>
      <w:r w:rsidRPr="005E3251">
        <w:t>fenfluramine models identified by the submission literature review, including the model considered by NICE (TA808)</w:t>
      </w:r>
      <w:r w:rsidRPr="005E3251">
        <w:rPr>
          <w:rStyle w:val="FootnoteReference"/>
        </w:rPr>
        <w:footnoteReference w:id="14"/>
      </w:r>
      <w:r w:rsidRPr="005E3251">
        <w:t xml:space="preserve"> and the Scottish Medicines Consortium</w:t>
      </w:r>
      <w:r w:rsidRPr="005E3251">
        <w:rPr>
          <w:rStyle w:val="FootnoteReference"/>
        </w:rPr>
        <w:footnoteReference w:id="15"/>
      </w:r>
      <w:r w:rsidRPr="005E3251">
        <w:t xml:space="preserve">. </w:t>
      </w:r>
      <w:r w:rsidR="004519C4" w:rsidRPr="005E3251">
        <w:t xml:space="preserve">However, the cannabidiol and stiripentol models for Dravet Syndrome identified by the submission utilised health states </w:t>
      </w:r>
      <w:r w:rsidR="00851B97" w:rsidRPr="005E3251">
        <w:t>directly relating</w:t>
      </w:r>
      <w:r w:rsidR="004519C4" w:rsidRPr="005E3251">
        <w:t xml:space="preserve"> to seizure frequency or reduction. Further, two systematic reviews cited in the submission identified 11 economic evaluations of paediatric drug-resistant epilepsy treatments; 7 used Markov models</w:t>
      </w:r>
      <w:r w:rsidR="009529E1" w:rsidRPr="005E3251">
        <w:t xml:space="preserve"> with health states</w:t>
      </w:r>
      <w:r w:rsidR="004519C4" w:rsidRPr="005E3251">
        <w:t xml:space="preserve"> linked to seizure frequency or reduction, 4 used decision trees, and none used health states linked to treatment (Elliott 2019 and Erku 2021).</w:t>
      </w:r>
      <w:r w:rsidR="004519C4" w:rsidRPr="005E3251">
        <w:rPr>
          <w:rStyle w:val="FootnoteReference"/>
        </w:rPr>
        <w:footnoteReference w:id="16"/>
      </w:r>
      <w:r w:rsidR="004519C4" w:rsidRPr="005E3251">
        <w:rPr>
          <w:vertAlign w:val="superscript"/>
        </w:rPr>
        <w:t>,</w:t>
      </w:r>
      <w:r w:rsidR="004519C4" w:rsidRPr="005E3251">
        <w:rPr>
          <w:rStyle w:val="FootnoteReference"/>
        </w:rPr>
        <w:footnoteReference w:id="17"/>
      </w:r>
      <w:bookmarkEnd w:id="79"/>
      <w:r w:rsidR="004519C4" w:rsidRPr="005E3251">
        <w:t xml:space="preserve"> </w:t>
      </w:r>
      <w:bookmarkEnd w:id="80"/>
    </w:p>
    <w:p w14:paraId="22E8FCC9" w14:textId="4514FDFF" w:rsidR="009C0DAD" w:rsidRPr="00D87CFA" w:rsidRDefault="00CE7338" w:rsidP="00D87CFA">
      <w:pPr>
        <w:pStyle w:val="3-BodyText"/>
      </w:pPr>
      <w:r w:rsidRPr="00D87CFA">
        <w:t xml:space="preserve">The submission presented a Markov model calculated as a cohort expected value analysis. Costs, composite outcomes, and incremental results were presented on an average per patient basis. No individual simulation methods were employed and there was no consideration of patient heterogeneity beyond the primary stratification by concomitant stiripentol use. </w:t>
      </w:r>
      <w:bookmarkStart w:id="81" w:name="_Hlk174461906"/>
    </w:p>
    <w:bookmarkEnd w:id="81"/>
    <w:p w14:paraId="0A3B0F8B" w14:textId="3E18396E" w:rsidR="00E55339" w:rsidRPr="00D87CFA" w:rsidRDefault="00CE7338" w:rsidP="00D87CFA">
      <w:pPr>
        <w:pStyle w:val="3-BodyText"/>
      </w:pPr>
      <w:r w:rsidRPr="00D87CFA">
        <w:t>T</w:t>
      </w:r>
      <w:r w:rsidR="006513F3" w:rsidRPr="00D87CFA">
        <w:t xml:space="preserve">he model estimated </w:t>
      </w:r>
      <w:r w:rsidR="00381169" w:rsidRPr="00D87CFA">
        <w:t xml:space="preserve">the </w:t>
      </w:r>
      <w:r w:rsidR="006513F3" w:rsidRPr="00D87CFA">
        <w:t>t</w:t>
      </w:r>
      <w:r w:rsidRPr="00D87CFA">
        <w:t>reatment effect</w:t>
      </w:r>
      <w:r w:rsidRPr="00D87CFA" w:rsidDel="00F00ACA">
        <w:t xml:space="preserve"> </w:t>
      </w:r>
      <w:r w:rsidR="006513F3" w:rsidRPr="00D87CFA">
        <w:t>as the</w:t>
      </w:r>
      <w:r w:rsidRPr="00D87CFA">
        <w:t xml:space="preserve"> </w:t>
      </w:r>
      <w:r w:rsidR="001853C2" w:rsidRPr="00D87CFA">
        <w:t>difference in</w:t>
      </w:r>
      <w:r w:rsidR="000F3B7B" w:rsidRPr="00D87CFA">
        <w:t xml:space="preserve"> </w:t>
      </w:r>
      <w:r w:rsidRPr="00D87CFA">
        <w:t xml:space="preserve">percentage change from baseline in mean monthly </w:t>
      </w:r>
      <w:r w:rsidR="00157D66" w:rsidRPr="00D87CFA">
        <w:t>CSF</w:t>
      </w:r>
      <w:r w:rsidRPr="00D87CFA">
        <w:t>, which was the primary outcome in the fenfluramine and cannabidiol trials</w:t>
      </w:r>
      <w:r w:rsidR="002800C4" w:rsidRPr="00D87CFA">
        <w:t xml:space="preserve"> (</w:t>
      </w:r>
      <w:r w:rsidR="009176CD" w:rsidRPr="00D87CFA">
        <w:fldChar w:fldCharType="begin" w:fldLock="1"/>
      </w:r>
      <w:r w:rsidR="009176CD" w:rsidRPr="00D87CFA">
        <w:instrText xml:space="preserve"> REF _Ref176615367 \h </w:instrText>
      </w:r>
      <w:r w:rsidR="005E3251" w:rsidRPr="00D87CFA">
        <w:instrText xml:space="preserve"> \* MERGEFORMAT </w:instrText>
      </w:r>
      <w:r w:rsidR="009176CD" w:rsidRPr="00D87CFA">
        <w:fldChar w:fldCharType="separate"/>
      </w:r>
      <w:r w:rsidR="00D72887" w:rsidRPr="00D87CFA">
        <w:t>Table 15</w:t>
      </w:r>
      <w:r w:rsidR="009176CD" w:rsidRPr="00D87CFA">
        <w:fldChar w:fldCharType="end"/>
      </w:r>
      <w:r w:rsidR="002800C4" w:rsidRPr="00D87CFA">
        <w:t>)</w:t>
      </w:r>
      <w:r w:rsidRPr="00D87CFA">
        <w:t>.</w:t>
      </w:r>
      <w:r w:rsidR="00E55339" w:rsidRPr="00D87CFA">
        <w:t xml:space="preserve"> </w:t>
      </w:r>
      <w:r w:rsidR="006513F3" w:rsidRPr="00D87CFA">
        <w:t xml:space="preserve">The model assumed 50% of patients in the cannabidiol arm received the 10 mg/kg/day and </w:t>
      </w:r>
      <w:r w:rsidR="002A478E" w:rsidRPr="00D87CFA">
        <w:t>50%</w:t>
      </w:r>
      <w:r w:rsidR="006513F3" w:rsidRPr="00D87CFA">
        <w:t xml:space="preserve"> received 20 mg/kg/day. The model therefore estimated a weighted average change from baseline for the cannabidiol arm in Cohorts 1 and 2 using the indirect comparison results presented in </w:t>
      </w:r>
      <w:r w:rsidR="009176CD" w:rsidRPr="00D87CFA">
        <w:fldChar w:fldCharType="begin" w:fldLock="1"/>
      </w:r>
      <w:r w:rsidR="009176CD" w:rsidRPr="00D87CFA">
        <w:instrText xml:space="preserve"> REF _Ref174488824 \h </w:instrText>
      </w:r>
      <w:r w:rsidR="005E3251" w:rsidRPr="00D87CFA">
        <w:instrText xml:space="preserve"> \* MERGEFORMAT </w:instrText>
      </w:r>
      <w:r w:rsidR="009176CD" w:rsidRPr="00D87CFA">
        <w:fldChar w:fldCharType="separate"/>
      </w:r>
      <w:r w:rsidR="00D72887" w:rsidRPr="00D87CFA">
        <w:t>Table 9</w:t>
      </w:r>
      <w:r w:rsidR="009176CD" w:rsidRPr="00D87CFA">
        <w:fldChar w:fldCharType="end"/>
      </w:r>
      <w:r w:rsidR="002800C4" w:rsidRPr="00D87CFA">
        <w:t>.</w:t>
      </w:r>
    </w:p>
    <w:p w14:paraId="33E022D4" w14:textId="7153D32D" w:rsidR="00E55339" w:rsidRPr="005E3251" w:rsidRDefault="00E55339" w:rsidP="00D87CFA">
      <w:pPr>
        <w:pStyle w:val="Caption"/>
      </w:pPr>
      <w:bookmarkStart w:id="82" w:name="_Ref176615367"/>
      <w:r w:rsidRPr="005E3251">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15</w:t>
      </w:r>
      <w:r w:rsidR="00D72887">
        <w:rPr>
          <w:noProof/>
        </w:rPr>
        <w:fldChar w:fldCharType="end"/>
      </w:r>
      <w:bookmarkEnd w:id="82"/>
      <w:r w:rsidRPr="005E3251">
        <w:t xml:space="preserve">: </w:t>
      </w:r>
      <w:r w:rsidRPr="005E3251">
        <w:rPr>
          <w:bCs w:val="0"/>
        </w:rPr>
        <w:t>Summary of treatment effect estimated used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5"/>
        <w:gridCol w:w="2254"/>
        <w:gridCol w:w="1722"/>
        <w:gridCol w:w="2786"/>
      </w:tblGrid>
      <w:tr w:rsidR="00E55339" w:rsidRPr="005E3251" w14:paraId="1F81371E" w14:textId="77777777" w:rsidTr="00253F67">
        <w:tc>
          <w:tcPr>
            <w:tcW w:w="1250" w:type="pct"/>
          </w:tcPr>
          <w:p w14:paraId="27157BAE" w14:textId="77777777" w:rsidR="00E55339" w:rsidRPr="005E3251" w:rsidRDefault="00E55339" w:rsidP="00D87CFA">
            <w:pPr>
              <w:pStyle w:val="In-tableHeading"/>
              <w:keepLines/>
            </w:pPr>
            <w:r w:rsidRPr="005E3251">
              <w:t>Treatment regimen</w:t>
            </w:r>
          </w:p>
        </w:tc>
        <w:tc>
          <w:tcPr>
            <w:tcW w:w="1250" w:type="pct"/>
          </w:tcPr>
          <w:p w14:paraId="7E3692E8" w14:textId="77777777" w:rsidR="00E55339" w:rsidRPr="005E3251" w:rsidRDefault="00E55339" w:rsidP="00D87CFA">
            <w:pPr>
              <w:pStyle w:val="In-tableHeading"/>
              <w:keepLines/>
            </w:pPr>
            <w:r w:rsidRPr="005E3251">
              <w:t>LS mean difference in change from baseline monthly CSF versus fenfluramine, % (95% CI)</w:t>
            </w:r>
          </w:p>
        </w:tc>
        <w:tc>
          <w:tcPr>
            <w:tcW w:w="955" w:type="pct"/>
          </w:tcPr>
          <w:p w14:paraId="0EAEC02D" w14:textId="3A81E55E" w:rsidR="00E55339" w:rsidRPr="005E3251" w:rsidRDefault="00E55339" w:rsidP="00D87CFA">
            <w:pPr>
              <w:pStyle w:val="In-tableHeading"/>
              <w:keepLines/>
            </w:pPr>
            <w:r w:rsidRPr="005E3251">
              <w:t>Estimated reduction in mean monthly CSF</w:t>
            </w:r>
            <w:r w:rsidR="00520402" w:rsidRPr="005E3251">
              <w:t xml:space="preserve"> applied in the model</w:t>
            </w:r>
            <w:r w:rsidRPr="005E3251">
              <w:t>, % (95% CI)</w:t>
            </w:r>
          </w:p>
        </w:tc>
        <w:tc>
          <w:tcPr>
            <w:tcW w:w="1545" w:type="pct"/>
            <w:vAlign w:val="center"/>
          </w:tcPr>
          <w:p w14:paraId="610F356B" w14:textId="77777777" w:rsidR="00E55339" w:rsidRPr="005E3251" w:rsidRDefault="00E55339" w:rsidP="00D87CFA">
            <w:pPr>
              <w:pStyle w:val="In-tableHeading"/>
              <w:keepLines/>
            </w:pPr>
            <w:r w:rsidRPr="005E3251">
              <w:t>Source/method</w:t>
            </w:r>
          </w:p>
        </w:tc>
      </w:tr>
      <w:tr w:rsidR="00E55339" w:rsidRPr="005E3251" w14:paraId="2D9E1675" w14:textId="77777777" w:rsidTr="00253F67">
        <w:tc>
          <w:tcPr>
            <w:tcW w:w="5000" w:type="pct"/>
            <w:gridSpan w:val="4"/>
          </w:tcPr>
          <w:p w14:paraId="3B2C4D4B" w14:textId="77777777" w:rsidR="00E55339" w:rsidRPr="005E3251" w:rsidRDefault="00E55339" w:rsidP="00D87CFA">
            <w:pPr>
              <w:pStyle w:val="In-tableHeading"/>
              <w:keepLines/>
            </w:pPr>
            <w:r w:rsidRPr="005E3251">
              <w:t>Cohort 1 (with stiripentol 50 mg/kg/day)</w:t>
            </w:r>
          </w:p>
        </w:tc>
      </w:tr>
      <w:tr w:rsidR="00E55339" w:rsidRPr="005E3251" w14:paraId="3B69386B" w14:textId="77777777" w:rsidTr="00253F67">
        <w:tc>
          <w:tcPr>
            <w:tcW w:w="1250" w:type="pct"/>
          </w:tcPr>
          <w:p w14:paraId="24D042AC" w14:textId="77777777" w:rsidR="00E55339" w:rsidRPr="005E3251" w:rsidRDefault="00E55339" w:rsidP="00D87CFA">
            <w:pPr>
              <w:pStyle w:val="TableText0"/>
              <w:keepLines/>
            </w:pPr>
            <w:r w:rsidRPr="005E3251">
              <w:t xml:space="preserve">Fenfluramine 0.4 mg/kg/day </w:t>
            </w:r>
          </w:p>
        </w:tc>
        <w:tc>
          <w:tcPr>
            <w:tcW w:w="1250" w:type="pct"/>
            <w:vAlign w:val="center"/>
          </w:tcPr>
          <w:p w14:paraId="649A94DA" w14:textId="77777777" w:rsidR="00E55339" w:rsidRPr="005E3251" w:rsidRDefault="00E55339" w:rsidP="00D87CFA">
            <w:pPr>
              <w:pStyle w:val="Tablenumbers"/>
              <w:keepNext/>
              <w:keepLines/>
            </w:pPr>
            <w:r w:rsidRPr="005E3251">
              <w:t>-</w:t>
            </w:r>
          </w:p>
        </w:tc>
        <w:tc>
          <w:tcPr>
            <w:tcW w:w="955" w:type="pct"/>
            <w:vAlign w:val="center"/>
          </w:tcPr>
          <w:p w14:paraId="194D5D45" w14:textId="77777777" w:rsidR="00E55339" w:rsidRPr="005E3251" w:rsidRDefault="00E55339" w:rsidP="00D87CFA">
            <w:pPr>
              <w:pStyle w:val="Tablenumbers"/>
              <w:keepNext/>
              <w:keepLines/>
            </w:pPr>
            <w:r w:rsidRPr="005E3251">
              <w:t>54.00 (38.20, 69.80)</w:t>
            </w:r>
          </w:p>
        </w:tc>
        <w:tc>
          <w:tcPr>
            <w:tcW w:w="1545" w:type="pct"/>
            <w:vAlign w:val="center"/>
          </w:tcPr>
          <w:p w14:paraId="47FFCD06" w14:textId="77777777" w:rsidR="00E55339" w:rsidRPr="005E3251" w:rsidRDefault="00E55339" w:rsidP="00D87CFA">
            <w:pPr>
              <w:pStyle w:val="TableText0"/>
              <w:keepLines/>
            </w:pPr>
            <w:r w:rsidRPr="005E3251">
              <w:t>Observed LS mean difference from placebo in the Study 2 trial</w:t>
            </w:r>
          </w:p>
        </w:tc>
      </w:tr>
      <w:tr w:rsidR="00E55339" w:rsidRPr="005E3251" w14:paraId="66D95361" w14:textId="77777777" w:rsidTr="00253F67">
        <w:tc>
          <w:tcPr>
            <w:tcW w:w="1250" w:type="pct"/>
          </w:tcPr>
          <w:p w14:paraId="4EA64786" w14:textId="77777777" w:rsidR="00E55339" w:rsidRPr="005E3251" w:rsidRDefault="00E55339" w:rsidP="00D87CFA">
            <w:pPr>
              <w:pStyle w:val="TableText0"/>
              <w:keepLines/>
            </w:pPr>
            <w:r w:rsidRPr="005E3251">
              <w:t xml:space="preserve">Cannabidiol 10 mg/kg/day </w:t>
            </w:r>
          </w:p>
        </w:tc>
        <w:tc>
          <w:tcPr>
            <w:tcW w:w="1250" w:type="pct"/>
            <w:vAlign w:val="center"/>
          </w:tcPr>
          <w:p w14:paraId="5C12B3AC" w14:textId="51A73BC6" w:rsidR="00E55339" w:rsidRPr="005E3251" w:rsidRDefault="00E55339" w:rsidP="00D87CFA">
            <w:pPr>
              <w:pStyle w:val="Tablenumbers"/>
              <w:keepNext/>
              <w:keepLines/>
            </w:pPr>
            <w:r w:rsidRPr="005E3251">
              <w:t>24.20 (</w:t>
            </w:r>
            <w:r w:rsidR="001157F1" w:rsidRPr="005E3251">
              <w:t>-</w:t>
            </w:r>
            <w:r w:rsidRPr="005E3251">
              <w:t>0.43, 48.83)</w:t>
            </w:r>
          </w:p>
        </w:tc>
        <w:tc>
          <w:tcPr>
            <w:tcW w:w="955" w:type="pct"/>
            <w:vAlign w:val="center"/>
          </w:tcPr>
          <w:p w14:paraId="5483BF13" w14:textId="77777777" w:rsidR="00E55339" w:rsidRPr="005E3251" w:rsidRDefault="00E55339" w:rsidP="00D87CFA">
            <w:pPr>
              <w:pStyle w:val="Tablenumbers"/>
              <w:keepNext/>
              <w:keepLines/>
            </w:pPr>
            <w:r w:rsidRPr="005E3251">
              <w:t>-</w:t>
            </w:r>
          </w:p>
        </w:tc>
        <w:tc>
          <w:tcPr>
            <w:tcW w:w="1545" w:type="pct"/>
            <w:vMerge w:val="restart"/>
            <w:vAlign w:val="center"/>
          </w:tcPr>
          <w:p w14:paraId="5D4623D4" w14:textId="77777777" w:rsidR="00E55339" w:rsidRPr="005E3251" w:rsidRDefault="00E55339" w:rsidP="00D87CFA">
            <w:pPr>
              <w:pStyle w:val="TableText0"/>
              <w:keepLines/>
            </w:pPr>
            <w:r w:rsidRPr="005E3251">
              <w:t>Indirect treatment comparison with FFA</w:t>
            </w:r>
          </w:p>
        </w:tc>
      </w:tr>
      <w:tr w:rsidR="00E55339" w:rsidRPr="005E3251" w14:paraId="5048A4D6" w14:textId="77777777" w:rsidTr="00253F67">
        <w:tc>
          <w:tcPr>
            <w:tcW w:w="1250" w:type="pct"/>
          </w:tcPr>
          <w:p w14:paraId="3A60A880" w14:textId="77777777" w:rsidR="00E55339" w:rsidRPr="005E3251" w:rsidRDefault="00E55339" w:rsidP="00D87CFA">
            <w:pPr>
              <w:pStyle w:val="TableText0"/>
              <w:keepLines/>
            </w:pPr>
            <w:r w:rsidRPr="005E3251">
              <w:t xml:space="preserve">Cannabidiol 20 mg/kg/day </w:t>
            </w:r>
          </w:p>
        </w:tc>
        <w:tc>
          <w:tcPr>
            <w:tcW w:w="1250" w:type="pct"/>
            <w:vAlign w:val="center"/>
          </w:tcPr>
          <w:p w14:paraId="292CFE6F" w14:textId="77777777" w:rsidR="00E55339" w:rsidRPr="005E3251" w:rsidRDefault="00E55339" w:rsidP="00D87CFA">
            <w:pPr>
              <w:pStyle w:val="Tablenumbers"/>
              <w:keepNext/>
              <w:keepLines/>
            </w:pPr>
            <w:r w:rsidRPr="005E3251">
              <w:t>29.89 (7.99, 51.79)</w:t>
            </w:r>
          </w:p>
        </w:tc>
        <w:tc>
          <w:tcPr>
            <w:tcW w:w="955" w:type="pct"/>
            <w:vAlign w:val="center"/>
          </w:tcPr>
          <w:p w14:paraId="3E29AA30" w14:textId="77777777" w:rsidR="00E55339" w:rsidRPr="005E3251" w:rsidRDefault="00E55339" w:rsidP="00D87CFA">
            <w:pPr>
              <w:pStyle w:val="Tablenumbers"/>
              <w:keepNext/>
              <w:keepLines/>
            </w:pPr>
            <w:r w:rsidRPr="005E3251">
              <w:t>-</w:t>
            </w:r>
          </w:p>
        </w:tc>
        <w:tc>
          <w:tcPr>
            <w:tcW w:w="1545" w:type="pct"/>
            <w:vMerge/>
            <w:vAlign w:val="center"/>
          </w:tcPr>
          <w:p w14:paraId="5F72C050" w14:textId="77777777" w:rsidR="00E55339" w:rsidRPr="005E3251" w:rsidRDefault="00E55339" w:rsidP="00D87CFA">
            <w:pPr>
              <w:pStyle w:val="TableText0"/>
              <w:keepLines/>
            </w:pPr>
          </w:p>
        </w:tc>
      </w:tr>
      <w:tr w:rsidR="00E55339" w:rsidRPr="005E3251" w14:paraId="51AFE975" w14:textId="77777777" w:rsidTr="00253F67">
        <w:tc>
          <w:tcPr>
            <w:tcW w:w="1250" w:type="pct"/>
          </w:tcPr>
          <w:p w14:paraId="0DE8958A" w14:textId="77777777" w:rsidR="00E55339" w:rsidRPr="005E3251" w:rsidRDefault="00E55339" w:rsidP="00D87CFA">
            <w:pPr>
              <w:pStyle w:val="TableText0"/>
              <w:keepLines/>
            </w:pPr>
            <w:r w:rsidRPr="005E3251">
              <w:t>Cannabidiol 15 mg/kg/day with stiripentol 50 mg/kg/day</w:t>
            </w:r>
          </w:p>
        </w:tc>
        <w:tc>
          <w:tcPr>
            <w:tcW w:w="1250" w:type="pct"/>
            <w:vAlign w:val="center"/>
          </w:tcPr>
          <w:p w14:paraId="2EBD82E9" w14:textId="77777777" w:rsidR="00E55339" w:rsidRPr="005E3251" w:rsidRDefault="00E55339" w:rsidP="00D87CFA">
            <w:pPr>
              <w:pStyle w:val="Tablenumbers"/>
              <w:keepNext/>
              <w:keepLines/>
            </w:pPr>
            <w:r w:rsidRPr="005E3251">
              <w:t>-</w:t>
            </w:r>
          </w:p>
        </w:tc>
        <w:tc>
          <w:tcPr>
            <w:tcW w:w="955" w:type="pct"/>
            <w:vAlign w:val="center"/>
          </w:tcPr>
          <w:p w14:paraId="3753EBD4" w14:textId="77777777" w:rsidR="00E55339" w:rsidRPr="005E3251" w:rsidRDefault="00E55339" w:rsidP="00D87CFA">
            <w:pPr>
              <w:pStyle w:val="Tablenumbers"/>
              <w:keepNext/>
              <w:keepLines/>
            </w:pPr>
            <w:r w:rsidRPr="005E3251">
              <w:t>26.96</w:t>
            </w:r>
          </w:p>
        </w:tc>
        <w:tc>
          <w:tcPr>
            <w:tcW w:w="1545" w:type="pct"/>
            <w:vAlign w:val="center"/>
          </w:tcPr>
          <w:p w14:paraId="298AECEC" w14:textId="3CB9098B" w:rsidR="00E55339" w:rsidRPr="005E3251" w:rsidRDefault="00E55339" w:rsidP="00D87CFA">
            <w:pPr>
              <w:pStyle w:val="TableText0"/>
              <w:keepLines/>
            </w:pPr>
            <w:r w:rsidRPr="005E3251">
              <w:t>Weighted average LS mean difference between FFA and CBD 10 and 20 mg/kg/day) * (reduction in mean monthly CSF for FFA versus placebo</w:t>
            </w:r>
            <w:r w:rsidR="001F50B1" w:rsidRPr="005E3251">
              <w:t>.</w:t>
            </w:r>
          </w:p>
        </w:tc>
      </w:tr>
      <w:tr w:rsidR="00E55339" w:rsidRPr="005E3251" w14:paraId="52597B0D" w14:textId="77777777" w:rsidTr="00253F67">
        <w:tc>
          <w:tcPr>
            <w:tcW w:w="5000" w:type="pct"/>
            <w:gridSpan w:val="4"/>
          </w:tcPr>
          <w:p w14:paraId="649C1188" w14:textId="77777777" w:rsidR="00E55339" w:rsidRPr="005E3251" w:rsidRDefault="00E55339" w:rsidP="00D87CFA">
            <w:pPr>
              <w:pStyle w:val="In-tableHeading"/>
              <w:keepLines/>
            </w:pPr>
            <w:r w:rsidRPr="005E3251">
              <w:t>Cohort 2 (without stiripentol 50 mg/kg/day)</w:t>
            </w:r>
          </w:p>
        </w:tc>
      </w:tr>
      <w:tr w:rsidR="00E55339" w:rsidRPr="005E3251" w14:paraId="18C554D9" w14:textId="77777777" w:rsidTr="00253F67">
        <w:tc>
          <w:tcPr>
            <w:tcW w:w="1250" w:type="pct"/>
          </w:tcPr>
          <w:p w14:paraId="4DD28A19" w14:textId="77777777" w:rsidR="00E55339" w:rsidRPr="005E3251" w:rsidRDefault="00E55339" w:rsidP="00D87CFA">
            <w:pPr>
              <w:pStyle w:val="TableText0"/>
              <w:keepLines/>
            </w:pPr>
            <w:r w:rsidRPr="005E3251">
              <w:t>Fenfluramine 0.7 mg/kg/day</w:t>
            </w:r>
          </w:p>
        </w:tc>
        <w:tc>
          <w:tcPr>
            <w:tcW w:w="1250" w:type="pct"/>
            <w:vAlign w:val="center"/>
          </w:tcPr>
          <w:p w14:paraId="2108BBE6" w14:textId="77777777" w:rsidR="00E55339" w:rsidRPr="005E3251" w:rsidRDefault="00E55339" w:rsidP="00D87CFA">
            <w:pPr>
              <w:pStyle w:val="Tablenumbers"/>
              <w:keepNext/>
              <w:keepLines/>
            </w:pPr>
            <w:r w:rsidRPr="005E3251">
              <w:t>-</w:t>
            </w:r>
          </w:p>
        </w:tc>
        <w:tc>
          <w:tcPr>
            <w:tcW w:w="955" w:type="pct"/>
            <w:vAlign w:val="center"/>
          </w:tcPr>
          <w:p w14:paraId="671D1FB9" w14:textId="77777777" w:rsidR="00E55339" w:rsidRPr="005E3251" w:rsidRDefault="00E55339" w:rsidP="00D87CFA">
            <w:pPr>
              <w:pStyle w:val="Tablenumbers"/>
              <w:keepNext/>
              <w:keepLines/>
            </w:pPr>
            <w:r w:rsidRPr="005E3251">
              <w:t>63.69 (55.34, 72.05)</w:t>
            </w:r>
          </w:p>
        </w:tc>
        <w:tc>
          <w:tcPr>
            <w:tcW w:w="1545" w:type="pct"/>
            <w:vAlign w:val="center"/>
          </w:tcPr>
          <w:p w14:paraId="6356ECBF" w14:textId="77777777" w:rsidR="00E55339" w:rsidRPr="005E3251" w:rsidRDefault="00E55339" w:rsidP="00D87CFA">
            <w:pPr>
              <w:pStyle w:val="TableText0"/>
              <w:keepLines/>
            </w:pPr>
            <w:r w:rsidRPr="005E3251">
              <w:t>Meta-analysis of observed LS mean difference from placebo in the Study 1 &amp; 3 trials.</w:t>
            </w:r>
          </w:p>
        </w:tc>
      </w:tr>
      <w:tr w:rsidR="00E55339" w:rsidRPr="005E3251" w14:paraId="5F0329AE" w14:textId="77777777" w:rsidTr="00253F67">
        <w:tc>
          <w:tcPr>
            <w:tcW w:w="1250" w:type="pct"/>
          </w:tcPr>
          <w:p w14:paraId="6554CD2A" w14:textId="77777777" w:rsidR="00E55339" w:rsidRPr="005E3251" w:rsidRDefault="00E55339" w:rsidP="00D87CFA">
            <w:pPr>
              <w:pStyle w:val="TableText0"/>
              <w:keepLines/>
            </w:pPr>
            <w:r w:rsidRPr="005E3251">
              <w:t>Cannabidiol 10 mg/kg/day</w:t>
            </w:r>
          </w:p>
        </w:tc>
        <w:tc>
          <w:tcPr>
            <w:tcW w:w="1250" w:type="pct"/>
            <w:vAlign w:val="center"/>
          </w:tcPr>
          <w:p w14:paraId="014FB747" w14:textId="77777777" w:rsidR="00E55339" w:rsidRPr="005E3251" w:rsidRDefault="00E55339" w:rsidP="00D87CFA">
            <w:pPr>
              <w:pStyle w:val="Tablenumbers"/>
              <w:keepNext/>
              <w:keepLines/>
            </w:pPr>
            <w:r w:rsidRPr="005E3251">
              <w:t>33.89 (13.22, 54.55)</w:t>
            </w:r>
          </w:p>
        </w:tc>
        <w:tc>
          <w:tcPr>
            <w:tcW w:w="955" w:type="pct"/>
            <w:vAlign w:val="center"/>
          </w:tcPr>
          <w:p w14:paraId="6A36CB4C" w14:textId="77777777" w:rsidR="00E55339" w:rsidRPr="005E3251" w:rsidRDefault="00E55339" w:rsidP="00D87CFA">
            <w:pPr>
              <w:pStyle w:val="Tablenumbers"/>
              <w:keepNext/>
              <w:keepLines/>
            </w:pPr>
            <w:r w:rsidRPr="005E3251">
              <w:t>-</w:t>
            </w:r>
          </w:p>
        </w:tc>
        <w:tc>
          <w:tcPr>
            <w:tcW w:w="1545" w:type="pct"/>
            <w:vMerge w:val="restart"/>
            <w:vAlign w:val="center"/>
          </w:tcPr>
          <w:p w14:paraId="53221EC4" w14:textId="32EA32E0" w:rsidR="00E55339" w:rsidRPr="005E3251" w:rsidRDefault="00E55339" w:rsidP="00D87CFA">
            <w:pPr>
              <w:pStyle w:val="TableText0"/>
              <w:keepLines/>
            </w:pPr>
            <w:r w:rsidRPr="005E3251">
              <w:t>Indirect treatment comparison with FFA</w:t>
            </w:r>
            <w:r w:rsidR="001F50B1" w:rsidRPr="005E3251">
              <w:t>.</w:t>
            </w:r>
          </w:p>
        </w:tc>
      </w:tr>
      <w:tr w:rsidR="00E55339" w:rsidRPr="005E3251" w14:paraId="2B3EE2E8" w14:textId="77777777" w:rsidTr="00253F67">
        <w:tc>
          <w:tcPr>
            <w:tcW w:w="1250" w:type="pct"/>
          </w:tcPr>
          <w:p w14:paraId="1762E84E" w14:textId="77777777" w:rsidR="00E55339" w:rsidRPr="005E3251" w:rsidRDefault="00E55339" w:rsidP="00D87CFA">
            <w:pPr>
              <w:pStyle w:val="TableText0"/>
              <w:keepLines/>
            </w:pPr>
            <w:r w:rsidRPr="005E3251">
              <w:t>Cannabidiol 20 mg/kg/day</w:t>
            </w:r>
          </w:p>
        </w:tc>
        <w:tc>
          <w:tcPr>
            <w:tcW w:w="1250" w:type="pct"/>
            <w:vAlign w:val="center"/>
          </w:tcPr>
          <w:p w14:paraId="4876C7FC" w14:textId="77777777" w:rsidR="00E55339" w:rsidRPr="005E3251" w:rsidRDefault="00E55339" w:rsidP="00D87CFA">
            <w:pPr>
              <w:pStyle w:val="Tablenumbers"/>
              <w:keepNext/>
              <w:keepLines/>
            </w:pPr>
            <w:r w:rsidRPr="005E3251">
              <w:t>39.58 (22.27, 56.89)</w:t>
            </w:r>
          </w:p>
        </w:tc>
        <w:tc>
          <w:tcPr>
            <w:tcW w:w="955" w:type="pct"/>
            <w:vAlign w:val="center"/>
          </w:tcPr>
          <w:p w14:paraId="0FE2EB9C" w14:textId="77777777" w:rsidR="00E55339" w:rsidRPr="005E3251" w:rsidRDefault="00E55339" w:rsidP="00D87CFA">
            <w:pPr>
              <w:pStyle w:val="Tablenumbers"/>
              <w:keepNext/>
              <w:keepLines/>
            </w:pPr>
            <w:r w:rsidRPr="005E3251">
              <w:t>-</w:t>
            </w:r>
          </w:p>
        </w:tc>
        <w:tc>
          <w:tcPr>
            <w:tcW w:w="1545" w:type="pct"/>
            <w:vMerge/>
            <w:vAlign w:val="center"/>
          </w:tcPr>
          <w:p w14:paraId="0F758A14" w14:textId="77777777" w:rsidR="00E55339" w:rsidRPr="005E3251" w:rsidRDefault="00E55339" w:rsidP="00D87CFA">
            <w:pPr>
              <w:pStyle w:val="TableText0"/>
              <w:keepLines/>
            </w:pPr>
          </w:p>
        </w:tc>
      </w:tr>
      <w:tr w:rsidR="00E55339" w:rsidRPr="005E3251" w14:paraId="5565D638" w14:textId="77777777" w:rsidTr="00253F67">
        <w:tc>
          <w:tcPr>
            <w:tcW w:w="1250" w:type="pct"/>
          </w:tcPr>
          <w:p w14:paraId="26939641" w14:textId="77777777" w:rsidR="00E55339" w:rsidRPr="005E3251" w:rsidRDefault="00E55339" w:rsidP="00D87CFA">
            <w:pPr>
              <w:pStyle w:val="TableText0"/>
              <w:keepLines/>
            </w:pPr>
            <w:r w:rsidRPr="005E3251">
              <w:t>Cannabidiol 15 mg/kg/day</w:t>
            </w:r>
          </w:p>
        </w:tc>
        <w:tc>
          <w:tcPr>
            <w:tcW w:w="1250" w:type="pct"/>
            <w:vAlign w:val="center"/>
          </w:tcPr>
          <w:p w14:paraId="06F80965" w14:textId="77777777" w:rsidR="00E55339" w:rsidRPr="005E3251" w:rsidRDefault="00E55339" w:rsidP="00D87CFA">
            <w:pPr>
              <w:pStyle w:val="Tablenumbers"/>
              <w:keepNext/>
              <w:keepLines/>
            </w:pPr>
            <w:r w:rsidRPr="005E3251">
              <w:t>-</w:t>
            </w:r>
          </w:p>
        </w:tc>
        <w:tc>
          <w:tcPr>
            <w:tcW w:w="955" w:type="pct"/>
            <w:vAlign w:val="center"/>
          </w:tcPr>
          <w:p w14:paraId="748D09A2" w14:textId="77777777" w:rsidR="00E55339" w:rsidRPr="005E3251" w:rsidRDefault="00E55339" w:rsidP="00D87CFA">
            <w:pPr>
              <w:pStyle w:val="Tablenumbers"/>
              <w:keepNext/>
              <w:keepLines/>
            </w:pPr>
            <w:r w:rsidRPr="005E3251">
              <w:t>26.96</w:t>
            </w:r>
          </w:p>
        </w:tc>
        <w:tc>
          <w:tcPr>
            <w:tcW w:w="1545" w:type="pct"/>
            <w:vAlign w:val="center"/>
          </w:tcPr>
          <w:p w14:paraId="61B7708E" w14:textId="7472EA35" w:rsidR="00E55339" w:rsidRPr="005E3251" w:rsidRDefault="00E55339" w:rsidP="00D87CFA">
            <w:pPr>
              <w:pStyle w:val="TableText0"/>
              <w:keepLines/>
            </w:pPr>
            <w:r w:rsidRPr="005E3251">
              <w:t>Weighted average LS mean difference between FFA and CBD 10 and 20 mg/kg/day) * (reduction in mean monthly CSF for FFA versus placebo</w:t>
            </w:r>
            <w:r w:rsidR="001F50B1" w:rsidRPr="005E3251">
              <w:t>.</w:t>
            </w:r>
          </w:p>
        </w:tc>
      </w:tr>
    </w:tbl>
    <w:p w14:paraId="3ED80BFE" w14:textId="77777777" w:rsidR="00E55339" w:rsidRPr="005E3251" w:rsidRDefault="00E55339" w:rsidP="00D87CFA">
      <w:pPr>
        <w:pStyle w:val="TableFigureFooter"/>
        <w:keepNext/>
        <w:keepLines/>
      </w:pPr>
      <w:r w:rsidRPr="005E3251">
        <w:t>Source: Table 3-5, p152 of the submission, Sheet ‘model inputs’ of the Section 3 workbook.</w:t>
      </w:r>
    </w:p>
    <w:p w14:paraId="03211DFF" w14:textId="778FEAD6" w:rsidR="00E55339" w:rsidRPr="005E3251" w:rsidRDefault="00E55339" w:rsidP="004F0EF2">
      <w:pPr>
        <w:pStyle w:val="TableFigureFooter"/>
      </w:pPr>
      <w:r w:rsidRPr="005E3251">
        <w:t>CBD = cannabidiol; CSF = convulsive seizure frequency; FFA = fenfluramine; LS = Least Squares.</w:t>
      </w:r>
    </w:p>
    <w:p w14:paraId="5A61867B" w14:textId="390668C7" w:rsidR="00CE7338" w:rsidRPr="00D87CFA" w:rsidRDefault="00CE7338" w:rsidP="00D87CFA">
      <w:pPr>
        <w:pStyle w:val="3-BodyText"/>
      </w:pPr>
      <w:r w:rsidRPr="00D87CFA">
        <w:t>The sources used to estimate the treatment effect were reasonable. However, the magnitude of the treatment effect estimated by the indirect comparisons was highly uncertain. The ICER was sensitive to the treatment effect.</w:t>
      </w:r>
    </w:p>
    <w:p w14:paraId="45896936" w14:textId="24E933C5" w:rsidR="00D71066" w:rsidRPr="00D87CFA" w:rsidRDefault="00CE7338" w:rsidP="00D87CFA">
      <w:pPr>
        <w:pStyle w:val="3-BodyText"/>
      </w:pPr>
      <w:r w:rsidRPr="00D87CFA">
        <w:t>The model applied trial-based utilities by first mapping PedsQL data from the Study 1</w:t>
      </w:r>
      <w:r w:rsidR="001E1D88" w:rsidRPr="00D87CFA">
        <w:t>−</w:t>
      </w:r>
      <w:r w:rsidRPr="00D87CFA">
        <w:t xml:space="preserve">3 trials to EQ-5D-Y. A regression equation linked mean monthly </w:t>
      </w:r>
      <w:r w:rsidR="00157D66" w:rsidRPr="00D87CFA">
        <w:t>CSF</w:t>
      </w:r>
      <w:r w:rsidRPr="00D87CFA">
        <w:t xml:space="preserve"> to EQ-5D-Y</w:t>
      </w:r>
      <w:r w:rsidR="00D71066" w:rsidRPr="00D87CFA">
        <w:t xml:space="preserve"> with age (categorical) and baseline stiripentol use as covariates</w:t>
      </w:r>
      <w:r w:rsidRPr="00D87CFA">
        <w:t xml:space="preserve">. </w:t>
      </w:r>
      <w:r w:rsidR="00D71066" w:rsidRPr="00D87CFA">
        <w:t>An example of the regression equation for an individual aged 21 years with mean monthly CSF of 33 and concomitant stiripentol use was provided in the economic model workbook (</w:t>
      </w:r>
      <w:r w:rsidR="00B93DF8" w:rsidRPr="00D87CFA">
        <w:fldChar w:fldCharType="begin" w:fldLock="1"/>
      </w:r>
      <w:r w:rsidR="00B93DF8" w:rsidRPr="00D87CFA">
        <w:instrText xml:space="preserve"> REF _Ref176619231 \h </w:instrText>
      </w:r>
      <w:r w:rsidR="005E3251" w:rsidRPr="00D87CFA">
        <w:instrText xml:space="preserve"> \* MERGEFORMAT </w:instrText>
      </w:r>
      <w:r w:rsidR="00B93DF8" w:rsidRPr="00D87CFA">
        <w:fldChar w:fldCharType="separate"/>
      </w:r>
      <w:r w:rsidR="00D72887" w:rsidRPr="00D87CFA">
        <w:t>Table 16</w:t>
      </w:r>
      <w:r w:rsidR="00B93DF8" w:rsidRPr="00D87CFA">
        <w:fldChar w:fldCharType="end"/>
      </w:r>
      <w:r w:rsidR="00D71066" w:rsidRPr="00D87CFA">
        <w:t>).</w:t>
      </w:r>
    </w:p>
    <w:p w14:paraId="48B95D4E" w14:textId="2C086D90" w:rsidR="00D71066" w:rsidRPr="005E3251" w:rsidRDefault="00D71066" w:rsidP="00D87CFA">
      <w:pPr>
        <w:pStyle w:val="Caption"/>
      </w:pPr>
      <w:bookmarkStart w:id="83" w:name="_Ref176619231"/>
      <w:r w:rsidRPr="005E3251">
        <w:t xml:space="preserve">Table </w:t>
      </w:r>
      <w:r w:rsidR="00D72887">
        <w:fldChar w:fldCharType="begin" w:fldLock="1"/>
      </w:r>
      <w:r w:rsidR="00D72887">
        <w:instrText xml:space="preserve"> SEQ Table \* ARABIC </w:instrText>
      </w:r>
      <w:r w:rsidR="00D72887">
        <w:fldChar w:fldCharType="separate"/>
      </w:r>
      <w:r w:rsidR="00D72887">
        <w:rPr>
          <w:noProof/>
        </w:rPr>
        <w:t>16</w:t>
      </w:r>
      <w:r w:rsidR="00D72887">
        <w:rPr>
          <w:noProof/>
        </w:rPr>
        <w:fldChar w:fldCharType="end"/>
      </w:r>
      <w:bookmarkEnd w:id="83"/>
      <w:r w:rsidRPr="005E3251">
        <w:t>: Example conversion of regression results to utility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2"/>
        <w:gridCol w:w="1988"/>
        <w:gridCol w:w="1555"/>
        <w:gridCol w:w="1556"/>
        <w:gridCol w:w="3636"/>
      </w:tblGrid>
      <w:tr w:rsidR="008368D3" w:rsidRPr="005E3251" w14:paraId="0F6BAD77" w14:textId="77777777" w:rsidTr="00D71066">
        <w:tc>
          <w:tcPr>
            <w:tcW w:w="156" w:type="pct"/>
          </w:tcPr>
          <w:p w14:paraId="56D2D5FE" w14:textId="77777777" w:rsidR="00D71066" w:rsidRPr="005E3251" w:rsidRDefault="00D71066" w:rsidP="00D87CFA">
            <w:pPr>
              <w:pStyle w:val="In-tableHeading"/>
              <w:keepLines/>
            </w:pPr>
          </w:p>
        </w:tc>
        <w:tc>
          <w:tcPr>
            <w:tcW w:w="1102" w:type="pct"/>
            <w:vAlign w:val="center"/>
          </w:tcPr>
          <w:p w14:paraId="716850BB" w14:textId="77777777" w:rsidR="00D71066" w:rsidRPr="005E3251" w:rsidRDefault="00D71066" w:rsidP="00D87CFA">
            <w:pPr>
              <w:pStyle w:val="In-tableHeading"/>
              <w:keepLines/>
            </w:pPr>
            <w:r w:rsidRPr="005E3251">
              <w:t>Variable</w:t>
            </w:r>
          </w:p>
        </w:tc>
        <w:tc>
          <w:tcPr>
            <w:tcW w:w="862" w:type="pct"/>
          </w:tcPr>
          <w:p w14:paraId="49EDFF82" w14:textId="77777777" w:rsidR="00D71066" w:rsidRPr="005E3251" w:rsidRDefault="00D71066" w:rsidP="00D87CFA">
            <w:pPr>
              <w:pStyle w:val="In-tableHeading"/>
              <w:keepLines/>
            </w:pPr>
            <w:r w:rsidRPr="005E3251">
              <w:t>Value when monthly CSF = 33</w:t>
            </w:r>
          </w:p>
        </w:tc>
        <w:tc>
          <w:tcPr>
            <w:tcW w:w="863" w:type="pct"/>
          </w:tcPr>
          <w:p w14:paraId="4A6FF585" w14:textId="77777777" w:rsidR="00D71066" w:rsidRPr="005E3251" w:rsidRDefault="00D71066" w:rsidP="00D87CFA">
            <w:pPr>
              <w:pStyle w:val="In-tableHeading"/>
              <w:keepLines/>
            </w:pPr>
            <w:r w:rsidRPr="005E3251">
              <w:t>Value when monthly CSF = 0</w:t>
            </w:r>
          </w:p>
        </w:tc>
        <w:tc>
          <w:tcPr>
            <w:tcW w:w="2016" w:type="pct"/>
          </w:tcPr>
          <w:p w14:paraId="442ABA3F" w14:textId="77777777" w:rsidR="00D71066" w:rsidRPr="005E3251" w:rsidRDefault="00D71066" w:rsidP="00D87CFA">
            <w:pPr>
              <w:pStyle w:val="In-tableHeading"/>
              <w:keepLines/>
            </w:pPr>
            <w:r w:rsidRPr="005E3251">
              <w:t>Source/method</w:t>
            </w:r>
          </w:p>
        </w:tc>
      </w:tr>
      <w:tr w:rsidR="008368D3" w:rsidRPr="005E3251" w14:paraId="3663A08E" w14:textId="77777777" w:rsidTr="00D71066">
        <w:tc>
          <w:tcPr>
            <w:tcW w:w="156" w:type="pct"/>
          </w:tcPr>
          <w:p w14:paraId="160AB50A" w14:textId="77777777" w:rsidR="00D71066" w:rsidRPr="005E3251" w:rsidRDefault="00D71066" w:rsidP="00D87CFA">
            <w:pPr>
              <w:pStyle w:val="In-tableHeading"/>
              <w:keepLines/>
              <w:rPr>
                <w:b w:val="0"/>
                <w:bCs/>
              </w:rPr>
            </w:pPr>
            <w:r w:rsidRPr="005E3251">
              <w:rPr>
                <w:b w:val="0"/>
                <w:bCs/>
              </w:rPr>
              <w:t>A</w:t>
            </w:r>
          </w:p>
        </w:tc>
        <w:tc>
          <w:tcPr>
            <w:tcW w:w="1102" w:type="pct"/>
            <w:vAlign w:val="center"/>
          </w:tcPr>
          <w:p w14:paraId="33D01108" w14:textId="77777777" w:rsidR="00D71066" w:rsidRPr="005E3251" w:rsidRDefault="00D71066" w:rsidP="00D87CFA">
            <w:pPr>
              <w:pStyle w:val="In-tableHeading"/>
              <w:keepLines/>
              <w:rPr>
                <w:b w:val="0"/>
                <w:bCs/>
              </w:rPr>
            </w:pPr>
            <w:r w:rsidRPr="005E3251">
              <w:rPr>
                <w:b w:val="0"/>
                <w:bCs/>
              </w:rPr>
              <w:t>Intercept</w:t>
            </w:r>
          </w:p>
        </w:tc>
        <w:tc>
          <w:tcPr>
            <w:tcW w:w="862" w:type="pct"/>
          </w:tcPr>
          <w:p w14:paraId="502A35EC" w14:textId="77777777" w:rsidR="00D71066" w:rsidRPr="005E3251" w:rsidRDefault="00D71066" w:rsidP="00D87CFA">
            <w:pPr>
              <w:pStyle w:val="Tablenumbers"/>
              <w:keepNext/>
              <w:keepLines/>
            </w:pPr>
            <w:r w:rsidRPr="005E3251">
              <w:t>0.3978</w:t>
            </w:r>
          </w:p>
        </w:tc>
        <w:tc>
          <w:tcPr>
            <w:tcW w:w="863" w:type="pct"/>
          </w:tcPr>
          <w:p w14:paraId="7E638CA7" w14:textId="77777777" w:rsidR="00D71066" w:rsidRPr="005E3251" w:rsidRDefault="00D71066" w:rsidP="00D87CFA">
            <w:pPr>
              <w:pStyle w:val="Tablenumbers"/>
              <w:keepNext/>
              <w:keepLines/>
            </w:pPr>
            <w:r w:rsidRPr="005E3251">
              <w:t>0.3978</w:t>
            </w:r>
          </w:p>
        </w:tc>
        <w:tc>
          <w:tcPr>
            <w:tcW w:w="2016" w:type="pct"/>
          </w:tcPr>
          <w:p w14:paraId="4C17CE6A" w14:textId="60F0E148" w:rsidR="00D71066" w:rsidRPr="005E3251" w:rsidRDefault="00D71066" w:rsidP="00D87CFA">
            <w:pPr>
              <w:pStyle w:val="TableText0"/>
              <w:keepLines/>
            </w:pPr>
            <w:r w:rsidRPr="005E3251">
              <w:t>Table 3-6, p155 of the submission</w:t>
            </w:r>
          </w:p>
        </w:tc>
      </w:tr>
      <w:tr w:rsidR="008368D3" w:rsidRPr="005E3251" w14:paraId="1B43B5A3" w14:textId="77777777" w:rsidTr="00D71066">
        <w:tc>
          <w:tcPr>
            <w:tcW w:w="156" w:type="pct"/>
          </w:tcPr>
          <w:p w14:paraId="3D64248E" w14:textId="77777777" w:rsidR="00D71066" w:rsidRPr="005E3251" w:rsidRDefault="00D71066" w:rsidP="00D87CFA">
            <w:pPr>
              <w:pStyle w:val="TableText0"/>
              <w:keepLines/>
            </w:pPr>
            <w:r w:rsidRPr="005E3251">
              <w:t>B</w:t>
            </w:r>
          </w:p>
        </w:tc>
        <w:tc>
          <w:tcPr>
            <w:tcW w:w="1102" w:type="pct"/>
            <w:vAlign w:val="center"/>
          </w:tcPr>
          <w:p w14:paraId="45DB2E62" w14:textId="77777777" w:rsidR="00D71066" w:rsidRPr="005E3251" w:rsidRDefault="00D71066" w:rsidP="00D87CFA">
            <w:pPr>
              <w:pStyle w:val="TableText0"/>
              <w:keepLines/>
            </w:pPr>
            <w:r w:rsidRPr="005E3251">
              <w:t>Monthly CSF</w:t>
            </w:r>
          </w:p>
        </w:tc>
        <w:tc>
          <w:tcPr>
            <w:tcW w:w="862" w:type="pct"/>
          </w:tcPr>
          <w:p w14:paraId="048F346E" w14:textId="77777777" w:rsidR="00D71066" w:rsidRPr="005E3251" w:rsidRDefault="00D71066" w:rsidP="00D87CFA">
            <w:pPr>
              <w:pStyle w:val="Tablenumbers"/>
              <w:keepNext/>
              <w:keepLines/>
            </w:pPr>
            <w:r w:rsidRPr="005E3251">
              <w:t>-0.0029 * 33</w:t>
            </w:r>
          </w:p>
        </w:tc>
        <w:tc>
          <w:tcPr>
            <w:tcW w:w="863" w:type="pct"/>
          </w:tcPr>
          <w:p w14:paraId="04DB16BD" w14:textId="77777777" w:rsidR="00D71066" w:rsidRPr="005E3251" w:rsidRDefault="00D71066" w:rsidP="00D87CFA">
            <w:pPr>
              <w:pStyle w:val="Tablenumbers"/>
              <w:keepNext/>
              <w:keepLines/>
            </w:pPr>
            <w:r w:rsidRPr="005E3251">
              <w:t>-0.0029 * 0</w:t>
            </w:r>
          </w:p>
        </w:tc>
        <w:tc>
          <w:tcPr>
            <w:tcW w:w="2016" w:type="pct"/>
          </w:tcPr>
          <w:p w14:paraId="6403FBAB" w14:textId="2B94A31C" w:rsidR="00D71066" w:rsidRPr="005E3251" w:rsidRDefault="00D71066" w:rsidP="00D87CFA">
            <w:pPr>
              <w:pStyle w:val="TableText0"/>
              <w:keepLines/>
            </w:pPr>
            <w:r w:rsidRPr="005E3251">
              <w:t>Table 3-6, p155 of the submission * sample input</w:t>
            </w:r>
          </w:p>
        </w:tc>
      </w:tr>
      <w:tr w:rsidR="008368D3" w:rsidRPr="005E3251" w14:paraId="431FBFC8" w14:textId="77777777" w:rsidTr="00D71066">
        <w:tc>
          <w:tcPr>
            <w:tcW w:w="156" w:type="pct"/>
          </w:tcPr>
          <w:p w14:paraId="6C11E5B5" w14:textId="77777777" w:rsidR="00D71066" w:rsidRPr="005E3251" w:rsidRDefault="00D71066" w:rsidP="00D87CFA">
            <w:pPr>
              <w:pStyle w:val="TableText0"/>
              <w:keepLines/>
            </w:pPr>
            <w:r w:rsidRPr="005E3251">
              <w:t>C</w:t>
            </w:r>
          </w:p>
        </w:tc>
        <w:tc>
          <w:tcPr>
            <w:tcW w:w="1102" w:type="pct"/>
            <w:vAlign w:val="center"/>
          </w:tcPr>
          <w:p w14:paraId="05A64160" w14:textId="77777777" w:rsidR="00D71066" w:rsidRPr="005E3251" w:rsidRDefault="00D71066" w:rsidP="00D87CFA">
            <w:pPr>
              <w:pStyle w:val="TableText0"/>
              <w:keepLines/>
            </w:pPr>
            <w:r w:rsidRPr="005E3251">
              <w:t>Baseline age ≥ 12</w:t>
            </w:r>
          </w:p>
        </w:tc>
        <w:tc>
          <w:tcPr>
            <w:tcW w:w="862" w:type="pct"/>
          </w:tcPr>
          <w:p w14:paraId="5626B3A6" w14:textId="77777777" w:rsidR="00D71066" w:rsidRPr="005E3251" w:rsidRDefault="00D71066" w:rsidP="00D87CFA">
            <w:pPr>
              <w:pStyle w:val="Tablenumbers"/>
              <w:keepNext/>
              <w:keepLines/>
            </w:pPr>
            <w:r w:rsidRPr="005E3251">
              <w:t>-0.3267</w:t>
            </w:r>
          </w:p>
        </w:tc>
        <w:tc>
          <w:tcPr>
            <w:tcW w:w="863" w:type="pct"/>
          </w:tcPr>
          <w:p w14:paraId="25C6D4DA" w14:textId="77777777" w:rsidR="00D71066" w:rsidRPr="005E3251" w:rsidRDefault="00D71066" w:rsidP="00D87CFA">
            <w:pPr>
              <w:pStyle w:val="Tablenumbers"/>
              <w:keepNext/>
              <w:keepLines/>
            </w:pPr>
            <w:r w:rsidRPr="005E3251">
              <w:t>-0.3267</w:t>
            </w:r>
          </w:p>
        </w:tc>
        <w:tc>
          <w:tcPr>
            <w:tcW w:w="2016" w:type="pct"/>
          </w:tcPr>
          <w:p w14:paraId="57E07819" w14:textId="6C599799" w:rsidR="00D71066" w:rsidRPr="005E3251" w:rsidRDefault="00D71066" w:rsidP="00D87CFA">
            <w:pPr>
              <w:pStyle w:val="TableText0"/>
              <w:keepLines/>
            </w:pPr>
            <w:r w:rsidRPr="005E3251">
              <w:t>Table 3-6, p155 of the submission</w:t>
            </w:r>
          </w:p>
        </w:tc>
      </w:tr>
      <w:tr w:rsidR="008368D3" w:rsidRPr="005E3251" w14:paraId="0EDF1358" w14:textId="77777777" w:rsidTr="00D71066">
        <w:tc>
          <w:tcPr>
            <w:tcW w:w="156" w:type="pct"/>
          </w:tcPr>
          <w:p w14:paraId="2AD94EA7" w14:textId="77777777" w:rsidR="00D71066" w:rsidRPr="005E3251" w:rsidRDefault="00D71066" w:rsidP="00D87CFA">
            <w:pPr>
              <w:pStyle w:val="TableText0"/>
              <w:keepLines/>
            </w:pPr>
            <w:r w:rsidRPr="005E3251">
              <w:t>D</w:t>
            </w:r>
          </w:p>
        </w:tc>
        <w:tc>
          <w:tcPr>
            <w:tcW w:w="1102" w:type="pct"/>
            <w:vAlign w:val="center"/>
          </w:tcPr>
          <w:p w14:paraId="6DAB22F3" w14:textId="77777777" w:rsidR="00D71066" w:rsidRPr="005E3251" w:rsidRDefault="00D71066" w:rsidP="00D87CFA">
            <w:pPr>
              <w:pStyle w:val="TableText0"/>
              <w:keepLines/>
            </w:pPr>
            <w:r w:rsidRPr="005E3251">
              <w:t xml:space="preserve">Stiripentol use </w:t>
            </w:r>
          </w:p>
        </w:tc>
        <w:tc>
          <w:tcPr>
            <w:tcW w:w="862" w:type="pct"/>
          </w:tcPr>
          <w:p w14:paraId="5968ACA7" w14:textId="77777777" w:rsidR="00D71066" w:rsidRPr="005E3251" w:rsidRDefault="00D71066" w:rsidP="00D87CFA">
            <w:pPr>
              <w:pStyle w:val="Tablenumbers"/>
              <w:keepNext/>
              <w:keepLines/>
            </w:pPr>
            <w:r w:rsidRPr="005E3251">
              <w:t>0.1329</w:t>
            </w:r>
          </w:p>
        </w:tc>
        <w:tc>
          <w:tcPr>
            <w:tcW w:w="863" w:type="pct"/>
          </w:tcPr>
          <w:p w14:paraId="1FB45D8F" w14:textId="77777777" w:rsidR="00D71066" w:rsidRPr="005E3251" w:rsidRDefault="00D71066" w:rsidP="00D87CFA">
            <w:pPr>
              <w:pStyle w:val="Tablenumbers"/>
              <w:keepNext/>
              <w:keepLines/>
            </w:pPr>
            <w:r w:rsidRPr="005E3251">
              <w:t>0.1329</w:t>
            </w:r>
          </w:p>
        </w:tc>
        <w:tc>
          <w:tcPr>
            <w:tcW w:w="2016" w:type="pct"/>
          </w:tcPr>
          <w:p w14:paraId="6575F716" w14:textId="63624E3C" w:rsidR="00D71066" w:rsidRPr="005E3251" w:rsidRDefault="00D71066" w:rsidP="00D87CFA">
            <w:pPr>
              <w:pStyle w:val="TableText0"/>
              <w:keepLines/>
            </w:pPr>
            <w:r w:rsidRPr="005E3251">
              <w:t>Table 3-6, p155 of the submission</w:t>
            </w:r>
          </w:p>
        </w:tc>
      </w:tr>
      <w:tr w:rsidR="008368D3" w:rsidRPr="005E3251" w14:paraId="51C9E6BA" w14:textId="77777777" w:rsidTr="00D71066">
        <w:tc>
          <w:tcPr>
            <w:tcW w:w="156" w:type="pct"/>
          </w:tcPr>
          <w:p w14:paraId="624AFCFA" w14:textId="77777777" w:rsidR="00D71066" w:rsidRPr="005E3251" w:rsidRDefault="00D71066" w:rsidP="00D87CFA">
            <w:pPr>
              <w:pStyle w:val="TableText0"/>
              <w:keepLines/>
            </w:pPr>
            <w:r w:rsidRPr="005E3251">
              <w:t>E</w:t>
            </w:r>
          </w:p>
        </w:tc>
        <w:tc>
          <w:tcPr>
            <w:tcW w:w="1102" w:type="pct"/>
            <w:vAlign w:val="center"/>
          </w:tcPr>
          <w:p w14:paraId="71D7EA25" w14:textId="77777777" w:rsidR="00D71066" w:rsidRPr="005E3251" w:rsidRDefault="00D71066" w:rsidP="00D87CFA">
            <w:pPr>
              <w:pStyle w:val="TableText0"/>
              <w:keepLines/>
            </w:pPr>
            <w:r w:rsidRPr="005E3251">
              <w:t>Term on log odds scale</w:t>
            </w:r>
          </w:p>
        </w:tc>
        <w:tc>
          <w:tcPr>
            <w:tcW w:w="862" w:type="pct"/>
          </w:tcPr>
          <w:p w14:paraId="033E79CB" w14:textId="77777777" w:rsidR="00D71066" w:rsidRPr="005E3251" w:rsidRDefault="00D71066" w:rsidP="00D87CFA">
            <w:pPr>
              <w:pStyle w:val="Tablenumbers"/>
              <w:keepNext/>
              <w:keepLines/>
            </w:pPr>
            <w:r w:rsidRPr="005E3251">
              <w:t>0.1083</w:t>
            </w:r>
          </w:p>
        </w:tc>
        <w:tc>
          <w:tcPr>
            <w:tcW w:w="863" w:type="pct"/>
          </w:tcPr>
          <w:p w14:paraId="0ED3070A" w14:textId="77777777" w:rsidR="00D71066" w:rsidRPr="005E3251" w:rsidRDefault="00D71066" w:rsidP="00D87CFA">
            <w:pPr>
              <w:pStyle w:val="Tablenumbers"/>
              <w:keepNext/>
              <w:keepLines/>
            </w:pPr>
            <w:r w:rsidRPr="005E3251">
              <w:t>0.1083</w:t>
            </w:r>
          </w:p>
        </w:tc>
        <w:tc>
          <w:tcPr>
            <w:tcW w:w="2016" w:type="pct"/>
          </w:tcPr>
          <w:p w14:paraId="50C1B724" w14:textId="77777777" w:rsidR="00D71066" w:rsidRPr="005E3251" w:rsidRDefault="00D71066" w:rsidP="00D87CFA">
            <w:pPr>
              <w:pStyle w:val="TableText0"/>
              <w:keepLines/>
            </w:pPr>
            <w:r w:rsidRPr="005E3251">
              <w:t>= A + B + C + D</w:t>
            </w:r>
          </w:p>
        </w:tc>
      </w:tr>
      <w:tr w:rsidR="008368D3" w:rsidRPr="005E3251" w14:paraId="3C37474C" w14:textId="77777777" w:rsidTr="00D71066">
        <w:tc>
          <w:tcPr>
            <w:tcW w:w="156" w:type="pct"/>
          </w:tcPr>
          <w:p w14:paraId="1E0F7D53" w14:textId="77777777" w:rsidR="00D71066" w:rsidRPr="005E3251" w:rsidRDefault="00D71066" w:rsidP="00D87CFA">
            <w:pPr>
              <w:pStyle w:val="TableText0"/>
              <w:keepLines/>
            </w:pPr>
            <w:r w:rsidRPr="005E3251">
              <w:t>D</w:t>
            </w:r>
          </w:p>
        </w:tc>
        <w:tc>
          <w:tcPr>
            <w:tcW w:w="1102" w:type="pct"/>
            <w:vAlign w:val="center"/>
          </w:tcPr>
          <w:p w14:paraId="5347ABB9" w14:textId="77777777" w:rsidR="00D71066" w:rsidRPr="005E3251" w:rsidRDefault="00D71066" w:rsidP="00D87CFA">
            <w:pPr>
              <w:pStyle w:val="TableText0"/>
              <w:keepLines/>
            </w:pPr>
            <w:r w:rsidRPr="005E3251">
              <w:t>Utility</w:t>
            </w:r>
          </w:p>
        </w:tc>
        <w:tc>
          <w:tcPr>
            <w:tcW w:w="862" w:type="pct"/>
          </w:tcPr>
          <w:p w14:paraId="7F93B87D" w14:textId="77777777" w:rsidR="00D71066" w:rsidRPr="005E3251" w:rsidRDefault="00D71066" w:rsidP="00D87CFA">
            <w:pPr>
              <w:pStyle w:val="Tablenumbers"/>
              <w:keepNext/>
              <w:keepLines/>
            </w:pPr>
            <w:r w:rsidRPr="005E3251">
              <w:t>0.5270</w:t>
            </w:r>
          </w:p>
        </w:tc>
        <w:tc>
          <w:tcPr>
            <w:tcW w:w="863" w:type="pct"/>
          </w:tcPr>
          <w:p w14:paraId="61197CE8" w14:textId="77777777" w:rsidR="00D71066" w:rsidRPr="005E3251" w:rsidRDefault="00D71066" w:rsidP="00D87CFA">
            <w:pPr>
              <w:pStyle w:val="Tablenumbers"/>
              <w:keepNext/>
              <w:keepLines/>
            </w:pPr>
            <w:r w:rsidRPr="005E3251">
              <w:t>0.5508</w:t>
            </w:r>
          </w:p>
        </w:tc>
        <w:tc>
          <w:tcPr>
            <w:tcW w:w="2016" w:type="pct"/>
          </w:tcPr>
          <w:p w14:paraId="29D9C6E5" w14:textId="77777777" w:rsidR="00D71066" w:rsidRPr="005E3251" w:rsidRDefault="00D71066" w:rsidP="00D87CFA">
            <w:pPr>
              <w:pStyle w:val="TableText0"/>
              <w:keepLines/>
            </w:pPr>
            <w:r w:rsidRPr="005E3251">
              <w:t>= exp (E)/(1 + EXP (E))</w:t>
            </w:r>
          </w:p>
        </w:tc>
      </w:tr>
    </w:tbl>
    <w:p w14:paraId="5613D83A" w14:textId="22DC906A" w:rsidR="00D71066" w:rsidRPr="005E3251" w:rsidRDefault="00D71066" w:rsidP="00D87CFA">
      <w:pPr>
        <w:pStyle w:val="TableFigureFooter"/>
        <w:keepNext/>
        <w:keepLines/>
      </w:pPr>
      <w:r w:rsidRPr="005E3251">
        <w:t xml:space="preserve">Source: Sheet ‘Util’ of the Section 3 workbook. </w:t>
      </w:r>
    </w:p>
    <w:p w14:paraId="7ACCEA3B" w14:textId="44C92AB1" w:rsidR="00D71066" w:rsidRPr="005E3251" w:rsidRDefault="00D71066" w:rsidP="00D71066">
      <w:pPr>
        <w:pStyle w:val="TableFigureFooter"/>
      </w:pPr>
      <w:r w:rsidRPr="005E3251">
        <w:t xml:space="preserve">CSF = convulsive seizure frequency. </w:t>
      </w:r>
    </w:p>
    <w:p w14:paraId="7AB358B2" w14:textId="387BD1B3" w:rsidR="00D71066" w:rsidRPr="00D87CFA" w:rsidRDefault="00D71066" w:rsidP="00D87CFA">
      <w:pPr>
        <w:pStyle w:val="3-BodyText"/>
      </w:pPr>
      <w:r w:rsidRPr="00D87CFA">
        <w:t xml:space="preserve">The regression equation was tested during the evaluation to estimate the utility of a 21 year old patient who was seizure-free (0.5508). This appeared low but </w:t>
      </w:r>
      <w:r w:rsidR="00741291" w:rsidRPr="00D87CFA">
        <w:t xml:space="preserve">the evaluation considered </w:t>
      </w:r>
      <w:r w:rsidRPr="00D87CFA">
        <w:t xml:space="preserve">may be consistent with a patient experiencing the long-term </w:t>
      </w:r>
      <w:r w:rsidRPr="00D87CFA">
        <w:lastRenderedPageBreak/>
        <w:t>quality of life impact of chronic convulsive seizures. The results also suggest that reducing monthly CSF from 33 to 0 makes a difference of 0.02 to the utility value, which appeared small considering the expected quality of life impact of reducing seizure frequency from at least daily to none.</w:t>
      </w:r>
    </w:p>
    <w:p w14:paraId="0546F4AD" w14:textId="165BF7B4" w:rsidR="007E153F" w:rsidRPr="00D87CFA" w:rsidRDefault="00CE7338" w:rsidP="00D87CFA">
      <w:pPr>
        <w:pStyle w:val="3-BodyText"/>
      </w:pPr>
      <w:r w:rsidRPr="00D87CFA">
        <w:t xml:space="preserve">In each model cycle, mean </w:t>
      </w:r>
      <w:r w:rsidR="00157D66" w:rsidRPr="00D87CFA">
        <w:t>CSF</w:t>
      </w:r>
      <w:r w:rsidRPr="00D87CFA">
        <w:t xml:space="preserve"> was estimated for each intervention in each cohort based on the proportions in the ‘alive on treatment’ and ‘alive discontinued’ health state. In each model cycle, the utility for each intervention in each cohort was re-estimated using the regression equation and the cycle-specific estimate of mean </w:t>
      </w:r>
      <w:r w:rsidR="00157D66" w:rsidRPr="00D87CFA">
        <w:t>CSF</w:t>
      </w:r>
      <w:r w:rsidRPr="00D87CFA">
        <w:t xml:space="preserve">. Linking EQ-5D-Y to </w:t>
      </w:r>
      <w:r w:rsidR="00157D66" w:rsidRPr="00D87CFA">
        <w:t>CSF</w:t>
      </w:r>
      <w:r w:rsidRPr="00D87CFA">
        <w:t xml:space="preserve"> added complexity but</w:t>
      </w:r>
      <w:r w:rsidR="003E464E" w:rsidRPr="00D87CFA">
        <w:t xml:space="preserve"> was</w:t>
      </w:r>
      <w:r w:rsidRPr="00D87CFA">
        <w:t xml:space="preserve"> reasonable given no utility data were collected in the cannabidiol trials. </w:t>
      </w:r>
    </w:p>
    <w:p w14:paraId="0429306A" w14:textId="5D6F6F76" w:rsidR="00CE7338" w:rsidRPr="00D87CFA" w:rsidRDefault="00CE7338" w:rsidP="00D87CFA">
      <w:pPr>
        <w:pStyle w:val="3-BodyText"/>
      </w:pPr>
      <w:r w:rsidRPr="00D87CFA">
        <w:t>The submission estimated treatment costs (weight-based dosing) for fenfluramine, cannabidiol, and stiripentol using the ANZSPED age/weight chart. The submission stated that the proposed pack size for fenfluramine (360</w:t>
      </w:r>
      <w:r w:rsidR="00181907">
        <w:t> </w:t>
      </w:r>
      <w:r w:rsidRPr="00D87CFA">
        <w:t>mL of 2.2 mg/mL solution) would accommodate both the recommended titration and weight-based dosing schedules across a heterogeneous patient population. Individuals aged 12 and over receiving fenfluramine without stiripentol (Cohort 2) will use approximately one pack per month. However, for younger children or individuals receiving fenfluramine with stiripentol (Cohort 1), each pack of fenfluramine will last much longer than one month.</w:t>
      </w:r>
    </w:p>
    <w:p w14:paraId="6BDCC73F" w14:textId="5EB8A2D7" w:rsidR="007B1E4F" w:rsidRPr="00D87CFA" w:rsidRDefault="007B1E4F" w:rsidP="00D87CFA">
      <w:pPr>
        <w:pStyle w:val="3-BodyText"/>
      </w:pPr>
      <w:r w:rsidRPr="00D87CFA">
        <w:t xml:space="preserve">The submission assumed that patients receiving fenfluramine in Cohort 1 would receive 0.4 mg/kg/day, with a maximum daily dose of 17 mg. The submission assumed that patients receiving fenfluramine in Cohort 2 would receive 0.7 mg/kg/day, with a maximum daily dose of 26 mg. </w:t>
      </w:r>
    </w:p>
    <w:p w14:paraId="29ACECDD" w14:textId="1243E43A" w:rsidR="00E05EF4" w:rsidRPr="00D87CFA" w:rsidRDefault="00CE7338" w:rsidP="00D87CFA">
      <w:pPr>
        <w:pStyle w:val="3-BodyText"/>
      </w:pPr>
      <w:bookmarkStart w:id="84" w:name="_Ref177302616"/>
      <w:bookmarkStart w:id="85" w:name="_Ref176624258"/>
      <w:r w:rsidRPr="00D87CFA">
        <w:t xml:space="preserve">The submission assumed an average cannabidiol dose of 15 mg/kg/day. </w:t>
      </w:r>
      <w:r w:rsidR="004C67EC" w:rsidRPr="00D87CFA">
        <w:t xml:space="preserve">The PBAC previously noted clinical advice that a dose of 10 mg/kg/day or less </w:t>
      </w:r>
      <w:r w:rsidR="00FA4733" w:rsidRPr="00D87CFA">
        <w:t xml:space="preserve">of cannabidiol </w:t>
      </w:r>
      <w:r w:rsidR="004C67EC" w:rsidRPr="00D87CFA">
        <w:t xml:space="preserve">was likely to be used in most patients with Dravet Syndrome (para. 11.5, cannabidiol, PSD, addendum to the July 2020 PBAC Minutes). </w:t>
      </w:r>
      <w:r w:rsidR="00E05EF4" w:rsidRPr="00D87CFA">
        <w:t>Assuming an average cannabidiol dose of 15 mg/kg/day was inconsistent with previous PBAC advice.</w:t>
      </w:r>
      <w:bookmarkEnd w:id="84"/>
    </w:p>
    <w:p w14:paraId="0CBBFAB1" w14:textId="0A08C584" w:rsidR="00F236F9" w:rsidRPr="00D87CFA" w:rsidRDefault="00F236F9" w:rsidP="00D87CFA">
      <w:pPr>
        <w:pStyle w:val="3-BodyText"/>
      </w:pPr>
      <w:bookmarkStart w:id="86" w:name="_Hlk177320125"/>
      <w:bookmarkStart w:id="87" w:name="_Hlk177320085"/>
      <w:r w:rsidRPr="00D87CFA">
        <w:t>The submission assumed an average stiripentol dose of 50 mg/kg/day</w:t>
      </w:r>
      <w:bookmarkEnd w:id="86"/>
      <w:r w:rsidR="00F53620" w:rsidRPr="00D87CFA">
        <w:t xml:space="preserve">. The cost of stiripentol was applied to 100% </w:t>
      </w:r>
      <w:r w:rsidR="00632277" w:rsidRPr="00D87CFA">
        <w:t xml:space="preserve">of </w:t>
      </w:r>
      <w:r w:rsidR="00F53620" w:rsidRPr="00D87CFA">
        <w:t>patients in Cohort 1 and 0% of the patients in Cohort 2. This was inconsistent with the GWPCARE1 and GWPCARE2 trials, where 42% and 34% of patients were treated with stiripentol, respectively</w:t>
      </w:r>
      <w:r w:rsidRPr="00D87CFA">
        <w:t xml:space="preserve">. </w:t>
      </w:r>
      <w:r w:rsidR="00F53620" w:rsidRPr="00D87CFA">
        <w:t xml:space="preserve">In Cohort 1, the model applied the cost of stiripentol to all patients, when the effectiveness estimates for cannabidiol included trial participants who did not receive stiripentol. Conversely in Cohort 2, the model assumed no cost for stiripentol, when the effectiveness estimates for cannabidiol included patients who also received stiripentol. </w:t>
      </w:r>
      <w:r w:rsidR="003C2613" w:rsidRPr="00D87CFA">
        <w:t>This</w:t>
      </w:r>
      <w:r w:rsidR="00CA3A32" w:rsidRPr="00D87CFA">
        <w:t xml:space="preserve"> evaluation and ESC considered this</w:t>
      </w:r>
      <w:r w:rsidR="003C2613" w:rsidRPr="00D87CFA">
        <w:t xml:space="preserve"> was not </w:t>
      </w:r>
      <w:r w:rsidR="00632277" w:rsidRPr="00D87CFA">
        <w:t>reasonable</w:t>
      </w:r>
      <w:r w:rsidR="003C2613" w:rsidRPr="00D87CFA">
        <w:t>.</w:t>
      </w:r>
      <w:r w:rsidRPr="00D87CFA">
        <w:t xml:space="preserve">  </w:t>
      </w:r>
    </w:p>
    <w:bookmarkEnd w:id="87"/>
    <w:p w14:paraId="3B32F3DA" w14:textId="3613E345" w:rsidR="00CE7338" w:rsidRPr="00D87CFA" w:rsidRDefault="00CE7338" w:rsidP="00D87CFA">
      <w:pPr>
        <w:pStyle w:val="3-BodyText"/>
      </w:pPr>
      <w:r w:rsidRPr="00D87CFA">
        <w:t xml:space="preserve">The cost of medicine (fenfluramine and cannabidiol) </w:t>
      </w:r>
      <w:r w:rsidR="00351641" w:rsidRPr="00D87CFA">
        <w:t xml:space="preserve">was </w:t>
      </w:r>
      <w:r w:rsidRPr="00D87CFA">
        <w:t xml:space="preserve">the key cost driver in the model. In Cohort 1 the per cycle cost of cannabidiol with stiripentol was greater than the cost of fenfluramine with stiripentol. In Cohort 2, after 9 years (when patients reach age 19) the per cycle cost of cannabidiol was greater than the cost of fenfluramine. The modelled start age was 9 years and the estimated daily dose of </w:t>
      </w:r>
      <w:r w:rsidRPr="00D87CFA">
        <w:lastRenderedPageBreak/>
        <w:t xml:space="preserve">cannabidiol is 15 mg/kg/day, which means from the first model cycle, patients were treated with a cannabidiol dose that would require more than one </w:t>
      </w:r>
      <w:r w:rsidR="00E05EF4" w:rsidRPr="00D87CFA">
        <w:t xml:space="preserve">bottle </w:t>
      </w:r>
      <w:r w:rsidRPr="00D87CFA">
        <w:t>per month</w:t>
      </w:r>
      <w:r w:rsidR="00A72438" w:rsidRPr="00D87CFA">
        <w:t>, which continued to increase</w:t>
      </w:r>
      <w:r w:rsidR="000D4579" w:rsidRPr="00D87CFA">
        <w:t xml:space="preserve"> as patients became older</w:t>
      </w:r>
      <w:r w:rsidRPr="00D87CFA">
        <w:t>. The cohort-level ICERs and the weighted ICER were sensitive to changes in the proportion of patients receiving cannabidiol 10 mg/kg/day.</w:t>
      </w:r>
      <w:bookmarkEnd w:id="85"/>
      <w:r w:rsidR="00CA3A32" w:rsidRPr="00D87CFA">
        <w:t xml:space="preserve"> The ESC considered the inputs that determined the price of cannabidiol (+/- stiripentol) in the model to be questionable and inconsistent with prior PBAC advice, which likely overestimated its cost. </w:t>
      </w:r>
    </w:p>
    <w:p w14:paraId="476D6194" w14:textId="77777777" w:rsidR="00CE7338" w:rsidRPr="00D87CFA" w:rsidRDefault="00CE7338" w:rsidP="00D87CFA">
      <w:pPr>
        <w:pStyle w:val="3-BodyText"/>
      </w:pPr>
      <w:r w:rsidRPr="00D87CFA">
        <w:t xml:space="preserve">The model did not consider wastage. Excluding wastage in discontinuing patients underestimated the costs of fenfluramine, cannabidiol, and stiripentol. </w:t>
      </w:r>
    </w:p>
    <w:p w14:paraId="4A453D1D" w14:textId="3C21B1EC" w:rsidR="00CE7338" w:rsidRPr="00D87CFA" w:rsidRDefault="00CE7338" w:rsidP="00D87CFA">
      <w:pPr>
        <w:pStyle w:val="3-BodyText"/>
      </w:pPr>
      <w:r w:rsidRPr="00D87CFA">
        <w:t xml:space="preserve">The submission base case assumed an effective price for cannabidiol that was </w:t>
      </w:r>
      <w:r w:rsidR="008114C4" w:rsidRPr="008114C4">
        <w:rPr>
          <w:color w:val="000000"/>
          <w:w w:val="61"/>
          <w:shd w:val="solid" w:color="000000" w:fill="000000"/>
          <w:fitText w:val="473" w:id="-761538548"/>
          <w14:textFill>
            <w14:solidFill>
              <w14:srgbClr w14:val="000000">
                <w14:alpha w14:val="100000"/>
              </w14:srgbClr>
            </w14:solidFill>
          </w14:textFill>
        </w:rPr>
        <w:t>|||  ||</w:t>
      </w:r>
      <w:r w:rsidR="008114C4" w:rsidRPr="008114C4">
        <w:rPr>
          <w:color w:val="000000"/>
          <w:spacing w:val="3"/>
          <w:w w:val="61"/>
          <w:shd w:val="solid" w:color="000000" w:fill="000000"/>
          <w:fitText w:val="473" w:id="-761538548"/>
          <w14:textFill>
            <w14:solidFill>
              <w14:srgbClr w14:val="000000">
                <w14:alpha w14:val="100000"/>
              </w14:srgbClr>
            </w14:solidFill>
          </w14:textFill>
        </w:rPr>
        <w:t>|</w:t>
      </w:r>
      <w:r w:rsidRPr="00D87CFA">
        <w:t xml:space="preserve">% lower than the published price. </w:t>
      </w:r>
    </w:p>
    <w:p w14:paraId="587A281A" w14:textId="1ECEC115" w:rsidR="0016791F" w:rsidRPr="00D87CFA" w:rsidRDefault="0016791F" w:rsidP="00D87CFA">
      <w:pPr>
        <w:pStyle w:val="3-BodyText"/>
      </w:pPr>
      <w:r w:rsidRPr="00D87CFA">
        <w:t xml:space="preserve">The submission estimated a weighted ICER across Cohorts 1 and 2 by weighting costs and QALYs for each cohort separately (31%:69%), then dividing weighted costs by weighted QALYs. </w:t>
      </w:r>
    </w:p>
    <w:p w14:paraId="27D59F47" w14:textId="3F53F5E5" w:rsidR="00CE7338" w:rsidRPr="00D87CFA" w:rsidRDefault="00CE7338" w:rsidP="00D87CFA">
      <w:pPr>
        <w:pStyle w:val="3-BodyText"/>
      </w:pPr>
      <w:r w:rsidRPr="00D87CFA">
        <w:t xml:space="preserve">The submission did not present a stepped evaluation. The stepped economic evaluation presented in </w:t>
      </w:r>
      <w:r w:rsidR="00B93DF8" w:rsidRPr="00D87CFA">
        <w:fldChar w:fldCharType="begin" w:fldLock="1"/>
      </w:r>
      <w:r w:rsidR="00B93DF8" w:rsidRPr="00D87CFA">
        <w:instrText xml:space="preserve"> REF _Ref104805160 \h </w:instrText>
      </w:r>
      <w:r w:rsidR="005E3251" w:rsidRPr="00D87CFA">
        <w:instrText xml:space="preserve"> \* MERGEFORMAT </w:instrText>
      </w:r>
      <w:r w:rsidR="00B93DF8" w:rsidRPr="00D87CFA">
        <w:fldChar w:fldCharType="separate"/>
      </w:r>
      <w:r w:rsidR="00D72887" w:rsidRPr="00D87CFA">
        <w:t>Table 17</w:t>
      </w:r>
      <w:r w:rsidR="00B93DF8" w:rsidRPr="00D87CFA">
        <w:fldChar w:fldCharType="end"/>
      </w:r>
      <w:r w:rsidRPr="00D87CFA">
        <w:t xml:space="preserve"> was prepared during the evaluation. </w:t>
      </w:r>
    </w:p>
    <w:p w14:paraId="494C317F" w14:textId="1DCFCFF6" w:rsidR="00CE7338" w:rsidRPr="005E3251" w:rsidRDefault="00CE7338" w:rsidP="00D87CFA">
      <w:pPr>
        <w:pStyle w:val="Caption"/>
        <w:rPr>
          <w:rStyle w:val="CommentReference"/>
          <w:b/>
        </w:rPr>
      </w:pPr>
      <w:bookmarkStart w:id="88" w:name="_Ref104805160"/>
      <w:bookmarkStart w:id="89" w:name="_Hlk174893685"/>
      <w:r w:rsidRPr="005E3251">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17</w:t>
      </w:r>
      <w:r w:rsidR="00D72887">
        <w:rPr>
          <w:noProof/>
        </w:rPr>
        <w:fldChar w:fldCharType="end"/>
      </w:r>
      <w:bookmarkEnd w:id="88"/>
      <w:r w:rsidRPr="005E3251">
        <w:t>:</w:t>
      </w:r>
      <w:r w:rsidRPr="005E3251">
        <w:rPr>
          <w:rStyle w:val="CommentReference"/>
          <w:b/>
        </w:rPr>
        <w:t xml:space="preserve"> Results of the stepped economic evaluation</w:t>
      </w:r>
      <w:r w:rsidR="00507AEC" w:rsidRPr="005E3251">
        <w:rPr>
          <w:rStyle w:val="CommentReference"/>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03"/>
        <w:gridCol w:w="1096"/>
        <w:gridCol w:w="9"/>
        <w:gridCol w:w="1089"/>
        <w:gridCol w:w="1098"/>
        <w:gridCol w:w="1098"/>
        <w:gridCol w:w="1051"/>
        <w:gridCol w:w="1151"/>
        <w:gridCol w:w="922"/>
      </w:tblGrid>
      <w:tr w:rsidR="006B5229" w:rsidRPr="005E3251" w14:paraId="27D5F7E2" w14:textId="77777777">
        <w:trPr>
          <w:tblHeader/>
        </w:trPr>
        <w:tc>
          <w:tcPr>
            <w:tcW w:w="833" w:type="pct"/>
            <w:vMerge w:val="restart"/>
            <w:vAlign w:val="center"/>
          </w:tcPr>
          <w:p w14:paraId="0B13B2A7" w14:textId="77777777" w:rsidR="00CE7338" w:rsidRPr="005E3251" w:rsidRDefault="00CE7338" w:rsidP="00D87CFA">
            <w:pPr>
              <w:pStyle w:val="In-tableHeading"/>
              <w:keepLines/>
            </w:pPr>
            <w:r w:rsidRPr="005E3251">
              <w:t>Step and component</w:t>
            </w:r>
          </w:p>
        </w:tc>
        <w:tc>
          <w:tcPr>
            <w:tcW w:w="1825" w:type="pct"/>
            <w:gridSpan w:val="4"/>
            <w:vAlign w:val="center"/>
          </w:tcPr>
          <w:p w14:paraId="0DB95829" w14:textId="77777777" w:rsidR="00CE7338" w:rsidRPr="005E3251" w:rsidRDefault="00CE7338" w:rsidP="00D87CFA">
            <w:pPr>
              <w:pStyle w:val="In-tableHeading"/>
              <w:keepLines/>
            </w:pPr>
            <w:r w:rsidRPr="005E3251">
              <w:t>Cohort 1</w:t>
            </w:r>
          </w:p>
        </w:tc>
        <w:tc>
          <w:tcPr>
            <w:tcW w:w="1830" w:type="pct"/>
            <w:gridSpan w:val="3"/>
          </w:tcPr>
          <w:p w14:paraId="1A77C5CF" w14:textId="77777777" w:rsidR="00CE7338" w:rsidRPr="005E3251" w:rsidRDefault="00CE7338" w:rsidP="00D87CFA">
            <w:pPr>
              <w:pStyle w:val="In-tableHeading"/>
              <w:keepLines/>
            </w:pPr>
            <w:r w:rsidRPr="005E3251">
              <w:t>Cohort 2</w:t>
            </w:r>
          </w:p>
        </w:tc>
        <w:tc>
          <w:tcPr>
            <w:tcW w:w="511" w:type="pct"/>
            <w:vMerge w:val="restart"/>
            <w:vAlign w:val="center"/>
          </w:tcPr>
          <w:p w14:paraId="7FEC506A" w14:textId="77777777" w:rsidR="00CE7338" w:rsidRPr="005E3251" w:rsidRDefault="00CE7338" w:rsidP="00D87CFA">
            <w:pPr>
              <w:pStyle w:val="In-tableHeading"/>
              <w:keepLines/>
            </w:pPr>
            <w:r w:rsidRPr="005E3251">
              <w:t>Weighted Increment</w:t>
            </w:r>
          </w:p>
        </w:tc>
      </w:tr>
      <w:tr w:rsidR="006B5229" w:rsidRPr="005E3251" w14:paraId="18A84741" w14:textId="77777777">
        <w:trPr>
          <w:tblHeader/>
        </w:trPr>
        <w:tc>
          <w:tcPr>
            <w:tcW w:w="833" w:type="pct"/>
            <w:vMerge/>
            <w:vAlign w:val="center"/>
          </w:tcPr>
          <w:p w14:paraId="569358DD" w14:textId="77777777" w:rsidR="00CE7338" w:rsidRPr="005E3251" w:rsidRDefault="00CE7338" w:rsidP="00D87CFA">
            <w:pPr>
              <w:pStyle w:val="In-tableHeading"/>
              <w:keepLines/>
            </w:pPr>
          </w:p>
        </w:tc>
        <w:tc>
          <w:tcPr>
            <w:tcW w:w="613" w:type="pct"/>
            <w:gridSpan w:val="2"/>
            <w:vAlign w:val="center"/>
          </w:tcPr>
          <w:p w14:paraId="6DC5063A" w14:textId="77777777" w:rsidR="00CE7338" w:rsidRPr="005E3251" w:rsidRDefault="00CE7338" w:rsidP="00D87CFA">
            <w:pPr>
              <w:pStyle w:val="In-tableHeading"/>
              <w:keepLines/>
            </w:pPr>
            <w:r w:rsidRPr="005E3251">
              <w:t>Fenfluramine</w:t>
            </w:r>
          </w:p>
        </w:tc>
        <w:tc>
          <w:tcPr>
            <w:tcW w:w="604" w:type="pct"/>
            <w:vAlign w:val="center"/>
          </w:tcPr>
          <w:p w14:paraId="3A8CC725" w14:textId="77777777" w:rsidR="00CE7338" w:rsidRPr="005E3251" w:rsidRDefault="00CE7338" w:rsidP="00D87CFA">
            <w:pPr>
              <w:pStyle w:val="In-tableHeading"/>
              <w:keepLines/>
            </w:pPr>
            <w:r w:rsidRPr="005E3251">
              <w:t>Cannabidiol</w:t>
            </w:r>
          </w:p>
        </w:tc>
        <w:tc>
          <w:tcPr>
            <w:tcW w:w="609" w:type="pct"/>
          </w:tcPr>
          <w:p w14:paraId="45C0BBD2" w14:textId="77777777" w:rsidR="00CE7338" w:rsidRPr="005E3251" w:rsidRDefault="00CE7338" w:rsidP="00D87CFA">
            <w:pPr>
              <w:pStyle w:val="In-tableHeading"/>
              <w:keepLines/>
            </w:pPr>
            <w:r w:rsidRPr="005E3251">
              <w:t>Increment</w:t>
            </w:r>
          </w:p>
        </w:tc>
        <w:tc>
          <w:tcPr>
            <w:tcW w:w="609" w:type="pct"/>
          </w:tcPr>
          <w:p w14:paraId="0DF237EA" w14:textId="77777777" w:rsidR="00CE7338" w:rsidRPr="005E3251" w:rsidRDefault="00CE7338" w:rsidP="00D87CFA">
            <w:pPr>
              <w:pStyle w:val="In-tableHeading"/>
              <w:keepLines/>
            </w:pPr>
            <w:r w:rsidRPr="005E3251">
              <w:t>Fenfluramine</w:t>
            </w:r>
          </w:p>
        </w:tc>
        <w:tc>
          <w:tcPr>
            <w:tcW w:w="583" w:type="pct"/>
          </w:tcPr>
          <w:p w14:paraId="2057D092" w14:textId="77777777" w:rsidR="00CE7338" w:rsidRPr="005E3251" w:rsidRDefault="00CE7338" w:rsidP="00D87CFA">
            <w:pPr>
              <w:pStyle w:val="In-tableHeading"/>
              <w:keepLines/>
            </w:pPr>
            <w:r w:rsidRPr="005E3251">
              <w:t>Cannabidiol</w:t>
            </w:r>
          </w:p>
        </w:tc>
        <w:tc>
          <w:tcPr>
            <w:tcW w:w="638" w:type="pct"/>
          </w:tcPr>
          <w:p w14:paraId="63E92C3B" w14:textId="77777777" w:rsidR="00CE7338" w:rsidRPr="005E3251" w:rsidRDefault="00CE7338" w:rsidP="00D87CFA">
            <w:pPr>
              <w:pStyle w:val="In-tableHeading"/>
              <w:keepLines/>
            </w:pPr>
            <w:r w:rsidRPr="005E3251">
              <w:t>Increment</w:t>
            </w:r>
          </w:p>
        </w:tc>
        <w:tc>
          <w:tcPr>
            <w:tcW w:w="511" w:type="pct"/>
            <w:vMerge/>
            <w:vAlign w:val="center"/>
          </w:tcPr>
          <w:p w14:paraId="0352C04F" w14:textId="77777777" w:rsidR="00CE7338" w:rsidRPr="005E3251" w:rsidRDefault="00CE7338" w:rsidP="00D87CFA">
            <w:pPr>
              <w:pStyle w:val="In-tableHeading"/>
              <w:keepLines/>
            </w:pPr>
          </w:p>
        </w:tc>
      </w:tr>
      <w:tr w:rsidR="006B5229" w:rsidRPr="005E3251" w14:paraId="5C92F879" w14:textId="77777777">
        <w:tc>
          <w:tcPr>
            <w:tcW w:w="5000" w:type="pct"/>
            <w:gridSpan w:val="9"/>
          </w:tcPr>
          <w:p w14:paraId="0AC25712" w14:textId="77777777" w:rsidR="00CE7338" w:rsidRPr="005E3251" w:rsidRDefault="00CE7338" w:rsidP="00D87CFA">
            <w:pPr>
              <w:pStyle w:val="In-tableHeading"/>
              <w:keepLines/>
            </w:pPr>
            <w:r w:rsidRPr="005E3251">
              <w:t>Step 1: Trial-based costs and outcomes</w:t>
            </w:r>
            <w:r w:rsidRPr="005E3251">
              <w:rPr>
                <w:vertAlign w:val="superscript"/>
              </w:rPr>
              <w:t>a</w:t>
            </w:r>
          </w:p>
        </w:tc>
      </w:tr>
      <w:tr w:rsidR="006B5229" w:rsidRPr="005E3251" w14:paraId="53118F52" w14:textId="77777777" w:rsidTr="008114C4">
        <w:tc>
          <w:tcPr>
            <w:tcW w:w="833" w:type="pct"/>
            <w:vAlign w:val="center"/>
          </w:tcPr>
          <w:p w14:paraId="0D5316DF" w14:textId="2EC90513" w:rsidR="00CE7338" w:rsidRPr="005E3251" w:rsidRDefault="00CE7338" w:rsidP="00D87CFA">
            <w:pPr>
              <w:pStyle w:val="TableText0"/>
              <w:keepLines/>
              <w:rPr>
                <w:rFonts w:ascii="Times" w:hAnsi="Times"/>
              </w:rPr>
            </w:pPr>
            <w:r w:rsidRPr="005E3251">
              <w:t>Costs</w:t>
            </w:r>
            <w:r w:rsidR="001406A5">
              <w:t xml:space="preserve"> ($)</w:t>
            </w:r>
          </w:p>
        </w:tc>
        <w:tc>
          <w:tcPr>
            <w:tcW w:w="613" w:type="pct"/>
            <w:gridSpan w:val="2"/>
            <w:shd w:val="solid" w:color="000000" w:fill="000000"/>
            <w:vAlign w:val="center"/>
          </w:tcPr>
          <w:p w14:paraId="47A1257B" w14:textId="0582748C" w:rsidR="00CE7338" w:rsidRPr="001406A5" w:rsidRDefault="008114C4" w:rsidP="00D87CFA">
            <w:pPr>
              <w:pStyle w:val="Tablenumbers"/>
              <w:keepNext/>
              <w:keepLines/>
              <w:rPr>
                <w:rFonts w:ascii="Times" w:hAnsi="Times"/>
                <w:highlight w:val="darkGray"/>
              </w:rPr>
            </w:pPr>
            <w:r w:rsidRPr="008114C4">
              <w:rPr>
                <w:color w:val="000000"/>
                <w:spacing w:val="54"/>
                <w:fitText w:val="333" w:id="-761538547"/>
                <w14:textFill>
                  <w14:solidFill>
                    <w14:srgbClr w14:val="000000">
                      <w14:alpha w14:val="100000"/>
                    </w14:srgbClr>
                  </w14:solidFill>
                </w14:textFill>
              </w:rPr>
              <w:t>|||</w:t>
            </w:r>
            <w:r w:rsidRPr="008114C4">
              <w:rPr>
                <w:color w:val="000000"/>
                <w:spacing w:val="1"/>
                <w:fitText w:val="333" w:id="-761538547"/>
                <w14:textFill>
                  <w14:solidFill>
                    <w14:srgbClr w14:val="000000">
                      <w14:alpha w14:val="100000"/>
                    </w14:srgbClr>
                  </w14:solidFill>
                </w14:textFill>
              </w:rPr>
              <w:t>|</w:t>
            </w:r>
          </w:p>
        </w:tc>
        <w:tc>
          <w:tcPr>
            <w:tcW w:w="604" w:type="pct"/>
            <w:shd w:val="solid" w:color="000000" w:fill="000000"/>
            <w:vAlign w:val="center"/>
          </w:tcPr>
          <w:p w14:paraId="0C27A991" w14:textId="4ECE8C24" w:rsidR="00CE7338" w:rsidRPr="001406A5" w:rsidRDefault="008114C4" w:rsidP="00D87CFA">
            <w:pPr>
              <w:pStyle w:val="Tablenumbers"/>
              <w:keepNext/>
              <w:keepLines/>
              <w:rPr>
                <w:rFonts w:ascii="Times" w:hAnsi="Times"/>
                <w:highlight w:val="darkGray"/>
              </w:rPr>
            </w:pPr>
            <w:r w:rsidRPr="008114C4">
              <w:rPr>
                <w:color w:val="000000"/>
                <w:spacing w:val="49"/>
                <w:fitText w:val="320" w:id="-761538546"/>
                <w14:textFill>
                  <w14:solidFill>
                    <w14:srgbClr w14:val="000000">
                      <w14:alpha w14:val="100000"/>
                    </w14:srgbClr>
                  </w14:solidFill>
                </w14:textFill>
              </w:rPr>
              <w:t>|||</w:t>
            </w:r>
            <w:r w:rsidRPr="008114C4">
              <w:rPr>
                <w:color w:val="000000"/>
                <w:spacing w:val="3"/>
                <w:fitText w:val="320" w:id="-761538546"/>
                <w14:textFill>
                  <w14:solidFill>
                    <w14:srgbClr w14:val="000000">
                      <w14:alpha w14:val="100000"/>
                    </w14:srgbClr>
                  </w14:solidFill>
                </w14:textFill>
              </w:rPr>
              <w:t>|</w:t>
            </w:r>
          </w:p>
        </w:tc>
        <w:tc>
          <w:tcPr>
            <w:tcW w:w="609" w:type="pct"/>
            <w:shd w:val="solid" w:color="000000" w:fill="000000"/>
          </w:tcPr>
          <w:p w14:paraId="68A0D6E5" w14:textId="51E3BB1C" w:rsidR="00CE7338" w:rsidRPr="001406A5" w:rsidRDefault="008114C4" w:rsidP="00D87CFA">
            <w:pPr>
              <w:pStyle w:val="Tablenumbers"/>
              <w:keepNext/>
              <w:keepLines/>
              <w:rPr>
                <w:highlight w:val="darkGray"/>
              </w:rPr>
            </w:pPr>
            <w:r w:rsidRPr="008114C4">
              <w:rPr>
                <w:color w:val="000000"/>
                <w:spacing w:val="49"/>
                <w:fitText w:val="320" w:id="-761538545"/>
                <w14:textFill>
                  <w14:solidFill>
                    <w14:srgbClr w14:val="000000">
                      <w14:alpha w14:val="100000"/>
                    </w14:srgbClr>
                  </w14:solidFill>
                </w14:textFill>
              </w:rPr>
              <w:t>|||</w:t>
            </w:r>
            <w:r w:rsidRPr="008114C4">
              <w:rPr>
                <w:color w:val="000000"/>
                <w:spacing w:val="3"/>
                <w:fitText w:val="320" w:id="-761538545"/>
                <w14:textFill>
                  <w14:solidFill>
                    <w14:srgbClr w14:val="000000">
                      <w14:alpha w14:val="100000"/>
                    </w14:srgbClr>
                  </w14:solidFill>
                </w14:textFill>
              </w:rPr>
              <w:t>|</w:t>
            </w:r>
          </w:p>
        </w:tc>
        <w:tc>
          <w:tcPr>
            <w:tcW w:w="609" w:type="pct"/>
            <w:shd w:val="solid" w:color="000000" w:fill="000000"/>
          </w:tcPr>
          <w:p w14:paraId="7D610A5F" w14:textId="63FF22F1" w:rsidR="00CE7338" w:rsidRPr="001406A5" w:rsidRDefault="008114C4" w:rsidP="00D87CFA">
            <w:pPr>
              <w:pStyle w:val="Tablenumbers"/>
              <w:keepNext/>
              <w:keepLines/>
              <w:rPr>
                <w:highlight w:val="darkGray"/>
              </w:rPr>
            </w:pPr>
            <w:r w:rsidRPr="008114C4">
              <w:rPr>
                <w:color w:val="000000"/>
                <w:spacing w:val="49"/>
                <w:fitText w:val="320" w:id="-761538544"/>
                <w14:textFill>
                  <w14:solidFill>
                    <w14:srgbClr w14:val="000000">
                      <w14:alpha w14:val="100000"/>
                    </w14:srgbClr>
                  </w14:solidFill>
                </w14:textFill>
              </w:rPr>
              <w:t>|||</w:t>
            </w:r>
            <w:r w:rsidRPr="008114C4">
              <w:rPr>
                <w:color w:val="000000"/>
                <w:spacing w:val="3"/>
                <w:fitText w:val="320" w:id="-761538544"/>
                <w14:textFill>
                  <w14:solidFill>
                    <w14:srgbClr w14:val="000000">
                      <w14:alpha w14:val="100000"/>
                    </w14:srgbClr>
                  </w14:solidFill>
                </w14:textFill>
              </w:rPr>
              <w:t>|</w:t>
            </w:r>
          </w:p>
        </w:tc>
        <w:tc>
          <w:tcPr>
            <w:tcW w:w="583" w:type="pct"/>
            <w:shd w:val="solid" w:color="000000" w:fill="000000"/>
          </w:tcPr>
          <w:p w14:paraId="0ED7D008" w14:textId="12671295" w:rsidR="00CE7338" w:rsidRPr="001406A5" w:rsidRDefault="008114C4" w:rsidP="00D87CFA">
            <w:pPr>
              <w:pStyle w:val="Tablenumbers"/>
              <w:keepNext/>
              <w:keepLines/>
              <w:rPr>
                <w:highlight w:val="darkGray"/>
              </w:rPr>
            </w:pPr>
            <w:r w:rsidRPr="008114C4">
              <w:rPr>
                <w:color w:val="000000"/>
                <w:spacing w:val="54"/>
                <w:fitText w:val="333" w:id="-761538560"/>
                <w14:textFill>
                  <w14:solidFill>
                    <w14:srgbClr w14:val="000000">
                      <w14:alpha w14:val="100000"/>
                    </w14:srgbClr>
                  </w14:solidFill>
                </w14:textFill>
              </w:rPr>
              <w:t>|||</w:t>
            </w:r>
            <w:r w:rsidRPr="008114C4">
              <w:rPr>
                <w:color w:val="000000"/>
                <w:spacing w:val="1"/>
                <w:fitText w:val="333" w:id="-761538560"/>
                <w14:textFill>
                  <w14:solidFill>
                    <w14:srgbClr w14:val="000000">
                      <w14:alpha w14:val="100000"/>
                    </w14:srgbClr>
                  </w14:solidFill>
                </w14:textFill>
              </w:rPr>
              <w:t>|</w:t>
            </w:r>
          </w:p>
        </w:tc>
        <w:tc>
          <w:tcPr>
            <w:tcW w:w="638" w:type="pct"/>
            <w:shd w:val="solid" w:color="000000" w:fill="000000"/>
          </w:tcPr>
          <w:p w14:paraId="08547D94" w14:textId="636F89C6" w:rsidR="00CE7338" w:rsidRPr="001406A5" w:rsidRDefault="008114C4" w:rsidP="00D87CFA">
            <w:pPr>
              <w:pStyle w:val="Tablenumbers"/>
              <w:keepNext/>
              <w:keepLines/>
              <w:rPr>
                <w:highlight w:val="darkGray"/>
              </w:rPr>
            </w:pPr>
            <w:r w:rsidRPr="008114C4">
              <w:rPr>
                <w:color w:val="000000"/>
                <w:spacing w:val="49"/>
                <w:fitText w:val="320" w:id="-761538559"/>
                <w14:textFill>
                  <w14:solidFill>
                    <w14:srgbClr w14:val="000000">
                      <w14:alpha w14:val="100000"/>
                    </w14:srgbClr>
                  </w14:solidFill>
                </w14:textFill>
              </w:rPr>
              <w:t>|||</w:t>
            </w:r>
            <w:r w:rsidRPr="008114C4">
              <w:rPr>
                <w:color w:val="000000"/>
                <w:spacing w:val="3"/>
                <w:fitText w:val="320" w:id="-761538559"/>
                <w14:textFill>
                  <w14:solidFill>
                    <w14:srgbClr w14:val="000000">
                      <w14:alpha w14:val="100000"/>
                    </w14:srgbClr>
                  </w14:solidFill>
                </w14:textFill>
              </w:rPr>
              <w:t>|</w:t>
            </w:r>
          </w:p>
        </w:tc>
        <w:tc>
          <w:tcPr>
            <w:tcW w:w="511" w:type="pct"/>
            <w:shd w:val="solid" w:color="000000" w:fill="000000"/>
            <w:vAlign w:val="center"/>
          </w:tcPr>
          <w:p w14:paraId="2C6252DC" w14:textId="65A542CE" w:rsidR="00CE7338" w:rsidRPr="001406A5" w:rsidRDefault="008114C4" w:rsidP="00D87CFA">
            <w:pPr>
              <w:pStyle w:val="Tablenumbers"/>
              <w:keepNext/>
              <w:keepLines/>
              <w:rPr>
                <w:rFonts w:ascii="Times" w:hAnsi="Times"/>
                <w:highlight w:val="darkGray"/>
              </w:rPr>
            </w:pPr>
            <w:r w:rsidRPr="008114C4">
              <w:rPr>
                <w:color w:val="000000"/>
                <w:spacing w:val="54"/>
                <w:fitText w:val="333" w:id="-761538558"/>
                <w14:textFill>
                  <w14:solidFill>
                    <w14:srgbClr w14:val="000000">
                      <w14:alpha w14:val="100000"/>
                    </w14:srgbClr>
                  </w14:solidFill>
                </w14:textFill>
              </w:rPr>
              <w:t>|||</w:t>
            </w:r>
            <w:r w:rsidRPr="008114C4">
              <w:rPr>
                <w:color w:val="000000"/>
                <w:spacing w:val="1"/>
                <w:fitText w:val="333" w:id="-761538558"/>
                <w14:textFill>
                  <w14:solidFill>
                    <w14:srgbClr w14:val="000000">
                      <w14:alpha w14:val="100000"/>
                    </w14:srgbClr>
                  </w14:solidFill>
                </w14:textFill>
              </w:rPr>
              <w:t>|</w:t>
            </w:r>
          </w:p>
        </w:tc>
      </w:tr>
      <w:tr w:rsidR="006B5229" w:rsidRPr="005E3251" w14:paraId="604D93F9" w14:textId="77777777">
        <w:tc>
          <w:tcPr>
            <w:tcW w:w="833" w:type="pct"/>
            <w:vAlign w:val="center"/>
          </w:tcPr>
          <w:p w14:paraId="63B42EFA" w14:textId="77777777" w:rsidR="00CE7338" w:rsidRPr="005E3251" w:rsidRDefault="00CE7338" w:rsidP="00D87CFA">
            <w:pPr>
              <w:pStyle w:val="TableText0"/>
              <w:keepLines/>
              <w:rPr>
                <w:rFonts w:ascii="Times" w:hAnsi="Times"/>
              </w:rPr>
            </w:pPr>
            <w:r w:rsidRPr="005E3251">
              <w:t>mCSF</w:t>
            </w:r>
          </w:p>
        </w:tc>
        <w:tc>
          <w:tcPr>
            <w:tcW w:w="613" w:type="pct"/>
            <w:gridSpan w:val="2"/>
            <w:vAlign w:val="center"/>
          </w:tcPr>
          <w:p w14:paraId="127B2622" w14:textId="77777777" w:rsidR="00CE7338" w:rsidRPr="005E3251" w:rsidRDefault="00CE7338" w:rsidP="00D87CFA">
            <w:pPr>
              <w:pStyle w:val="Tablenumbers"/>
              <w:keepNext/>
              <w:keepLines/>
              <w:rPr>
                <w:rFonts w:ascii="Times" w:hAnsi="Times"/>
              </w:rPr>
            </w:pPr>
            <w:r w:rsidRPr="005E3251">
              <w:t>20.98</w:t>
            </w:r>
          </w:p>
        </w:tc>
        <w:tc>
          <w:tcPr>
            <w:tcW w:w="604" w:type="pct"/>
            <w:vAlign w:val="center"/>
          </w:tcPr>
          <w:p w14:paraId="19729CC1" w14:textId="77777777" w:rsidR="00CE7338" w:rsidRPr="005E3251" w:rsidRDefault="00CE7338" w:rsidP="00D87CFA">
            <w:pPr>
              <w:pStyle w:val="Tablenumbers"/>
              <w:keepNext/>
              <w:keepLines/>
              <w:rPr>
                <w:rFonts w:ascii="Times" w:hAnsi="Times"/>
              </w:rPr>
            </w:pPr>
            <w:r w:rsidRPr="005E3251">
              <w:t>33.31</w:t>
            </w:r>
          </w:p>
        </w:tc>
        <w:tc>
          <w:tcPr>
            <w:tcW w:w="609" w:type="pct"/>
          </w:tcPr>
          <w:p w14:paraId="5CF446A4" w14:textId="77777777" w:rsidR="00CE7338" w:rsidRPr="005E3251" w:rsidRDefault="00CE7338" w:rsidP="00D87CFA">
            <w:pPr>
              <w:pStyle w:val="Tablenumbers"/>
              <w:keepNext/>
              <w:keepLines/>
            </w:pPr>
            <w:r w:rsidRPr="005E3251">
              <w:t>-12.33</w:t>
            </w:r>
          </w:p>
        </w:tc>
        <w:tc>
          <w:tcPr>
            <w:tcW w:w="609" w:type="pct"/>
            <w:vAlign w:val="center"/>
          </w:tcPr>
          <w:p w14:paraId="2246FA11" w14:textId="77777777" w:rsidR="00CE7338" w:rsidRPr="005E3251" w:rsidRDefault="00CE7338" w:rsidP="00D87CFA">
            <w:pPr>
              <w:pStyle w:val="Tablenumbers"/>
              <w:keepNext/>
              <w:keepLines/>
            </w:pPr>
            <w:r w:rsidRPr="005E3251">
              <w:t>16.56</w:t>
            </w:r>
          </w:p>
        </w:tc>
        <w:tc>
          <w:tcPr>
            <w:tcW w:w="583" w:type="pct"/>
            <w:vAlign w:val="center"/>
          </w:tcPr>
          <w:p w14:paraId="17F414A7" w14:textId="77777777" w:rsidR="00CE7338" w:rsidRPr="005E3251" w:rsidRDefault="00CE7338" w:rsidP="00D87CFA">
            <w:pPr>
              <w:pStyle w:val="Tablenumbers"/>
              <w:keepNext/>
              <w:keepLines/>
            </w:pPr>
            <w:r w:rsidRPr="005E3251">
              <w:t>33.31</w:t>
            </w:r>
          </w:p>
        </w:tc>
        <w:tc>
          <w:tcPr>
            <w:tcW w:w="638" w:type="pct"/>
          </w:tcPr>
          <w:p w14:paraId="09C9002C" w14:textId="77777777" w:rsidR="00CE7338" w:rsidRPr="005E3251" w:rsidRDefault="00CE7338" w:rsidP="00D87CFA">
            <w:pPr>
              <w:pStyle w:val="Tablenumbers"/>
              <w:keepNext/>
              <w:keepLines/>
            </w:pPr>
            <w:r w:rsidRPr="005E3251">
              <w:t>-16.75</w:t>
            </w:r>
          </w:p>
        </w:tc>
        <w:tc>
          <w:tcPr>
            <w:tcW w:w="511" w:type="pct"/>
            <w:vAlign w:val="center"/>
          </w:tcPr>
          <w:p w14:paraId="7F183F9E" w14:textId="77777777" w:rsidR="00CE7338" w:rsidRPr="005E3251" w:rsidRDefault="00CE7338" w:rsidP="00D87CFA">
            <w:pPr>
              <w:pStyle w:val="Tablenumbers"/>
              <w:keepNext/>
              <w:keepLines/>
            </w:pPr>
            <w:r w:rsidRPr="005E3251">
              <w:t>-15.38</w:t>
            </w:r>
          </w:p>
        </w:tc>
      </w:tr>
      <w:tr w:rsidR="006B5229" w:rsidRPr="005E3251" w14:paraId="01D17821" w14:textId="77777777">
        <w:tc>
          <w:tcPr>
            <w:tcW w:w="2050" w:type="pct"/>
            <w:gridSpan w:val="4"/>
            <w:vAlign w:val="center"/>
          </w:tcPr>
          <w:p w14:paraId="1B328FCD" w14:textId="77777777" w:rsidR="00CE7338" w:rsidRPr="005E3251" w:rsidRDefault="00CE7338" w:rsidP="00D87CFA">
            <w:pPr>
              <w:pStyle w:val="TableText0"/>
              <w:keepLines/>
              <w:rPr>
                <w:rFonts w:ascii="Times" w:hAnsi="Times"/>
              </w:rPr>
            </w:pPr>
            <w:r w:rsidRPr="005E3251">
              <w:t>Incremental cost/unit reduction in mCSF</w:t>
            </w:r>
          </w:p>
        </w:tc>
        <w:tc>
          <w:tcPr>
            <w:tcW w:w="609" w:type="pct"/>
            <w:vAlign w:val="center"/>
          </w:tcPr>
          <w:p w14:paraId="7DC364DD" w14:textId="08C9BE77" w:rsidR="00CE7338" w:rsidRPr="005E3251" w:rsidRDefault="00CE7338" w:rsidP="00D87CFA">
            <w:pPr>
              <w:pStyle w:val="TableText0"/>
              <w:keepLines/>
              <w:jc w:val="center"/>
            </w:pPr>
            <w:r w:rsidRPr="005E3251">
              <w:t>$</w:t>
            </w:r>
            <w:r w:rsidR="008114C4" w:rsidRPr="008114C4">
              <w:rPr>
                <w:color w:val="000000"/>
                <w:spacing w:val="54"/>
                <w:shd w:val="solid" w:color="000000" w:fill="000000"/>
                <w:fitText w:val="334" w:id="-761538557"/>
                <w14:textFill>
                  <w14:solidFill>
                    <w14:srgbClr w14:val="000000">
                      <w14:alpha w14:val="100000"/>
                    </w14:srgbClr>
                  </w14:solidFill>
                </w14:textFill>
              </w:rPr>
              <w:t>|||</w:t>
            </w:r>
            <w:r w:rsidR="008114C4" w:rsidRPr="008114C4">
              <w:rPr>
                <w:color w:val="000000"/>
                <w:spacing w:val="2"/>
                <w:shd w:val="solid" w:color="000000" w:fill="000000"/>
                <w:fitText w:val="334" w:id="-761538557"/>
                <w14:textFill>
                  <w14:solidFill>
                    <w14:srgbClr w14:val="000000">
                      <w14:alpha w14:val="100000"/>
                    </w14:srgbClr>
                  </w14:solidFill>
                </w14:textFill>
              </w:rPr>
              <w:t>|</w:t>
            </w:r>
          </w:p>
        </w:tc>
        <w:tc>
          <w:tcPr>
            <w:tcW w:w="1192" w:type="pct"/>
            <w:gridSpan w:val="2"/>
          </w:tcPr>
          <w:p w14:paraId="4C0177BB" w14:textId="77777777" w:rsidR="00CE7338" w:rsidRPr="005E3251" w:rsidRDefault="00CE7338" w:rsidP="00D87CFA">
            <w:pPr>
              <w:pStyle w:val="TableText0"/>
              <w:keepLines/>
            </w:pPr>
          </w:p>
        </w:tc>
        <w:tc>
          <w:tcPr>
            <w:tcW w:w="638" w:type="pct"/>
            <w:vAlign w:val="center"/>
          </w:tcPr>
          <w:p w14:paraId="6F5B2E1A" w14:textId="2CC27BB7" w:rsidR="00CE7338" w:rsidRPr="005E3251" w:rsidRDefault="00CE7338" w:rsidP="00D87CFA">
            <w:pPr>
              <w:pStyle w:val="TableText0"/>
              <w:keepLines/>
              <w:jc w:val="center"/>
            </w:pPr>
            <w:r w:rsidRPr="005E3251">
              <w:t>$</w:t>
            </w:r>
            <w:r w:rsidR="008114C4" w:rsidRPr="008114C4">
              <w:rPr>
                <w:color w:val="000000"/>
                <w:spacing w:val="54"/>
                <w:shd w:val="solid" w:color="000000" w:fill="000000"/>
                <w:fitText w:val="334" w:id="-761538556"/>
                <w14:textFill>
                  <w14:solidFill>
                    <w14:srgbClr w14:val="000000">
                      <w14:alpha w14:val="100000"/>
                    </w14:srgbClr>
                  </w14:solidFill>
                </w14:textFill>
              </w:rPr>
              <w:t>|||</w:t>
            </w:r>
            <w:r w:rsidR="008114C4" w:rsidRPr="008114C4">
              <w:rPr>
                <w:color w:val="000000"/>
                <w:spacing w:val="2"/>
                <w:shd w:val="solid" w:color="000000" w:fill="000000"/>
                <w:fitText w:val="334" w:id="-761538556"/>
                <w14:textFill>
                  <w14:solidFill>
                    <w14:srgbClr w14:val="000000">
                      <w14:alpha w14:val="100000"/>
                    </w14:srgbClr>
                  </w14:solidFill>
                </w14:textFill>
              </w:rPr>
              <w:t>|</w:t>
            </w:r>
          </w:p>
        </w:tc>
        <w:tc>
          <w:tcPr>
            <w:tcW w:w="511" w:type="pct"/>
            <w:vAlign w:val="center"/>
          </w:tcPr>
          <w:p w14:paraId="18048E3D" w14:textId="06C5A4CD" w:rsidR="00CE7338" w:rsidRPr="005E3251" w:rsidRDefault="00CE7338" w:rsidP="00D87CFA">
            <w:pPr>
              <w:pStyle w:val="TableText0"/>
              <w:keepLines/>
              <w:jc w:val="center"/>
              <w:rPr>
                <w:rFonts w:ascii="Times" w:hAnsi="Times"/>
              </w:rPr>
            </w:pPr>
            <w:r w:rsidRPr="005E3251">
              <w:t>$</w:t>
            </w:r>
            <w:r w:rsidR="008114C4" w:rsidRPr="008114C4">
              <w:rPr>
                <w:color w:val="000000"/>
                <w:spacing w:val="49"/>
                <w:shd w:val="solid" w:color="000000" w:fill="000000"/>
                <w:fitText w:val="320" w:id="-761538555"/>
                <w14:textFill>
                  <w14:solidFill>
                    <w14:srgbClr w14:val="000000">
                      <w14:alpha w14:val="100000"/>
                    </w14:srgbClr>
                  </w14:solidFill>
                </w14:textFill>
              </w:rPr>
              <w:t>|||</w:t>
            </w:r>
            <w:r w:rsidR="008114C4" w:rsidRPr="008114C4">
              <w:rPr>
                <w:color w:val="000000"/>
                <w:spacing w:val="3"/>
                <w:shd w:val="solid" w:color="000000" w:fill="000000"/>
                <w:fitText w:val="320" w:id="-761538555"/>
                <w14:textFill>
                  <w14:solidFill>
                    <w14:srgbClr w14:val="000000">
                      <w14:alpha w14:val="100000"/>
                    </w14:srgbClr>
                  </w14:solidFill>
                </w14:textFill>
              </w:rPr>
              <w:t>|</w:t>
            </w:r>
          </w:p>
        </w:tc>
      </w:tr>
      <w:tr w:rsidR="006B5229" w:rsidRPr="005E3251" w14:paraId="2B53E18D" w14:textId="77777777">
        <w:tc>
          <w:tcPr>
            <w:tcW w:w="5000" w:type="pct"/>
            <w:gridSpan w:val="9"/>
            <w:vAlign w:val="center"/>
          </w:tcPr>
          <w:p w14:paraId="5BFA45C8" w14:textId="77777777" w:rsidR="00CE7338" w:rsidRPr="005E3251" w:rsidRDefault="00CE7338" w:rsidP="00D87CFA">
            <w:pPr>
              <w:pStyle w:val="In-tableHeading"/>
              <w:keepLines/>
            </w:pPr>
            <w:r w:rsidRPr="005E3251">
              <w:t>Step 2: Convert to LYG</w:t>
            </w:r>
            <w:r w:rsidRPr="005E3251">
              <w:rPr>
                <w:vertAlign w:val="superscript"/>
              </w:rPr>
              <w:t>b</w:t>
            </w:r>
          </w:p>
        </w:tc>
      </w:tr>
      <w:tr w:rsidR="006B5229" w:rsidRPr="005E3251" w14:paraId="64F1A142" w14:textId="77777777" w:rsidTr="008114C4">
        <w:tc>
          <w:tcPr>
            <w:tcW w:w="833" w:type="pct"/>
            <w:vAlign w:val="center"/>
          </w:tcPr>
          <w:p w14:paraId="4C00AB2C" w14:textId="77777777" w:rsidR="00CE7338" w:rsidRPr="005E3251" w:rsidRDefault="00CE7338" w:rsidP="00D87CFA">
            <w:pPr>
              <w:pStyle w:val="TableText0"/>
              <w:keepLines/>
            </w:pPr>
            <w:r w:rsidRPr="005E3251">
              <w:t>Costs</w:t>
            </w:r>
          </w:p>
        </w:tc>
        <w:tc>
          <w:tcPr>
            <w:tcW w:w="608" w:type="pct"/>
            <w:shd w:val="solid" w:color="000000" w:fill="000000"/>
            <w:vAlign w:val="center"/>
          </w:tcPr>
          <w:p w14:paraId="50B3A5BA" w14:textId="052D1B2E" w:rsidR="00CE7338" w:rsidRPr="004F753F" w:rsidRDefault="008114C4" w:rsidP="00D87CFA">
            <w:pPr>
              <w:pStyle w:val="TableText0"/>
              <w:keepLines/>
              <w:jc w:val="center"/>
              <w:rPr>
                <w:highlight w:val="darkGray"/>
              </w:rPr>
            </w:pPr>
            <w:r w:rsidRPr="008114C4">
              <w:rPr>
                <w:color w:val="000000"/>
                <w:spacing w:val="49"/>
                <w:fitText w:val="320" w:id="-761538554"/>
                <w14:textFill>
                  <w14:solidFill>
                    <w14:srgbClr w14:val="000000">
                      <w14:alpha w14:val="100000"/>
                    </w14:srgbClr>
                  </w14:solidFill>
                </w14:textFill>
              </w:rPr>
              <w:t>|||</w:t>
            </w:r>
            <w:r w:rsidRPr="008114C4">
              <w:rPr>
                <w:color w:val="000000"/>
                <w:spacing w:val="3"/>
                <w:fitText w:val="320" w:id="-761538554"/>
                <w14:textFill>
                  <w14:solidFill>
                    <w14:srgbClr w14:val="000000">
                      <w14:alpha w14:val="100000"/>
                    </w14:srgbClr>
                  </w14:solidFill>
                </w14:textFill>
              </w:rPr>
              <w:t>|</w:t>
            </w:r>
          </w:p>
        </w:tc>
        <w:tc>
          <w:tcPr>
            <w:tcW w:w="609" w:type="pct"/>
            <w:gridSpan w:val="2"/>
            <w:shd w:val="solid" w:color="000000" w:fill="000000"/>
            <w:vAlign w:val="center"/>
          </w:tcPr>
          <w:p w14:paraId="16E9BC3F" w14:textId="5FACC84D" w:rsidR="00CE7338" w:rsidRPr="004F753F" w:rsidRDefault="008114C4" w:rsidP="00D87CFA">
            <w:pPr>
              <w:pStyle w:val="TableText0"/>
              <w:keepLines/>
              <w:jc w:val="center"/>
              <w:rPr>
                <w:highlight w:val="darkGray"/>
              </w:rPr>
            </w:pPr>
            <w:r w:rsidRPr="008114C4">
              <w:rPr>
                <w:color w:val="000000"/>
                <w:spacing w:val="49"/>
                <w:fitText w:val="320" w:id="-761538553"/>
                <w14:textFill>
                  <w14:solidFill>
                    <w14:srgbClr w14:val="000000">
                      <w14:alpha w14:val="100000"/>
                    </w14:srgbClr>
                  </w14:solidFill>
                </w14:textFill>
              </w:rPr>
              <w:t>|||</w:t>
            </w:r>
            <w:r w:rsidRPr="008114C4">
              <w:rPr>
                <w:color w:val="000000"/>
                <w:spacing w:val="3"/>
                <w:fitText w:val="320" w:id="-761538553"/>
                <w14:textFill>
                  <w14:solidFill>
                    <w14:srgbClr w14:val="000000">
                      <w14:alpha w14:val="100000"/>
                    </w14:srgbClr>
                  </w14:solidFill>
                </w14:textFill>
              </w:rPr>
              <w:t>|</w:t>
            </w:r>
          </w:p>
        </w:tc>
        <w:tc>
          <w:tcPr>
            <w:tcW w:w="609" w:type="pct"/>
            <w:shd w:val="solid" w:color="000000" w:fill="000000"/>
          </w:tcPr>
          <w:p w14:paraId="1FE7710A" w14:textId="45377AF1" w:rsidR="00CE7338" w:rsidRPr="004F753F" w:rsidRDefault="008114C4" w:rsidP="00D87CFA">
            <w:pPr>
              <w:pStyle w:val="TableText0"/>
              <w:keepLines/>
              <w:jc w:val="center"/>
              <w:rPr>
                <w:highlight w:val="darkGray"/>
              </w:rPr>
            </w:pPr>
            <w:r w:rsidRPr="008114C4">
              <w:rPr>
                <w:color w:val="000000"/>
                <w:spacing w:val="49"/>
                <w:fitText w:val="320" w:id="-761538552"/>
                <w14:textFill>
                  <w14:solidFill>
                    <w14:srgbClr w14:val="000000">
                      <w14:alpha w14:val="100000"/>
                    </w14:srgbClr>
                  </w14:solidFill>
                </w14:textFill>
              </w:rPr>
              <w:t>|||</w:t>
            </w:r>
            <w:r w:rsidRPr="008114C4">
              <w:rPr>
                <w:color w:val="000000"/>
                <w:spacing w:val="3"/>
                <w:fitText w:val="320" w:id="-761538552"/>
                <w14:textFill>
                  <w14:solidFill>
                    <w14:srgbClr w14:val="000000">
                      <w14:alpha w14:val="100000"/>
                    </w14:srgbClr>
                  </w14:solidFill>
                </w14:textFill>
              </w:rPr>
              <w:t>|</w:t>
            </w:r>
          </w:p>
        </w:tc>
        <w:tc>
          <w:tcPr>
            <w:tcW w:w="609" w:type="pct"/>
            <w:shd w:val="solid" w:color="000000" w:fill="000000"/>
          </w:tcPr>
          <w:p w14:paraId="0CE8504C" w14:textId="610AB100" w:rsidR="00CE7338" w:rsidRPr="004F753F" w:rsidRDefault="008114C4" w:rsidP="00D87CFA">
            <w:pPr>
              <w:pStyle w:val="TableText0"/>
              <w:keepLines/>
              <w:jc w:val="center"/>
              <w:rPr>
                <w:highlight w:val="darkGray"/>
              </w:rPr>
            </w:pPr>
            <w:r w:rsidRPr="008114C4">
              <w:rPr>
                <w:color w:val="000000"/>
                <w:spacing w:val="49"/>
                <w:fitText w:val="320" w:id="-761538551"/>
                <w14:textFill>
                  <w14:solidFill>
                    <w14:srgbClr w14:val="000000">
                      <w14:alpha w14:val="100000"/>
                    </w14:srgbClr>
                  </w14:solidFill>
                </w14:textFill>
              </w:rPr>
              <w:t>|||</w:t>
            </w:r>
            <w:r w:rsidRPr="008114C4">
              <w:rPr>
                <w:color w:val="000000"/>
                <w:spacing w:val="3"/>
                <w:fitText w:val="320" w:id="-761538551"/>
                <w14:textFill>
                  <w14:solidFill>
                    <w14:srgbClr w14:val="000000">
                      <w14:alpha w14:val="100000"/>
                    </w14:srgbClr>
                  </w14:solidFill>
                </w14:textFill>
              </w:rPr>
              <w:t>|</w:t>
            </w:r>
          </w:p>
        </w:tc>
        <w:tc>
          <w:tcPr>
            <w:tcW w:w="583" w:type="pct"/>
            <w:shd w:val="solid" w:color="000000" w:fill="000000"/>
          </w:tcPr>
          <w:p w14:paraId="475D27E9" w14:textId="2CAB723B" w:rsidR="00CE7338" w:rsidRPr="004F753F" w:rsidRDefault="008114C4" w:rsidP="00D87CFA">
            <w:pPr>
              <w:pStyle w:val="TableText0"/>
              <w:keepLines/>
              <w:jc w:val="center"/>
              <w:rPr>
                <w:highlight w:val="darkGray"/>
              </w:rPr>
            </w:pPr>
            <w:r w:rsidRPr="008114C4">
              <w:rPr>
                <w:color w:val="000000"/>
                <w:spacing w:val="54"/>
                <w:fitText w:val="333" w:id="-761538550"/>
                <w14:textFill>
                  <w14:solidFill>
                    <w14:srgbClr w14:val="000000">
                      <w14:alpha w14:val="100000"/>
                    </w14:srgbClr>
                  </w14:solidFill>
                </w14:textFill>
              </w:rPr>
              <w:t>|||</w:t>
            </w:r>
            <w:r w:rsidRPr="008114C4">
              <w:rPr>
                <w:color w:val="000000"/>
                <w:spacing w:val="1"/>
                <w:fitText w:val="333" w:id="-761538550"/>
                <w14:textFill>
                  <w14:solidFill>
                    <w14:srgbClr w14:val="000000">
                      <w14:alpha w14:val="100000"/>
                    </w14:srgbClr>
                  </w14:solidFill>
                </w14:textFill>
              </w:rPr>
              <w:t>|</w:t>
            </w:r>
          </w:p>
        </w:tc>
        <w:tc>
          <w:tcPr>
            <w:tcW w:w="638" w:type="pct"/>
            <w:shd w:val="solid" w:color="000000" w:fill="000000"/>
          </w:tcPr>
          <w:p w14:paraId="5BD0E73D" w14:textId="0146B1AF" w:rsidR="00CE7338" w:rsidRPr="004F753F" w:rsidRDefault="008114C4" w:rsidP="00D87CFA">
            <w:pPr>
              <w:pStyle w:val="TableText0"/>
              <w:keepLines/>
              <w:jc w:val="center"/>
              <w:rPr>
                <w:highlight w:val="darkGray"/>
              </w:rPr>
            </w:pPr>
            <w:r w:rsidRPr="008114C4">
              <w:rPr>
                <w:color w:val="000000"/>
                <w:spacing w:val="49"/>
                <w:fitText w:val="320" w:id="-761538549"/>
                <w14:textFill>
                  <w14:solidFill>
                    <w14:srgbClr w14:val="000000">
                      <w14:alpha w14:val="100000"/>
                    </w14:srgbClr>
                  </w14:solidFill>
                </w14:textFill>
              </w:rPr>
              <w:t>|||</w:t>
            </w:r>
            <w:r w:rsidRPr="008114C4">
              <w:rPr>
                <w:color w:val="000000"/>
                <w:spacing w:val="3"/>
                <w:fitText w:val="320" w:id="-761538549"/>
                <w14:textFill>
                  <w14:solidFill>
                    <w14:srgbClr w14:val="000000">
                      <w14:alpha w14:val="100000"/>
                    </w14:srgbClr>
                  </w14:solidFill>
                </w14:textFill>
              </w:rPr>
              <w:t>|</w:t>
            </w:r>
          </w:p>
        </w:tc>
        <w:tc>
          <w:tcPr>
            <w:tcW w:w="511" w:type="pct"/>
            <w:shd w:val="solid" w:color="000000" w:fill="000000"/>
            <w:vAlign w:val="center"/>
          </w:tcPr>
          <w:p w14:paraId="784407F1" w14:textId="53447717" w:rsidR="00CE7338" w:rsidRPr="004F753F" w:rsidRDefault="008114C4" w:rsidP="00D87CFA">
            <w:pPr>
              <w:pStyle w:val="TableText0"/>
              <w:keepLines/>
              <w:jc w:val="center"/>
              <w:rPr>
                <w:highlight w:val="darkGray"/>
              </w:rPr>
            </w:pPr>
            <w:r w:rsidRPr="008114C4">
              <w:rPr>
                <w:color w:val="000000"/>
                <w:spacing w:val="54"/>
                <w:fitText w:val="333" w:id="-761538548"/>
                <w14:textFill>
                  <w14:solidFill>
                    <w14:srgbClr w14:val="000000">
                      <w14:alpha w14:val="100000"/>
                    </w14:srgbClr>
                  </w14:solidFill>
                </w14:textFill>
              </w:rPr>
              <w:t>|||</w:t>
            </w:r>
            <w:r w:rsidRPr="008114C4">
              <w:rPr>
                <w:color w:val="000000"/>
                <w:spacing w:val="1"/>
                <w:fitText w:val="333" w:id="-761538548"/>
                <w14:textFill>
                  <w14:solidFill>
                    <w14:srgbClr w14:val="000000">
                      <w14:alpha w14:val="100000"/>
                    </w14:srgbClr>
                  </w14:solidFill>
                </w14:textFill>
              </w:rPr>
              <w:t>|</w:t>
            </w:r>
          </w:p>
        </w:tc>
      </w:tr>
      <w:tr w:rsidR="006B5229" w:rsidRPr="005E3251" w14:paraId="54DC592C" w14:textId="77777777">
        <w:tc>
          <w:tcPr>
            <w:tcW w:w="833" w:type="pct"/>
            <w:vAlign w:val="center"/>
          </w:tcPr>
          <w:p w14:paraId="24C452CB" w14:textId="77777777" w:rsidR="00CE7338" w:rsidRPr="005E3251" w:rsidRDefault="00CE7338" w:rsidP="00D87CFA">
            <w:pPr>
              <w:pStyle w:val="TableText0"/>
              <w:keepLines/>
            </w:pPr>
            <w:r w:rsidRPr="005E3251">
              <w:t>LYG</w:t>
            </w:r>
          </w:p>
        </w:tc>
        <w:tc>
          <w:tcPr>
            <w:tcW w:w="608" w:type="pct"/>
            <w:vAlign w:val="center"/>
          </w:tcPr>
          <w:p w14:paraId="1AA90C37" w14:textId="77777777" w:rsidR="00CE7338" w:rsidRPr="005E3251" w:rsidRDefault="00CE7338" w:rsidP="00D87CFA">
            <w:pPr>
              <w:pStyle w:val="TableText0"/>
              <w:keepLines/>
              <w:jc w:val="center"/>
            </w:pPr>
            <w:r w:rsidRPr="005E3251">
              <w:t>0.2683</w:t>
            </w:r>
          </w:p>
        </w:tc>
        <w:tc>
          <w:tcPr>
            <w:tcW w:w="609" w:type="pct"/>
            <w:gridSpan w:val="2"/>
            <w:vAlign w:val="center"/>
          </w:tcPr>
          <w:p w14:paraId="624664FB" w14:textId="77777777" w:rsidR="00CE7338" w:rsidRPr="005E3251" w:rsidRDefault="00CE7338" w:rsidP="00D87CFA">
            <w:pPr>
              <w:pStyle w:val="TableText0"/>
              <w:keepLines/>
              <w:jc w:val="center"/>
            </w:pPr>
            <w:r w:rsidRPr="005E3251">
              <w:t>0.2683</w:t>
            </w:r>
          </w:p>
        </w:tc>
        <w:tc>
          <w:tcPr>
            <w:tcW w:w="609" w:type="pct"/>
          </w:tcPr>
          <w:p w14:paraId="419CEA91" w14:textId="77777777" w:rsidR="00CE7338" w:rsidRPr="005E3251" w:rsidRDefault="00CE7338" w:rsidP="00D87CFA">
            <w:pPr>
              <w:pStyle w:val="TableText0"/>
              <w:keepLines/>
              <w:jc w:val="center"/>
            </w:pPr>
            <w:r w:rsidRPr="005E3251">
              <w:t>0</w:t>
            </w:r>
          </w:p>
        </w:tc>
        <w:tc>
          <w:tcPr>
            <w:tcW w:w="609" w:type="pct"/>
            <w:vAlign w:val="center"/>
          </w:tcPr>
          <w:p w14:paraId="3BDFA068" w14:textId="77777777" w:rsidR="00CE7338" w:rsidRPr="005E3251" w:rsidRDefault="00CE7338" w:rsidP="00D87CFA">
            <w:pPr>
              <w:pStyle w:val="TableText0"/>
              <w:keepLines/>
              <w:jc w:val="center"/>
            </w:pPr>
            <w:r w:rsidRPr="005E3251">
              <w:t>0.2683</w:t>
            </w:r>
          </w:p>
        </w:tc>
        <w:tc>
          <w:tcPr>
            <w:tcW w:w="583" w:type="pct"/>
            <w:vAlign w:val="center"/>
          </w:tcPr>
          <w:p w14:paraId="0D19868F" w14:textId="77777777" w:rsidR="00CE7338" w:rsidRPr="005E3251" w:rsidRDefault="00CE7338" w:rsidP="00D87CFA">
            <w:pPr>
              <w:pStyle w:val="TableText0"/>
              <w:keepLines/>
              <w:jc w:val="center"/>
            </w:pPr>
            <w:r w:rsidRPr="005E3251">
              <w:t>0.2683</w:t>
            </w:r>
          </w:p>
        </w:tc>
        <w:tc>
          <w:tcPr>
            <w:tcW w:w="638" w:type="pct"/>
          </w:tcPr>
          <w:p w14:paraId="274BC815" w14:textId="77777777" w:rsidR="00CE7338" w:rsidRPr="005E3251" w:rsidRDefault="00CE7338" w:rsidP="00D87CFA">
            <w:pPr>
              <w:pStyle w:val="TableText0"/>
              <w:keepLines/>
              <w:jc w:val="center"/>
            </w:pPr>
            <w:r w:rsidRPr="005E3251">
              <w:t>0</w:t>
            </w:r>
          </w:p>
        </w:tc>
        <w:tc>
          <w:tcPr>
            <w:tcW w:w="511" w:type="pct"/>
            <w:vAlign w:val="center"/>
          </w:tcPr>
          <w:p w14:paraId="2147A6F2" w14:textId="77777777" w:rsidR="00CE7338" w:rsidRPr="005E3251" w:rsidRDefault="00CE7338" w:rsidP="00D87CFA">
            <w:pPr>
              <w:pStyle w:val="TableText0"/>
              <w:keepLines/>
              <w:jc w:val="center"/>
            </w:pPr>
            <w:r w:rsidRPr="005E3251">
              <w:t>0</w:t>
            </w:r>
          </w:p>
        </w:tc>
      </w:tr>
      <w:tr w:rsidR="006B5229" w:rsidRPr="005E3251" w14:paraId="181137CA" w14:textId="77777777">
        <w:tc>
          <w:tcPr>
            <w:tcW w:w="2050" w:type="pct"/>
            <w:gridSpan w:val="4"/>
            <w:vAlign w:val="center"/>
          </w:tcPr>
          <w:p w14:paraId="2455BCDC" w14:textId="77777777" w:rsidR="00CE7338" w:rsidRPr="005E3251" w:rsidRDefault="00CE7338" w:rsidP="00D87CFA">
            <w:pPr>
              <w:pStyle w:val="TableText0"/>
              <w:keepLines/>
            </w:pPr>
            <w:r w:rsidRPr="005E3251">
              <w:t>Incremental cost/extra LYG gained</w:t>
            </w:r>
          </w:p>
        </w:tc>
        <w:tc>
          <w:tcPr>
            <w:tcW w:w="609" w:type="pct"/>
            <w:vAlign w:val="center"/>
          </w:tcPr>
          <w:p w14:paraId="083B0F87" w14:textId="77777777" w:rsidR="00CE7338" w:rsidRPr="005E3251" w:rsidRDefault="00CE7338" w:rsidP="00D87CFA">
            <w:pPr>
              <w:pStyle w:val="TableText0"/>
              <w:keepLines/>
              <w:jc w:val="center"/>
            </w:pPr>
            <w:r w:rsidRPr="005E3251">
              <w:t>Undefined</w:t>
            </w:r>
          </w:p>
        </w:tc>
        <w:tc>
          <w:tcPr>
            <w:tcW w:w="1192" w:type="pct"/>
            <w:gridSpan w:val="2"/>
          </w:tcPr>
          <w:p w14:paraId="5CCF6C15" w14:textId="77777777" w:rsidR="00CE7338" w:rsidRPr="005E3251" w:rsidRDefault="00CE7338" w:rsidP="00D87CFA">
            <w:pPr>
              <w:pStyle w:val="TableText0"/>
              <w:keepLines/>
            </w:pPr>
          </w:p>
        </w:tc>
        <w:tc>
          <w:tcPr>
            <w:tcW w:w="638" w:type="pct"/>
            <w:vAlign w:val="center"/>
          </w:tcPr>
          <w:p w14:paraId="1C724AC1" w14:textId="77777777" w:rsidR="00CE7338" w:rsidRPr="005E3251" w:rsidRDefault="00CE7338" w:rsidP="00D87CFA">
            <w:pPr>
              <w:pStyle w:val="TableText0"/>
              <w:keepLines/>
              <w:jc w:val="center"/>
            </w:pPr>
            <w:r w:rsidRPr="005E3251">
              <w:t>Undefined</w:t>
            </w:r>
          </w:p>
        </w:tc>
        <w:tc>
          <w:tcPr>
            <w:tcW w:w="511" w:type="pct"/>
            <w:vAlign w:val="center"/>
          </w:tcPr>
          <w:p w14:paraId="67AAA1E2" w14:textId="77777777" w:rsidR="00CE7338" w:rsidRPr="005E3251" w:rsidRDefault="00CE7338" w:rsidP="00D87CFA">
            <w:pPr>
              <w:pStyle w:val="TableText0"/>
              <w:keepLines/>
              <w:jc w:val="center"/>
            </w:pPr>
            <w:r w:rsidRPr="005E3251">
              <w:t>Undefined</w:t>
            </w:r>
          </w:p>
        </w:tc>
      </w:tr>
      <w:tr w:rsidR="006B5229" w:rsidRPr="005E3251" w14:paraId="02AFC2F2" w14:textId="77777777">
        <w:tc>
          <w:tcPr>
            <w:tcW w:w="5000" w:type="pct"/>
            <w:gridSpan w:val="9"/>
          </w:tcPr>
          <w:p w14:paraId="67960E4E" w14:textId="77777777" w:rsidR="00CE7338" w:rsidRPr="005E3251" w:rsidRDefault="00CE7338" w:rsidP="00D87CFA">
            <w:pPr>
              <w:pStyle w:val="In-tableHeading"/>
              <w:keepLines/>
            </w:pPr>
            <w:r w:rsidRPr="005E3251">
              <w:t>Step 3: Time horizon extended to 16 years</w:t>
            </w:r>
            <w:r w:rsidRPr="005E3251">
              <w:rPr>
                <w:vertAlign w:val="superscript"/>
              </w:rPr>
              <w:t>c</w:t>
            </w:r>
          </w:p>
        </w:tc>
      </w:tr>
      <w:tr w:rsidR="006B5229" w:rsidRPr="005E3251" w14:paraId="65EE4EA8" w14:textId="77777777" w:rsidTr="008114C4">
        <w:tc>
          <w:tcPr>
            <w:tcW w:w="833" w:type="pct"/>
            <w:vAlign w:val="center"/>
          </w:tcPr>
          <w:p w14:paraId="2BD67404" w14:textId="6587DEA9" w:rsidR="00CE7338" w:rsidRPr="005E3251" w:rsidRDefault="00CE7338" w:rsidP="00D87CFA">
            <w:pPr>
              <w:pStyle w:val="TableText0"/>
              <w:keepLines/>
              <w:rPr>
                <w:rFonts w:ascii="Times" w:hAnsi="Times"/>
              </w:rPr>
            </w:pPr>
            <w:r w:rsidRPr="005E3251">
              <w:t>Costs</w:t>
            </w:r>
            <w:r w:rsidR="00310EEA">
              <w:t xml:space="preserve"> ($)</w:t>
            </w:r>
          </w:p>
        </w:tc>
        <w:tc>
          <w:tcPr>
            <w:tcW w:w="608" w:type="pct"/>
            <w:shd w:val="solid" w:color="000000" w:fill="000000"/>
            <w:vAlign w:val="center"/>
          </w:tcPr>
          <w:p w14:paraId="5D2D7679" w14:textId="3FFD3F3C" w:rsidR="00CE7338" w:rsidRPr="004F753F" w:rsidRDefault="008114C4" w:rsidP="00D87CFA">
            <w:pPr>
              <w:pStyle w:val="Tablenumbers"/>
              <w:keepNext/>
              <w:keepLines/>
              <w:rPr>
                <w:highlight w:val="darkGray"/>
              </w:rPr>
            </w:pPr>
            <w:r w:rsidRPr="008114C4">
              <w:rPr>
                <w:color w:val="000000"/>
                <w:spacing w:val="49"/>
                <w:fitText w:val="320" w:id="-761538547"/>
                <w14:textFill>
                  <w14:solidFill>
                    <w14:srgbClr w14:val="000000">
                      <w14:alpha w14:val="100000"/>
                    </w14:srgbClr>
                  </w14:solidFill>
                </w14:textFill>
              </w:rPr>
              <w:t>|||</w:t>
            </w:r>
            <w:r w:rsidRPr="008114C4">
              <w:rPr>
                <w:color w:val="000000"/>
                <w:spacing w:val="3"/>
                <w:fitText w:val="320" w:id="-761538547"/>
                <w14:textFill>
                  <w14:solidFill>
                    <w14:srgbClr w14:val="000000">
                      <w14:alpha w14:val="100000"/>
                    </w14:srgbClr>
                  </w14:solidFill>
                </w14:textFill>
              </w:rPr>
              <w:t>|</w:t>
            </w:r>
          </w:p>
        </w:tc>
        <w:tc>
          <w:tcPr>
            <w:tcW w:w="609" w:type="pct"/>
            <w:gridSpan w:val="2"/>
            <w:shd w:val="solid" w:color="000000" w:fill="000000"/>
            <w:vAlign w:val="center"/>
          </w:tcPr>
          <w:p w14:paraId="3426F991" w14:textId="5017128C" w:rsidR="00CE7338" w:rsidRPr="004F753F" w:rsidRDefault="008114C4" w:rsidP="00D87CFA">
            <w:pPr>
              <w:pStyle w:val="Tablenumbers"/>
              <w:keepNext/>
              <w:keepLines/>
              <w:rPr>
                <w:highlight w:val="darkGray"/>
              </w:rPr>
            </w:pPr>
            <w:r w:rsidRPr="008114C4">
              <w:rPr>
                <w:color w:val="000000"/>
                <w:spacing w:val="49"/>
                <w:fitText w:val="320" w:id="-761538546"/>
                <w14:textFill>
                  <w14:solidFill>
                    <w14:srgbClr w14:val="000000">
                      <w14:alpha w14:val="100000"/>
                    </w14:srgbClr>
                  </w14:solidFill>
                </w14:textFill>
              </w:rPr>
              <w:t>|||</w:t>
            </w:r>
            <w:r w:rsidRPr="008114C4">
              <w:rPr>
                <w:color w:val="000000"/>
                <w:spacing w:val="3"/>
                <w:fitText w:val="320" w:id="-761538546"/>
                <w14:textFill>
                  <w14:solidFill>
                    <w14:srgbClr w14:val="000000">
                      <w14:alpha w14:val="100000"/>
                    </w14:srgbClr>
                  </w14:solidFill>
                </w14:textFill>
              </w:rPr>
              <w:t>|</w:t>
            </w:r>
          </w:p>
        </w:tc>
        <w:tc>
          <w:tcPr>
            <w:tcW w:w="609" w:type="pct"/>
            <w:tcBorders>
              <w:top w:val="single" w:sz="4" w:space="0" w:color="auto"/>
              <w:left w:val="nil"/>
              <w:bottom w:val="single" w:sz="4" w:space="0" w:color="auto"/>
              <w:right w:val="nil"/>
            </w:tcBorders>
            <w:shd w:val="clear" w:color="000000" w:fill="FFFFFF"/>
            <w:vAlign w:val="bottom"/>
          </w:tcPr>
          <w:p w14:paraId="564101F2" w14:textId="46B45B04" w:rsidR="00CE7338" w:rsidRPr="004F753F" w:rsidRDefault="00CE7338" w:rsidP="00D87CFA">
            <w:pPr>
              <w:pStyle w:val="Tablenumbers"/>
              <w:keepNext/>
              <w:keepLines/>
              <w:rPr>
                <w:highlight w:val="darkGray"/>
              </w:rPr>
            </w:pPr>
            <w:r w:rsidRPr="004F753F">
              <w:t>-</w:t>
            </w:r>
            <w:r w:rsidR="008114C4" w:rsidRPr="008114C4">
              <w:rPr>
                <w:color w:val="000000"/>
                <w:spacing w:val="54"/>
                <w:shd w:val="solid" w:color="000000" w:fill="000000"/>
                <w:fitText w:val="334" w:id="-761538545"/>
                <w14:textFill>
                  <w14:solidFill>
                    <w14:srgbClr w14:val="000000">
                      <w14:alpha w14:val="100000"/>
                    </w14:srgbClr>
                  </w14:solidFill>
                </w14:textFill>
              </w:rPr>
              <w:t>|||</w:t>
            </w:r>
            <w:r w:rsidR="008114C4" w:rsidRPr="008114C4">
              <w:rPr>
                <w:color w:val="000000"/>
                <w:spacing w:val="2"/>
                <w:shd w:val="solid" w:color="000000" w:fill="000000"/>
                <w:fitText w:val="334" w:id="-761538545"/>
                <w14:textFill>
                  <w14:solidFill>
                    <w14:srgbClr w14:val="000000">
                      <w14:alpha w14:val="100000"/>
                    </w14:srgbClr>
                  </w14:solidFill>
                </w14:textFill>
              </w:rPr>
              <w:t>|</w:t>
            </w:r>
          </w:p>
        </w:tc>
        <w:tc>
          <w:tcPr>
            <w:tcW w:w="609" w:type="pct"/>
            <w:shd w:val="solid" w:color="000000" w:fill="000000"/>
          </w:tcPr>
          <w:p w14:paraId="16F48BB1" w14:textId="6D18C0F2" w:rsidR="00CE7338" w:rsidRPr="004F753F" w:rsidRDefault="008114C4" w:rsidP="00D87CFA">
            <w:pPr>
              <w:pStyle w:val="Tablenumbers"/>
              <w:keepNext/>
              <w:keepLines/>
              <w:rPr>
                <w:highlight w:val="darkGray"/>
              </w:rPr>
            </w:pPr>
            <w:r w:rsidRPr="008114C4">
              <w:rPr>
                <w:color w:val="000000"/>
                <w:spacing w:val="49"/>
                <w:fitText w:val="320" w:id="-761538544"/>
                <w14:textFill>
                  <w14:solidFill>
                    <w14:srgbClr w14:val="000000">
                      <w14:alpha w14:val="100000"/>
                    </w14:srgbClr>
                  </w14:solidFill>
                </w14:textFill>
              </w:rPr>
              <w:t>|||</w:t>
            </w:r>
            <w:r w:rsidRPr="008114C4">
              <w:rPr>
                <w:color w:val="000000"/>
                <w:spacing w:val="3"/>
                <w:fitText w:val="320" w:id="-761538544"/>
                <w14:textFill>
                  <w14:solidFill>
                    <w14:srgbClr w14:val="000000">
                      <w14:alpha w14:val="100000"/>
                    </w14:srgbClr>
                  </w14:solidFill>
                </w14:textFill>
              </w:rPr>
              <w:t>|</w:t>
            </w:r>
          </w:p>
        </w:tc>
        <w:tc>
          <w:tcPr>
            <w:tcW w:w="583" w:type="pct"/>
            <w:shd w:val="solid" w:color="000000" w:fill="000000"/>
          </w:tcPr>
          <w:p w14:paraId="3E9FB28F" w14:textId="640E0C9F" w:rsidR="00CE7338" w:rsidRPr="004F753F" w:rsidRDefault="008114C4" w:rsidP="00D87CFA">
            <w:pPr>
              <w:pStyle w:val="Tablenumbers"/>
              <w:keepNext/>
              <w:keepLines/>
              <w:rPr>
                <w:highlight w:val="darkGray"/>
              </w:rPr>
            </w:pPr>
            <w:r w:rsidRPr="008114C4">
              <w:rPr>
                <w:color w:val="000000"/>
                <w:spacing w:val="54"/>
                <w:fitText w:val="333" w:id="-761538560"/>
                <w14:textFill>
                  <w14:solidFill>
                    <w14:srgbClr w14:val="000000">
                      <w14:alpha w14:val="100000"/>
                    </w14:srgbClr>
                  </w14:solidFill>
                </w14:textFill>
              </w:rPr>
              <w:t>|||</w:t>
            </w:r>
            <w:r w:rsidRPr="008114C4">
              <w:rPr>
                <w:color w:val="000000"/>
                <w:spacing w:val="1"/>
                <w:fitText w:val="333" w:id="-761538560"/>
                <w14:textFill>
                  <w14:solidFill>
                    <w14:srgbClr w14:val="000000">
                      <w14:alpha w14:val="100000"/>
                    </w14:srgbClr>
                  </w14:solidFill>
                </w14:textFill>
              </w:rPr>
              <w:t>|</w:t>
            </w:r>
          </w:p>
        </w:tc>
        <w:tc>
          <w:tcPr>
            <w:tcW w:w="638" w:type="pct"/>
            <w:tcBorders>
              <w:top w:val="single" w:sz="4" w:space="0" w:color="auto"/>
              <w:left w:val="nil"/>
              <w:bottom w:val="single" w:sz="4" w:space="0" w:color="auto"/>
              <w:right w:val="single" w:sz="4" w:space="0" w:color="auto"/>
            </w:tcBorders>
            <w:shd w:val="solid" w:color="000000" w:fill="000000"/>
            <w:vAlign w:val="bottom"/>
          </w:tcPr>
          <w:p w14:paraId="0F91E6B4" w14:textId="222E00F7" w:rsidR="00CE7338" w:rsidRPr="004F753F" w:rsidRDefault="008114C4" w:rsidP="00D87CFA">
            <w:pPr>
              <w:pStyle w:val="Tablenumbers"/>
              <w:keepNext/>
              <w:keepLines/>
              <w:rPr>
                <w:highlight w:val="darkGray"/>
              </w:rPr>
            </w:pPr>
            <w:r w:rsidRPr="008114C4">
              <w:rPr>
                <w:color w:val="000000"/>
                <w:spacing w:val="49"/>
                <w:fitText w:val="320" w:id="-761538559"/>
                <w14:textFill>
                  <w14:solidFill>
                    <w14:srgbClr w14:val="000000">
                      <w14:alpha w14:val="100000"/>
                    </w14:srgbClr>
                  </w14:solidFill>
                </w14:textFill>
              </w:rPr>
              <w:t>|||</w:t>
            </w:r>
            <w:r w:rsidRPr="008114C4">
              <w:rPr>
                <w:color w:val="000000"/>
                <w:spacing w:val="3"/>
                <w:fitText w:val="320" w:id="-761538559"/>
                <w14:textFill>
                  <w14:solidFill>
                    <w14:srgbClr w14:val="000000">
                      <w14:alpha w14:val="100000"/>
                    </w14:srgbClr>
                  </w14:solidFill>
                </w14:textFill>
              </w:rPr>
              <w:t>|</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bottom"/>
          </w:tcPr>
          <w:p w14:paraId="6B4C3731" w14:textId="649E3639" w:rsidR="00CE7338" w:rsidRPr="004F753F" w:rsidRDefault="00CE7338" w:rsidP="00D87CFA">
            <w:pPr>
              <w:pStyle w:val="Tablenumbers"/>
              <w:keepNext/>
              <w:keepLines/>
              <w:rPr>
                <w:highlight w:val="darkGray"/>
              </w:rPr>
            </w:pPr>
            <w:r w:rsidRPr="004F753F">
              <w:t>-</w:t>
            </w:r>
            <w:r w:rsidR="008114C4" w:rsidRPr="008114C4">
              <w:rPr>
                <w:color w:val="000000"/>
                <w:spacing w:val="54"/>
                <w:shd w:val="solid" w:color="000000" w:fill="000000"/>
                <w:fitText w:val="334" w:id="-761538558"/>
                <w14:textFill>
                  <w14:solidFill>
                    <w14:srgbClr w14:val="000000">
                      <w14:alpha w14:val="100000"/>
                    </w14:srgbClr>
                  </w14:solidFill>
                </w14:textFill>
              </w:rPr>
              <w:t>|||</w:t>
            </w:r>
            <w:r w:rsidR="008114C4" w:rsidRPr="008114C4">
              <w:rPr>
                <w:color w:val="000000"/>
                <w:spacing w:val="2"/>
                <w:shd w:val="solid" w:color="000000" w:fill="000000"/>
                <w:fitText w:val="334" w:id="-761538558"/>
                <w14:textFill>
                  <w14:solidFill>
                    <w14:srgbClr w14:val="000000">
                      <w14:alpha w14:val="100000"/>
                    </w14:srgbClr>
                  </w14:solidFill>
                </w14:textFill>
              </w:rPr>
              <w:t>|</w:t>
            </w:r>
          </w:p>
        </w:tc>
      </w:tr>
      <w:tr w:rsidR="006B5229" w:rsidRPr="005E3251" w14:paraId="4AC342AA" w14:textId="77777777">
        <w:tc>
          <w:tcPr>
            <w:tcW w:w="833" w:type="pct"/>
            <w:vAlign w:val="center"/>
          </w:tcPr>
          <w:p w14:paraId="024C669D" w14:textId="77777777" w:rsidR="00CE7338" w:rsidRPr="005E3251" w:rsidRDefault="00CE7338" w:rsidP="00D87CFA">
            <w:pPr>
              <w:pStyle w:val="TableText0"/>
              <w:keepLines/>
              <w:rPr>
                <w:rFonts w:ascii="Times" w:hAnsi="Times"/>
              </w:rPr>
            </w:pPr>
            <w:r w:rsidRPr="005E3251">
              <w:t>LYG</w:t>
            </w:r>
          </w:p>
        </w:tc>
        <w:tc>
          <w:tcPr>
            <w:tcW w:w="608" w:type="pct"/>
            <w:vAlign w:val="center"/>
          </w:tcPr>
          <w:p w14:paraId="480957DF" w14:textId="77777777" w:rsidR="00CE7338" w:rsidRPr="005E3251" w:rsidRDefault="00CE7338" w:rsidP="00D87CFA">
            <w:pPr>
              <w:pStyle w:val="Tablenumbers"/>
              <w:keepNext/>
              <w:keepLines/>
            </w:pPr>
            <w:r w:rsidRPr="005E3251">
              <w:t>15.3238</w:t>
            </w:r>
          </w:p>
        </w:tc>
        <w:tc>
          <w:tcPr>
            <w:tcW w:w="609" w:type="pct"/>
            <w:gridSpan w:val="2"/>
            <w:vAlign w:val="center"/>
          </w:tcPr>
          <w:p w14:paraId="297CE0C1" w14:textId="77777777" w:rsidR="00CE7338" w:rsidRPr="005E3251" w:rsidRDefault="00CE7338" w:rsidP="00D87CFA">
            <w:pPr>
              <w:pStyle w:val="Tablenumbers"/>
              <w:keepNext/>
              <w:keepLines/>
            </w:pPr>
            <w:r w:rsidRPr="005E3251">
              <w:t>15.1585</w:t>
            </w:r>
          </w:p>
        </w:tc>
        <w:tc>
          <w:tcPr>
            <w:tcW w:w="609" w:type="pct"/>
            <w:tcBorders>
              <w:top w:val="single" w:sz="4" w:space="0" w:color="auto"/>
              <w:left w:val="nil"/>
              <w:bottom w:val="single" w:sz="4" w:space="0" w:color="auto"/>
              <w:right w:val="nil"/>
            </w:tcBorders>
            <w:shd w:val="clear" w:color="000000" w:fill="FFFFFF"/>
            <w:vAlign w:val="bottom"/>
          </w:tcPr>
          <w:p w14:paraId="36C71552" w14:textId="77777777" w:rsidR="00CE7338" w:rsidRPr="005E3251" w:rsidRDefault="00CE7338" w:rsidP="00D87CFA">
            <w:pPr>
              <w:pStyle w:val="Tablenumbers"/>
              <w:keepNext/>
              <w:keepLines/>
            </w:pPr>
            <w:r w:rsidRPr="005E3251">
              <w:t>0.1653</w:t>
            </w:r>
          </w:p>
        </w:tc>
        <w:tc>
          <w:tcPr>
            <w:tcW w:w="609" w:type="pct"/>
          </w:tcPr>
          <w:p w14:paraId="0E89B007" w14:textId="77777777" w:rsidR="00CE7338" w:rsidRPr="005E3251" w:rsidRDefault="00CE7338" w:rsidP="00D87CFA">
            <w:pPr>
              <w:pStyle w:val="Tablenumbers"/>
              <w:keepNext/>
              <w:keepLines/>
            </w:pPr>
            <w:r w:rsidRPr="005E3251">
              <w:t>15.4181</w:t>
            </w:r>
          </w:p>
        </w:tc>
        <w:tc>
          <w:tcPr>
            <w:tcW w:w="583" w:type="pct"/>
          </w:tcPr>
          <w:p w14:paraId="5332A9B9" w14:textId="77777777" w:rsidR="00CE7338" w:rsidRPr="005E3251" w:rsidRDefault="00CE7338" w:rsidP="00D87CFA">
            <w:pPr>
              <w:pStyle w:val="Tablenumbers"/>
              <w:keepNext/>
              <w:keepLines/>
            </w:pPr>
            <w:r w:rsidRPr="005E3251">
              <w:t>15.1585</w:t>
            </w:r>
          </w:p>
        </w:tc>
        <w:tc>
          <w:tcPr>
            <w:tcW w:w="638" w:type="pct"/>
            <w:tcBorders>
              <w:top w:val="single" w:sz="4" w:space="0" w:color="auto"/>
              <w:left w:val="nil"/>
              <w:bottom w:val="single" w:sz="4" w:space="0" w:color="auto"/>
              <w:right w:val="single" w:sz="4" w:space="0" w:color="auto"/>
            </w:tcBorders>
            <w:shd w:val="clear" w:color="000000" w:fill="FFFFFF"/>
            <w:vAlign w:val="bottom"/>
          </w:tcPr>
          <w:p w14:paraId="59A60C5A" w14:textId="77777777" w:rsidR="00CE7338" w:rsidRPr="005E3251" w:rsidRDefault="00CE7338" w:rsidP="00D87CFA">
            <w:pPr>
              <w:pStyle w:val="Tablenumbers"/>
              <w:keepNext/>
              <w:keepLines/>
            </w:pPr>
            <w:r w:rsidRPr="005E3251">
              <w:t>0.2596</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bottom"/>
          </w:tcPr>
          <w:p w14:paraId="5234B2FC" w14:textId="77777777" w:rsidR="00CE7338" w:rsidRPr="005E3251" w:rsidRDefault="00CE7338" w:rsidP="00D87CFA">
            <w:pPr>
              <w:pStyle w:val="Tablenumbers"/>
              <w:keepNext/>
              <w:keepLines/>
            </w:pPr>
            <w:r w:rsidRPr="005E3251">
              <w:t>0.2303</w:t>
            </w:r>
          </w:p>
        </w:tc>
      </w:tr>
      <w:tr w:rsidR="006B5229" w:rsidRPr="005E3251" w14:paraId="53392742" w14:textId="77777777">
        <w:tc>
          <w:tcPr>
            <w:tcW w:w="2050" w:type="pct"/>
            <w:gridSpan w:val="4"/>
            <w:vAlign w:val="center"/>
          </w:tcPr>
          <w:p w14:paraId="3FE15AC9" w14:textId="77777777" w:rsidR="00CE7338" w:rsidRPr="005E3251" w:rsidRDefault="00CE7338" w:rsidP="00D87CFA">
            <w:pPr>
              <w:pStyle w:val="TableText0"/>
              <w:keepLines/>
              <w:rPr>
                <w:rFonts w:ascii="Times" w:hAnsi="Times"/>
              </w:rPr>
            </w:pPr>
            <w:r w:rsidRPr="005E3251">
              <w:t>Incremental cost/extra LYG gained</w:t>
            </w:r>
          </w:p>
        </w:tc>
        <w:tc>
          <w:tcPr>
            <w:tcW w:w="609" w:type="pct"/>
            <w:tcBorders>
              <w:top w:val="single" w:sz="4" w:space="0" w:color="auto"/>
            </w:tcBorders>
          </w:tcPr>
          <w:p w14:paraId="4364A17E" w14:textId="2EDE593A" w:rsidR="00CE7338" w:rsidRPr="005E3251" w:rsidRDefault="001776DB" w:rsidP="00D87CFA">
            <w:pPr>
              <w:pStyle w:val="Tablenumbers"/>
              <w:keepNext/>
              <w:keepLines/>
            </w:pPr>
            <w:r w:rsidRPr="005E3251">
              <w:t>Dominant</w:t>
            </w:r>
          </w:p>
        </w:tc>
        <w:tc>
          <w:tcPr>
            <w:tcW w:w="1192" w:type="pct"/>
            <w:gridSpan w:val="2"/>
          </w:tcPr>
          <w:p w14:paraId="06943BC3" w14:textId="77777777" w:rsidR="00CE7338" w:rsidRPr="005E3251" w:rsidRDefault="00CE7338" w:rsidP="00D87CFA">
            <w:pPr>
              <w:pStyle w:val="Tablenumbers"/>
              <w:keepNext/>
              <w:keepLines/>
            </w:pPr>
          </w:p>
        </w:tc>
        <w:tc>
          <w:tcPr>
            <w:tcW w:w="638" w:type="pct"/>
          </w:tcPr>
          <w:p w14:paraId="7FC56B46" w14:textId="617F140E" w:rsidR="00CE7338" w:rsidRPr="005E3251" w:rsidRDefault="008114C4" w:rsidP="00D87CFA">
            <w:pPr>
              <w:pStyle w:val="Tablenumbers"/>
              <w:keepNext/>
              <w:keepLines/>
            </w:pPr>
            <w:r w:rsidRPr="008114C4">
              <w:rPr>
                <w:color w:val="000000"/>
                <w:spacing w:val="49"/>
                <w:shd w:val="solid" w:color="000000" w:fill="000000"/>
                <w:fitText w:val="320" w:id="-761538557"/>
                <w14:textFill>
                  <w14:solidFill>
                    <w14:srgbClr w14:val="000000">
                      <w14:alpha w14:val="100000"/>
                    </w14:srgbClr>
                  </w14:solidFill>
                </w14:textFill>
              </w:rPr>
              <w:t>|||</w:t>
            </w:r>
            <w:r w:rsidRPr="008114C4">
              <w:rPr>
                <w:color w:val="000000"/>
                <w:spacing w:val="3"/>
                <w:shd w:val="solid" w:color="000000" w:fill="000000"/>
                <w:fitText w:val="320" w:id="-761538557"/>
                <w14:textFill>
                  <w14:solidFill>
                    <w14:srgbClr w14:val="000000">
                      <w14:alpha w14:val="100000"/>
                    </w14:srgbClr>
                  </w14:solidFill>
                </w14:textFill>
              </w:rPr>
              <w:t>|</w:t>
            </w:r>
            <w:r w:rsidR="00C543A5" w:rsidRPr="00E03D3E">
              <w:rPr>
                <w:vertAlign w:val="superscript"/>
              </w:rPr>
              <w:t>1</w:t>
            </w:r>
          </w:p>
        </w:tc>
        <w:tc>
          <w:tcPr>
            <w:tcW w:w="511" w:type="pct"/>
            <w:vAlign w:val="center"/>
          </w:tcPr>
          <w:p w14:paraId="53B1488D" w14:textId="2311E23C" w:rsidR="00CE7338" w:rsidRPr="005E3251" w:rsidRDefault="001776DB" w:rsidP="00D87CFA">
            <w:pPr>
              <w:pStyle w:val="Tablenumbers"/>
              <w:keepNext/>
              <w:keepLines/>
            </w:pPr>
            <w:r w:rsidRPr="005E3251">
              <w:t>Dominant</w:t>
            </w:r>
          </w:p>
        </w:tc>
      </w:tr>
      <w:tr w:rsidR="006B5229" w:rsidRPr="005E3251" w14:paraId="74EB0E50" w14:textId="77777777">
        <w:tc>
          <w:tcPr>
            <w:tcW w:w="5000" w:type="pct"/>
            <w:gridSpan w:val="9"/>
          </w:tcPr>
          <w:p w14:paraId="52A3E73E" w14:textId="77777777" w:rsidR="00CE7338" w:rsidRPr="005E3251" w:rsidRDefault="00CE7338" w:rsidP="00D87CFA">
            <w:pPr>
              <w:pStyle w:val="In-tableHeading"/>
              <w:keepLines/>
            </w:pPr>
            <w:r w:rsidRPr="005E3251">
              <w:t>Step 4: Discounting (5%) included</w:t>
            </w:r>
            <w:r w:rsidRPr="005E3251">
              <w:rPr>
                <w:vertAlign w:val="superscript"/>
              </w:rPr>
              <w:t>d</w:t>
            </w:r>
          </w:p>
        </w:tc>
      </w:tr>
      <w:tr w:rsidR="006B5229" w:rsidRPr="005E3251" w14:paraId="0738E192" w14:textId="77777777" w:rsidTr="008114C4">
        <w:tc>
          <w:tcPr>
            <w:tcW w:w="833" w:type="pct"/>
            <w:vAlign w:val="center"/>
          </w:tcPr>
          <w:p w14:paraId="7890F644" w14:textId="47CA9034" w:rsidR="00CE7338" w:rsidRPr="005E3251" w:rsidRDefault="00CE7338" w:rsidP="00D87CFA">
            <w:pPr>
              <w:pStyle w:val="TableText0"/>
              <w:keepLines/>
              <w:rPr>
                <w:rFonts w:ascii="Times" w:hAnsi="Times"/>
              </w:rPr>
            </w:pPr>
            <w:r w:rsidRPr="005E3251">
              <w:t>Costs</w:t>
            </w:r>
            <w:r w:rsidR="00310EEA">
              <w:t xml:space="preserve"> ($)</w:t>
            </w:r>
          </w:p>
        </w:tc>
        <w:tc>
          <w:tcPr>
            <w:tcW w:w="608" w:type="pct"/>
            <w:shd w:val="solid" w:color="000000" w:fill="000000"/>
            <w:vAlign w:val="center"/>
          </w:tcPr>
          <w:p w14:paraId="6C447B6C" w14:textId="3A94A9C2" w:rsidR="00CE7338" w:rsidRPr="00310EEA" w:rsidRDefault="008114C4" w:rsidP="00D87CFA">
            <w:pPr>
              <w:pStyle w:val="Tablenumbers"/>
              <w:keepNext/>
              <w:keepLines/>
              <w:rPr>
                <w:highlight w:val="darkGray"/>
              </w:rPr>
            </w:pPr>
            <w:r w:rsidRPr="008114C4">
              <w:rPr>
                <w:color w:val="000000"/>
                <w:spacing w:val="49"/>
                <w:fitText w:val="320" w:id="-761538556"/>
                <w14:textFill>
                  <w14:solidFill>
                    <w14:srgbClr w14:val="000000">
                      <w14:alpha w14:val="100000"/>
                    </w14:srgbClr>
                  </w14:solidFill>
                </w14:textFill>
              </w:rPr>
              <w:t>|||</w:t>
            </w:r>
            <w:r w:rsidRPr="008114C4">
              <w:rPr>
                <w:color w:val="000000"/>
                <w:spacing w:val="3"/>
                <w:fitText w:val="320" w:id="-761538556"/>
                <w14:textFill>
                  <w14:solidFill>
                    <w14:srgbClr w14:val="000000">
                      <w14:alpha w14:val="100000"/>
                    </w14:srgbClr>
                  </w14:solidFill>
                </w14:textFill>
              </w:rPr>
              <w:t>|</w:t>
            </w:r>
          </w:p>
        </w:tc>
        <w:tc>
          <w:tcPr>
            <w:tcW w:w="609" w:type="pct"/>
            <w:gridSpan w:val="2"/>
            <w:shd w:val="solid" w:color="000000" w:fill="000000"/>
            <w:vAlign w:val="center"/>
          </w:tcPr>
          <w:p w14:paraId="1A3FCDA8" w14:textId="11583F62" w:rsidR="00CE7338" w:rsidRPr="00310EEA" w:rsidRDefault="008114C4" w:rsidP="00D87CFA">
            <w:pPr>
              <w:pStyle w:val="Tablenumbers"/>
              <w:keepNext/>
              <w:keepLines/>
              <w:rPr>
                <w:highlight w:val="darkGray"/>
              </w:rPr>
            </w:pPr>
            <w:r w:rsidRPr="008114C4">
              <w:rPr>
                <w:color w:val="000000"/>
                <w:spacing w:val="49"/>
                <w:fitText w:val="320" w:id="-761538555"/>
                <w14:textFill>
                  <w14:solidFill>
                    <w14:srgbClr w14:val="000000">
                      <w14:alpha w14:val="100000"/>
                    </w14:srgbClr>
                  </w14:solidFill>
                </w14:textFill>
              </w:rPr>
              <w:t>|||</w:t>
            </w:r>
            <w:r w:rsidRPr="008114C4">
              <w:rPr>
                <w:color w:val="000000"/>
                <w:spacing w:val="3"/>
                <w:fitText w:val="320" w:id="-761538555"/>
                <w14:textFill>
                  <w14:solidFill>
                    <w14:srgbClr w14:val="000000">
                      <w14:alpha w14:val="100000"/>
                    </w14:srgbClr>
                  </w14:solidFill>
                </w14:textFill>
              </w:rPr>
              <w:t>|</w:t>
            </w:r>
          </w:p>
        </w:tc>
        <w:tc>
          <w:tcPr>
            <w:tcW w:w="609" w:type="pct"/>
            <w:shd w:val="solid" w:color="000000" w:fill="000000"/>
          </w:tcPr>
          <w:p w14:paraId="1CC15D68" w14:textId="73CBE830" w:rsidR="00CE7338" w:rsidRPr="00310EEA" w:rsidRDefault="008114C4" w:rsidP="00D87CFA">
            <w:pPr>
              <w:pStyle w:val="Tablenumbers"/>
              <w:keepNext/>
              <w:keepLines/>
              <w:rPr>
                <w:highlight w:val="darkGray"/>
              </w:rPr>
            </w:pPr>
            <w:r w:rsidRPr="008114C4">
              <w:rPr>
                <w:color w:val="000000"/>
                <w:spacing w:val="49"/>
                <w:fitText w:val="320" w:id="-761538554"/>
                <w14:textFill>
                  <w14:solidFill>
                    <w14:srgbClr w14:val="000000">
                      <w14:alpha w14:val="100000"/>
                    </w14:srgbClr>
                  </w14:solidFill>
                </w14:textFill>
              </w:rPr>
              <w:t>|||</w:t>
            </w:r>
            <w:r w:rsidRPr="008114C4">
              <w:rPr>
                <w:color w:val="000000"/>
                <w:spacing w:val="3"/>
                <w:fitText w:val="320" w:id="-761538554"/>
                <w14:textFill>
                  <w14:solidFill>
                    <w14:srgbClr w14:val="000000">
                      <w14:alpha w14:val="100000"/>
                    </w14:srgbClr>
                  </w14:solidFill>
                </w14:textFill>
              </w:rPr>
              <w:t>|</w:t>
            </w:r>
          </w:p>
        </w:tc>
        <w:tc>
          <w:tcPr>
            <w:tcW w:w="609" w:type="pct"/>
            <w:shd w:val="solid" w:color="000000" w:fill="000000"/>
          </w:tcPr>
          <w:p w14:paraId="41291B2C" w14:textId="015E8D5F" w:rsidR="00CE7338" w:rsidRPr="00310EEA" w:rsidRDefault="008114C4" w:rsidP="00D87CFA">
            <w:pPr>
              <w:pStyle w:val="Tablenumbers"/>
              <w:keepNext/>
              <w:keepLines/>
              <w:rPr>
                <w:highlight w:val="darkGray"/>
              </w:rPr>
            </w:pPr>
            <w:r w:rsidRPr="008114C4">
              <w:rPr>
                <w:color w:val="000000"/>
                <w:spacing w:val="49"/>
                <w:fitText w:val="320" w:id="-761538553"/>
                <w14:textFill>
                  <w14:solidFill>
                    <w14:srgbClr w14:val="000000">
                      <w14:alpha w14:val="100000"/>
                    </w14:srgbClr>
                  </w14:solidFill>
                </w14:textFill>
              </w:rPr>
              <w:t>|||</w:t>
            </w:r>
            <w:r w:rsidRPr="008114C4">
              <w:rPr>
                <w:color w:val="000000"/>
                <w:spacing w:val="3"/>
                <w:fitText w:val="320" w:id="-761538553"/>
                <w14:textFill>
                  <w14:solidFill>
                    <w14:srgbClr w14:val="000000">
                      <w14:alpha w14:val="100000"/>
                    </w14:srgbClr>
                  </w14:solidFill>
                </w14:textFill>
              </w:rPr>
              <w:t>|</w:t>
            </w:r>
          </w:p>
        </w:tc>
        <w:tc>
          <w:tcPr>
            <w:tcW w:w="583" w:type="pct"/>
            <w:shd w:val="solid" w:color="000000" w:fill="000000"/>
          </w:tcPr>
          <w:p w14:paraId="61045042" w14:textId="1A4290BB" w:rsidR="00CE7338" w:rsidRPr="00310EEA" w:rsidRDefault="008114C4" w:rsidP="00D87CFA">
            <w:pPr>
              <w:pStyle w:val="Tablenumbers"/>
              <w:keepNext/>
              <w:keepLines/>
              <w:rPr>
                <w:highlight w:val="darkGray"/>
              </w:rPr>
            </w:pPr>
            <w:r w:rsidRPr="008114C4">
              <w:rPr>
                <w:color w:val="000000"/>
                <w:spacing w:val="54"/>
                <w:fitText w:val="333" w:id="-761538552"/>
                <w14:textFill>
                  <w14:solidFill>
                    <w14:srgbClr w14:val="000000">
                      <w14:alpha w14:val="100000"/>
                    </w14:srgbClr>
                  </w14:solidFill>
                </w14:textFill>
              </w:rPr>
              <w:t>|||</w:t>
            </w:r>
            <w:r w:rsidRPr="008114C4">
              <w:rPr>
                <w:color w:val="000000"/>
                <w:spacing w:val="1"/>
                <w:fitText w:val="333" w:id="-761538552"/>
                <w14:textFill>
                  <w14:solidFill>
                    <w14:srgbClr w14:val="000000">
                      <w14:alpha w14:val="100000"/>
                    </w14:srgbClr>
                  </w14:solidFill>
                </w14:textFill>
              </w:rPr>
              <w:t>|</w:t>
            </w:r>
          </w:p>
        </w:tc>
        <w:tc>
          <w:tcPr>
            <w:tcW w:w="638" w:type="pct"/>
            <w:shd w:val="solid" w:color="000000" w:fill="000000"/>
          </w:tcPr>
          <w:p w14:paraId="7D87D5AE" w14:textId="7541EFC8" w:rsidR="00CE7338" w:rsidRPr="00310EEA" w:rsidRDefault="008114C4" w:rsidP="00D87CFA">
            <w:pPr>
              <w:pStyle w:val="Tablenumbers"/>
              <w:keepNext/>
              <w:keepLines/>
              <w:rPr>
                <w:highlight w:val="darkGray"/>
              </w:rPr>
            </w:pPr>
            <w:r w:rsidRPr="008114C4">
              <w:rPr>
                <w:color w:val="000000"/>
                <w:spacing w:val="49"/>
                <w:fitText w:val="320" w:id="-761538551"/>
                <w14:textFill>
                  <w14:solidFill>
                    <w14:srgbClr w14:val="000000">
                      <w14:alpha w14:val="100000"/>
                    </w14:srgbClr>
                  </w14:solidFill>
                </w14:textFill>
              </w:rPr>
              <w:t>|||</w:t>
            </w:r>
            <w:r w:rsidRPr="008114C4">
              <w:rPr>
                <w:color w:val="000000"/>
                <w:spacing w:val="3"/>
                <w:fitText w:val="320" w:id="-761538551"/>
                <w14:textFill>
                  <w14:solidFill>
                    <w14:srgbClr w14:val="000000">
                      <w14:alpha w14:val="100000"/>
                    </w14:srgbClr>
                  </w14:solidFill>
                </w14:textFill>
              </w:rPr>
              <w:t>|</w:t>
            </w:r>
          </w:p>
        </w:tc>
        <w:tc>
          <w:tcPr>
            <w:tcW w:w="511" w:type="pct"/>
            <w:shd w:val="solid" w:color="000000" w:fill="000000"/>
            <w:vAlign w:val="center"/>
          </w:tcPr>
          <w:p w14:paraId="5F1D6F04" w14:textId="122D7E81" w:rsidR="00CE7338" w:rsidRPr="00310EEA" w:rsidRDefault="008114C4" w:rsidP="00D87CFA">
            <w:pPr>
              <w:pStyle w:val="Tablenumbers"/>
              <w:keepNext/>
              <w:keepLines/>
              <w:rPr>
                <w:highlight w:val="darkGray"/>
              </w:rPr>
            </w:pPr>
            <w:r w:rsidRPr="008114C4">
              <w:rPr>
                <w:color w:val="000000"/>
                <w:spacing w:val="54"/>
                <w:fitText w:val="333" w:id="-761538550"/>
                <w14:textFill>
                  <w14:solidFill>
                    <w14:srgbClr w14:val="000000">
                      <w14:alpha w14:val="100000"/>
                    </w14:srgbClr>
                  </w14:solidFill>
                </w14:textFill>
              </w:rPr>
              <w:t>|||</w:t>
            </w:r>
            <w:r w:rsidRPr="008114C4">
              <w:rPr>
                <w:color w:val="000000"/>
                <w:spacing w:val="1"/>
                <w:fitText w:val="333" w:id="-761538550"/>
                <w14:textFill>
                  <w14:solidFill>
                    <w14:srgbClr w14:val="000000">
                      <w14:alpha w14:val="100000"/>
                    </w14:srgbClr>
                  </w14:solidFill>
                </w14:textFill>
              </w:rPr>
              <w:t>|</w:t>
            </w:r>
          </w:p>
        </w:tc>
      </w:tr>
      <w:tr w:rsidR="006B5229" w:rsidRPr="005E3251" w14:paraId="61A6BC03" w14:textId="77777777">
        <w:tc>
          <w:tcPr>
            <w:tcW w:w="833" w:type="pct"/>
            <w:vAlign w:val="center"/>
          </w:tcPr>
          <w:p w14:paraId="2C324DD8" w14:textId="77777777" w:rsidR="00CE7338" w:rsidRPr="005E3251" w:rsidRDefault="00CE7338" w:rsidP="00D87CFA">
            <w:pPr>
              <w:pStyle w:val="TableText0"/>
              <w:keepLines/>
              <w:rPr>
                <w:rFonts w:ascii="Times" w:hAnsi="Times"/>
              </w:rPr>
            </w:pPr>
            <w:r w:rsidRPr="005E3251">
              <w:t>LYG</w:t>
            </w:r>
          </w:p>
        </w:tc>
        <w:tc>
          <w:tcPr>
            <w:tcW w:w="608" w:type="pct"/>
            <w:vAlign w:val="center"/>
          </w:tcPr>
          <w:p w14:paraId="20E12CF7" w14:textId="77777777" w:rsidR="00CE7338" w:rsidRPr="005E3251" w:rsidRDefault="00CE7338" w:rsidP="00D87CFA">
            <w:pPr>
              <w:pStyle w:val="Tablenumbers"/>
              <w:keepNext/>
              <w:keepLines/>
            </w:pPr>
            <w:r w:rsidRPr="005E3251">
              <w:t>11.0369</w:t>
            </w:r>
          </w:p>
        </w:tc>
        <w:tc>
          <w:tcPr>
            <w:tcW w:w="609" w:type="pct"/>
            <w:gridSpan w:val="2"/>
            <w:vAlign w:val="center"/>
          </w:tcPr>
          <w:p w14:paraId="7986BCDE" w14:textId="77777777" w:rsidR="00CE7338" w:rsidRPr="005E3251" w:rsidRDefault="00CE7338" w:rsidP="00D87CFA">
            <w:pPr>
              <w:pStyle w:val="Tablenumbers"/>
              <w:keepNext/>
              <w:keepLines/>
            </w:pPr>
            <w:r w:rsidRPr="005E3251">
              <w:t>10.9387</w:t>
            </w:r>
          </w:p>
        </w:tc>
        <w:tc>
          <w:tcPr>
            <w:tcW w:w="609" w:type="pct"/>
          </w:tcPr>
          <w:p w14:paraId="4108993E" w14:textId="77777777" w:rsidR="00CE7338" w:rsidRPr="005E3251" w:rsidRDefault="00CE7338" w:rsidP="00D87CFA">
            <w:pPr>
              <w:pStyle w:val="Tablenumbers"/>
              <w:keepNext/>
              <w:keepLines/>
            </w:pPr>
            <w:r w:rsidRPr="005E3251">
              <w:t>0.0982</w:t>
            </w:r>
          </w:p>
        </w:tc>
        <w:tc>
          <w:tcPr>
            <w:tcW w:w="609" w:type="pct"/>
          </w:tcPr>
          <w:p w14:paraId="01EBBE76" w14:textId="77777777" w:rsidR="00CE7338" w:rsidRPr="005E3251" w:rsidRDefault="00CE7338" w:rsidP="00D87CFA">
            <w:pPr>
              <w:pStyle w:val="Tablenumbers"/>
              <w:keepNext/>
              <w:keepLines/>
            </w:pPr>
            <w:r w:rsidRPr="005E3251">
              <w:t>11.0928</w:t>
            </w:r>
          </w:p>
        </w:tc>
        <w:tc>
          <w:tcPr>
            <w:tcW w:w="583" w:type="pct"/>
          </w:tcPr>
          <w:p w14:paraId="4BF66DAA" w14:textId="77777777" w:rsidR="00CE7338" w:rsidRPr="005E3251" w:rsidRDefault="00CE7338" w:rsidP="00D87CFA">
            <w:pPr>
              <w:pStyle w:val="Tablenumbers"/>
              <w:keepNext/>
              <w:keepLines/>
            </w:pPr>
            <w:r w:rsidRPr="005E3251">
              <w:t>10.9387</w:t>
            </w:r>
          </w:p>
        </w:tc>
        <w:tc>
          <w:tcPr>
            <w:tcW w:w="638" w:type="pct"/>
          </w:tcPr>
          <w:p w14:paraId="47D9E076" w14:textId="77777777" w:rsidR="00CE7338" w:rsidRPr="005E3251" w:rsidRDefault="00CE7338" w:rsidP="00D87CFA">
            <w:pPr>
              <w:pStyle w:val="Tablenumbers"/>
              <w:keepNext/>
              <w:keepLines/>
            </w:pPr>
            <w:r w:rsidRPr="005E3251">
              <w:t>0.1541</w:t>
            </w:r>
          </w:p>
        </w:tc>
        <w:tc>
          <w:tcPr>
            <w:tcW w:w="511" w:type="pct"/>
            <w:vAlign w:val="center"/>
          </w:tcPr>
          <w:p w14:paraId="0C84E736" w14:textId="77777777" w:rsidR="00CE7338" w:rsidRPr="005E3251" w:rsidRDefault="00CE7338" w:rsidP="00D87CFA">
            <w:pPr>
              <w:pStyle w:val="Tablenumbers"/>
              <w:keepNext/>
              <w:keepLines/>
            </w:pPr>
            <w:r w:rsidRPr="005E3251">
              <w:t>0.1367</w:t>
            </w:r>
          </w:p>
        </w:tc>
      </w:tr>
      <w:tr w:rsidR="006B5229" w:rsidRPr="005E3251" w14:paraId="4D3406AE" w14:textId="77777777">
        <w:tc>
          <w:tcPr>
            <w:tcW w:w="2050" w:type="pct"/>
            <w:gridSpan w:val="4"/>
            <w:vAlign w:val="center"/>
          </w:tcPr>
          <w:p w14:paraId="54879E2C" w14:textId="77777777" w:rsidR="00CE7338" w:rsidRPr="005E3251" w:rsidRDefault="00CE7338" w:rsidP="00D87CFA">
            <w:pPr>
              <w:pStyle w:val="TableText0"/>
              <w:keepLines/>
              <w:rPr>
                <w:rFonts w:ascii="Times" w:hAnsi="Times"/>
              </w:rPr>
            </w:pPr>
            <w:r w:rsidRPr="005E3251">
              <w:t>Incremental cost/extra LYG gained</w:t>
            </w:r>
          </w:p>
        </w:tc>
        <w:tc>
          <w:tcPr>
            <w:tcW w:w="609" w:type="pct"/>
          </w:tcPr>
          <w:p w14:paraId="71CBEB14" w14:textId="0020DB50" w:rsidR="00CE7338" w:rsidRPr="005E3251" w:rsidRDefault="001776DB" w:rsidP="00D87CFA">
            <w:pPr>
              <w:pStyle w:val="Tablenumbers"/>
              <w:keepNext/>
              <w:keepLines/>
            </w:pPr>
            <w:r w:rsidRPr="005E3251">
              <w:t>Dominant</w:t>
            </w:r>
          </w:p>
        </w:tc>
        <w:tc>
          <w:tcPr>
            <w:tcW w:w="1192" w:type="pct"/>
            <w:gridSpan w:val="2"/>
          </w:tcPr>
          <w:p w14:paraId="37064A17" w14:textId="77777777" w:rsidR="00CE7338" w:rsidRPr="005E3251" w:rsidRDefault="00CE7338" w:rsidP="00D87CFA">
            <w:pPr>
              <w:pStyle w:val="Tablenumbers"/>
              <w:keepNext/>
              <w:keepLines/>
            </w:pPr>
          </w:p>
        </w:tc>
        <w:tc>
          <w:tcPr>
            <w:tcW w:w="638" w:type="pct"/>
          </w:tcPr>
          <w:p w14:paraId="07551685" w14:textId="10802E93" w:rsidR="00CE7338" w:rsidRPr="00417668" w:rsidRDefault="008114C4" w:rsidP="00D87CFA">
            <w:pPr>
              <w:pStyle w:val="Tablenumbers"/>
              <w:keepNext/>
              <w:keepLines/>
              <w:rPr>
                <w:highlight w:val="darkGray"/>
              </w:rPr>
            </w:pPr>
            <w:r w:rsidRPr="008114C4">
              <w:rPr>
                <w:color w:val="000000"/>
                <w:spacing w:val="49"/>
                <w:shd w:val="solid" w:color="000000" w:fill="000000"/>
                <w:fitText w:val="320" w:id="-761538549"/>
                <w14:textFill>
                  <w14:solidFill>
                    <w14:srgbClr w14:val="000000">
                      <w14:alpha w14:val="100000"/>
                    </w14:srgbClr>
                  </w14:solidFill>
                </w14:textFill>
              </w:rPr>
              <w:t>|||</w:t>
            </w:r>
            <w:r w:rsidRPr="008114C4">
              <w:rPr>
                <w:color w:val="000000"/>
                <w:spacing w:val="3"/>
                <w:shd w:val="solid" w:color="000000" w:fill="000000"/>
                <w:fitText w:val="320" w:id="-761538549"/>
                <w14:textFill>
                  <w14:solidFill>
                    <w14:srgbClr w14:val="000000">
                      <w14:alpha w14:val="100000"/>
                    </w14:srgbClr>
                  </w14:solidFill>
                </w14:textFill>
              </w:rPr>
              <w:t>|</w:t>
            </w:r>
            <w:r w:rsidR="00376874" w:rsidRPr="00376874">
              <w:rPr>
                <w:vertAlign w:val="superscript"/>
              </w:rPr>
              <w:t>2</w:t>
            </w:r>
          </w:p>
        </w:tc>
        <w:tc>
          <w:tcPr>
            <w:tcW w:w="511" w:type="pct"/>
            <w:vAlign w:val="center"/>
          </w:tcPr>
          <w:p w14:paraId="664DAEB3" w14:textId="6CFF5EFD" w:rsidR="00CE7338" w:rsidRPr="00417668" w:rsidRDefault="008114C4" w:rsidP="00D87CFA">
            <w:pPr>
              <w:pStyle w:val="Tablenumbers"/>
              <w:keepNext/>
              <w:keepLines/>
              <w:rPr>
                <w:highlight w:val="darkGray"/>
              </w:rPr>
            </w:pPr>
            <w:r w:rsidRPr="008114C4">
              <w:rPr>
                <w:color w:val="000000"/>
                <w:spacing w:val="54"/>
                <w:shd w:val="solid" w:color="000000" w:fill="000000"/>
                <w:fitText w:val="333" w:id="-761538548"/>
                <w14:textFill>
                  <w14:solidFill>
                    <w14:srgbClr w14:val="000000">
                      <w14:alpha w14:val="100000"/>
                    </w14:srgbClr>
                  </w14:solidFill>
                </w14:textFill>
              </w:rPr>
              <w:t>|||</w:t>
            </w:r>
            <w:r w:rsidRPr="008114C4">
              <w:rPr>
                <w:color w:val="000000"/>
                <w:spacing w:val="1"/>
                <w:shd w:val="solid" w:color="000000" w:fill="000000"/>
                <w:fitText w:val="333" w:id="-761538548"/>
                <w14:textFill>
                  <w14:solidFill>
                    <w14:srgbClr w14:val="000000">
                      <w14:alpha w14:val="100000"/>
                    </w14:srgbClr>
                  </w14:solidFill>
                </w14:textFill>
              </w:rPr>
              <w:t>|</w:t>
            </w:r>
            <w:r w:rsidR="007D0BE3" w:rsidRPr="007D0BE3">
              <w:rPr>
                <w:vertAlign w:val="superscript"/>
              </w:rPr>
              <w:t>3</w:t>
            </w:r>
          </w:p>
        </w:tc>
      </w:tr>
      <w:tr w:rsidR="006B5229" w:rsidRPr="005E3251" w14:paraId="432B4AEA" w14:textId="77777777">
        <w:tc>
          <w:tcPr>
            <w:tcW w:w="5000" w:type="pct"/>
            <w:gridSpan w:val="9"/>
          </w:tcPr>
          <w:p w14:paraId="5FF13280" w14:textId="77777777" w:rsidR="00CE7338" w:rsidRPr="005E3251" w:rsidRDefault="00CE7338" w:rsidP="00D87CFA">
            <w:pPr>
              <w:pStyle w:val="In-tableHeading"/>
              <w:keepLines/>
            </w:pPr>
            <w:r w:rsidRPr="005E3251">
              <w:t>Step 5: Incorporation of medical resource costs</w:t>
            </w:r>
          </w:p>
        </w:tc>
      </w:tr>
      <w:tr w:rsidR="006B5229" w:rsidRPr="005E3251" w14:paraId="504433EF" w14:textId="77777777" w:rsidTr="008114C4">
        <w:tc>
          <w:tcPr>
            <w:tcW w:w="833" w:type="pct"/>
            <w:vAlign w:val="center"/>
          </w:tcPr>
          <w:p w14:paraId="6EE5DADB" w14:textId="3D5CAC1D" w:rsidR="00CE7338" w:rsidRPr="005E3251" w:rsidRDefault="00CE7338" w:rsidP="00D87CFA">
            <w:pPr>
              <w:pStyle w:val="TableText0"/>
              <w:keepLines/>
              <w:rPr>
                <w:rFonts w:ascii="Times" w:hAnsi="Times"/>
              </w:rPr>
            </w:pPr>
            <w:r w:rsidRPr="005E3251">
              <w:t>Costs</w:t>
            </w:r>
            <w:r w:rsidR="00F81C58">
              <w:t xml:space="preserve"> ($)</w:t>
            </w:r>
          </w:p>
        </w:tc>
        <w:tc>
          <w:tcPr>
            <w:tcW w:w="608" w:type="pct"/>
            <w:shd w:val="solid" w:color="000000" w:fill="000000"/>
            <w:vAlign w:val="center"/>
          </w:tcPr>
          <w:p w14:paraId="0309FA53" w14:textId="7AE268E7" w:rsidR="00CE7338" w:rsidRPr="00F81C58" w:rsidRDefault="008114C4" w:rsidP="00D87CFA">
            <w:pPr>
              <w:pStyle w:val="Tablenumbers"/>
              <w:keepNext/>
              <w:keepLines/>
              <w:rPr>
                <w:rFonts w:ascii="Times" w:hAnsi="Times"/>
                <w:highlight w:val="darkGray"/>
              </w:rPr>
            </w:pPr>
            <w:r w:rsidRPr="008114C4">
              <w:rPr>
                <w:color w:val="000000"/>
                <w:spacing w:val="49"/>
                <w:fitText w:val="320" w:id="-761538547"/>
                <w14:textFill>
                  <w14:solidFill>
                    <w14:srgbClr w14:val="000000">
                      <w14:alpha w14:val="100000"/>
                    </w14:srgbClr>
                  </w14:solidFill>
                </w14:textFill>
              </w:rPr>
              <w:t>|||</w:t>
            </w:r>
            <w:r w:rsidRPr="008114C4">
              <w:rPr>
                <w:color w:val="000000"/>
                <w:spacing w:val="3"/>
                <w:fitText w:val="320" w:id="-761538547"/>
                <w14:textFill>
                  <w14:solidFill>
                    <w14:srgbClr w14:val="000000">
                      <w14:alpha w14:val="100000"/>
                    </w14:srgbClr>
                  </w14:solidFill>
                </w14:textFill>
              </w:rPr>
              <w:t>|</w:t>
            </w:r>
          </w:p>
        </w:tc>
        <w:tc>
          <w:tcPr>
            <w:tcW w:w="609" w:type="pct"/>
            <w:gridSpan w:val="2"/>
            <w:shd w:val="solid" w:color="000000" w:fill="000000"/>
            <w:vAlign w:val="center"/>
          </w:tcPr>
          <w:p w14:paraId="30D4F1E2" w14:textId="41927E7A" w:rsidR="00CE7338" w:rsidRPr="00F81C58" w:rsidRDefault="008114C4" w:rsidP="00D87CFA">
            <w:pPr>
              <w:pStyle w:val="Tablenumbers"/>
              <w:keepNext/>
              <w:keepLines/>
              <w:rPr>
                <w:rFonts w:ascii="Times" w:hAnsi="Times"/>
                <w:highlight w:val="darkGray"/>
              </w:rPr>
            </w:pPr>
            <w:r w:rsidRPr="008114C4">
              <w:rPr>
                <w:color w:val="000000"/>
                <w:spacing w:val="49"/>
                <w:fitText w:val="320" w:id="-761538546"/>
                <w14:textFill>
                  <w14:solidFill>
                    <w14:srgbClr w14:val="000000">
                      <w14:alpha w14:val="100000"/>
                    </w14:srgbClr>
                  </w14:solidFill>
                </w14:textFill>
              </w:rPr>
              <w:t>|||</w:t>
            </w:r>
            <w:r w:rsidRPr="008114C4">
              <w:rPr>
                <w:color w:val="000000"/>
                <w:spacing w:val="3"/>
                <w:fitText w:val="320" w:id="-761538546"/>
                <w14:textFill>
                  <w14:solidFill>
                    <w14:srgbClr w14:val="000000">
                      <w14:alpha w14:val="100000"/>
                    </w14:srgbClr>
                  </w14:solidFill>
                </w14:textFill>
              </w:rPr>
              <w:t>|</w:t>
            </w:r>
          </w:p>
        </w:tc>
        <w:tc>
          <w:tcPr>
            <w:tcW w:w="609" w:type="pct"/>
            <w:shd w:val="solid" w:color="000000" w:fill="000000"/>
          </w:tcPr>
          <w:p w14:paraId="745039A0" w14:textId="49BF96B2" w:rsidR="00CE7338" w:rsidRPr="00F81C58" w:rsidRDefault="008114C4" w:rsidP="00D87CFA">
            <w:pPr>
              <w:pStyle w:val="Tablenumbers"/>
              <w:keepNext/>
              <w:keepLines/>
              <w:rPr>
                <w:highlight w:val="darkGray"/>
              </w:rPr>
            </w:pPr>
            <w:r w:rsidRPr="008114C4">
              <w:rPr>
                <w:color w:val="000000"/>
                <w:spacing w:val="49"/>
                <w:fitText w:val="320" w:id="-761538545"/>
                <w14:textFill>
                  <w14:solidFill>
                    <w14:srgbClr w14:val="000000">
                      <w14:alpha w14:val="100000"/>
                    </w14:srgbClr>
                  </w14:solidFill>
                </w14:textFill>
              </w:rPr>
              <w:t>|||</w:t>
            </w:r>
            <w:r w:rsidRPr="008114C4">
              <w:rPr>
                <w:color w:val="000000"/>
                <w:spacing w:val="3"/>
                <w:fitText w:val="320" w:id="-761538545"/>
                <w14:textFill>
                  <w14:solidFill>
                    <w14:srgbClr w14:val="000000">
                      <w14:alpha w14:val="100000"/>
                    </w14:srgbClr>
                  </w14:solidFill>
                </w14:textFill>
              </w:rPr>
              <w:t>|</w:t>
            </w:r>
          </w:p>
        </w:tc>
        <w:tc>
          <w:tcPr>
            <w:tcW w:w="609" w:type="pct"/>
            <w:shd w:val="solid" w:color="000000" w:fill="000000"/>
          </w:tcPr>
          <w:p w14:paraId="44BFADC1" w14:textId="2656F387" w:rsidR="00CE7338" w:rsidRPr="00F81C58" w:rsidRDefault="008114C4" w:rsidP="00D87CFA">
            <w:pPr>
              <w:pStyle w:val="Tablenumbers"/>
              <w:keepNext/>
              <w:keepLines/>
              <w:rPr>
                <w:highlight w:val="darkGray"/>
              </w:rPr>
            </w:pPr>
            <w:r w:rsidRPr="008114C4">
              <w:rPr>
                <w:color w:val="000000"/>
                <w:spacing w:val="49"/>
                <w:fitText w:val="320" w:id="-761538544"/>
                <w14:textFill>
                  <w14:solidFill>
                    <w14:srgbClr w14:val="000000">
                      <w14:alpha w14:val="100000"/>
                    </w14:srgbClr>
                  </w14:solidFill>
                </w14:textFill>
              </w:rPr>
              <w:t>|||</w:t>
            </w:r>
            <w:r w:rsidRPr="008114C4">
              <w:rPr>
                <w:color w:val="000000"/>
                <w:spacing w:val="3"/>
                <w:fitText w:val="320" w:id="-761538544"/>
                <w14:textFill>
                  <w14:solidFill>
                    <w14:srgbClr w14:val="000000">
                      <w14:alpha w14:val="100000"/>
                    </w14:srgbClr>
                  </w14:solidFill>
                </w14:textFill>
              </w:rPr>
              <w:t>|</w:t>
            </w:r>
          </w:p>
        </w:tc>
        <w:tc>
          <w:tcPr>
            <w:tcW w:w="583" w:type="pct"/>
            <w:shd w:val="solid" w:color="000000" w:fill="000000"/>
          </w:tcPr>
          <w:p w14:paraId="08799E0F" w14:textId="44B1F5B3" w:rsidR="00CE7338" w:rsidRPr="00F81C58" w:rsidRDefault="008114C4" w:rsidP="00D87CFA">
            <w:pPr>
              <w:pStyle w:val="Tablenumbers"/>
              <w:keepNext/>
              <w:keepLines/>
              <w:rPr>
                <w:highlight w:val="darkGray"/>
              </w:rPr>
            </w:pPr>
            <w:r w:rsidRPr="008114C4">
              <w:rPr>
                <w:color w:val="000000"/>
                <w:spacing w:val="54"/>
                <w:fitText w:val="333" w:id="-761538560"/>
                <w14:textFill>
                  <w14:solidFill>
                    <w14:srgbClr w14:val="000000">
                      <w14:alpha w14:val="100000"/>
                    </w14:srgbClr>
                  </w14:solidFill>
                </w14:textFill>
              </w:rPr>
              <w:t>|||</w:t>
            </w:r>
            <w:r w:rsidRPr="008114C4">
              <w:rPr>
                <w:color w:val="000000"/>
                <w:spacing w:val="1"/>
                <w:fitText w:val="333" w:id="-761538560"/>
                <w14:textFill>
                  <w14:solidFill>
                    <w14:srgbClr w14:val="000000">
                      <w14:alpha w14:val="100000"/>
                    </w14:srgbClr>
                  </w14:solidFill>
                </w14:textFill>
              </w:rPr>
              <w:t>|</w:t>
            </w:r>
          </w:p>
        </w:tc>
        <w:tc>
          <w:tcPr>
            <w:tcW w:w="638" w:type="pct"/>
            <w:shd w:val="solid" w:color="000000" w:fill="000000"/>
          </w:tcPr>
          <w:p w14:paraId="3CB149DD" w14:textId="55D3DE81" w:rsidR="00CE7338" w:rsidRPr="00F81C58" w:rsidRDefault="008114C4" w:rsidP="00D87CFA">
            <w:pPr>
              <w:pStyle w:val="Tablenumbers"/>
              <w:keepNext/>
              <w:keepLines/>
              <w:rPr>
                <w:highlight w:val="darkGray"/>
              </w:rPr>
            </w:pPr>
            <w:r w:rsidRPr="008114C4">
              <w:rPr>
                <w:color w:val="000000"/>
                <w:spacing w:val="49"/>
                <w:fitText w:val="320" w:id="-761538559"/>
                <w14:textFill>
                  <w14:solidFill>
                    <w14:srgbClr w14:val="000000">
                      <w14:alpha w14:val="100000"/>
                    </w14:srgbClr>
                  </w14:solidFill>
                </w14:textFill>
              </w:rPr>
              <w:t>|||</w:t>
            </w:r>
            <w:r w:rsidRPr="008114C4">
              <w:rPr>
                <w:color w:val="000000"/>
                <w:spacing w:val="3"/>
                <w:fitText w:val="320" w:id="-761538559"/>
                <w14:textFill>
                  <w14:solidFill>
                    <w14:srgbClr w14:val="000000">
                      <w14:alpha w14:val="100000"/>
                    </w14:srgbClr>
                  </w14:solidFill>
                </w14:textFill>
              </w:rPr>
              <w:t>|</w:t>
            </w:r>
          </w:p>
        </w:tc>
        <w:tc>
          <w:tcPr>
            <w:tcW w:w="511" w:type="pct"/>
            <w:shd w:val="solid" w:color="000000" w:fill="000000"/>
            <w:vAlign w:val="center"/>
          </w:tcPr>
          <w:p w14:paraId="786B87C3" w14:textId="05E48EE8" w:rsidR="00CE7338" w:rsidRPr="00F81C58" w:rsidRDefault="008114C4" w:rsidP="00D87CFA">
            <w:pPr>
              <w:pStyle w:val="Tablenumbers"/>
              <w:keepNext/>
              <w:keepLines/>
              <w:rPr>
                <w:rFonts w:ascii="Times" w:hAnsi="Times"/>
                <w:highlight w:val="darkGray"/>
              </w:rPr>
            </w:pPr>
            <w:r w:rsidRPr="008114C4">
              <w:rPr>
                <w:color w:val="000000"/>
                <w:spacing w:val="54"/>
                <w:fitText w:val="333" w:id="-761538558"/>
                <w14:textFill>
                  <w14:solidFill>
                    <w14:srgbClr w14:val="000000">
                      <w14:alpha w14:val="100000"/>
                    </w14:srgbClr>
                  </w14:solidFill>
                </w14:textFill>
              </w:rPr>
              <w:t>|||</w:t>
            </w:r>
            <w:r w:rsidRPr="008114C4">
              <w:rPr>
                <w:color w:val="000000"/>
                <w:spacing w:val="1"/>
                <w:fitText w:val="333" w:id="-761538558"/>
                <w14:textFill>
                  <w14:solidFill>
                    <w14:srgbClr w14:val="000000">
                      <w14:alpha w14:val="100000"/>
                    </w14:srgbClr>
                  </w14:solidFill>
                </w14:textFill>
              </w:rPr>
              <w:t>|</w:t>
            </w:r>
          </w:p>
        </w:tc>
      </w:tr>
      <w:tr w:rsidR="006B5229" w:rsidRPr="005E3251" w14:paraId="31FA5BD6" w14:textId="77777777">
        <w:tc>
          <w:tcPr>
            <w:tcW w:w="833" w:type="pct"/>
            <w:vAlign w:val="center"/>
          </w:tcPr>
          <w:p w14:paraId="63892779" w14:textId="77777777" w:rsidR="00CE7338" w:rsidRPr="005E3251" w:rsidRDefault="00CE7338" w:rsidP="00D87CFA">
            <w:pPr>
              <w:pStyle w:val="TableText0"/>
              <w:keepLines/>
              <w:rPr>
                <w:rFonts w:ascii="Times" w:hAnsi="Times"/>
              </w:rPr>
            </w:pPr>
            <w:r w:rsidRPr="005E3251">
              <w:t>LYG</w:t>
            </w:r>
          </w:p>
        </w:tc>
        <w:tc>
          <w:tcPr>
            <w:tcW w:w="608" w:type="pct"/>
            <w:vAlign w:val="center"/>
          </w:tcPr>
          <w:p w14:paraId="1FBC2A05" w14:textId="77777777" w:rsidR="00CE7338" w:rsidRPr="005E3251" w:rsidRDefault="00CE7338" w:rsidP="00D87CFA">
            <w:pPr>
              <w:pStyle w:val="Tablenumbers"/>
              <w:keepNext/>
              <w:keepLines/>
              <w:rPr>
                <w:rFonts w:ascii="Times" w:hAnsi="Times"/>
              </w:rPr>
            </w:pPr>
            <w:r w:rsidRPr="005E3251">
              <w:t>11.0369</w:t>
            </w:r>
          </w:p>
        </w:tc>
        <w:tc>
          <w:tcPr>
            <w:tcW w:w="609" w:type="pct"/>
            <w:gridSpan w:val="2"/>
            <w:vAlign w:val="center"/>
          </w:tcPr>
          <w:p w14:paraId="10A4CC39" w14:textId="77777777" w:rsidR="00CE7338" w:rsidRPr="005E3251" w:rsidRDefault="00CE7338" w:rsidP="00D87CFA">
            <w:pPr>
              <w:pStyle w:val="Tablenumbers"/>
              <w:keepNext/>
              <w:keepLines/>
              <w:rPr>
                <w:rFonts w:ascii="Times" w:hAnsi="Times"/>
              </w:rPr>
            </w:pPr>
            <w:r w:rsidRPr="005E3251">
              <w:t>10.9387</w:t>
            </w:r>
          </w:p>
        </w:tc>
        <w:tc>
          <w:tcPr>
            <w:tcW w:w="609" w:type="pct"/>
          </w:tcPr>
          <w:p w14:paraId="1D3B6859" w14:textId="77777777" w:rsidR="00CE7338" w:rsidRPr="005E3251" w:rsidRDefault="00CE7338" w:rsidP="00D87CFA">
            <w:pPr>
              <w:pStyle w:val="Tablenumbers"/>
              <w:keepNext/>
              <w:keepLines/>
            </w:pPr>
            <w:r w:rsidRPr="005E3251">
              <w:t>0.0982</w:t>
            </w:r>
          </w:p>
        </w:tc>
        <w:tc>
          <w:tcPr>
            <w:tcW w:w="609" w:type="pct"/>
          </w:tcPr>
          <w:p w14:paraId="0B1ED64F" w14:textId="77777777" w:rsidR="00CE7338" w:rsidRPr="005E3251" w:rsidRDefault="00CE7338" w:rsidP="00D87CFA">
            <w:pPr>
              <w:pStyle w:val="Tablenumbers"/>
              <w:keepNext/>
              <w:keepLines/>
            </w:pPr>
            <w:r w:rsidRPr="005E3251">
              <w:t>11.0928</w:t>
            </w:r>
          </w:p>
        </w:tc>
        <w:tc>
          <w:tcPr>
            <w:tcW w:w="583" w:type="pct"/>
          </w:tcPr>
          <w:p w14:paraId="39103C1D" w14:textId="77777777" w:rsidR="00CE7338" w:rsidRPr="005E3251" w:rsidRDefault="00CE7338" w:rsidP="00D87CFA">
            <w:pPr>
              <w:pStyle w:val="Tablenumbers"/>
              <w:keepNext/>
              <w:keepLines/>
            </w:pPr>
            <w:r w:rsidRPr="005E3251">
              <w:t>10.9387</w:t>
            </w:r>
          </w:p>
        </w:tc>
        <w:tc>
          <w:tcPr>
            <w:tcW w:w="638" w:type="pct"/>
          </w:tcPr>
          <w:p w14:paraId="3EDEECD7" w14:textId="77777777" w:rsidR="00CE7338" w:rsidRPr="005E3251" w:rsidRDefault="00CE7338" w:rsidP="00D87CFA">
            <w:pPr>
              <w:pStyle w:val="Tablenumbers"/>
              <w:keepNext/>
              <w:keepLines/>
            </w:pPr>
            <w:r w:rsidRPr="005E3251">
              <w:t>0.1541</w:t>
            </w:r>
          </w:p>
        </w:tc>
        <w:tc>
          <w:tcPr>
            <w:tcW w:w="511" w:type="pct"/>
            <w:vAlign w:val="center"/>
          </w:tcPr>
          <w:p w14:paraId="0930D8D0" w14:textId="77777777" w:rsidR="00CE7338" w:rsidRPr="005E3251" w:rsidRDefault="00CE7338" w:rsidP="00D87CFA">
            <w:pPr>
              <w:pStyle w:val="Tablenumbers"/>
              <w:keepNext/>
              <w:keepLines/>
            </w:pPr>
            <w:r w:rsidRPr="005E3251">
              <w:t>0.1367</w:t>
            </w:r>
          </w:p>
        </w:tc>
      </w:tr>
      <w:tr w:rsidR="006B5229" w:rsidRPr="005E3251" w14:paraId="6CAC024F" w14:textId="77777777">
        <w:tc>
          <w:tcPr>
            <w:tcW w:w="2050" w:type="pct"/>
            <w:gridSpan w:val="4"/>
            <w:vAlign w:val="center"/>
          </w:tcPr>
          <w:p w14:paraId="6CA1E407" w14:textId="77777777" w:rsidR="00CE7338" w:rsidRPr="005E3251" w:rsidRDefault="00CE7338" w:rsidP="00D87CFA">
            <w:pPr>
              <w:pStyle w:val="TableText0"/>
              <w:keepLines/>
              <w:rPr>
                <w:rFonts w:ascii="Times" w:hAnsi="Times"/>
              </w:rPr>
            </w:pPr>
            <w:r w:rsidRPr="005E3251">
              <w:t>Incremental cost/extra LYG gained</w:t>
            </w:r>
          </w:p>
        </w:tc>
        <w:tc>
          <w:tcPr>
            <w:tcW w:w="609" w:type="pct"/>
          </w:tcPr>
          <w:p w14:paraId="19B5BEBB" w14:textId="078A326E" w:rsidR="00CE7338" w:rsidRPr="005E3251" w:rsidRDefault="001776DB" w:rsidP="00D87CFA">
            <w:pPr>
              <w:pStyle w:val="Tablenumbers"/>
              <w:keepNext/>
              <w:keepLines/>
            </w:pPr>
            <w:r w:rsidRPr="005E3251">
              <w:t>Dominant</w:t>
            </w:r>
          </w:p>
        </w:tc>
        <w:tc>
          <w:tcPr>
            <w:tcW w:w="1192" w:type="pct"/>
            <w:gridSpan w:val="2"/>
          </w:tcPr>
          <w:p w14:paraId="6C62CBD8" w14:textId="77777777" w:rsidR="00CE7338" w:rsidRPr="005E3251" w:rsidRDefault="00CE7338" w:rsidP="00D87CFA">
            <w:pPr>
              <w:pStyle w:val="Tablenumbers"/>
              <w:keepNext/>
              <w:keepLines/>
            </w:pPr>
          </w:p>
        </w:tc>
        <w:tc>
          <w:tcPr>
            <w:tcW w:w="638" w:type="pct"/>
          </w:tcPr>
          <w:p w14:paraId="25331B5A" w14:textId="237E4364" w:rsidR="00CE7338" w:rsidRPr="00376874" w:rsidRDefault="008114C4" w:rsidP="00D87CFA">
            <w:pPr>
              <w:pStyle w:val="Tablenumbers"/>
              <w:keepNext/>
              <w:keepLines/>
              <w:rPr>
                <w:highlight w:val="darkGray"/>
              </w:rPr>
            </w:pPr>
            <w:r w:rsidRPr="008114C4">
              <w:rPr>
                <w:color w:val="000000"/>
                <w:spacing w:val="49"/>
                <w:shd w:val="solid" w:color="000000" w:fill="000000"/>
                <w:fitText w:val="320" w:id="-761538557"/>
                <w14:textFill>
                  <w14:solidFill>
                    <w14:srgbClr w14:val="000000">
                      <w14:alpha w14:val="100000"/>
                    </w14:srgbClr>
                  </w14:solidFill>
                </w14:textFill>
              </w:rPr>
              <w:t>|||</w:t>
            </w:r>
            <w:r w:rsidRPr="008114C4">
              <w:rPr>
                <w:color w:val="000000"/>
                <w:spacing w:val="3"/>
                <w:shd w:val="solid" w:color="000000" w:fill="000000"/>
                <w:fitText w:val="320" w:id="-761538557"/>
                <w14:textFill>
                  <w14:solidFill>
                    <w14:srgbClr w14:val="000000">
                      <w14:alpha w14:val="100000"/>
                    </w14:srgbClr>
                  </w14:solidFill>
                </w14:textFill>
              </w:rPr>
              <w:t>|</w:t>
            </w:r>
            <w:r w:rsidR="007D0BE3" w:rsidRPr="00376874">
              <w:rPr>
                <w:vertAlign w:val="superscript"/>
              </w:rPr>
              <w:t>2</w:t>
            </w:r>
          </w:p>
        </w:tc>
        <w:tc>
          <w:tcPr>
            <w:tcW w:w="511" w:type="pct"/>
            <w:vAlign w:val="center"/>
          </w:tcPr>
          <w:p w14:paraId="34AD052B" w14:textId="31B31760" w:rsidR="00CE7338" w:rsidRPr="00376874" w:rsidRDefault="008114C4" w:rsidP="00D87CFA">
            <w:pPr>
              <w:pStyle w:val="Tablenumbers"/>
              <w:keepNext/>
              <w:keepLines/>
              <w:rPr>
                <w:rFonts w:ascii="Times" w:hAnsi="Times"/>
                <w:highlight w:val="darkGray"/>
              </w:rPr>
            </w:pPr>
            <w:r w:rsidRPr="008114C4">
              <w:rPr>
                <w:color w:val="000000"/>
                <w:spacing w:val="54"/>
                <w:shd w:val="solid" w:color="000000" w:fill="000000"/>
                <w:fitText w:val="333" w:id="-761538556"/>
                <w14:textFill>
                  <w14:solidFill>
                    <w14:srgbClr w14:val="000000">
                      <w14:alpha w14:val="100000"/>
                    </w14:srgbClr>
                  </w14:solidFill>
                </w14:textFill>
              </w:rPr>
              <w:t>|||</w:t>
            </w:r>
            <w:r w:rsidRPr="008114C4">
              <w:rPr>
                <w:color w:val="000000"/>
                <w:spacing w:val="1"/>
                <w:shd w:val="solid" w:color="000000" w:fill="000000"/>
                <w:fitText w:val="333" w:id="-761538556"/>
                <w14:textFill>
                  <w14:solidFill>
                    <w14:srgbClr w14:val="000000">
                      <w14:alpha w14:val="100000"/>
                    </w14:srgbClr>
                  </w14:solidFill>
                </w14:textFill>
              </w:rPr>
              <w:t>|</w:t>
            </w:r>
            <w:r w:rsidR="00687606" w:rsidRPr="00687606">
              <w:rPr>
                <w:vertAlign w:val="superscript"/>
              </w:rPr>
              <w:t>4</w:t>
            </w:r>
          </w:p>
        </w:tc>
      </w:tr>
      <w:tr w:rsidR="006B5229" w:rsidRPr="005E3251" w14:paraId="6E05A7C1" w14:textId="77777777">
        <w:tc>
          <w:tcPr>
            <w:tcW w:w="5000" w:type="pct"/>
            <w:gridSpan w:val="9"/>
          </w:tcPr>
          <w:p w14:paraId="1DE179AD" w14:textId="77777777" w:rsidR="00CE7338" w:rsidRPr="005E3251" w:rsidRDefault="00CE7338" w:rsidP="00D87CFA">
            <w:pPr>
              <w:pStyle w:val="In-tableHeading"/>
              <w:keepLines/>
            </w:pPr>
            <w:r w:rsidRPr="005E3251">
              <w:t>Step 6: Utility weights applied</w:t>
            </w:r>
          </w:p>
        </w:tc>
      </w:tr>
      <w:tr w:rsidR="006B5229" w:rsidRPr="005E3251" w14:paraId="172CBA66" w14:textId="77777777" w:rsidTr="008114C4">
        <w:tc>
          <w:tcPr>
            <w:tcW w:w="833" w:type="pct"/>
            <w:vAlign w:val="center"/>
          </w:tcPr>
          <w:p w14:paraId="6A018302" w14:textId="35F7DC44" w:rsidR="00CE7338" w:rsidRPr="005E3251" w:rsidRDefault="00CE7338" w:rsidP="00D87CFA">
            <w:pPr>
              <w:pStyle w:val="TableText0"/>
              <w:keepLines/>
              <w:rPr>
                <w:rFonts w:ascii="Times" w:hAnsi="Times"/>
              </w:rPr>
            </w:pPr>
            <w:r w:rsidRPr="005E3251">
              <w:t>Costs</w:t>
            </w:r>
            <w:r w:rsidR="00F81C58">
              <w:t xml:space="preserve"> ($)</w:t>
            </w:r>
          </w:p>
        </w:tc>
        <w:tc>
          <w:tcPr>
            <w:tcW w:w="608" w:type="pct"/>
            <w:shd w:val="solid" w:color="000000" w:fill="000000"/>
            <w:vAlign w:val="center"/>
          </w:tcPr>
          <w:p w14:paraId="570BD325" w14:textId="0BD9626A" w:rsidR="00CE7338" w:rsidRPr="00F81C58" w:rsidRDefault="008114C4" w:rsidP="00D87CFA">
            <w:pPr>
              <w:pStyle w:val="Tablenumbers"/>
              <w:keepNext/>
              <w:keepLines/>
              <w:rPr>
                <w:rFonts w:ascii="Times" w:hAnsi="Times"/>
                <w:highlight w:val="darkGray"/>
              </w:rPr>
            </w:pPr>
            <w:r w:rsidRPr="008114C4">
              <w:rPr>
                <w:color w:val="000000"/>
                <w:spacing w:val="49"/>
                <w:fitText w:val="320" w:id="-761538304"/>
                <w14:textFill>
                  <w14:solidFill>
                    <w14:srgbClr w14:val="000000">
                      <w14:alpha w14:val="100000"/>
                    </w14:srgbClr>
                  </w14:solidFill>
                </w14:textFill>
              </w:rPr>
              <w:t>|||</w:t>
            </w:r>
            <w:r w:rsidRPr="008114C4">
              <w:rPr>
                <w:color w:val="000000"/>
                <w:spacing w:val="3"/>
                <w:fitText w:val="320" w:id="-761538304"/>
                <w14:textFill>
                  <w14:solidFill>
                    <w14:srgbClr w14:val="000000">
                      <w14:alpha w14:val="100000"/>
                    </w14:srgbClr>
                  </w14:solidFill>
                </w14:textFill>
              </w:rPr>
              <w:t>|</w:t>
            </w:r>
          </w:p>
        </w:tc>
        <w:tc>
          <w:tcPr>
            <w:tcW w:w="609" w:type="pct"/>
            <w:gridSpan w:val="2"/>
            <w:shd w:val="solid" w:color="000000" w:fill="000000"/>
            <w:vAlign w:val="center"/>
          </w:tcPr>
          <w:p w14:paraId="7BB01019" w14:textId="7095803D" w:rsidR="00CE7338" w:rsidRPr="00F81C58" w:rsidRDefault="008114C4" w:rsidP="00D87CFA">
            <w:pPr>
              <w:pStyle w:val="Tablenumbers"/>
              <w:keepNext/>
              <w:keepLines/>
              <w:rPr>
                <w:rFonts w:ascii="Times" w:hAnsi="Times"/>
                <w:highlight w:val="darkGray"/>
              </w:rPr>
            </w:pPr>
            <w:r w:rsidRPr="008114C4">
              <w:rPr>
                <w:color w:val="000000"/>
                <w:spacing w:val="49"/>
                <w:fitText w:val="320" w:id="-761538303"/>
                <w14:textFill>
                  <w14:solidFill>
                    <w14:srgbClr w14:val="000000">
                      <w14:alpha w14:val="100000"/>
                    </w14:srgbClr>
                  </w14:solidFill>
                </w14:textFill>
              </w:rPr>
              <w:t>|||</w:t>
            </w:r>
            <w:r w:rsidRPr="008114C4">
              <w:rPr>
                <w:color w:val="000000"/>
                <w:spacing w:val="3"/>
                <w:fitText w:val="320" w:id="-761538303"/>
                <w14:textFill>
                  <w14:solidFill>
                    <w14:srgbClr w14:val="000000">
                      <w14:alpha w14:val="100000"/>
                    </w14:srgbClr>
                  </w14:solidFill>
                </w14:textFill>
              </w:rPr>
              <w:t>|</w:t>
            </w:r>
          </w:p>
        </w:tc>
        <w:tc>
          <w:tcPr>
            <w:tcW w:w="609" w:type="pct"/>
            <w:shd w:val="solid" w:color="000000" w:fill="000000"/>
          </w:tcPr>
          <w:p w14:paraId="2C66913C" w14:textId="02A03CC7" w:rsidR="00CE7338" w:rsidRPr="00F81C58" w:rsidRDefault="008114C4" w:rsidP="00D87CFA">
            <w:pPr>
              <w:pStyle w:val="Tablenumbers"/>
              <w:keepNext/>
              <w:keepLines/>
              <w:rPr>
                <w:highlight w:val="darkGray"/>
              </w:rPr>
            </w:pPr>
            <w:r w:rsidRPr="008114C4">
              <w:rPr>
                <w:color w:val="000000"/>
                <w:spacing w:val="49"/>
                <w:fitText w:val="320" w:id="-761538302"/>
                <w14:textFill>
                  <w14:solidFill>
                    <w14:srgbClr w14:val="000000">
                      <w14:alpha w14:val="100000"/>
                    </w14:srgbClr>
                  </w14:solidFill>
                </w14:textFill>
              </w:rPr>
              <w:t>|||</w:t>
            </w:r>
            <w:r w:rsidRPr="008114C4">
              <w:rPr>
                <w:color w:val="000000"/>
                <w:spacing w:val="3"/>
                <w:fitText w:val="320" w:id="-761538302"/>
                <w14:textFill>
                  <w14:solidFill>
                    <w14:srgbClr w14:val="000000">
                      <w14:alpha w14:val="100000"/>
                    </w14:srgbClr>
                  </w14:solidFill>
                </w14:textFill>
              </w:rPr>
              <w:t>|</w:t>
            </w:r>
          </w:p>
        </w:tc>
        <w:tc>
          <w:tcPr>
            <w:tcW w:w="609" w:type="pct"/>
            <w:shd w:val="solid" w:color="000000" w:fill="000000"/>
          </w:tcPr>
          <w:p w14:paraId="75DE71E7" w14:textId="609D2D24" w:rsidR="00CE7338" w:rsidRPr="00F81C58" w:rsidRDefault="008114C4" w:rsidP="00D87CFA">
            <w:pPr>
              <w:pStyle w:val="Tablenumbers"/>
              <w:keepNext/>
              <w:keepLines/>
              <w:rPr>
                <w:highlight w:val="darkGray"/>
              </w:rPr>
            </w:pPr>
            <w:r w:rsidRPr="008114C4">
              <w:rPr>
                <w:color w:val="000000"/>
                <w:spacing w:val="49"/>
                <w:fitText w:val="320" w:id="-761538301"/>
                <w14:textFill>
                  <w14:solidFill>
                    <w14:srgbClr w14:val="000000">
                      <w14:alpha w14:val="100000"/>
                    </w14:srgbClr>
                  </w14:solidFill>
                </w14:textFill>
              </w:rPr>
              <w:t>|||</w:t>
            </w:r>
            <w:r w:rsidRPr="008114C4">
              <w:rPr>
                <w:color w:val="000000"/>
                <w:spacing w:val="3"/>
                <w:fitText w:val="320" w:id="-761538301"/>
                <w14:textFill>
                  <w14:solidFill>
                    <w14:srgbClr w14:val="000000">
                      <w14:alpha w14:val="100000"/>
                    </w14:srgbClr>
                  </w14:solidFill>
                </w14:textFill>
              </w:rPr>
              <w:t>|</w:t>
            </w:r>
          </w:p>
        </w:tc>
        <w:tc>
          <w:tcPr>
            <w:tcW w:w="583" w:type="pct"/>
            <w:shd w:val="solid" w:color="000000" w:fill="000000"/>
          </w:tcPr>
          <w:p w14:paraId="71C49337" w14:textId="27E4E760" w:rsidR="00CE7338" w:rsidRPr="00F81C58" w:rsidRDefault="008114C4" w:rsidP="00D87CFA">
            <w:pPr>
              <w:pStyle w:val="Tablenumbers"/>
              <w:keepNext/>
              <w:keepLines/>
              <w:rPr>
                <w:highlight w:val="darkGray"/>
              </w:rPr>
            </w:pPr>
            <w:r w:rsidRPr="008114C4">
              <w:rPr>
                <w:color w:val="000000"/>
                <w:spacing w:val="54"/>
                <w:fitText w:val="333" w:id="-761538300"/>
                <w14:textFill>
                  <w14:solidFill>
                    <w14:srgbClr w14:val="000000">
                      <w14:alpha w14:val="100000"/>
                    </w14:srgbClr>
                  </w14:solidFill>
                </w14:textFill>
              </w:rPr>
              <w:t>|||</w:t>
            </w:r>
            <w:r w:rsidRPr="008114C4">
              <w:rPr>
                <w:color w:val="000000"/>
                <w:spacing w:val="1"/>
                <w:fitText w:val="333" w:id="-761538300"/>
                <w14:textFill>
                  <w14:solidFill>
                    <w14:srgbClr w14:val="000000">
                      <w14:alpha w14:val="100000"/>
                    </w14:srgbClr>
                  </w14:solidFill>
                </w14:textFill>
              </w:rPr>
              <w:t>|</w:t>
            </w:r>
          </w:p>
        </w:tc>
        <w:tc>
          <w:tcPr>
            <w:tcW w:w="638" w:type="pct"/>
            <w:shd w:val="solid" w:color="000000" w:fill="000000"/>
          </w:tcPr>
          <w:p w14:paraId="1D509F31" w14:textId="7A61405F" w:rsidR="00CE7338" w:rsidRPr="00F81C58" w:rsidRDefault="008114C4" w:rsidP="00D87CFA">
            <w:pPr>
              <w:pStyle w:val="Tablenumbers"/>
              <w:keepNext/>
              <w:keepLines/>
              <w:rPr>
                <w:highlight w:val="darkGray"/>
              </w:rPr>
            </w:pPr>
            <w:r w:rsidRPr="008114C4">
              <w:rPr>
                <w:color w:val="000000"/>
                <w:spacing w:val="49"/>
                <w:fitText w:val="320" w:id="-761538299"/>
                <w14:textFill>
                  <w14:solidFill>
                    <w14:srgbClr w14:val="000000">
                      <w14:alpha w14:val="100000"/>
                    </w14:srgbClr>
                  </w14:solidFill>
                </w14:textFill>
              </w:rPr>
              <w:t>|||</w:t>
            </w:r>
            <w:r w:rsidRPr="008114C4">
              <w:rPr>
                <w:color w:val="000000"/>
                <w:spacing w:val="3"/>
                <w:fitText w:val="320" w:id="-761538299"/>
                <w14:textFill>
                  <w14:solidFill>
                    <w14:srgbClr w14:val="000000">
                      <w14:alpha w14:val="100000"/>
                    </w14:srgbClr>
                  </w14:solidFill>
                </w14:textFill>
              </w:rPr>
              <w:t>|</w:t>
            </w:r>
          </w:p>
        </w:tc>
        <w:tc>
          <w:tcPr>
            <w:tcW w:w="511" w:type="pct"/>
            <w:shd w:val="solid" w:color="000000" w:fill="000000"/>
            <w:vAlign w:val="center"/>
          </w:tcPr>
          <w:p w14:paraId="38F7D82B" w14:textId="67A20471" w:rsidR="00CE7338" w:rsidRPr="00F81C58" w:rsidRDefault="008114C4" w:rsidP="00D87CFA">
            <w:pPr>
              <w:pStyle w:val="Tablenumbers"/>
              <w:keepNext/>
              <w:keepLines/>
              <w:rPr>
                <w:rFonts w:ascii="Times" w:hAnsi="Times"/>
                <w:highlight w:val="darkGray"/>
              </w:rPr>
            </w:pPr>
            <w:r w:rsidRPr="008114C4">
              <w:rPr>
                <w:color w:val="000000"/>
                <w:spacing w:val="54"/>
                <w:fitText w:val="333" w:id="-761538298"/>
                <w14:textFill>
                  <w14:solidFill>
                    <w14:srgbClr w14:val="000000">
                      <w14:alpha w14:val="100000"/>
                    </w14:srgbClr>
                  </w14:solidFill>
                </w14:textFill>
              </w:rPr>
              <w:t>|||</w:t>
            </w:r>
            <w:r w:rsidRPr="008114C4">
              <w:rPr>
                <w:color w:val="000000"/>
                <w:spacing w:val="1"/>
                <w:fitText w:val="333" w:id="-761538298"/>
                <w14:textFill>
                  <w14:solidFill>
                    <w14:srgbClr w14:val="000000">
                      <w14:alpha w14:val="100000"/>
                    </w14:srgbClr>
                  </w14:solidFill>
                </w14:textFill>
              </w:rPr>
              <w:t>|</w:t>
            </w:r>
          </w:p>
        </w:tc>
      </w:tr>
      <w:tr w:rsidR="006B5229" w:rsidRPr="005E3251" w14:paraId="64B62FC4" w14:textId="77777777">
        <w:tc>
          <w:tcPr>
            <w:tcW w:w="833" w:type="pct"/>
            <w:vAlign w:val="center"/>
          </w:tcPr>
          <w:p w14:paraId="29F78730" w14:textId="77777777" w:rsidR="00CE7338" w:rsidRPr="005E3251" w:rsidRDefault="00CE7338" w:rsidP="00D87CFA">
            <w:pPr>
              <w:pStyle w:val="TableText0"/>
              <w:keepLines/>
              <w:rPr>
                <w:rFonts w:ascii="Times" w:hAnsi="Times"/>
              </w:rPr>
            </w:pPr>
            <w:r w:rsidRPr="005E3251">
              <w:t>QALYs</w:t>
            </w:r>
          </w:p>
        </w:tc>
        <w:tc>
          <w:tcPr>
            <w:tcW w:w="608" w:type="pct"/>
            <w:vAlign w:val="center"/>
          </w:tcPr>
          <w:p w14:paraId="180A15C1" w14:textId="77777777" w:rsidR="00CE7338" w:rsidRPr="005E3251" w:rsidRDefault="00CE7338" w:rsidP="00D87CFA">
            <w:pPr>
              <w:pStyle w:val="Tablenumbers"/>
              <w:keepNext/>
              <w:keepLines/>
              <w:rPr>
                <w:rFonts w:ascii="Times" w:hAnsi="Times"/>
              </w:rPr>
            </w:pPr>
            <w:r w:rsidRPr="005E3251">
              <w:t>5.8120</w:t>
            </w:r>
          </w:p>
        </w:tc>
        <w:tc>
          <w:tcPr>
            <w:tcW w:w="609" w:type="pct"/>
            <w:gridSpan w:val="2"/>
            <w:vAlign w:val="center"/>
          </w:tcPr>
          <w:p w14:paraId="55F1545E" w14:textId="77777777" w:rsidR="00CE7338" w:rsidRPr="005E3251" w:rsidRDefault="00CE7338" w:rsidP="00D87CFA">
            <w:pPr>
              <w:pStyle w:val="Tablenumbers"/>
              <w:keepNext/>
              <w:keepLines/>
              <w:rPr>
                <w:rFonts w:ascii="Times" w:hAnsi="Times"/>
              </w:rPr>
            </w:pPr>
            <w:r w:rsidRPr="005E3251">
              <w:t>5.7035</w:t>
            </w:r>
          </w:p>
        </w:tc>
        <w:tc>
          <w:tcPr>
            <w:tcW w:w="609" w:type="pct"/>
          </w:tcPr>
          <w:p w14:paraId="263E9063" w14:textId="77777777" w:rsidR="00CE7338" w:rsidRPr="005E3251" w:rsidRDefault="00CE7338" w:rsidP="00D87CFA">
            <w:pPr>
              <w:pStyle w:val="Tablenumbers"/>
              <w:keepNext/>
              <w:keepLines/>
            </w:pPr>
            <w:r w:rsidRPr="005E3251">
              <w:t>0.1085</w:t>
            </w:r>
          </w:p>
        </w:tc>
        <w:tc>
          <w:tcPr>
            <w:tcW w:w="609" w:type="pct"/>
          </w:tcPr>
          <w:p w14:paraId="4935F191" w14:textId="77777777" w:rsidR="00CE7338" w:rsidRPr="005E3251" w:rsidRDefault="00CE7338" w:rsidP="00D87CFA">
            <w:pPr>
              <w:pStyle w:val="Tablenumbers"/>
              <w:keepNext/>
              <w:keepLines/>
            </w:pPr>
            <w:r w:rsidRPr="005E3251">
              <w:t>5.5054</w:t>
            </w:r>
          </w:p>
        </w:tc>
        <w:tc>
          <w:tcPr>
            <w:tcW w:w="583" w:type="pct"/>
          </w:tcPr>
          <w:p w14:paraId="35812C15" w14:textId="77777777" w:rsidR="00CE7338" w:rsidRPr="005E3251" w:rsidRDefault="00CE7338" w:rsidP="00D87CFA">
            <w:pPr>
              <w:pStyle w:val="Tablenumbers"/>
              <w:keepNext/>
              <w:keepLines/>
            </w:pPr>
            <w:r w:rsidRPr="005E3251">
              <w:t>5.3402</w:t>
            </w:r>
          </w:p>
        </w:tc>
        <w:tc>
          <w:tcPr>
            <w:tcW w:w="638" w:type="pct"/>
          </w:tcPr>
          <w:p w14:paraId="3784E464" w14:textId="77777777" w:rsidR="00CE7338" w:rsidRPr="005E3251" w:rsidRDefault="00CE7338" w:rsidP="00D87CFA">
            <w:pPr>
              <w:pStyle w:val="Tablenumbers"/>
              <w:keepNext/>
              <w:keepLines/>
            </w:pPr>
            <w:r w:rsidRPr="005E3251">
              <w:t>0.1652</w:t>
            </w:r>
          </w:p>
        </w:tc>
        <w:tc>
          <w:tcPr>
            <w:tcW w:w="511" w:type="pct"/>
            <w:vAlign w:val="center"/>
          </w:tcPr>
          <w:p w14:paraId="003AA41A" w14:textId="77777777" w:rsidR="00CE7338" w:rsidRPr="005E3251" w:rsidRDefault="00CE7338" w:rsidP="00D87CFA">
            <w:pPr>
              <w:pStyle w:val="Tablenumbers"/>
              <w:keepNext/>
              <w:keepLines/>
            </w:pPr>
            <w:r w:rsidRPr="005E3251">
              <w:t>0.1476</w:t>
            </w:r>
          </w:p>
        </w:tc>
      </w:tr>
      <w:tr w:rsidR="006B5229" w:rsidRPr="005E3251" w14:paraId="2A6F3803" w14:textId="77777777">
        <w:tc>
          <w:tcPr>
            <w:tcW w:w="2050" w:type="pct"/>
            <w:gridSpan w:val="4"/>
            <w:vAlign w:val="center"/>
          </w:tcPr>
          <w:p w14:paraId="3C53667E" w14:textId="77777777" w:rsidR="00CE7338" w:rsidRPr="005E3251" w:rsidRDefault="00CE7338" w:rsidP="00D87CFA">
            <w:pPr>
              <w:pStyle w:val="TableText0"/>
              <w:keepLines/>
              <w:rPr>
                <w:rFonts w:ascii="Times" w:hAnsi="Times"/>
              </w:rPr>
            </w:pPr>
            <w:r w:rsidRPr="005E3251">
              <w:t>Incremental cost/extra QALY gained (base case)</w:t>
            </w:r>
          </w:p>
        </w:tc>
        <w:tc>
          <w:tcPr>
            <w:tcW w:w="609" w:type="pct"/>
          </w:tcPr>
          <w:p w14:paraId="668FD466" w14:textId="5BBD5970" w:rsidR="00CE7338" w:rsidRPr="005E3251" w:rsidRDefault="001776DB" w:rsidP="00D87CFA">
            <w:pPr>
              <w:pStyle w:val="Tablenumbers"/>
              <w:keepNext/>
              <w:keepLines/>
            </w:pPr>
            <w:r w:rsidRPr="005E3251">
              <w:t>Dominant</w:t>
            </w:r>
          </w:p>
        </w:tc>
        <w:tc>
          <w:tcPr>
            <w:tcW w:w="1192" w:type="pct"/>
            <w:gridSpan w:val="2"/>
          </w:tcPr>
          <w:p w14:paraId="36D44B16" w14:textId="77777777" w:rsidR="00CE7338" w:rsidRPr="005E3251" w:rsidRDefault="00CE7338" w:rsidP="00D87CFA">
            <w:pPr>
              <w:pStyle w:val="Tablenumbers"/>
              <w:keepNext/>
              <w:keepLines/>
            </w:pPr>
          </w:p>
        </w:tc>
        <w:tc>
          <w:tcPr>
            <w:tcW w:w="638" w:type="pct"/>
          </w:tcPr>
          <w:p w14:paraId="09515267" w14:textId="638AA633" w:rsidR="00CE7338" w:rsidRPr="00376874" w:rsidRDefault="008114C4" w:rsidP="00D87CFA">
            <w:pPr>
              <w:pStyle w:val="Tablenumbers"/>
              <w:keepNext/>
              <w:keepLines/>
              <w:rPr>
                <w:highlight w:val="darkGray"/>
              </w:rPr>
            </w:pPr>
            <w:r w:rsidRPr="008114C4">
              <w:rPr>
                <w:color w:val="000000"/>
                <w:spacing w:val="49"/>
                <w:shd w:val="solid" w:color="000000" w:fill="000000"/>
                <w:fitText w:val="320" w:id="-761538297"/>
                <w14:textFill>
                  <w14:solidFill>
                    <w14:srgbClr w14:val="000000">
                      <w14:alpha w14:val="100000"/>
                    </w14:srgbClr>
                  </w14:solidFill>
                </w14:textFill>
              </w:rPr>
              <w:t>|||</w:t>
            </w:r>
            <w:r w:rsidRPr="008114C4">
              <w:rPr>
                <w:color w:val="000000"/>
                <w:spacing w:val="3"/>
                <w:shd w:val="solid" w:color="000000" w:fill="000000"/>
                <w:fitText w:val="320" w:id="-761538297"/>
                <w14:textFill>
                  <w14:solidFill>
                    <w14:srgbClr w14:val="000000">
                      <w14:alpha w14:val="100000"/>
                    </w14:srgbClr>
                  </w14:solidFill>
                </w14:textFill>
              </w:rPr>
              <w:t>|</w:t>
            </w:r>
            <w:r w:rsidR="007D0BE3" w:rsidRPr="00376874">
              <w:rPr>
                <w:vertAlign w:val="superscript"/>
              </w:rPr>
              <w:t>2</w:t>
            </w:r>
          </w:p>
        </w:tc>
        <w:tc>
          <w:tcPr>
            <w:tcW w:w="511" w:type="pct"/>
            <w:vAlign w:val="center"/>
          </w:tcPr>
          <w:p w14:paraId="0FD2F0DE" w14:textId="31A274DA" w:rsidR="00CE7338" w:rsidRPr="00376874" w:rsidRDefault="008114C4" w:rsidP="00D87CFA">
            <w:pPr>
              <w:pStyle w:val="Tablenumbers"/>
              <w:keepNext/>
              <w:keepLines/>
              <w:rPr>
                <w:rFonts w:ascii="Times" w:hAnsi="Times"/>
                <w:highlight w:val="darkGray"/>
              </w:rPr>
            </w:pPr>
            <w:r w:rsidRPr="008114C4">
              <w:rPr>
                <w:color w:val="000000"/>
                <w:spacing w:val="54"/>
                <w:shd w:val="solid" w:color="000000" w:fill="000000"/>
                <w:fitText w:val="333" w:id="-761538296"/>
                <w14:textFill>
                  <w14:solidFill>
                    <w14:srgbClr w14:val="000000">
                      <w14:alpha w14:val="100000"/>
                    </w14:srgbClr>
                  </w14:solidFill>
                </w14:textFill>
              </w:rPr>
              <w:t>|||</w:t>
            </w:r>
            <w:r w:rsidRPr="008114C4">
              <w:rPr>
                <w:color w:val="000000"/>
                <w:spacing w:val="1"/>
                <w:shd w:val="solid" w:color="000000" w:fill="000000"/>
                <w:fitText w:val="333" w:id="-761538296"/>
                <w14:textFill>
                  <w14:solidFill>
                    <w14:srgbClr w14:val="000000">
                      <w14:alpha w14:val="100000"/>
                    </w14:srgbClr>
                  </w14:solidFill>
                </w14:textFill>
              </w:rPr>
              <w:t>|</w:t>
            </w:r>
            <w:r w:rsidR="00F81C58" w:rsidRPr="00687606">
              <w:rPr>
                <w:vertAlign w:val="superscript"/>
              </w:rPr>
              <w:t>4</w:t>
            </w:r>
          </w:p>
        </w:tc>
      </w:tr>
    </w:tbl>
    <w:p w14:paraId="07C489E2" w14:textId="77777777" w:rsidR="00CE7338" w:rsidRPr="005E3251" w:rsidRDefault="00CE7338" w:rsidP="00D87CFA">
      <w:pPr>
        <w:pStyle w:val="FooterTableFigure"/>
        <w:keepNext/>
        <w:keepLines/>
      </w:pPr>
      <w:r w:rsidRPr="005E3251">
        <w:t>Source: Sheets ‘Results’, ‘Outcomes_Costs’, ‘Totals_undiscounted” and ‘Totals_disc’ of the Section 3 workbook.</w:t>
      </w:r>
    </w:p>
    <w:p w14:paraId="19EA5ED2" w14:textId="77777777" w:rsidR="00CE7338" w:rsidRPr="005E3251" w:rsidRDefault="00CE7338" w:rsidP="00D87CFA">
      <w:pPr>
        <w:pStyle w:val="FooterTableFigure"/>
        <w:keepNext/>
        <w:keepLines/>
      </w:pPr>
      <w:r w:rsidRPr="005E3251">
        <w:t>mCSF = mean convulsive seizure frequency; LYG = Life Years Gained; QALYs = Quality Adjusted Life Years.</w:t>
      </w:r>
    </w:p>
    <w:p w14:paraId="4F446F36" w14:textId="77777777" w:rsidR="00CE7338" w:rsidRPr="005E3251" w:rsidRDefault="00CE7338" w:rsidP="00D87CFA">
      <w:pPr>
        <w:pStyle w:val="FooterTableFigure"/>
        <w:keepNext/>
        <w:keepLines/>
      </w:pPr>
      <w:r w:rsidRPr="005E3251">
        <w:rPr>
          <w:vertAlign w:val="superscript"/>
        </w:rPr>
        <w:t>a</w:t>
      </w:r>
      <w:r w:rsidRPr="005E3251">
        <w:t xml:space="preserve"> Cells G10, L10, Q10 and V10, Sheet ‘Outcomes_Costs’; L9 of Sheets ‘Cohort1_Engine - FFA’, ‘Cohort1_Engine - CBD’, ‘Cohorts_Engine - FFA’, ‘Cohort2_Engine - CBD’, and D24, Sheet ‘Model inputs’ of the Section 3 workbook.</w:t>
      </w:r>
    </w:p>
    <w:p w14:paraId="0F6B4B0E" w14:textId="77777777" w:rsidR="00CE7338" w:rsidRPr="005E3251" w:rsidRDefault="00CE7338" w:rsidP="00D87CFA">
      <w:pPr>
        <w:pStyle w:val="FooterTableFigure"/>
        <w:keepNext/>
        <w:keepLines/>
      </w:pPr>
      <w:r w:rsidRPr="005E3251">
        <w:rPr>
          <w:vertAlign w:val="superscript"/>
        </w:rPr>
        <w:t>b</w:t>
      </w:r>
      <w:r w:rsidRPr="005E3251">
        <w:t xml:space="preserve"> Cells G10, L10, Q10 and V10, Sheet ‘Outcomes_Costs’; G10, M10, S10, and Y10, Sheet ‘Outcomes_Health’, and D24, Sheet ‘Model inputs’ of the Section 3 workbook.</w:t>
      </w:r>
    </w:p>
    <w:p w14:paraId="222B02CC" w14:textId="77777777" w:rsidR="00CE7338" w:rsidRPr="005E3251" w:rsidRDefault="00CE7338" w:rsidP="00D87CFA">
      <w:pPr>
        <w:pStyle w:val="FooterTableFigure"/>
        <w:keepNext/>
        <w:keepLines/>
        <w:rPr>
          <w:vertAlign w:val="superscript"/>
        </w:rPr>
      </w:pPr>
      <w:r w:rsidRPr="005E3251">
        <w:rPr>
          <w:vertAlign w:val="superscript"/>
        </w:rPr>
        <w:t xml:space="preserve">c </w:t>
      </w:r>
      <w:r w:rsidRPr="005E3251">
        <w:t>Calculated from cells in columns G, L, Q and V, Sheet ‘Outcomes_Costs’ and cells in row 74, Sheet ‘Totals_undiscounted’ of the Section 3 workbook.</w:t>
      </w:r>
    </w:p>
    <w:p w14:paraId="6717141D" w14:textId="77777777" w:rsidR="00CE7338" w:rsidRDefault="00CE7338" w:rsidP="00D87CFA">
      <w:pPr>
        <w:pStyle w:val="FooterTableFigure"/>
        <w:keepLines/>
      </w:pPr>
      <w:r w:rsidRPr="005E3251">
        <w:rPr>
          <w:vertAlign w:val="superscript"/>
        </w:rPr>
        <w:t>d</w:t>
      </w:r>
      <w:r w:rsidRPr="005E3251">
        <w:t xml:space="preserve"> Calculated from cells in row 74, Sheet ‘Totals_disc’ of the Section 3 workbook. To disaggregate medicine costs from other medical resource use, the formulas in columns E, M, U, and AC of ‘Totals_undiscounted’ were modified to only reference columns G, L, Q and V, Sheet ‘Outcomes_Costs’.</w:t>
      </w:r>
    </w:p>
    <w:p w14:paraId="7089415F" w14:textId="77777777" w:rsidR="00E03D3E" w:rsidRPr="00AC16BD" w:rsidRDefault="00E03D3E" w:rsidP="00E03D3E">
      <w:pPr>
        <w:pStyle w:val="FooterTableFigure"/>
        <w:rPr>
          <w:i/>
          <w:iCs/>
        </w:rPr>
      </w:pPr>
      <w:r w:rsidRPr="00AC16BD">
        <w:rPr>
          <w:i/>
          <w:iCs/>
        </w:rPr>
        <w:t>The redacted values correspond to the following ranges:</w:t>
      </w:r>
    </w:p>
    <w:p w14:paraId="2B3DDB44" w14:textId="5C0E0143" w:rsidR="00E03D3E" w:rsidRPr="00AC16BD" w:rsidRDefault="00417668" w:rsidP="00E03D3E">
      <w:pPr>
        <w:pStyle w:val="FooterTableFigure"/>
        <w:rPr>
          <w:i/>
          <w:iCs/>
        </w:rPr>
      </w:pPr>
      <w:r>
        <w:rPr>
          <w:i/>
          <w:iCs/>
        </w:rPr>
        <w:t>1</w:t>
      </w:r>
      <w:r w:rsidR="00E03D3E" w:rsidRPr="00AC16BD">
        <w:rPr>
          <w:i/>
          <w:iCs/>
        </w:rPr>
        <w:t xml:space="preserve"> $155,000 to &lt; $255,000</w:t>
      </w:r>
    </w:p>
    <w:p w14:paraId="6B862424" w14:textId="6F173774" w:rsidR="001A16B8" w:rsidRPr="001A16B8" w:rsidRDefault="001A16B8" w:rsidP="001A16B8">
      <w:pPr>
        <w:pStyle w:val="FooterTableFigure"/>
        <w:keepLines/>
      </w:pPr>
      <w:r>
        <w:t xml:space="preserve">2 </w:t>
      </w:r>
      <w:r w:rsidRPr="001A16B8">
        <w:t>$255,000 to &lt; $355,000</w:t>
      </w:r>
    </w:p>
    <w:p w14:paraId="5D3E94EB" w14:textId="5912A1A9" w:rsidR="00687606" w:rsidRPr="00687606" w:rsidRDefault="00687606" w:rsidP="00687606">
      <w:pPr>
        <w:pStyle w:val="FooterTableFigure"/>
        <w:keepLines/>
      </w:pPr>
      <w:r>
        <w:t xml:space="preserve">3 </w:t>
      </w:r>
      <w:r w:rsidRPr="00687606">
        <w:t>$45,000 to &lt; $55,000</w:t>
      </w:r>
    </w:p>
    <w:p w14:paraId="2B7B6C6E" w14:textId="746BBFC7" w:rsidR="00E03D3E" w:rsidRPr="005E3251" w:rsidRDefault="00F81C58" w:rsidP="00D87CFA">
      <w:pPr>
        <w:pStyle w:val="FooterTableFigure"/>
        <w:keepLines/>
      </w:pPr>
      <w:r>
        <w:t xml:space="preserve">4 </w:t>
      </w:r>
      <w:r w:rsidRPr="00F81C58">
        <w:t>$15,000 to &lt; $25,000</w:t>
      </w:r>
    </w:p>
    <w:bookmarkEnd w:id="89"/>
    <w:p w14:paraId="7B6B8BBA" w14:textId="77F4D068" w:rsidR="00CE7338" w:rsidRPr="00D87CFA" w:rsidRDefault="00CE7338" w:rsidP="00D87CFA">
      <w:pPr>
        <w:pStyle w:val="3-BodyText"/>
      </w:pPr>
      <w:r w:rsidRPr="00D87CFA">
        <w:t xml:space="preserve">The results in </w:t>
      </w:r>
      <w:r w:rsidR="00B93DF8" w:rsidRPr="00D87CFA">
        <w:fldChar w:fldCharType="begin" w:fldLock="1"/>
      </w:r>
      <w:r w:rsidR="00B93DF8" w:rsidRPr="00D87CFA">
        <w:instrText xml:space="preserve"> REF _Ref104805160 \h </w:instrText>
      </w:r>
      <w:r w:rsidR="005E3251" w:rsidRPr="00D87CFA">
        <w:instrText xml:space="preserve"> \* MERGEFORMAT </w:instrText>
      </w:r>
      <w:r w:rsidR="00B93DF8" w:rsidRPr="00D87CFA">
        <w:fldChar w:fldCharType="separate"/>
      </w:r>
      <w:r w:rsidR="00D72887" w:rsidRPr="00D87CFA">
        <w:t>Table 17</w:t>
      </w:r>
      <w:r w:rsidR="00B93DF8" w:rsidRPr="00D87CFA">
        <w:fldChar w:fldCharType="end"/>
      </w:r>
      <w:r w:rsidR="00B93DF8" w:rsidRPr="00D87CFA">
        <w:t xml:space="preserve"> </w:t>
      </w:r>
      <w:r w:rsidRPr="00D87CFA">
        <w:t>were based on the assumed effective price of the comparator (</w:t>
      </w:r>
      <w:r w:rsidR="008114C4" w:rsidRPr="008114C4">
        <w:rPr>
          <w:color w:val="000000"/>
          <w:w w:val="61"/>
          <w:shd w:val="solid" w:color="000000" w:fill="000000"/>
          <w:fitText w:val="473" w:id="-761538295"/>
          <w14:textFill>
            <w14:solidFill>
              <w14:srgbClr w14:val="000000">
                <w14:alpha w14:val="100000"/>
              </w14:srgbClr>
            </w14:solidFill>
          </w14:textFill>
        </w:rPr>
        <w:t>|||  ||</w:t>
      </w:r>
      <w:r w:rsidR="008114C4" w:rsidRPr="008114C4">
        <w:rPr>
          <w:color w:val="000000"/>
          <w:spacing w:val="3"/>
          <w:w w:val="61"/>
          <w:shd w:val="solid" w:color="000000" w:fill="000000"/>
          <w:fitText w:val="473" w:id="-761538295"/>
          <w14:textFill>
            <w14:solidFill>
              <w14:srgbClr w14:val="000000">
                <w14:alpha w14:val="100000"/>
              </w14:srgbClr>
            </w14:solidFill>
          </w14:textFill>
        </w:rPr>
        <w:t>|</w:t>
      </w:r>
      <w:r w:rsidRPr="00D87CFA">
        <w:t xml:space="preserve">% less than the published price). </w:t>
      </w:r>
    </w:p>
    <w:p w14:paraId="000269C1" w14:textId="1A15D585" w:rsidR="00392431" w:rsidRPr="005E3251" w:rsidRDefault="00005FEB" w:rsidP="00392431">
      <w:pPr>
        <w:pStyle w:val="5-SubsectionSubheading"/>
        <w:rPr>
          <w:color w:val="auto"/>
        </w:rPr>
      </w:pPr>
      <w:bookmarkStart w:id="90" w:name="_Toc22897646"/>
      <w:bookmarkStart w:id="91" w:name="_Toc177562910"/>
      <w:bookmarkStart w:id="92" w:name="_Ref104805102"/>
      <w:r>
        <w:rPr>
          <w:color w:val="auto"/>
        </w:rPr>
        <w:t>Cost per responder analyses</w:t>
      </w:r>
    </w:p>
    <w:p w14:paraId="27B5099C" w14:textId="11030F3B" w:rsidR="00B51DC6" w:rsidRPr="00D87CFA" w:rsidRDefault="00005FEB" w:rsidP="00D87CFA">
      <w:pPr>
        <w:pStyle w:val="3-BodyText"/>
      </w:pPr>
      <w:r w:rsidRPr="00D87CFA">
        <w:t>Noting the advice of the ESC that an alternative, simplified approach to determining an acceptably cost-effective price for fenfluramine may be justified in recognition of the available evidence and clinical need (paragraph</w:t>
      </w:r>
      <w:r w:rsidR="00597652" w:rsidRPr="00D87CFA">
        <w:t xml:space="preserve"> </w:t>
      </w:r>
      <w:r w:rsidR="00597652" w:rsidRPr="00D87CFA">
        <w:fldChar w:fldCharType="begin" w:fldLock="1"/>
      </w:r>
      <w:r w:rsidR="00597652" w:rsidRPr="00D87CFA">
        <w:instrText xml:space="preserve"> REF _Ref183075921 \r \h </w:instrText>
      </w:r>
      <w:r w:rsidR="00D87CFA">
        <w:instrText xml:space="preserve"> \* MERGEFORMAT </w:instrText>
      </w:r>
      <w:r w:rsidR="00597652" w:rsidRPr="00D87CFA">
        <w:fldChar w:fldCharType="separate"/>
      </w:r>
      <w:r w:rsidR="00D72887" w:rsidRPr="00D87CFA">
        <w:t>6.80</w:t>
      </w:r>
      <w:r w:rsidR="00597652" w:rsidRPr="00D87CFA">
        <w:fldChar w:fldCharType="end"/>
      </w:r>
      <w:r w:rsidRPr="00D87CFA">
        <w:t>), cost per responder</w:t>
      </w:r>
      <w:r w:rsidR="005220CB" w:rsidRPr="00D87CFA">
        <w:t xml:space="preserve"> analyses are shown below</w:t>
      </w:r>
      <w:r w:rsidR="00A623AD" w:rsidRPr="00D87CFA">
        <w:t>. These analyses</w:t>
      </w:r>
      <w:r w:rsidR="004A2BE2" w:rsidRPr="00D87CFA">
        <w:t xml:space="preserve"> </w:t>
      </w:r>
      <w:r w:rsidR="00A623AD" w:rsidRPr="00D87CFA">
        <w:t>are</w:t>
      </w:r>
      <w:r w:rsidR="00B64395" w:rsidRPr="00D87CFA">
        <w:t xml:space="preserve"> based on a respon</w:t>
      </w:r>
      <w:r w:rsidR="00A32C2C" w:rsidRPr="00D87CFA">
        <w:t>der</w:t>
      </w:r>
      <w:r w:rsidR="00B64395" w:rsidRPr="00D87CFA">
        <w:t xml:space="preserve"> definition of a 50% reduction in convulsive seizure frequency</w:t>
      </w:r>
      <w:r w:rsidR="00A623AD" w:rsidRPr="00D87CFA">
        <w:t xml:space="preserve"> and apply the</w:t>
      </w:r>
      <w:r w:rsidR="00375146" w:rsidRPr="00D87CFA">
        <w:t xml:space="preserve"> effective AEMP offered in the </w:t>
      </w:r>
      <w:r w:rsidR="00375146" w:rsidRPr="00D87CFA">
        <w:lastRenderedPageBreak/>
        <w:t>Pre-PBAC Response</w:t>
      </w:r>
      <w:r w:rsidR="00C62E2D" w:rsidRPr="00D87CFA">
        <w:t xml:space="preserve"> (</w:t>
      </w:r>
      <w:r w:rsidR="00BE5284" w:rsidRPr="00D87CFA">
        <w:t xml:space="preserve">AEMP </w:t>
      </w:r>
      <w:r w:rsidR="00C62E2D" w:rsidRPr="00D87CFA">
        <w:t>$</w:t>
      </w:r>
      <w:r w:rsidR="008114C4" w:rsidRPr="008114C4">
        <w:rPr>
          <w:color w:val="000000"/>
          <w:w w:val="61"/>
          <w:shd w:val="solid" w:color="000000" w:fill="000000"/>
          <w:fitText w:val="473" w:id="-761538294"/>
          <w14:textFill>
            <w14:solidFill>
              <w14:srgbClr w14:val="000000">
                <w14:alpha w14:val="100000"/>
              </w14:srgbClr>
            </w14:solidFill>
          </w14:textFill>
        </w:rPr>
        <w:t>|||  ||</w:t>
      </w:r>
      <w:r w:rsidR="008114C4" w:rsidRPr="008114C4">
        <w:rPr>
          <w:color w:val="000000"/>
          <w:spacing w:val="3"/>
          <w:w w:val="61"/>
          <w:shd w:val="solid" w:color="000000" w:fill="000000"/>
          <w:fitText w:val="473" w:id="-761538294"/>
          <w14:textFill>
            <w14:solidFill>
              <w14:srgbClr w14:val="000000">
                <w14:alpha w14:val="100000"/>
              </w14:srgbClr>
            </w14:solidFill>
          </w14:textFill>
        </w:rPr>
        <w:t>|</w:t>
      </w:r>
      <w:r w:rsidR="00126BF5" w:rsidRPr="00D87CFA">
        <w:t>, DPMQ</w:t>
      </w:r>
      <w:r w:rsidR="0051003C" w:rsidRPr="00D87CFA">
        <w:t xml:space="preserve"> $</w:t>
      </w:r>
      <w:r w:rsidR="008114C4" w:rsidRPr="008114C4">
        <w:rPr>
          <w:color w:val="000000"/>
          <w:w w:val="59"/>
          <w:shd w:val="solid" w:color="000000" w:fill="000000"/>
          <w:fitText w:val="460" w:id="-761538293"/>
          <w14:textFill>
            <w14:solidFill>
              <w14:srgbClr w14:val="000000">
                <w14:alpha w14:val="100000"/>
              </w14:srgbClr>
            </w14:solidFill>
          </w14:textFill>
        </w:rPr>
        <w:t>|||  ||</w:t>
      </w:r>
      <w:r w:rsidR="008114C4" w:rsidRPr="008114C4">
        <w:rPr>
          <w:color w:val="000000"/>
          <w:spacing w:val="5"/>
          <w:w w:val="59"/>
          <w:shd w:val="solid" w:color="000000" w:fill="000000"/>
          <w:fitText w:val="460" w:id="-761538293"/>
          <w14:textFill>
            <w14:solidFill>
              <w14:srgbClr w14:val="000000">
                <w14:alpha w14:val="100000"/>
              </w14:srgbClr>
            </w14:solidFill>
          </w14:textFill>
        </w:rPr>
        <w:t>|</w:t>
      </w:r>
      <w:r w:rsidR="00C62E2D" w:rsidRPr="00D87CFA">
        <w:t>)</w:t>
      </w:r>
      <w:r w:rsidR="00375146" w:rsidRPr="00D87CFA">
        <w:t xml:space="preserve">. </w:t>
      </w:r>
      <w:r w:rsidR="009D4807" w:rsidRPr="00D87CFA">
        <w:t>Cost per responder scenarios were tested</w:t>
      </w:r>
      <w:r w:rsidR="0051003C" w:rsidRPr="00D87CFA">
        <w:t xml:space="preserve"> based on</w:t>
      </w:r>
      <w:r w:rsidR="009D4807" w:rsidRPr="00D87CFA">
        <w:t xml:space="preserve"> </w:t>
      </w:r>
      <w:r w:rsidR="004965BF" w:rsidRPr="00D87CFA">
        <w:t>trial results from Study 1, Study 2 and Study 3 separately</w:t>
      </w:r>
      <w:r w:rsidR="003A543A" w:rsidRPr="00D87CFA">
        <w:t xml:space="preserve"> </w:t>
      </w:r>
      <w:r w:rsidR="0051003C" w:rsidRPr="00D87CFA">
        <w:t>using</w:t>
      </w:r>
      <w:r w:rsidR="003A543A" w:rsidRPr="00D87CFA">
        <w:t xml:space="preserve"> the median age in each trial and model weights from </w:t>
      </w:r>
      <w:r w:rsidR="009E0130" w:rsidRPr="00D87CFA">
        <w:t>Australia and New Zealand Society for Pa</w:t>
      </w:r>
      <w:r w:rsidR="00B51DC6" w:rsidRPr="00D87CFA">
        <w:t>ediatric Endocrinology and Diabetes (ANZSPED) growth charts</w:t>
      </w:r>
      <w:r w:rsidR="00545C64" w:rsidRPr="00D87CFA">
        <w:t xml:space="preserve"> (</w:t>
      </w:r>
      <w:r w:rsidR="00C4129B" w:rsidRPr="00D87CFA">
        <w:t xml:space="preserve">male/female </w:t>
      </w:r>
      <w:r w:rsidR="00545C64" w:rsidRPr="00D87CFA">
        <w:t>weighted)</w:t>
      </w:r>
      <w:r w:rsidR="00B51DC6" w:rsidRPr="00D87CFA">
        <w:t>.</w:t>
      </w:r>
      <w:r w:rsidR="004965BF" w:rsidRPr="00D87CFA">
        <w:t xml:space="preserve"> </w:t>
      </w:r>
      <w:r w:rsidR="00B51DC6" w:rsidRPr="00D87CFA">
        <w:t>The calculated annual fenfluramine treatment costs at these weights and</w:t>
      </w:r>
      <w:r w:rsidR="004965BF" w:rsidRPr="00D87CFA">
        <w:t xml:space="preserve"> results</w:t>
      </w:r>
      <w:r w:rsidR="00B51DC6" w:rsidRPr="00D87CFA">
        <w:t xml:space="preserve"> of the cost per responder analyses</w:t>
      </w:r>
      <w:r w:rsidR="004965BF" w:rsidRPr="00D87CFA">
        <w:t xml:space="preserve"> are presented </w:t>
      </w:r>
      <w:r w:rsidR="00A63326" w:rsidRPr="00D87CFA">
        <w:t xml:space="preserve">below. </w:t>
      </w:r>
    </w:p>
    <w:p w14:paraId="113D0F04" w14:textId="6728C350" w:rsidR="003448B4" w:rsidRDefault="003448B4" w:rsidP="003448B4">
      <w:pPr>
        <w:pStyle w:val="Caption"/>
      </w:pPr>
      <w:r>
        <w:t xml:space="preserve">Table </w:t>
      </w:r>
      <w:r w:rsidR="00D72887">
        <w:fldChar w:fldCharType="begin" w:fldLock="1"/>
      </w:r>
      <w:r w:rsidR="00D72887">
        <w:instrText xml:space="preserve"> SEQ Table \* ARABIC </w:instrText>
      </w:r>
      <w:r w:rsidR="00D72887">
        <w:fldChar w:fldCharType="separate"/>
      </w:r>
      <w:r w:rsidR="00D72887">
        <w:rPr>
          <w:noProof/>
        </w:rPr>
        <w:t>18</w:t>
      </w:r>
      <w:r w:rsidR="00D72887">
        <w:rPr>
          <w:noProof/>
        </w:rPr>
        <w:fldChar w:fldCharType="end"/>
      </w:r>
      <w:r>
        <w:t xml:space="preserve">: </w:t>
      </w:r>
      <w:r w:rsidRPr="00A52AD4">
        <w:t>Treatment cost per patient per year (effective DPMQ)</w:t>
      </w:r>
    </w:p>
    <w:tbl>
      <w:tblPr>
        <w:tblStyle w:val="TableGrid"/>
        <w:tblW w:w="5000" w:type="pct"/>
        <w:tblLook w:val="04A0" w:firstRow="1" w:lastRow="0" w:firstColumn="1" w:lastColumn="0" w:noHBand="0" w:noVBand="1"/>
      </w:tblPr>
      <w:tblGrid>
        <w:gridCol w:w="2122"/>
        <w:gridCol w:w="2976"/>
        <w:gridCol w:w="3919"/>
      </w:tblGrid>
      <w:tr w:rsidR="00C46E8F" w:rsidRPr="00C4012D" w14:paraId="3879FB37" w14:textId="77777777" w:rsidTr="00905DC5">
        <w:tc>
          <w:tcPr>
            <w:tcW w:w="1177" w:type="pct"/>
          </w:tcPr>
          <w:p w14:paraId="408ABB77" w14:textId="77777777" w:rsidR="00C46E8F" w:rsidRPr="00C4012D" w:rsidRDefault="00C46E8F" w:rsidP="00AB21D4">
            <w:pPr>
              <w:pStyle w:val="NoSpacing"/>
              <w:rPr>
                <w:rFonts w:ascii="Arial Narrow" w:hAnsi="Arial Narrow" w:cs="Calibri"/>
                <w:b/>
                <w:bCs/>
                <w:sz w:val="20"/>
              </w:rPr>
            </w:pPr>
          </w:p>
        </w:tc>
        <w:tc>
          <w:tcPr>
            <w:tcW w:w="1650" w:type="pct"/>
          </w:tcPr>
          <w:p w14:paraId="580DDF5E" w14:textId="0C7592DB" w:rsidR="00C46E8F" w:rsidRPr="00C4012D" w:rsidRDefault="00C46E8F" w:rsidP="00AB21D4">
            <w:pPr>
              <w:pStyle w:val="NoSpacing"/>
              <w:jc w:val="center"/>
              <w:rPr>
                <w:rFonts w:ascii="Arial Narrow" w:hAnsi="Arial Narrow" w:cs="Calibri"/>
                <w:b/>
                <w:bCs/>
                <w:sz w:val="20"/>
              </w:rPr>
            </w:pPr>
            <w:r w:rsidRPr="00C4012D">
              <w:rPr>
                <w:rFonts w:ascii="Arial Narrow" w:hAnsi="Arial Narrow" w:cs="Calibri"/>
                <w:b/>
                <w:bCs/>
                <w:sz w:val="20"/>
              </w:rPr>
              <w:t>F</w:t>
            </w:r>
            <w:r w:rsidR="00EE2920" w:rsidRPr="00C4012D">
              <w:rPr>
                <w:rFonts w:ascii="Arial Narrow" w:hAnsi="Arial Narrow" w:cs="Calibri"/>
                <w:b/>
                <w:bCs/>
                <w:sz w:val="20"/>
              </w:rPr>
              <w:t>enfluramine</w:t>
            </w:r>
          </w:p>
          <w:p w14:paraId="273EEE32" w14:textId="77777777" w:rsidR="00C46E8F" w:rsidRPr="00C4012D" w:rsidRDefault="00C46E8F" w:rsidP="00AB21D4">
            <w:pPr>
              <w:pStyle w:val="NoSpacing"/>
              <w:jc w:val="center"/>
              <w:rPr>
                <w:rFonts w:ascii="Arial Narrow" w:hAnsi="Arial Narrow" w:cs="Calibri"/>
                <w:b/>
                <w:bCs/>
                <w:sz w:val="20"/>
              </w:rPr>
            </w:pPr>
            <w:r w:rsidRPr="00C4012D">
              <w:rPr>
                <w:rFonts w:ascii="Arial Narrow" w:hAnsi="Arial Narrow" w:cs="Calibri"/>
                <w:b/>
                <w:bCs/>
                <w:sz w:val="20"/>
              </w:rPr>
              <w:t>0.7mg/kg/day</w:t>
            </w:r>
          </w:p>
          <w:p w14:paraId="3444ADDC" w14:textId="77777777" w:rsidR="00C46E8F" w:rsidRPr="00C4012D" w:rsidRDefault="00C46E8F" w:rsidP="00AB21D4">
            <w:pPr>
              <w:pStyle w:val="NoSpacing"/>
              <w:jc w:val="center"/>
              <w:rPr>
                <w:rFonts w:ascii="Arial Narrow" w:hAnsi="Arial Narrow" w:cs="Calibri"/>
                <w:b/>
                <w:bCs/>
                <w:sz w:val="20"/>
              </w:rPr>
            </w:pPr>
            <w:r w:rsidRPr="00C4012D">
              <w:rPr>
                <w:rFonts w:ascii="Arial Narrow" w:hAnsi="Arial Narrow" w:cs="Calibri"/>
                <w:b/>
                <w:bCs/>
                <w:sz w:val="20"/>
              </w:rPr>
              <w:t>Monotherapy</w:t>
            </w:r>
          </w:p>
        </w:tc>
        <w:tc>
          <w:tcPr>
            <w:tcW w:w="2173" w:type="pct"/>
          </w:tcPr>
          <w:p w14:paraId="49CEA584" w14:textId="296EE172" w:rsidR="00C46E8F" w:rsidRPr="00C4012D" w:rsidRDefault="00C46E8F" w:rsidP="00AB21D4">
            <w:pPr>
              <w:pStyle w:val="NoSpacing"/>
              <w:jc w:val="center"/>
              <w:rPr>
                <w:rFonts w:ascii="Arial Narrow" w:hAnsi="Arial Narrow" w:cs="Calibri"/>
                <w:b/>
                <w:bCs/>
                <w:sz w:val="20"/>
              </w:rPr>
            </w:pPr>
            <w:r w:rsidRPr="00C4012D">
              <w:rPr>
                <w:rFonts w:ascii="Arial Narrow" w:hAnsi="Arial Narrow" w:cs="Calibri"/>
                <w:b/>
                <w:bCs/>
                <w:sz w:val="20"/>
              </w:rPr>
              <w:t>F</w:t>
            </w:r>
            <w:r w:rsidR="00EE2920" w:rsidRPr="00C4012D">
              <w:rPr>
                <w:rFonts w:ascii="Arial Narrow" w:hAnsi="Arial Narrow" w:cs="Calibri"/>
                <w:b/>
                <w:bCs/>
                <w:sz w:val="20"/>
              </w:rPr>
              <w:t>enfluramine</w:t>
            </w:r>
          </w:p>
          <w:p w14:paraId="17B09591" w14:textId="77777777" w:rsidR="00C46E8F" w:rsidRPr="00C4012D" w:rsidRDefault="00C46E8F" w:rsidP="00AB21D4">
            <w:pPr>
              <w:pStyle w:val="NoSpacing"/>
              <w:jc w:val="center"/>
              <w:rPr>
                <w:rFonts w:ascii="Arial Narrow" w:hAnsi="Arial Narrow" w:cs="Calibri"/>
                <w:b/>
                <w:bCs/>
                <w:sz w:val="20"/>
              </w:rPr>
            </w:pPr>
            <w:r w:rsidRPr="00C4012D">
              <w:rPr>
                <w:rFonts w:ascii="Arial Narrow" w:hAnsi="Arial Narrow" w:cs="Calibri"/>
                <w:b/>
                <w:bCs/>
                <w:sz w:val="20"/>
              </w:rPr>
              <w:t>0.4mg/kg/day</w:t>
            </w:r>
          </w:p>
          <w:p w14:paraId="6C66A2A1" w14:textId="77777777" w:rsidR="00C46E8F" w:rsidRPr="00C4012D" w:rsidRDefault="00C46E8F" w:rsidP="00AB21D4">
            <w:pPr>
              <w:pStyle w:val="NoSpacing"/>
              <w:jc w:val="center"/>
              <w:rPr>
                <w:rFonts w:ascii="Arial Narrow" w:hAnsi="Arial Narrow" w:cs="Calibri"/>
                <w:b/>
                <w:bCs/>
                <w:sz w:val="20"/>
              </w:rPr>
            </w:pPr>
            <w:r w:rsidRPr="00C4012D">
              <w:rPr>
                <w:rFonts w:ascii="Arial Narrow" w:hAnsi="Arial Narrow" w:cs="Calibri"/>
                <w:b/>
                <w:bCs/>
                <w:sz w:val="20"/>
              </w:rPr>
              <w:t>In combination with STIRI (cost not included)</w:t>
            </w:r>
          </w:p>
        </w:tc>
      </w:tr>
      <w:tr w:rsidR="00C46E8F" w:rsidRPr="00C4012D" w14:paraId="0D9E3807" w14:textId="77777777" w:rsidTr="00905DC5">
        <w:tc>
          <w:tcPr>
            <w:tcW w:w="1177" w:type="pct"/>
          </w:tcPr>
          <w:p w14:paraId="3EB0B3D3" w14:textId="3F3D448D" w:rsidR="00C46E8F" w:rsidRPr="00C4012D" w:rsidRDefault="00C46E8F" w:rsidP="00905DC5">
            <w:pPr>
              <w:pStyle w:val="NoSpacing"/>
              <w:rPr>
                <w:rFonts w:ascii="Arial Narrow" w:hAnsi="Arial Narrow" w:cs="Calibri"/>
                <w:sz w:val="20"/>
              </w:rPr>
            </w:pPr>
            <w:r w:rsidRPr="00C4012D">
              <w:rPr>
                <w:rFonts w:ascii="Arial Narrow" w:hAnsi="Arial Narrow" w:cs="Calibri"/>
                <w:sz w:val="20"/>
              </w:rPr>
              <w:t xml:space="preserve">9-year-old, 29 kg </w:t>
            </w:r>
          </w:p>
        </w:tc>
        <w:tc>
          <w:tcPr>
            <w:tcW w:w="1650" w:type="pct"/>
            <w:vAlign w:val="center"/>
          </w:tcPr>
          <w:p w14:paraId="556597B2" w14:textId="01501795" w:rsidR="00C46E8F" w:rsidRPr="00C4012D" w:rsidRDefault="00C46E8F" w:rsidP="00575446">
            <w:pPr>
              <w:pStyle w:val="NoSpacing"/>
              <w:jc w:val="center"/>
              <w:rPr>
                <w:rFonts w:ascii="Arial Narrow" w:hAnsi="Arial Narrow" w:cs="Calibri"/>
                <w:sz w:val="20"/>
              </w:rPr>
            </w:pPr>
            <w:r w:rsidRPr="00C4012D">
              <w:rPr>
                <w:rFonts w:ascii="Arial Narrow" w:hAnsi="Arial Narrow" w:cs="Calibri"/>
                <w:sz w:val="20"/>
              </w:rPr>
              <w:t>$</w:t>
            </w:r>
            <w:r w:rsidR="008114C4" w:rsidRPr="008114C4">
              <w:rPr>
                <w:rFonts w:ascii="Arial Narrow" w:hAnsi="Arial Narrow" w:cs="Calibri"/>
                <w:color w:val="000000"/>
                <w:spacing w:val="49"/>
                <w:sz w:val="20"/>
                <w:shd w:val="solid" w:color="000000" w:fill="000000"/>
                <w:fitText w:val="320" w:id="-761538292"/>
                <w14:textFill>
                  <w14:solidFill>
                    <w14:srgbClr w14:val="000000">
                      <w14:alpha w14:val="100000"/>
                    </w14:srgbClr>
                  </w14:solidFill>
                </w14:textFill>
              </w:rPr>
              <w:t>|||</w:t>
            </w:r>
            <w:r w:rsidR="008114C4" w:rsidRPr="008114C4">
              <w:rPr>
                <w:rFonts w:ascii="Arial Narrow" w:hAnsi="Arial Narrow" w:cs="Calibri"/>
                <w:color w:val="000000"/>
                <w:spacing w:val="3"/>
                <w:sz w:val="20"/>
                <w:shd w:val="solid" w:color="000000" w:fill="000000"/>
                <w:fitText w:val="320" w:id="-761538292"/>
                <w14:textFill>
                  <w14:solidFill>
                    <w14:srgbClr w14:val="000000">
                      <w14:alpha w14:val="100000"/>
                    </w14:srgbClr>
                  </w14:solidFill>
                </w14:textFill>
              </w:rPr>
              <w:t>|</w:t>
            </w:r>
          </w:p>
        </w:tc>
        <w:tc>
          <w:tcPr>
            <w:tcW w:w="2173" w:type="pct"/>
            <w:vAlign w:val="center"/>
          </w:tcPr>
          <w:p w14:paraId="3579682C" w14:textId="623B6A3C" w:rsidR="00C46E8F" w:rsidRPr="00C4012D" w:rsidRDefault="00C46E8F" w:rsidP="00C3173D">
            <w:pPr>
              <w:pStyle w:val="NoSpacing"/>
              <w:jc w:val="center"/>
              <w:rPr>
                <w:rFonts w:ascii="Arial Narrow" w:hAnsi="Arial Narrow" w:cs="Calibri"/>
                <w:sz w:val="20"/>
              </w:rPr>
            </w:pPr>
            <w:r w:rsidRPr="00C4012D">
              <w:rPr>
                <w:rFonts w:ascii="Arial Narrow" w:hAnsi="Arial Narrow" w:cs="Calibri"/>
                <w:sz w:val="20"/>
              </w:rPr>
              <w:t>$</w:t>
            </w:r>
            <w:r w:rsidR="008114C4" w:rsidRPr="008114C4">
              <w:rPr>
                <w:rFonts w:ascii="Arial Narrow" w:hAnsi="Arial Narrow" w:cs="Calibri"/>
                <w:color w:val="000000"/>
                <w:spacing w:val="49"/>
                <w:sz w:val="20"/>
                <w:shd w:val="solid" w:color="000000" w:fill="000000"/>
                <w:fitText w:val="320" w:id="-761538291"/>
                <w14:textFill>
                  <w14:solidFill>
                    <w14:srgbClr w14:val="000000">
                      <w14:alpha w14:val="100000"/>
                    </w14:srgbClr>
                  </w14:solidFill>
                </w14:textFill>
              </w:rPr>
              <w:t>|||</w:t>
            </w:r>
            <w:r w:rsidR="008114C4" w:rsidRPr="008114C4">
              <w:rPr>
                <w:rFonts w:ascii="Arial Narrow" w:hAnsi="Arial Narrow" w:cs="Calibri"/>
                <w:color w:val="000000"/>
                <w:spacing w:val="3"/>
                <w:sz w:val="20"/>
                <w:shd w:val="solid" w:color="000000" w:fill="000000"/>
                <w:fitText w:val="320" w:id="-761538291"/>
                <w14:textFill>
                  <w14:solidFill>
                    <w14:srgbClr w14:val="000000">
                      <w14:alpha w14:val="100000"/>
                    </w14:srgbClr>
                  </w14:solidFill>
                </w14:textFill>
              </w:rPr>
              <w:t>|</w:t>
            </w:r>
          </w:p>
        </w:tc>
      </w:tr>
      <w:tr w:rsidR="00C46E8F" w:rsidRPr="00C4012D" w14:paraId="460C84AA" w14:textId="77777777" w:rsidTr="00905DC5">
        <w:tc>
          <w:tcPr>
            <w:tcW w:w="1177" w:type="pct"/>
          </w:tcPr>
          <w:p w14:paraId="4493CD2A" w14:textId="58A20F8C" w:rsidR="00C46E8F" w:rsidRPr="00C4012D" w:rsidRDefault="00C46E8F" w:rsidP="00905DC5">
            <w:pPr>
              <w:pStyle w:val="NoSpacing"/>
              <w:rPr>
                <w:rFonts w:ascii="Calibri" w:hAnsi="Calibri" w:cs="Calibri"/>
                <w:color w:val="000000"/>
                <w:sz w:val="20"/>
              </w:rPr>
            </w:pPr>
            <w:r w:rsidRPr="00C4012D">
              <w:rPr>
                <w:rFonts w:ascii="Arial Narrow" w:hAnsi="Arial Narrow" w:cs="Calibri"/>
                <w:sz w:val="20"/>
              </w:rPr>
              <w:t>12-year-old, 42 kg</w:t>
            </w:r>
          </w:p>
        </w:tc>
        <w:tc>
          <w:tcPr>
            <w:tcW w:w="1650" w:type="pct"/>
            <w:vAlign w:val="center"/>
          </w:tcPr>
          <w:p w14:paraId="65113C73" w14:textId="7C15E986" w:rsidR="00C46E8F" w:rsidRPr="00C4012D" w:rsidRDefault="00C46E8F" w:rsidP="00575446">
            <w:pPr>
              <w:pStyle w:val="NoSpacing"/>
              <w:jc w:val="center"/>
              <w:rPr>
                <w:rFonts w:ascii="Arial Narrow" w:hAnsi="Arial Narrow" w:cs="Calibri"/>
                <w:sz w:val="20"/>
              </w:rPr>
            </w:pPr>
            <w:r w:rsidRPr="00C4012D">
              <w:rPr>
                <w:rFonts w:ascii="Arial Narrow" w:hAnsi="Arial Narrow" w:cs="Calibri"/>
                <w:sz w:val="20"/>
              </w:rPr>
              <w:t>$</w:t>
            </w:r>
            <w:r w:rsidR="008114C4" w:rsidRPr="008114C4">
              <w:rPr>
                <w:rFonts w:ascii="Arial Narrow" w:hAnsi="Arial Narrow" w:cs="Calibri"/>
                <w:color w:val="000000"/>
                <w:spacing w:val="49"/>
                <w:sz w:val="20"/>
                <w:shd w:val="solid" w:color="000000" w:fill="000000"/>
                <w:fitText w:val="320" w:id="-761538290"/>
                <w14:textFill>
                  <w14:solidFill>
                    <w14:srgbClr w14:val="000000">
                      <w14:alpha w14:val="100000"/>
                    </w14:srgbClr>
                  </w14:solidFill>
                </w14:textFill>
              </w:rPr>
              <w:t>|||</w:t>
            </w:r>
            <w:r w:rsidR="008114C4" w:rsidRPr="008114C4">
              <w:rPr>
                <w:rFonts w:ascii="Arial Narrow" w:hAnsi="Arial Narrow" w:cs="Calibri"/>
                <w:color w:val="000000"/>
                <w:spacing w:val="3"/>
                <w:sz w:val="20"/>
                <w:shd w:val="solid" w:color="000000" w:fill="000000"/>
                <w:fitText w:val="320" w:id="-761538290"/>
                <w14:textFill>
                  <w14:solidFill>
                    <w14:srgbClr w14:val="000000">
                      <w14:alpha w14:val="100000"/>
                    </w14:srgbClr>
                  </w14:solidFill>
                </w14:textFill>
              </w:rPr>
              <w:t>|</w:t>
            </w:r>
            <w:r w:rsidRPr="00C4012D">
              <w:rPr>
                <w:rFonts w:ascii="Arial Narrow" w:hAnsi="Arial Narrow" w:cs="Calibri"/>
                <w:sz w:val="20"/>
                <w:vertAlign w:val="superscript"/>
              </w:rPr>
              <w:t>1</w:t>
            </w:r>
          </w:p>
        </w:tc>
        <w:tc>
          <w:tcPr>
            <w:tcW w:w="2173" w:type="pct"/>
            <w:vAlign w:val="center"/>
          </w:tcPr>
          <w:p w14:paraId="6148EF2D" w14:textId="203D24A4" w:rsidR="00C46E8F" w:rsidRPr="00C4012D" w:rsidRDefault="00C46E8F" w:rsidP="00C3173D">
            <w:pPr>
              <w:pStyle w:val="NoSpacing"/>
              <w:jc w:val="center"/>
              <w:rPr>
                <w:rFonts w:ascii="Arial Narrow" w:hAnsi="Arial Narrow" w:cs="Calibri"/>
                <w:sz w:val="20"/>
              </w:rPr>
            </w:pPr>
            <w:r w:rsidRPr="00C4012D">
              <w:rPr>
                <w:rFonts w:ascii="Arial Narrow" w:hAnsi="Arial Narrow" w:cs="Calibri"/>
                <w:sz w:val="20"/>
              </w:rPr>
              <w:t>$</w:t>
            </w:r>
            <w:r w:rsidR="008114C4" w:rsidRPr="008114C4">
              <w:rPr>
                <w:rFonts w:ascii="Arial Narrow" w:hAnsi="Arial Narrow" w:cs="Calibri"/>
                <w:color w:val="000000"/>
                <w:spacing w:val="49"/>
                <w:sz w:val="20"/>
                <w:shd w:val="solid" w:color="000000" w:fill="000000"/>
                <w:fitText w:val="320" w:id="-761538289"/>
                <w14:textFill>
                  <w14:solidFill>
                    <w14:srgbClr w14:val="000000">
                      <w14:alpha w14:val="100000"/>
                    </w14:srgbClr>
                  </w14:solidFill>
                </w14:textFill>
              </w:rPr>
              <w:t>|||</w:t>
            </w:r>
            <w:r w:rsidR="008114C4" w:rsidRPr="008114C4">
              <w:rPr>
                <w:rFonts w:ascii="Arial Narrow" w:hAnsi="Arial Narrow" w:cs="Calibri"/>
                <w:color w:val="000000"/>
                <w:spacing w:val="3"/>
                <w:sz w:val="20"/>
                <w:shd w:val="solid" w:color="000000" w:fill="000000"/>
                <w:fitText w:val="320" w:id="-761538289"/>
                <w14:textFill>
                  <w14:solidFill>
                    <w14:srgbClr w14:val="000000">
                      <w14:alpha w14:val="100000"/>
                    </w14:srgbClr>
                  </w14:solidFill>
                </w14:textFill>
              </w:rPr>
              <w:t>|</w:t>
            </w:r>
          </w:p>
        </w:tc>
      </w:tr>
      <w:tr w:rsidR="00C46E8F" w:rsidRPr="00C4012D" w14:paraId="10CEC838" w14:textId="77777777" w:rsidTr="00905DC5">
        <w:tc>
          <w:tcPr>
            <w:tcW w:w="1177" w:type="pct"/>
          </w:tcPr>
          <w:p w14:paraId="5F0BC863" w14:textId="65CB5088" w:rsidR="00C46E8F" w:rsidRPr="00C4012D" w:rsidRDefault="00C46E8F" w:rsidP="00905DC5">
            <w:pPr>
              <w:pStyle w:val="NoSpacing"/>
              <w:rPr>
                <w:rFonts w:ascii="Arial Narrow" w:hAnsi="Arial Narrow" w:cs="Calibri"/>
                <w:sz w:val="20"/>
              </w:rPr>
            </w:pPr>
            <w:r w:rsidRPr="00C4012D">
              <w:rPr>
                <w:rFonts w:ascii="Arial Narrow" w:hAnsi="Arial Narrow" w:cs="Calibri"/>
                <w:sz w:val="20"/>
              </w:rPr>
              <w:t>16-year-old, 58 kg</w:t>
            </w:r>
          </w:p>
        </w:tc>
        <w:tc>
          <w:tcPr>
            <w:tcW w:w="1650" w:type="pct"/>
            <w:vAlign w:val="center"/>
          </w:tcPr>
          <w:p w14:paraId="66DA7232" w14:textId="7922CD8D" w:rsidR="00C46E8F" w:rsidRPr="00C4012D" w:rsidRDefault="00C46E8F" w:rsidP="00575446">
            <w:pPr>
              <w:pStyle w:val="NoSpacing"/>
              <w:jc w:val="center"/>
              <w:rPr>
                <w:rFonts w:ascii="Arial Narrow" w:hAnsi="Arial Narrow" w:cs="Calibri"/>
                <w:sz w:val="20"/>
              </w:rPr>
            </w:pPr>
            <w:r w:rsidRPr="00C4012D">
              <w:rPr>
                <w:rFonts w:ascii="Arial Narrow" w:hAnsi="Arial Narrow" w:cs="Calibri"/>
                <w:sz w:val="20"/>
              </w:rPr>
              <w:t>$</w:t>
            </w:r>
            <w:r w:rsidR="008114C4" w:rsidRPr="008114C4">
              <w:rPr>
                <w:rFonts w:ascii="Arial Narrow" w:hAnsi="Arial Narrow" w:cs="Calibri"/>
                <w:color w:val="000000"/>
                <w:spacing w:val="49"/>
                <w:sz w:val="20"/>
                <w:shd w:val="solid" w:color="000000" w:fill="000000"/>
                <w:fitText w:val="320" w:id="-761538288"/>
                <w14:textFill>
                  <w14:solidFill>
                    <w14:srgbClr w14:val="000000">
                      <w14:alpha w14:val="100000"/>
                    </w14:srgbClr>
                  </w14:solidFill>
                </w14:textFill>
              </w:rPr>
              <w:t>|||</w:t>
            </w:r>
            <w:r w:rsidR="008114C4" w:rsidRPr="008114C4">
              <w:rPr>
                <w:rFonts w:ascii="Arial Narrow" w:hAnsi="Arial Narrow" w:cs="Calibri"/>
                <w:color w:val="000000"/>
                <w:spacing w:val="3"/>
                <w:sz w:val="20"/>
                <w:shd w:val="solid" w:color="000000" w:fill="000000"/>
                <w:fitText w:val="320" w:id="-761538288"/>
                <w14:textFill>
                  <w14:solidFill>
                    <w14:srgbClr w14:val="000000">
                      <w14:alpha w14:val="100000"/>
                    </w14:srgbClr>
                  </w14:solidFill>
                </w14:textFill>
              </w:rPr>
              <w:t>|</w:t>
            </w:r>
          </w:p>
        </w:tc>
        <w:tc>
          <w:tcPr>
            <w:tcW w:w="2173" w:type="pct"/>
            <w:vAlign w:val="center"/>
          </w:tcPr>
          <w:p w14:paraId="655BE0DF" w14:textId="636C60F4" w:rsidR="00C46E8F" w:rsidRPr="00C4012D" w:rsidRDefault="00C46E8F" w:rsidP="00C3173D">
            <w:pPr>
              <w:pStyle w:val="NoSpacing"/>
              <w:jc w:val="center"/>
              <w:rPr>
                <w:rFonts w:ascii="Arial Narrow" w:hAnsi="Arial Narrow" w:cs="Calibri"/>
                <w:sz w:val="20"/>
              </w:rPr>
            </w:pPr>
            <w:r w:rsidRPr="00C4012D">
              <w:rPr>
                <w:rFonts w:ascii="Arial Narrow" w:hAnsi="Arial Narrow" w:cs="Calibri"/>
                <w:sz w:val="20"/>
              </w:rPr>
              <w:t>$</w:t>
            </w:r>
            <w:r w:rsidR="008114C4" w:rsidRPr="008114C4">
              <w:rPr>
                <w:rFonts w:ascii="Arial Narrow" w:hAnsi="Arial Narrow" w:cs="Calibri"/>
                <w:color w:val="000000"/>
                <w:spacing w:val="54"/>
                <w:sz w:val="20"/>
                <w:shd w:val="solid" w:color="000000" w:fill="000000"/>
                <w:fitText w:val="334" w:id="-761538304"/>
                <w14:textFill>
                  <w14:solidFill>
                    <w14:srgbClr w14:val="000000">
                      <w14:alpha w14:val="100000"/>
                    </w14:srgbClr>
                  </w14:solidFill>
                </w14:textFill>
              </w:rPr>
              <w:t>|||</w:t>
            </w:r>
            <w:r w:rsidR="008114C4" w:rsidRPr="008114C4">
              <w:rPr>
                <w:rFonts w:ascii="Arial Narrow" w:hAnsi="Arial Narrow" w:cs="Calibri"/>
                <w:color w:val="000000"/>
                <w:spacing w:val="2"/>
                <w:sz w:val="20"/>
                <w:shd w:val="solid" w:color="000000" w:fill="000000"/>
                <w:fitText w:val="334" w:id="-761538304"/>
                <w14:textFill>
                  <w14:solidFill>
                    <w14:srgbClr w14:val="000000">
                      <w14:alpha w14:val="100000"/>
                    </w14:srgbClr>
                  </w14:solidFill>
                </w14:textFill>
              </w:rPr>
              <w:t>|</w:t>
            </w:r>
            <w:r w:rsidRPr="00C4012D">
              <w:rPr>
                <w:rFonts w:ascii="Arial Narrow" w:hAnsi="Arial Narrow" w:cs="Calibri"/>
                <w:sz w:val="20"/>
                <w:vertAlign w:val="superscript"/>
              </w:rPr>
              <w:t>2</w:t>
            </w:r>
          </w:p>
        </w:tc>
      </w:tr>
    </w:tbl>
    <w:p w14:paraId="231F5355" w14:textId="77777777" w:rsidR="00D115DB" w:rsidRPr="000413A8" w:rsidRDefault="00D115DB" w:rsidP="00D115DB">
      <w:pPr>
        <w:pStyle w:val="NoSpacing"/>
        <w:rPr>
          <w:rFonts w:ascii="Arial Narrow" w:hAnsi="Arial Narrow" w:cs="Calibri"/>
          <w:sz w:val="18"/>
          <w:szCs w:val="18"/>
        </w:rPr>
      </w:pPr>
      <w:r w:rsidRPr="000413A8">
        <w:rPr>
          <w:rFonts w:ascii="Arial Narrow" w:hAnsi="Arial Narrow" w:cs="Calibri"/>
          <w:sz w:val="18"/>
          <w:szCs w:val="18"/>
          <w:vertAlign w:val="superscript"/>
        </w:rPr>
        <w:t>1</w:t>
      </w:r>
      <w:r w:rsidRPr="000413A8">
        <w:rPr>
          <w:rFonts w:ascii="Arial Narrow" w:hAnsi="Arial Narrow" w:cs="Calibri"/>
          <w:sz w:val="18"/>
          <w:szCs w:val="18"/>
        </w:rPr>
        <w:t>Same cost per patient from 42 kg</w:t>
      </w:r>
    </w:p>
    <w:p w14:paraId="03CCB508" w14:textId="68593BA7" w:rsidR="00D115DB" w:rsidRDefault="00D115DB" w:rsidP="00D115DB">
      <w:pPr>
        <w:pStyle w:val="NoSpacing"/>
        <w:rPr>
          <w:rFonts w:ascii="Arial Narrow" w:hAnsi="Arial Narrow" w:cs="Calibri"/>
          <w:sz w:val="18"/>
          <w:szCs w:val="18"/>
        </w:rPr>
      </w:pPr>
      <w:r>
        <w:rPr>
          <w:rFonts w:ascii="Arial Narrow" w:hAnsi="Arial Narrow" w:cs="Calibri"/>
          <w:sz w:val="18"/>
          <w:szCs w:val="18"/>
          <w:vertAlign w:val="superscript"/>
        </w:rPr>
        <w:t>2</w:t>
      </w:r>
      <w:r w:rsidRPr="000413A8">
        <w:rPr>
          <w:rFonts w:ascii="Arial Narrow" w:hAnsi="Arial Narrow" w:cs="Calibri"/>
          <w:sz w:val="18"/>
          <w:szCs w:val="18"/>
        </w:rPr>
        <w:t>Same cost per patient from 46 kg</w:t>
      </w:r>
      <w:r w:rsidR="00EE2920">
        <w:rPr>
          <w:rFonts w:ascii="Arial Narrow" w:hAnsi="Arial Narrow" w:cs="Calibri"/>
          <w:sz w:val="18"/>
          <w:szCs w:val="18"/>
        </w:rPr>
        <w:t xml:space="preserve"> </w:t>
      </w:r>
    </w:p>
    <w:p w14:paraId="043C11D5" w14:textId="50E519E3" w:rsidR="00B51DC6" w:rsidRPr="00347A61" w:rsidRDefault="00EE2920" w:rsidP="00347A61">
      <w:pPr>
        <w:pStyle w:val="NoSpacing"/>
        <w:rPr>
          <w:rFonts w:ascii="Arial Narrow" w:hAnsi="Arial Narrow" w:cs="Calibri"/>
          <w:sz w:val="18"/>
          <w:szCs w:val="18"/>
        </w:rPr>
      </w:pPr>
      <w:r>
        <w:rPr>
          <w:rFonts w:ascii="Arial Narrow" w:hAnsi="Arial Narrow" w:cs="Calibri"/>
          <w:sz w:val="18"/>
          <w:szCs w:val="18"/>
        </w:rPr>
        <w:t xml:space="preserve">Abbreviations: mg/kg/day = mg per kg </w:t>
      </w:r>
      <w:r w:rsidR="00E3599F">
        <w:rPr>
          <w:rFonts w:ascii="Arial Narrow" w:hAnsi="Arial Narrow" w:cs="Calibri"/>
          <w:sz w:val="18"/>
          <w:szCs w:val="18"/>
        </w:rPr>
        <w:t>(</w:t>
      </w:r>
      <w:r>
        <w:rPr>
          <w:rFonts w:ascii="Arial Narrow" w:hAnsi="Arial Narrow" w:cs="Calibri"/>
          <w:sz w:val="18"/>
          <w:szCs w:val="18"/>
        </w:rPr>
        <w:t>body weight</w:t>
      </w:r>
      <w:r w:rsidR="00E3599F">
        <w:rPr>
          <w:rFonts w:ascii="Arial Narrow" w:hAnsi="Arial Narrow" w:cs="Calibri"/>
          <w:sz w:val="18"/>
          <w:szCs w:val="18"/>
        </w:rPr>
        <w:t>)</w:t>
      </w:r>
      <w:r>
        <w:rPr>
          <w:rFonts w:ascii="Arial Narrow" w:hAnsi="Arial Narrow" w:cs="Calibri"/>
          <w:sz w:val="18"/>
          <w:szCs w:val="18"/>
        </w:rPr>
        <w:t xml:space="preserve"> per day; STIRI = </w:t>
      </w:r>
      <w:r w:rsidR="001432E0">
        <w:rPr>
          <w:rFonts w:ascii="Arial Narrow" w:hAnsi="Arial Narrow" w:cs="Calibri"/>
          <w:sz w:val="18"/>
          <w:szCs w:val="18"/>
        </w:rPr>
        <w:t>stiripentol; kg = kilogram</w:t>
      </w:r>
    </w:p>
    <w:p w14:paraId="31282904" w14:textId="0FAFAE34" w:rsidR="00C4012D" w:rsidRDefault="00C4012D" w:rsidP="00347A61">
      <w:pPr>
        <w:pStyle w:val="Caption"/>
        <w:spacing w:before="120"/>
      </w:pPr>
      <w:bookmarkStart w:id="93" w:name="_Ref183089608"/>
      <w:bookmarkStart w:id="94" w:name="_Ref39813006"/>
      <w:r>
        <w:t xml:space="preserve">Table </w:t>
      </w:r>
      <w:r w:rsidR="00D72887">
        <w:fldChar w:fldCharType="begin" w:fldLock="1"/>
      </w:r>
      <w:r w:rsidR="00D72887">
        <w:instrText xml:space="preserve"> SEQ Table \* ARABIC </w:instrText>
      </w:r>
      <w:r w:rsidR="00D72887">
        <w:fldChar w:fldCharType="separate"/>
      </w:r>
      <w:r w:rsidR="00D72887">
        <w:rPr>
          <w:noProof/>
        </w:rPr>
        <w:t>19</w:t>
      </w:r>
      <w:r w:rsidR="00D72887">
        <w:rPr>
          <w:noProof/>
        </w:rPr>
        <w:fldChar w:fldCharType="end"/>
      </w:r>
      <w:bookmarkEnd w:id="93"/>
      <w:r>
        <w:t xml:space="preserve">: </w:t>
      </w:r>
      <w:r w:rsidRPr="00A33EF9">
        <w:t>Cost and clinical outcome ratios: Study 1 – Median age = 8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6"/>
        <w:gridCol w:w="2124"/>
        <w:gridCol w:w="1987"/>
        <w:gridCol w:w="1650"/>
      </w:tblGrid>
      <w:tr w:rsidR="00C4012D" w:rsidRPr="00C4012D" w14:paraId="19D73071" w14:textId="77777777" w:rsidTr="00AB21D4">
        <w:trPr>
          <w:tblHeader/>
        </w:trPr>
        <w:tc>
          <w:tcPr>
            <w:tcW w:w="1805" w:type="pct"/>
          </w:tcPr>
          <w:p w14:paraId="004543F7" w14:textId="77777777" w:rsidR="00C4012D" w:rsidRPr="00C4012D" w:rsidRDefault="00C4012D" w:rsidP="00AB21D4">
            <w:pPr>
              <w:pStyle w:val="In-tableHeading"/>
              <w:rPr>
                <w:szCs w:val="20"/>
                <w:lang w:val="en-AU"/>
              </w:rPr>
            </w:pPr>
            <w:r w:rsidRPr="00C4012D">
              <w:rPr>
                <w:szCs w:val="20"/>
                <w:lang w:val="en-AU"/>
              </w:rPr>
              <w:t>Step and component</w:t>
            </w:r>
          </w:p>
        </w:tc>
        <w:tc>
          <w:tcPr>
            <w:tcW w:w="1178" w:type="pct"/>
          </w:tcPr>
          <w:p w14:paraId="7C4D146C" w14:textId="6F473B7B" w:rsidR="00C4012D" w:rsidRPr="00C4012D" w:rsidRDefault="00C4012D" w:rsidP="00AB21D4">
            <w:pPr>
              <w:pStyle w:val="NoSpacing"/>
              <w:jc w:val="center"/>
              <w:rPr>
                <w:rFonts w:ascii="Arial Narrow" w:hAnsi="Arial Narrow" w:cs="Calibri"/>
                <w:b/>
                <w:bCs/>
                <w:sz w:val="20"/>
              </w:rPr>
            </w:pPr>
            <w:r w:rsidRPr="00C4012D">
              <w:rPr>
                <w:rFonts w:ascii="Arial Narrow" w:hAnsi="Arial Narrow" w:cs="Calibri"/>
                <w:b/>
                <w:bCs/>
                <w:sz w:val="20"/>
              </w:rPr>
              <w:t>F</w:t>
            </w:r>
            <w:r w:rsidR="0051003C">
              <w:rPr>
                <w:rFonts w:ascii="Arial Narrow" w:hAnsi="Arial Narrow" w:cs="Calibri"/>
                <w:b/>
                <w:bCs/>
                <w:sz w:val="20"/>
              </w:rPr>
              <w:t>enfluramine</w:t>
            </w:r>
          </w:p>
          <w:p w14:paraId="34156E32" w14:textId="77777777" w:rsidR="00C4012D" w:rsidRPr="00C4012D" w:rsidRDefault="00C4012D" w:rsidP="00AB21D4">
            <w:pPr>
              <w:pStyle w:val="NoSpacing"/>
              <w:jc w:val="center"/>
              <w:rPr>
                <w:rFonts w:ascii="Arial Narrow" w:hAnsi="Arial Narrow" w:cs="Calibri"/>
                <w:b/>
                <w:bCs/>
                <w:sz w:val="20"/>
              </w:rPr>
            </w:pPr>
            <w:r w:rsidRPr="00C4012D">
              <w:rPr>
                <w:rFonts w:ascii="Arial Narrow" w:hAnsi="Arial Narrow" w:cs="Calibri"/>
                <w:b/>
                <w:bCs/>
                <w:sz w:val="20"/>
              </w:rPr>
              <w:t>0.7mg/kg/day</w:t>
            </w:r>
          </w:p>
          <w:p w14:paraId="353138E0" w14:textId="77777777" w:rsidR="00C4012D" w:rsidRPr="00C4012D" w:rsidRDefault="00C4012D" w:rsidP="00AB21D4">
            <w:pPr>
              <w:pStyle w:val="In-tableHeading"/>
              <w:jc w:val="center"/>
              <w:rPr>
                <w:szCs w:val="20"/>
                <w:lang w:val="en-AU"/>
              </w:rPr>
            </w:pPr>
            <w:r w:rsidRPr="00C4012D">
              <w:rPr>
                <w:rFonts w:cs="Calibri"/>
                <w:szCs w:val="20"/>
              </w:rPr>
              <w:t>Monotherapy</w:t>
            </w:r>
          </w:p>
        </w:tc>
        <w:tc>
          <w:tcPr>
            <w:tcW w:w="1102" w:type="pct"/>
          </w:tcPr>
          <w:p w14:paraId="3C5FB281" w14:textId="77777777" w:rsidR="00C4012D" w:rsidRPr="00C4012D" w:rsidRDefault="00C4012D" w:rsidP="00AB21D4">
            <w:pPr>
              <w:pStyle w:val="In-tableHeading"/>
              <w:jc w:val="center"/>
              <w:rPr>
                <w:szCs w:val="20"/>
                <w:lang w:val="en-AU"/>
              </w:rPr>
            </w:pPr>
            <w:r w:rsidRPr="00C4012D">
              <w:rPr>
                <w:szCs w:val="20"/>
                <w:lang w:val="en-AU"/>
              </w:rPr>
              <w:t>Placebo</w:t>
            </w:r>
          </w:p>
        </w:tc>
        <w:tc>
          <w:tcPr>
            <w:tcW w:w="915" w:type="pct"/>
          </w:tcPr>
          <w:p w14:paraId="3E4FE37E" w14:textId="77777777" w:rsidR="00C4012D" w:rsidRPr="00C4012D" w:rsidRDefault="00C4012D" w:rsidP="00AB21D4">
            <w:pPr>
              <w:pStyle w:val="In-tableHeading"/>
              <w:jc w:val="center"/>
              <w:rPr>
                <w:szCs w:val="20"/>
                <w:lang w:val="en-AU"/>
              </w:rPr>
            </w:pPr>
            <w:r w:rsidRPr="00C4012D">
              <w:rPr>
                <w:szCs w:val="20"/>
                <w:lang w:val="en-AU"/>
              </w:rPr>
              <w:t>Increment</w:t>
            </w:r>
          </w:p>
        </w:tc>
      </w:tr>
      <w:tr w:rsidR="00C4012D" w:rsidRPr="00C4012D" w14:paraId="62E18810" w14:textId="77777777" w:rsidTr="00AB21D4">
        <w:trPr>
          <w:trHeight w:val="50"/>
          <w:tblHeader/>
        </w:trPr>
        <w:tc>
          <w:tcPr>
            <w:tcW w:w="1805" w:type="pct"/>
          </w:tcPr>
          <w:p w14:paraId="6F6A2674" w14:textId="77777777" w:rsidR="00C4012D" w:rsidRPr="00C4012D" w:rsidRDefault="00C4012D" w:rsidP="00AB21D4">
            <w:pPr>
              <w:pStyle w:val="NoSpacing"/>
              <w:rPr>
                <w:rFonts w:ascii="Arial Narrow" w:hAnsi="Arial Narrow" w:cs="Calibri"/>
                <w:sz w:val="20"/>
              </w:rPr>
            </w:pPr>
            <w:r w:rsidRPr="00C4012D">
              <w:rPr>
                <w:rFonts w:ascii="Arial Narrow" w:hAnsi="Arial Narrow" w:cs="Calibri"/>
                <w:sz w:val="20"/>
              </w:rPr>
              <w:t>Fenfluramine costs per year</w:t>
            </w:r>
          </w:p>
        </w:tc>
        <w:tc>
          <w:tcPr>
            <w:tcW w:w="1178" w:type="pct"/>
          </w:tcPr>
          <w:p w14:paraId="56523450" w14:textId="1DEC18F8" w:rsidR="00C4012D" w:rsidRPr="00C4012D" w:rsidRDefault="00C4012D" w:rsidP="00AB21D4">
            <w:pPr>
              <w:pStyle w:val="TableText0"/>
              <w:jc w:val="center"/>
              <w:rPr>
                <w:rFonts w:cs="Calibri"/>
                <w:szCs w:val="20"/>
              </w:rPr>
            </w:pPr>
            <w:r w:rsidRPr="00C4012D">
              <w:rPr>
                <w:rFonts w:cs="Calibri"/>
                <w:szCs w:val="20"/>
              </w:rPr>
              <w:t>$</w:t>
            </w:r>
            <w:r w:rsidR="008114C4" w:rsidRPr="008114C4">
              <w:rPr>
                <w:rFonts w:cs="Calibri"/>
                <w:color w:val="000000"/>
                <w:spacing w:val="49"/>
                <w:szCs w:val="20"/>
                <w:shd w:val="solid" w:color="000000" w:fill="000000"/>
                <w:fitText w:val="320" w:id="-761538303"/>
                <w14:textFill>
                  <w14:solidFill>
                    <w14:srgbClr w14:val="000000">
                      <w14:alpha w14:val="100000"/>
                    </w14:srgbClr>
                  </w14:solidFill>
                </w14:textFill>
              </w:rPr>
              <w:t>|||</w:t>
            </w:r>
            <w:r w:rsidR="008114C4" w:rsidRPr="008114C4">
              <w:rPr>
                <w:rFonts w:cs="Calibri"/>
                <w:color w:val="000000"/>
                <w:spacing w:val="3"/>
                <w:szCs w:val="20"/>
                <w:shd w:val="solid" w:color="000000" w:fill="000000"/>
                <w:fitText w:val="320" w:id="-761538303"/>
                <w14:textFill>
                  <w14:solidFill>
                    <w14:srgbClr w14:val="000000">
                      <w14:alpha w14:val="100000"/>
                    </w14:srgbClr>
                  </w14:solidFill>
                </w14:textFill>
              </w:rPr>
              <w:t>|</w:t>
            </w:r>
          </w:p>
        </w:tc>
        <w:tc>
          <w:tcPr>
            <w:tcW w:w="1102" w:type="pct"/>
          </w:tcPr>
          <w:p w14:paraId="2AADCACA" w14:textId="77777777" w:rsidR="00C4012D" w:rsidRPr="00C4012D" w:rsidRDefault="00C4012D" w:rsidP="00AB21D4">
            <w:pPr>
              <w:pStyle w:val="TableText0"/>
              <w:jc w:val="center"/>
              <w:rPr>
                <w:rFonts w:cs="Calibri"/>
                <w:szCs w:val="20"/>
              </w:rPr>
            </w:pPr>
            <w:r w:rsidRPr="00C4012D">
              <w:rPr>
                <w:rFonts w:cs="Calibri"/>
                <w:szCs w:val="20"/>
              </w:rPr>
              <w:t>$</w:t>
            </w:r>
            <w:r w:rsidRPr="002857C3">
              <w:rPr>
                <w:rFonts w:cs="Calibri"/>
                <w:szCs w:val="20"/>
              </w:rPr>
              <w:t>0</w:t>
            </w:r>
          </w:p>
        </w:tc>
        <w:tc>
          <w:tcPr>
            <w:tcW w:w="915" w:type="pct"/>
          </w:tcPr>
          <w:p w14:paraId="6849662C" w14:textId="68CA766E" w:rsidR="00C4012D" w:rsidRPr="00C4012D" w:rsidRDefault="00C4012D" w:rsidP="00AB21D4">
            <w:pPr>
              <w:pStyle w:val="TableText0"/>
              <w:jc w:val="center"/>
              <w:rPr>
                <w:rFonts w:cs="Calibri"/>
                <w:szCs w:val="20"/>
              </w:rPr>
            </w:pPr>
            <w:r w:rsidRPr="00C4012D">
              <w:rPr>
                <w:rFonts w:cs="Calibri"/>
                <w:szCs w:val="20"/>
              </w:rPr>
              <w:t>$</w:t>
            </w:r>
            <w:r w:rsidR="008114C4" w:rsidRPr="008114C4">
              <w:rPr>
                <w:rFonts w:cs="Calibri"/>
                <w:color w:val="000000"/>
                <w:spacing w:val="62"/>
                <w:w w:val="86"/>
                <w:szCs w:val="20"/>
                <w:shd w:val="solid" w:color="000000" w:fill="000000"/>
                <w:fitText w:val="333" w:id="-761538302"/>
                <w14:textFill>
                  <w14:solidFill>
                    <w14:srgbClr w14:val="000000">
                      <w14:alpha w14:val="100000"/>
                    </w14:srgbClr>
                  </w14:solidFill>
                </w14:textFill>
              </w:rPr>
              <w:t>|||</w:t>
            </w:r>
            <w:r w:rsidR="008114C4" w:rsidRPr="008114C4">
              <w:rPr>
                <w:rFonts w:cs="Calibri"/>
                <w:color w:val="000000"/>
                <w:spacing w:val="1"/>
                <w:w w:val="86"/>
                <w:szCs w:val="20"/>
                <w:shd w:val="solid" w:color="000000" w:fill="000000"/>
                <w:fitText w:val="333" w:id="-761538302"/>
                <w14:textFill>
                  <w14:solidFill>
                    <w14:srgbClr w14:val="000000">
                      <w14:alpha w14:val="100000"/>
                    </w14:srgbClr>
                  </w14:solidFill>
                </w14:textFill>
              </w:rPr>
              <w:t>|</w:t>
            </w:r>
          </w:p>
        </w:tc>
      </w:tr>
      <w:tr w:rsidR="00C4012D" w:rsidRPr="00C4012D" w14:paraId="193AD76E" w14:textId="77777777" w:rsidTr="00AB21D4">
        <w:trPr>
          <w:tblHeader/>
        </w:trPr>
        <w:tc>
          <w:tcPr>
            <w:tcW w:w="1805" w:type="pct"/>
            <w:vAlign w:val="center"/>
          </w:tcPr>
          <w:p w14:paraId="6352CE1C" w14:textId="77777777" w:rsidR="00C4012D" w:rsidRPr="00C4012D" w:rsidRDefault="00C4012D" w:rsidP="00AB21D4">
            <w:pPr>
              <w:pStyle w:val="NoSpacing"/>
              <w:rPr>
                <w:rFonts w:ascii="Arial Narrow" w:hAnsi="Arial Narrow" w:cs="Calibri"/>
                <w:sz w:val="20"/>
              </w:rPr>
            </w:pPr>
            <w:r w:rsidRPr="00C4012D">
              <w:rPr>
                <w:rFonts w:ascii="Arial Narrow" w:hAnsi="Arial Narrow" w:cs="Calibri"/>
                <w:sz w:val="20"/>
              </w:rPr>
              <w:t>Proportion of patients with at least a 50% reduction in monthly CSF</w:t>
            </w:r>
            <w:r w:rsidRPr="00C4012D">
              <w:rPr>
                <w:rFonts w:ascii="Arial Narrow" w:hAnsi="Arial Narrow" w:cs="Calibri"/>
                <w:sz w:val="20"/>
                <w:vertAlign w:val="superscript"/>
              </w:rPr>
              <w:t>1</w:t>
            </w:r>
          </w:p>
        </w:tc>
        <w:tc>
          <w:tcPr>
            <w:tcW w:w="1178" w:type="pct"/>
            <w:vAlign w:val="center"/>
          </w:tcPr>
          <w:p w14:paraId="7ABA0347" w14:textId="77777777" w:rsidR="00C4012D" w:rsidRPr="00C4012D" w:rsidRDefault="00C4012D" w:rsidP="00AB21D4">
            <w:pPr>
              <w:pStyle w:val="TableText0"/>
              <w:jc w:val="center"/>
              <w:rPr>
                <w:rFonts w:cs="Calibri"/>
                <w:szCs w:val="20"/>
              </w:rPr>
            </w:pPr>
            <w:r w:rsidRPr="00C4012D">
              <w:rPr>
                <w:rFonts w:cs="Calibri"/>
                <w:szCs w:val="20"/>
              </w:rPr>
              <w:t>67.5%</w:t>
            </w:r>
          </w:p>
        </w:tc>
        <w:tc>
          <w:tcPr>
            <w:tcW w:w="1102" w:type="pct"/>
            <w:vAlign w:val="center"/>
          </w:tcPr>
          <w:p w14:paraId="4D1CA557" w14:textId="77777777" w:rsidR="00C4012D" w:rsidRPr="00C4012D" w:rsidRDefault="00C4012D" w:rsidP="00AB21D4">
            <w:pPr>
              <w:pStyle w:val="TableText0"/>
              <w:jc w:val="center"/>
              <w:rPr>
                <w:rFonts w:cs="Calibri"/>
                <w:szCs w:val="20"/>
              </w:rPr>
            </w:pPr>
            <w:r w:rsidRPr="00C4012D">
              <w:rPr>
                <w:rFonts w:cs="Calibri"/>
                <w:szCs w:val="20"/>
              </w:rPr>
              <w:t>12.5%</w:t>
            </w:r>
          </w:p>
        </w:tc>
        <w:tc>
          <w:tcPr>
            <w:tcW w:w="915" w:type="pct"/>
            <w:vAlign w:val="center"/>
          </w:tcPr>
          <w:p w14:paraId="5EFFDFD5" w14:textId="77777777" w:rsidR="00C4012D" w:rsidRPr="00C4012D" w:rsidRDefault="00C4012D" w:rsidP="00AB21D4">
            <w:pPr>
              <w:pStyle w:val="TableText0"/>
              <w:jc w:val="center"/>
              <w:rPr>
                <w:rFonts w:cs="Calibri"/>
                <w:szCs w:val="20"/>
              </w:rPr>
            </w:pPr>
            <w:r w:rsidRPr="00C4012D">
              <w:rPr>
                <w:rFonts w:cs="Calibri"/>
                <w:szCs w:val="20"/>
              </w:rPr>
              <w:t>55.0%</w:t>
            </w:r>
          </w:p>
        </w:tc>
      </w:tr>
      <w:tr w:rsidR="00C4012D" w:rsidRPr="00C4012D" w14:paraId="686C921F" w14:textId="77777777" w:rsidTr="00AB21D4">
        <w:trPr>
          <w:tblHeader/>
        </w:trPr>
        <w:tc>
          <w:tcPr>
            <w:tcW w:w="4085" w:type="pct"/>
            <w:gridSpan w:val="3"/>
            <w:vAlign w:val="center"/>
          </w:tcPr>
          <w:p w14:paraId="046B1FF1" w14:textId="77777777" w:rsidR="00C4012D" w:rsidRPr="00C4012D" w:rsidRDefault="00C4012D" w:rsidP="00AB21D4">
            <w:pPr>
              <w:pStyle w:val="NoSpacing"/>
              <w:rPr>
                <w:rFonts w:ascii="Arial Narrow" w:hAnsi="Arial Narrow" w:cs="Calibri"/>
                <w:sz w:val="20"/>
              </w:rPr>
            </w:pPr>
            <w:r w:rsidRPr="00C4012D">
              <w:rPr>
                <w:rFonts w:ascii="Arial Narrow" w:hAnsi="Arial Narrow" w:cs="Calibri"/>
                <w:sz w:val="20"/>
              </w:rPr>
              <w:t>Incremental cost per patient with a 50% or greater reduction in convulsive seizures over 14 weeks (14-week cost/0.55)</w:t>
            </w:r>
          </w:p>
        </w:tc>
        <w:tc>
          <w:tcPr>
            <w:tcW w:w="915" w:type="pct"/>
            <w:vAlign w:val="center"/>
          </w:tcPr>
          <w:p w14:paraId="1CB50AD0" w14:textId="2989C61D" w:rsidR="00C4012D" w:rsidRPr="00C4012D" w:rsidRDefault="00C4012D" w:rsidP="00AB21D4">
            <w:pPr>
              <w:pStyle w:val="NoSpacing"/>
              <w:jc w:val="center"/>
              <w:rPr>
                <w:rFonts w:ascii="Arial Narrow" w:hAnsi="Arial Narrow" w:cs="Calibri"/>
                <w:sz w:val="20"/>
              </w:rPr>
            </w:pPr>
            <w:r w:rsidRPr="00C4012D">
              <w:rPr>
                <w:rFonts w:ascii="Arial Narrow" w:hAnsi="Arial Narrow" w:cs="Calibri"/>
                <w:sz w:val="20"/>
              </w:rPr>
              <w:t>$</w:t>
            </w:r>
            <w:r w:rsidR="008114C4" w:rsidRPr="008114C4">
              <w:rPr>
                <w:rFonts w:ascii="Arial Narrow" w:hAnsi="Arial Narrow" w:cs="Calibri"/>
                <w:color w:val="000000"/>
                <w:spacing w:val="63"/>
                <w:w w:val="84"/>
                <w:sz w:val="20"/>
                <w:shd w:val="solid" w:color="000000" w:fill="000000"/>
                <w:fitText w:val="333" w:id="-761538301"/>
                <w14:textFill>
                  <w14:solidFill>
                    <w14:srgbClr w14:val="000000">
                      <w14:alpha w14:val="100000"/>
                    </w14:srgbClr>
                  </w14:solidFill>
                </w14:textFill>
              </w:rPr>
              <w:t>|||</w:t>
            </w:r>
            <w:r w:rsidR="008114C4" w:rsidRPr="008114C4">
              <w:rPr>
                <w:rFonts w:ascii="Arial Narrow" w:hAnsi="Arial Narrow" w:cs="Calibri"/>
                <w:color w:val="000000"/>
                <w:spacing w:val="2"/>
                <w:w w:val="84"/>
                <w:sz w:val="20"/>
                <w:shd w:val="solid" w:color="000000" w:fill="000000"/>
                <w:fitText w:val="333" w:id="-761538301"/>
                <w14:textFill>
                  <w14:solidFill>
                    <w14:srgbClr w14:val="000000">
                      <w14:alpha w14:val="100000"/>
                    </w14:srgbClr>
                  </w14:solidFill>
                </w14:textFill>
              </w:rPr>
              <w:t>|</w:t>
            </w:r>
          </w:p>
        </w:tc>
      </w:tr>
    </w:tbl>
    <w:p w14:paraId="282E90D2" w14:textId="06E8F9A6" w:rsidR="00C4012D" w:rsidRDefault="00C4012D" w:rsidP="00C4012D">
      <w:pPr>
        <w:pStyle w:val="NoSpacing"/>
        <w:rPr>
          <w:rFonts w:ascii="Arial Narrow" w:hAnsi="Arial Narrow" w:cs="Calibri"/>
          <w:sz w:val="18"/>
          <w:szCs w:val="18"/>
        </w:rPr>
      </w:pPr>
      <w:r w:rsidRPr="0027260B">
        <w:rPr>
          <w:rFonts w:ascii="Arial Narrow" w:hAnsi="Arial Narrow" w:cs="Calibri"/>
          <w:sz w:val="18"/>
          <w:szCs w:val="18"/>
          <w:vertAlign w:val="superscript"/>
        </w:rPr>
        <w:t>1</w:t>
      </w:r>
      <w:r w:rsidRPr="0027260B">
        <w:rPr>
          <w:rFonts w:ascii="Arial Narrow" w:hAnsi="Arial Narrow" w:cs="Calibri"/>
          <w:sz w:val="18"/>
          <w:szCs w:val="18"/>
        </w:rPr>
        <w:t xml:space="preserve">Trial period = </w:t>
      </w:r>
      <w:r>
        <w:rPr>
          <w:rFonts w:ascii="Arial Narrow" w:hAnsi="Arial Narrow" w:cs="Calibri"/>
          <w:sz w:val="18"/>
          <w:szCs w:val="18"/>
        </w:rPr>
        <w:t>2-</w:t>
      </w:r>
      <w:r w:rsidRPr="0027260B">
        <w:rPr>
          <w:rFonts w:ascii="Arial Narrow" w:hAnsi="Arial Narrow" w:cs="Calibri"/>
          <w:sz w:val="18"/>
          <w:szCs w:val="18"/>
        </w:rPr>
        <w:t>week</w:t>
      </w:r>
      <w:r>
        <w:rPr>
          <w:rFonts w:ascii="Arial Narrow" w:hAnsi="Arial Narrow" w:cs="Calibri"/>
          <w:sz w:val="18"/>
          <w:szCs w:val="18"/>
        </w:rPr>
        <w:t xml:space="preserve"> titration</w:t>
      </w:r>
      <w:r w:rsidRPr="0027260B">
        <w:rPr>
          <w:rFonts w:ascii="Arial Narrow" w:hAnsi="Arial Narrow" w:cs="Calibri"/>
          <w:sz w:val="18"/>
          <w:szCs w:val="18"/>
        </w:rPr>
        <w:t xml:space="preserve"> + </w:t>
      </w:r>
      <w:r>
        <w:rPr>
          <w:rFonts w:ascii="Arial Narrow" w:hAnsi="Arial Narrow" w:cs="Calibri"/>
          <w:sz w:val="18"/>
          <w:szCs w:val="18"/>
        </w:rPr>
        <w:t xml:space="preserve">12-week </w:t>
      </w:r>
      <w:r w:rsidRPr="0027260B">
        <w:rPr>
          <w:rFonts w:ascii="Arial Narrow" w:hAnsi="Arial Narrow" w:cs="Calibri"/>
          <w:sz w:val="18"/>
          <w:szCs w:val="18"/>
        </w:rPr>
        <w:t xml:space="preserve">maintenance period = </w:t>
      </w:r>
      <w:r>
        <w:rPr>
          <w:rFonts w:ascii="Arial Narrow" w:hAnsi="Arial Narrow" w:cs="Calibri"/>
          <w:sz w:val="18"/>
          <w:szCs w:val="18"/>
        </w:rPr>
        <w:t>14 weeks in total</w:t>
      </w:r>
      <w:r w:rsidR="0051003C">
        <w:rPr>
          <w:rFonts w:ascii="Arial Narrow" w:hAnsi="Arial Narrow" w:cs="Calibri"/>
          <w:sz w:val="18"/>
          <w:szCs w:val="18"/>
        </w:rPr>
        <w:t xml:space="preserve"> </w:t>
      </w:r>
    </w:p>
    <w:p w14:paraId="64EECA13" w14:textId="23B9A544" w:rsidR="00E865EE" w:rsidRDefault="00E865EE" w:rsidP="00C4012D">
      <w:pPr>
        <w:pStyle w:val="NoSpacing"/>
        <w:rPr>
          <w:rFonts w:ascii="Arial Narrow" w:hAnsi="Arial Narrow" w:cs="Calibri"/>
          <w:sz w:val="18"/>
          <w:szCs w:val="18"/>
        </w:rPr>
      </w:pPr>
      <w:r>
        <w:rPr>
          <w:rFonts w:ascii="Arial Narrow" w:hAnsi="Arial Narrow" w:cs="Calibri"/>
          <w:sz w:val="18"/>
          <w:szCs w:val="18"/>
        </w:rPr>
        <w:t xml:space="preserve">ANZSPED growth chart (weighted) weight of </w:t>
      </w:r>
      <w:r w:rsidR="00453941">
        <w:rPr>
          <w:rFonts w:ascii="Arial Narrow" w:hAnsi="Arial Narrow" w:cs="Calibri"/>
          <w:sz w:val="18"/>
          <w:szCs w:val="18"/>
        </w:rPr>
        <w:t>26 kg used</w:t>
      </w:r>
    </w:p>
    <w:p w14:paraId="2BC352F8" w14:textId="275AD1F4" w:rsidR="0051003C" w:rsidRPr="0027260B" w:rsidRDefault="0051003C" w:rsidP="00D87CFA">
      <w:pPr>
        <w:pStyle w:val="NoSpacing"/>
        <w:spacing w:after="120"/>
        <w:rPr>
          <w:rFonts w:ascii="Arial Narrow" w:hAnsi="Arial Narrow" w:cs="Calibri"/>
          <w:sz w:val="18"/>
          <w:szCs w:val="18"/>
        </w:rPr>
      </w:pPr>
      <w:r>
        <w:rPr>
          <w:rFonts w:ascii="Arial Narrow" w:hAnsi="Arial Narrow" w:cs="Calibri"/>
          <w:sz w:val="18"/>
          <w:szCs w:val="18"/>
        </w:rPr>
        <w:t xml:space="preserve">Abbreviations: </w:t>
      </w:r>
      <w:r w:rsidR="00E3599F">
        <w:rPr>
          <w:rFonts w:ascii="Arial Narrow" w:hAnsi="Arial Narrow" w:cs="Calibri"/>
          <w:sz w:val="18"/>
          <w:szCs w:val="18"/>
        </w:rPr>
        <w:t>mg/kg/day = mg per kg (body weight) per day, CSF = convulsive seizure frequency</w:t>
      </w:r>
    </w:p>
    <w:bookmarkEnd w:id="94"/>
    <w:p w14:paraId="4457DED3" w14:textId="3E53FA5C" w:rsidR="00C4012D" w:rsidRDefault="00C4012D" w:rsidP="00C4012D">
      <w:pPr>
        <w:pStyle w:val="Caption"/>
      </w:pPr>
      <w:r>
        <w:t xml:space="preserve">Table </w:t>
      </w:r>
      <w:r w:rsidR="00D72887">
        <w:fldChar w:fldCharType="begin" w:fldLock="1"/>
      </w:r>
      <w:r w:rsidR="00D72887">
        <w:instrText xml:space="preserve"> SEQ Table \* ARABIC </w:instrText>
      </w:r>
      <w:r w:rsidR="00D72887">
        <w:fldChar w:fldCharType="separate"/>
      </w:r>
      <w:r w:rsidR="00D72887">
        <w:rPr>
          <w:noProof/>
        </w:rPr>
        <w:t>20</w:t>
      </w:r>
      <w:r w:rsidR="00D72887">
        <w:rPr>
          <w:noProof/>
        </w:rPr>
        <w:fldChar w:fldCharType="end"/>
      </w:r>
      <w:r w:rsidRPr="00E40CFF">
        <w:t>: Cost and clinical outcome ratios: Study 3 – Median age = 9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6"/>
        <w:gridCol w:w="2124"/>
        <w:gridCol w:w="1987"/>
        <w:gridCol w:w="1650"/>
      </w:tblGrid>
      <w:tr w:rsidR="00C4012D" w:rsidRPr="00C4012D" w14:paraId="60984B9D" w14:textId="77777777" w:rsidTr="00AB21D4">
        <w:trPr>
          <w:tblHeader/>
        </w:trPr>
        <w:tc>
          <w:tcPr>
            <w:tcW w:w="1805" w:type="pct"/>
          </w:tcPr>
          <w:p w14:paraId="06547DFF" w14:textId="77777777" w:rsidR="00C4012D" w:rsidRPr="00C4012D" w:rsidRDefault="00C4012D" w:rsidP="00AB21D4">
            <w:pPr>
              <w:pStyle w:val="In-tableHeading"/>
              <w:rPr>
                <w:szCs w:val="20"/>
                <w:lang w:val="en-AU"/>
              </w:rPr>
            </w:pPr>
            <w:r w:rsidRPr="00C4012D">
              <w:rPr>
                <w:szCs w:val="20"/>
                <w:lang w:val="en-AU"/>
              </w:rPr>
              <w:t>Step and component</w:t>
            </w:r>
          </w:p>
        </w:tc>
        <w:tc>
          <w:tcPr>
            <w:tcW w:w="1178" w:type="pct"/>
          </w:tcPr>
          <w:p w14:paraId="727259EE" w14:textId="5ADCA797" w:rsidR="00C4012D" w:rsidRPr="00C4012D" w:rsidRDefault="00C4012D" w:rsidP="00AB21D4">
            <w:pPr>
              <w:pStyle w:val="NoSpacing"/>
              <w:jc w:val="center"/>
              <w:rPr>
                <w:rFonts w:ascii="Arial Narrow" w:hAnsi="Arial Narrow" w:cs="Calibri"/>
                <w:b/>
                <w:bCs/>
                <w:sz w:val="20"/>
              </w:rPr>
            </w:pPr>
            <w:r w:rsidRPr="00C4012D">
              <w:rPr>
                <w:rFonts w:ascii="Arial Narrow" w:hAnsi="Arial Narrow" w:cs="Calibri"/>
                <w:b/>
                <w:bCs/>
                <w:sz w:val="20"/>
              </w:rPr>
              <w:t>F</w:t>
            </w:r>
            <w:r w:rsidR="0051003C">
              <w:rPr>
                <w:rFonts w:ascii="Arial Narrow" w:hAnsi="Arial Narrow" w:cs="Calibri"/>
                <w:b/>
                <w:bCs/>
                <w:sz w:val="20"/>
              </w:rPr>
              <w:t>enfluramine</w:t>
            </w:r>
          </w:p>
          <w:p w14:paraId="27F0E571" w14:textId="77777777" w:rsidR="00C4012D" w:rsidRPr="00C4012D" w:rsidRDefault="00C4012D" w:rsidP="00AB21D4">
            <w:pPr>
              <w:pStyle w:val="NoSpacing"/>
              <w:jc w:val="center"/>
              <w:rPr>
                <w:rFonts w:ascii="Arial Narrow" w:hAnsi="Arial Narrow" w:cs="Calibri"/>
                <w:b/>
                <w:bCs/>
                <w:sz w:val="20"/>
              </w:rPr>
            </w:pPr>
            <w:r w:rsidRPr="00C4012D">
              <w:rPr>
                <w:rFonts w:ascii="Arial Narrow" w:hAnsi="Arial Narrow" w:cs="Calibri"/>
                <w:b/>
                <w:bCs/>
                <w:sz w:val="20"/>
              </w:rPr>
              <w:t>0.7mg/kg/day</w:t>
            </w:r>
          </w:p>
          <w:p w14:paraId="5F9EDBC4" w14:textId="77777777" w:rsidR="00C4012D" w:rsidRPr="00C4012D" w:rsidRDefault="00C4012D" w:rsidP="00AB21D4">
            <w:pPr>
              <w:pStyle w:val="In-tableHeading"/>
              <w:jc w:val="center"/>
              <w:rPr>
                <w:szCs w:val="20"/>
                <w:lang w:val="en-AU"/>
              </w:rPr>
            </w:pPr>
            <w:r w:rsidRPr="00C4012D">
              <w:rPr>
                <w:rFonts w:cs="Calibri"/>
                <w:szCs w:val="20"/>
              </w:rPr>
              <w:t>Monotherapy</w:t>
            </w:r>
          </w:p>
        </w:tc>
        <w:tc>
          <w:tcPr>
            <w:tcW w:w="1102" w:type="pct"/>
          </w:tcPr>
          <w:p w14:paraId="6C61E57D" w14:textId="77777777" w:rsidR="00C4012D" w:rsidRPr="00C4012D" w:rsidRDefault="00C4012D" w:rsidP="00AB21D4">
            <w:pPr>
              <w:pStyle w:val="In-tableHeading"/>
              <w:jc w:val="center"/>
              <w:rPr>
                <w:szCs w:val="20"/>
                <w:lang w:val="en-AU"/>
              </w:rPr>
            </w:pPr>
            <w:r w:rsidRPr="00C4012D">
              <w:rPr>
                <w:szCs w:val="20"/>
                <w:lang w:val="en-AU"/>
              </w:rPr>
              <w:t>Placebo</w:t>
            </w:r>
          </w:p>
        </w:tc>
        <w:tc>
          <w:tcPr>
            <w:tcW w:w="915" w:type="pct"/>
          </w:tcPr>
          <w:p w14:paraId="02ADCCD9" w14:textId="77777777" w:rsidR="00C4012D" w:rsidRPr="00C4012D" w:rsidRDefault="00C4012D" w:rsidP="00AB21D4">
            <w:pPr>
              <w:pStyle w:val="In-tableHeading"/>
              <w:jc w:val="center"/>
              <w:rPr>
                <w:szCs w:val="20"/>
                <w:lang w:val="en-AU"/>
              </w:rPr>
            </w:pPr>
            <w:r w:rsidRPr="00C4012D">
              <w:rPr>
                <w:szCs w:val="20"/>
                <w:lang w:val="en-AU"/>
              </w:rPr>
              <w:t>Increment</w:t>
            </w:r>
          </w:p>
        </w:tc>
      </w:tr>
      <w:tr w:rsidR="00C4012D" w:rsidRPr="00C4012D" w14:paraId="2B2BE365" w14:textId="77777777" w:rsidTr="00AB21D4">
        <w:trPr>
          <w:trHeight w:val="50"/>
          <w:tblHeader/>
        </w:trPr>
        <w:tc>
          <w:tcPr>
            <w:tcW w:w="1805" w:type="pct"/>
          </w:tcPr>
          <w:p w14:paraId="4D99BB60" w14:textId="77777777" w:rsidR="00C4012D" w:rsidRPr="00C4012D" w:rsidRDefault="00C4012D" w:rsidP="00AB21D4">
            <w:pPr>
              <w:pStyle w:val="NoSpacing"/>
              <w:rPr>
                <w:rFonts w:ascii="Arial Narrow" w:hAnsi="Arial Narrow" w:cs="Calibri"/>
                <w:sz w:val="20"/>
              </w:rPr>
            </w:pPr>
            <w:r w:rsidRPr="00C4012D">
              <w:rPr>
                <w:rFonts w:ascii="Arial Narrow" w:hAnsi="Arial Narrow" w:cs="Calibri"/>
                <w:sz w:val="20"/>
              </w:rPr>
              <w:t>Fenfluramine costs per year</w:t>
            </w:r>
          </w:p>
        </w:tc>
        <w:tc>
          <w:tcPr>
            <w:tcW w:w="1178" w:type="pct"/>
          </w:tcPr>
          <w:p w14:paraId="1DB62D97" w14:textId="145DE883" w:rsidR="00C4012D" w:rsidRPr="00C4012D" w:rsidRDefault="00C4012D" w:rsidP="00AB21D4">
            <w:pPr>
              <w:pStyle w:val="TableText0"/>
              <w:jc w:val="center"/>
              <w:rPr>
                <w:rFonts w:cs="Calibri"/>
                <w:szCs w:val="20"/>
              </w:rPr>
            </w:pPr>
            <w:r w:rsidRPr="00C4012D">
              <w:rPr>
                <w:rFonts w:cs="Calibri"/>
                <w:szCs w:val="20"/>
              </w:rPr>
              <w:t>$</w:t>
            </w:r>
            <w:r w:rsidR="008114C4" w:rsidRPr="008114C4">
              <w:rPr>
                <w:rFonts w:cs="Calibri"/>
                <w:color w:val="000000"/>
                <w:spacing w:val="49"/>
                <w:szCs w:val="20"/>
                <w:shd w:val="solid" w:color="000000" w:fill="000000"/>
                <w:fitText w:val="320" w:id="-761538300"/>
                <w14:textFill>
                  <w14:solidFill>
                    <w14:srgbClr w14:val="000000">
                      <w14:alpha w14:val="100000"/>
                    </w14:srgbClr>
                  </w14:solidFill>
                </w14:textFill>
              </w:rPr>
              <w:t>|||</w:t>
            </w:r>
            <w:r w:rsidR="008114C4" w:rsidRPr="008114C4">
              <w:rPr>
                <w:rFonts w:cs="Calibri"/>
                <w:color w:val="000000"/>
                <w:spacing w:val="3"/>
                <w:szCs w:val="20"/>
                <w:shd w:val="solid" w:color="000000" w:fill="000000"/>
                <w:fitText w:val="320" w:id="-761538300"/>
                <w14:textFill>
                  <w14:solidFill>
                    <w14:srgbClr w14:val="000000">
                      <w14:alpha w14:val="100000"/>
                    </w14:srgbClr>
                  </w14:solidFill>
                </w14:textFill>
              </w:rPr>
              <w:t>|</w:t>
            </w:r>
          </w:p>
        </w:tc>
        <w:tc>
          <w:tcPr>
            <w:tcW w:w="1102" w:type="pct"/>
          </w:tcPr>
          <w:p w14:paraId="70FFB9EB" w14:textId="77777777" w:rsidR="00C4012D" w:rsidRPr="00C4012D" w:rsidRDefault="00C4012D" w:rsidP="00AB21D4">
            <w:pPr>
              <w:pStyle w:val="TableText0"/>
              <w:jc w:val="center"/>
              <w:rPr>
                <w:rFonts w:cs="Calibri"/>
                <w:szCs w:val="20"/>
              </w:rPr>
            </w:pPr>
            <w:r w:rsidRPr="00C4012D">
              <w:rPr>
                <w:rFonts w:cs="Calibri"/>
                <w:szCs w:val="20"/>
              </w:rPr>
              <w:t>$0</w:t>
            </w:r>
          </w:p>
        </w:tc>
        <w:tc>
          <w:tcPr>
            <w:tcW w:w="915" w:type="pct"/>
          </w:tcPr>
          <w:p w14:paraId="1D8C51D4" w14:textId="39F9A8A7" w:rsidR="00C4012D" w:rsidRPr="00C4012D" w:rsidRDefault="00C4012D" w:rsidP="00AB21D4">
            <w:pPr>
              <w:pStyle w:val="TableText0"/>
              <w:jc w:val="center"/>
              <w:rPr>
                <w:rFonts w:cs="Calibri"/>
                <w:szCs w:val="20"/>
              </w:rPr>
            </w:pPr>
            <w:r w:rsidRPr="00C4012D">
              <w:rPr>
                <w:rFonts w:cs="Calibri"/>
                <w:szCs w:val="20"/>
              </w:rPr>
              <w:t>$</w:t>
            </w:r>
            <w:r w:rsidR="008114C4" w:rsidRPr="008114C4">
              <w:rPr>
                <w:rFonts w:cs="Calibri"/>
                <w:color w:val="000000"/>
                <w:spacing w:val="62"/>
                <w:w w:val="86"/>
                <w:szCs w:val="20"/>
                <w:shd w:val="solid" w:color="000000" w:fill="000000"/>
                <w:fitText w:val="333" w:id="-761538299"/>
                <w14:textFill>
                  <w14:solidFill>
                    <w14:srgbClr w14:val="000000">
                      <w14:alpha w14:val="100000"/>
                    </w14:srgbClr>
                  </w14:solidFill>
                </w14:textFill>
              </w:rPr>
              <w:t>|||</w:t>
            </w:r>
            <w:r w:rsidR="008114C4" w:rsidRPr="008114C4">
              <w:rPr>
                <w:rFonts w:cs="Calibri"/>
                <w:color w:val="000000"/>
                <w:spacing w:val="1"/>
                <w:w w:val="86"/>
                <w:szCs w:val="20"/>
                <w:shd w:val="solid" w:color="000000" w:fill="000000"/>
                <w:fitText w:val="333" w:id="-761538299"/>
                <w14:textFill>
                  <w14:solidFill>
                    <w14:srgbClr w14:val="000000">
                      <w14:alpha w14:val="100000"/>
                    </w14:srgbClr>
                  </w14:solidFill>
                </w14:textFill>
              </w:rPr>
              <w:t>|</w:t>
            </w:r>
          </w:p>
        </w:tc>
      </w:tr>
      <w:tr w:rsidR="00C4012D" w:rsidRPr="00C4012D" w14:paraId="47AD497E" w14:textId="4AEC10FF" w:rsidTr="00AB21D4">
        <w:trPr>
          <w:tblHeader/>
        </w:trPr>
        <w:tc>
          <w:tcPr>
            <w:tcW w:w="1805" w:type="pct"/>
            <w:vAlign w:val="center"/>
          </w:tcPr>
          <w:p w14:paraId="39C3CD3A" w14:textId="7CC04BEA" w:rsidR="00C4012D" w:rsidRPr="00C4012D" w:rsidRDefault="00C4012D" w:rsidP="00AB21D4">
            <w:pPr>
              <w:pStyle w:val="NoSpacing"/>
              <w:rPr>
                <w:rFonts w:ascii="Arial Narrow" w:hAnsi="Arial Narrow" w:cs="Calibri"/>
                <w:sz w:val="20"/>
              </w:rPr>
            </w:pPr>
            <w:r w:rsidRPr="00C4012D">
              <w:rPr>
                <w:rFonts w:ascii="Arial Narrow" w:hAnsi="Arial Narrow" w:cs="Calibri"/>
                <w:sz w:val="20"/>
              </w:rPr>
              <w:t>Proportion of patients with at least a 50% reduction in monthly CSF</w:t>
            </w:r>
            <w:r w:rsidRPr="00C4012D">
              <w:rPr>
                <w:rFonts w:ascii="Arial Narrow" w:hAnsi="Arial Narrow" w:cs="Calibri"/>
                <w:sz w:val="20"/>
                <w:vertAlign w:val="superscript"/>
              </w:rPr>
              <w:t>1</w:t>
            </w:r>
          </w:p>
        </w:tc>
        <w:tc>
          <w:tcPr>
            <w:tcW w:w="1178" w:type="pct"/>
            <w:vAlign w:val="center"/>
          </w:tcPr>
          <w:p w14:paraId="27A4F8E6" w14:textId="782D4844" w:rsidR="00C4012D" w:rsidRPr="00C4012D" w:rsidRDefault="00C4012D" w:rsidP="00AB21D4">
            <w:pPr>
              <w:pStyle w:val="TableText0"/>
              <w:jc w:val="center"/>
              <w:rPr>
                <w:rFonts w:cs="Calibri"/>
                <w:szCs w:val="20"/>
              </w:rPr>
            </w:pPr>
            <w:r w:rsidRPr="00C4012D">
              <w:rPr>
                <w:rFonts w:cs="Calibri"/>
                <w:szCs w:val="20"/>
              </w:rPr>
              <w:t>72.9%</w:t>
            </w:r>
          </w:p>
        </w:tc>
        <w:tc>
          <w:tcPr>
            <w:tcW w:w="1102" w:type="pct"/>
            <w:vAlign w:val="center"/>
          </w:tcPr>
          <w:p w14:paraId="7EED4653" w14:textId="7C3A4712" w:rsidR="00C4012D" w:rsidRPr="00C4012D" w:rsidRDefault="00C4012D" w:rsidP="00AB21D4">
            <w:pPr>
              <w:pStyle w:val="TableText0"/>
              <w:jc w:val="center"/>
              <w:rPr>
                <w:rFonts w:cs="Calibri"/>
                <w:szCs w:val="20"/>
              </w:rPr>
            </w:pPr>
            <w:r w:rsidRPr="00C4012D">
              <w:rPr>
                <w:rFonts w:cs="Calibri"/>
                <w:szCs w:val="20"/>
              </w:rPr>
              <w:t>6.3%</w:t>
            </w:r>
          </w:p>
        </w:tc>
        <w:tc>
          <w:tcPr>
            <w:tcW w:w="915" w:type="pct"/>
            <w:vAlign w:val="center"/>
          </w:tcPr>
          <w:p w14:paraId="6FAFD5E3" w14:textId="62C56CCE" w:rsidR="00C4012D" w:rsidRPr="00C4012D" w:rsidRDefault="00C4012D" w:rsidP="00AB21D4">
            <w:pPr>
              <w:pStyle w:val="TableText0"/>
              <w:jc w:val="center"/>
              <w:rPr>
                <w:rFonts w:cs="Calibri"/>
                <w:szCs w:val="20"/>
              </w:rPr>
            </w:pPr>
            <w:r w:rsidRPr="00C4012D">
              <w:rPr>
                <w:rFonts w:cs="Calibri"/>
                <w:szCs w:val="20"/>
              </w:rPr>
              <w:t>66.6%</w:t>
            </w:r>
          </w:p>
        </w:tc>
      </w:tr>
      <w:tr w:rsidR="00C4012D" w:rsidRPr="00C4012D" w14:paraId="261FEEC7" w14:textId="77777777" w:rsidTr="00AB21D4">
        <w:trPr>
          <w:tblHeader/>
        </w:trPr>
        <w:tc>
          <w:tcPr>
            <w:tcW w:w="4085" w:type="pct"/>
            <w:gridSpan w:val="3"/>
            <w:vAlign w:val="center"/>
          </w:tcPr>
          <w:p w14:paraId="42BC19C4" w14:textId="77777777" w:rsidR="00C4012D" w:rsidRPr="00C4012D" w:rsidRDefault="00C4012D" w:rsidP="00AB21D4">
            <w:pPr>
              <w:pStyle w:val="NoSpacing"/>
              <w:rPr>
                <w:sz w:val="20"/>
              </w:rPr>
            </w:pPr>
            <w:r w:rsidRPr="00C4012D">
              <w:rPr>
                <w:rFonts w:ascii="Arial Narrow" w:hAnsi="Arial Narrow" w:cs="Calibri"/>
                <w:sz w:val="20"/>
              </w:rPr>
              <w:t>Incremental cost per patient with a 50% or greater reduction in convulsive seizures over 14 weeks (14-week cost/0.666)</w:t>
            </w:r>
          </w:p>
        </w:tc>
        <w:tc>
          <w:tcPr>
            <w:tcW w:w="915" w:type="pct"/>
            <w:vAlign w:val="center"/>
          </w:tcPr>
          <w:p w14:paraId="45353ADC" w14:textId="07CC67EA" w:rsidR="00C4012D" w:rsidRPr="00C4012D" w:rsidRDefault="00C4012D" w:rsidP="00AB21D4">
            <w:pPr>
              <w:pStyle w:val="NoSpacing"/>
              <w:jc w:val="center"/>
              <w:rPr>
                <w:sz w:val="20"/>
              </w:rPr>
            </w:pPr>
            <w:r w:rsidRPr="00C4012D">
              <w:rPr>
                <w:rFonts w:ascii="Arial Narrow" w:hAnsi="Arial Narrow" w:cs="Calibri"/>
                <w:sz w:val="20"/>
              </w:rPr>
              <w:t>$</w:t>
            </w:r>
            <w:r w:rsidR="008114C4" w:rsidRPr="008114C4">
              <w:rPr>
                <w:rFonts w:ascii="Arial Narrow" w:hAnsi="Arial Narrow" w:cs="Calibri"/>
                <w:color w:val="000000"/>
                <w:spacing w:val="54"/>
                <w:sz w:val="20"/>
                <w:shd w:val="solid" w:color="000000" w:fill="000000"/>
                <w:fitText w:val="333" w:id="-761538298"/>
                <w14:textFill>
                  <w14:solidFill>
                    <w14:srgbClr w14:val="000000">
                      <w14:alpha w14:val="100000"/>
                    </w14:srgbClr>
                  </w14:solidFill>
                </w14:textFill>
              </w:rPr>
              <w:t>|||</w:t>
            </w:r>
            <w:r w:rsidR="008114C4" w:rsidRPr="008114C4">
              <w:rPr>
                <w:rFonts w:ascii="Arial Narrow" w:hAnsi="Arial Narrow" w:cs="Calibri"/>
                <w:color w:val="000000"/>
                <w:spacing w:val="1"/>
                <w:sz w:val="20"/>
                <w:shd w:val="solid" w:color="000000" w:fill="000000"/>
                <w:fitText w:val="333" w:id="-761538298"/>
                <w14:textFill>
                  <w14:solidFill>
                    <w14:srgbClr w14:val="000000">
                      <w14:alpha w14:val="100000"/>
                    </w14:srgbClr>
                  </w14:solidFill>
                </w14:textFill>
              </w:rPr>
              <w:t>|</w:t>
            </w:r>
          </w:p>
        </w:tc>
      </w:tr>
    </w:tbl>
    <w:p w14:paraId="0BC572BF" w14:textId="0D11CAEC" w:rsidR="00453941" w:rsidRDefault="00453941" w:rsidP="00C4012D">
      <w:pPr>
        <w:pStyle w:val="NoSpacing"/>
        <w:rPr>
          <w:rFonts w:ascii="Arial Narrow" w:hAnsi="Arial Narrow" w:cs="Calibri"/>
          <w:sz w:val="18"/>
          <w:szCs w:val="18"/>
        </w:rPr>
      </w:pPr>
      <w:r>
        <w:rPr>
          <w:rFonts w:ascii="Arial Narrow" w:hAnsi="Arial Narrow" w:cs="Calibri"/>
          <w:sz w:val="18"/>
          <w:szCs w:val="18"/>
        </w:rPr>
        <w:t>ANZSPED growth chart (weighted) weight of 29 kg used</w:t>
      </w:r>
    </w:p>
    <w:p w14:paraId="418C3E6D" w14:textId="77777777" w:rsidR="00E20114" w:rsidRPr="0027260B" w:rsidRDefault="00E20114" w:rsidP="00D87CFA">
      <w:pPr>
        <w:pStyle w:val="NoSpacing"/>
        <w:spacing w:after="120"/>
        <w:rPr>
          <w:rFonts w:ascii="Arial Narrow" w:hAnsi="Arial Narrow" w:cs="Calibri"/>
          <w:sz w:val="18"/>
          <w:szCs w:val="18"/>
        </w:rPr>
      </w:pPr>
      <w:r>
        <w:rPr>
          <w:rFonts w:ascii="Arial Narrow" w:hAnsi="Arial Narrow" w:cs="Calibri"/>
          <w:sz w:val="18"/>
          <w:szCs w:val="18"/>
        </w:rPr>
        <w:t>Abbreviations: mg/kg/day = mg per kg (body weight) per day, CSF = convulsive seizure frequency</w:t>
      </w:r>
    </w:p>
    <w:p w14:paraId="25FC582A" w14:textId="1F9BB3BC" w:rsidR="00C4012D" w:rsidRDefault="00C4012D" w:rsidP="00D87CFA">
      <w:pPr>
        <w:pStyle w:val="Caption"/>
      </w:pPr>
      <w:bookmarkStart w:id="95" w:name="_Ref183089617"/>
      <w:r>
        <w:t xml:space="preserve">Table </w:t>
      </w:r>
      <w:r w:rsidR="00D72887">
        <w:fldChar w:fldCharType="begin" w:fldLock="1"/>
      </w:r>
      <w:r w:rsidR="00D72887">
        <w:instrText xml:space="preserve"> SEQ Table \* ARABIC </w:instrText>
      </w:r>
      <w:r w:rsidR="00D72887">
        <w:fldChar w:fldCharType="separate"/>
      </w:r>
      <w:r w:rsidR="00D72887">
        <w:rPr>
          <w:noProof/>
        </w:rPr>
        <w:t>21</w:t>
      </w:r>
      <w:r w:rsidR="00D72887">
        <w:rPr>
          <w:noProof/>
        </w:rPr>
        <w:fldChar w:fldCharType="end"/>
      </w:r>
      <w:bookmarkEnd w:id="95"/>
      <w:r w:rsidRPr="00EC6368">
        <w:t>: Cost and clinical outcome ratios: Study 2 – Median age = 9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6"/>
        <w:gridCol w:w="2124"/>
        <w:gridCol w:w="1987"/>
        <w:gridCol w:w="1650"/>
      </w:tblGrid>
      <w:tr w:rsidR="00C4012D" w:rsidRPr="00C4012D" w14:paraId="4F7AF968" w14:textId="77777777" w:rsidTr="00AB21D4">
        <w:trPr>
          <w:tblHeader/>
        </w:trPr>
        <w:tc>
          <w:tcPr>
            <w:tcW w:w="1805" w:type="pct"/>
          </w:tcPr>
          <w:p w14:paraId="053C6125" w14:textId="77777777" w:rsidR="00C4012D" w:rsidRPr="00C4012D" w:rsidRDefault="00C4012D" w:rsidP="00D87CFA">
            <w:pPr>
              <w:pStyle w:val="In-tableHeading"/>
              <w:keepLines/>
              <w:rPr>
                <w:szCs w:val="20"/>
                <w:lang w:val="en-AU"/>
              </w:rPr>
            </w:pPr>
            <w:r w:rsidRPr="00C4012D">
              <w:rPr>
                <w:szCs w:val="20"/>
                <w:lang w:val="en-AU"/>
              </w:rPr>
              <w:t>Step and component</w:t>
            </w:r>
          </w:p>
        </w:tc>
        <w:tc>
          <w:tcPr>
            <w:tcW w:w="1178" w:type="pct"/>
          </w:tcPr>
          <w:p w14:paraId="78676FC7" w14:textId="4B3E4B24" w:rsidR="00C4012D" w:rsidRPr="00C4012D" w:rsidRDefault="00C4012D" w:rsidP="00D87CFA">
            <w:pPr>
              <w:pStyle w:val="NoSpacing"/>
              <w:keepNext/>
              <w:keepLines/>
              <w:jc w:val="center"/>
              <w:rPr>
                <w:rFonts w:ascii="Arial Narrow" w:hAnsi="Arial Narrow" w:cs="Calibri"/>
                <w:b/>
                <w:bCs/>
                <w:sz w:val="20"/>
              </w:rPr>
            </w:pPr>
            <w:r w:rsidRPr="00C4012D">
              <w:rPr>
                <w:rFonts w:ascii="Arial Narrow" w:hAnsi="Arial Narrow" w:cs="Calibri"/>
                <w:b/>
                <w:bCs/>
                <w:sz w:val="20"/>
              </w:rPr>
              <w:t>F</w:t>
            </w:r>
            <w:r w:rsidR="0051003C">
              <w:rPr>
                <w:rFonts w:ascii="Arial Narrow" w:hAnsi="Arial Narrow" w:cs="Calibri"/>
                <w:b/>
                <w:bCs/>
                <w:sz w:val="20"/>
              </w:rPr>
              <w:t>enfluramine</w:t>
            </w:r>
          </w:p>
          <w:p w14:paraId="33380CFF" w14:textId="77777777" w:rsidR="00C4012D" w:rsidRPr="00C4012D" w:rsidRDefault="00C4012D" w:rsidP="00D87CFA">
            <w:pPr>
              <w:pStyle w:val="NoSpacing"/>
              <w:keepNext/>
              <w:keepLines/>
              <w:jc w:val="center"/>
              <w:rPr>
                <w:rFonts w:ascii="Arial Narrow" w:hAnsi="Arial Narrow" w:cs="Calibri"/>
                <w:b/>
                <w:bCs/>
                <w:sz w:val="20"/>
              </w:rPr>
            </w:pPr>
            <w:r w:rsidRPr="00C4012D">
              <w:rPr>
                <w:rFonts w:ascii="Arial Narrow" w:hAnsi="Arial Narrow" w:cs="Calibri"/>
                <w:b/>
                <w:bCs/>
                <w:sz w:val="20"/>
              </w:rPr>
              <w:t>0.4mg/kg/day</w:t>
            </w:r>
          </w:p>
          <w:p w14:paraId="0857551A" w14:textId="77777777" w:rsidR="00C4012D" w:rsidRPr="00C4012D" w:rsidRDefault="00C4012D" w:rsidP="00D87CFA">
            <w:pPr>
              <w:pStyle w:val="In-tableHeading"/>
              <w:keepLines/>
              <w:jc w:val="center"/>
              <w:rPr>
                <w:rFonts w:cs="Calibri"/>
                <w:bCs/>
                <w:szCs w:val="20"/>
              </w:rPr>
            </w:pPr>
            <w:r w:rsidRPr="00C4012D">
              <w:rPr>
                <w:rFonts w:cs="Calibri"/>
                <w:bCs/>
                <w:szCs w:val="20"/>
              </w:rPr>
              <w:t xml:space="preserve">+STIRI </w:t>
            </w:r>
          </w:p>
          <w:p w14:paraId="19687E58" w14:textId="77777777" w:rsidR="00C4012D" w:rsidRPr="00C4012D" w:rsidRDefault="00C4012D" w:rsidP="00D87CFA">
            <w:pPr>
              <w:pStyle w:val="In-tableHeading"/>
              <w:keepLines/>
              <w:jc w:val="center"/>
              <w:rPr>
                <w:bCs/>
                <w:szCs w:val="20"/>
                <w:lang w:val="en-AU"/>
              </w:rPr>
            </w:pPr>
            <w:r w:rsidRPr="00C4012D">
              <w:rPr>
                <w:rFonts w:cs="Calibri"/>
                <w:bCs/>
                <w:szCs w:val="20"/>
              </w:rPr>
              <w:t>(cost not included)</w:t>
            </w:r>
          </w:p>
        </w:tc>
        <w:tc>
          <w:tcPr>
            <w:tcW w:w="1102" w:type="pct"/>
          </w:tcPr>
          <w:p w14:paraId="58C3BCC6" w14:textId="77777777" w:rsidR="00C4012D" w:rsidRPr="00C4012D" w:rsidRDefault="00C4012D" w:rsidP="00D87CFA">
            <w:pPr>
              <w:pStyle w:val="NoSpacing"/>
              <w:keepNext/>
              <w:keepLines/>
              <w:jc w:val="center"/>
              <w:rPr>
                <w:rFonts w:ascii="Arial Narrow" w:hAnsi="Arial Narrow" w:cs="Calibri"/>
                <w:b/>
                <w:bCs/>
                <w:sz w:val="20"/>
              </w:rPr>
            </w:pPr>
            <w:r w:rsidRPr="00C4012D">
              <w:rPr>
                <w:rFonts w:ascii="Arial Narrow" w:hAnsi="Arial Narrow" w:cs="Calibri"/>
                <w:b/>
                <w:bCs/>
                <w:sz w:val="20"/>
              </w:rPr>
              <w:t>Placebo</w:t>
            </w:r>
          </w:p>
          <w:p w14:paraId="682DEAB8" w14:textId="77777777" w:rsidR="00C4012D" w:rsidRPr="00C4012D" w:rsidRDefault="00C4012D" w:rsidP="00D87CFA">
            <w:pPr>
              <w:pStyle w:val="NoSpacing"/>
              <w:keepNext/>
              <w:keepLines/>
              <w:jc w:val="center"/>
              <w:rPr>
                <w:b/>
                <w:sz w:val="20"/>
              </w:rPr>
            </w:pPr>
          </w:p>
          <w:p w14:paraId="4492792C" w14:textId="77777777" w:rsidR="00C4012D" w:rsidRPr="00C4012D" w:rsidRDefault="00C4012D" w:rsidP="00D87CFA">
            <w:pPr>
              <w:pStyle w:val="NoSpacing"/>
              <w:keepNext/>
              <w:keepLines/>
              <w:jc w:val="center"/>
              <w:rPr>
                <w:rFonts w:ascii="Arial Narrow" w:hAnsi="Arial Narrow" w:cs="Calibri"/>
                <w:b/>
                <w:bCs/>
                <w:sz w:val="20"/>
              </w:rPr>
            </w:pPr>
            <w:r w:rsidRPr="00C4012D">
              <w:rPr>
                <w:rFonts w:ascii="Arial Narrow" w:hAnsi="Arial Narrow" w:cs="Calibri"/>
                <w:b/>
                <w:bCs/>
                <w:sz w:val="20"/>
              </w:rPr>
              <w:t xml:space="preserve">+STIRI </w:t>
            </w:r>
          </w:p>
          <w:p w14:paraId="423F6F24" w14:textId="77777777" w:rsidR="00C4012D" w:rsidRPr="00C4012D" w:rsidRDefault="00C4012D" w:rsidP="00D87CFA">
            <w:pPr>
              <w:pStyle w:val="NoSpacing"/>
              <w:keepNext/>
              <w:keepLines/>
              <w:jc w:val="center"/>
              <w:rPr>
                <w:sz w:val="20"/>
              </w:rPr>
            </w:pPr>
            <w:r w:rsidRPr="00C4012D">
              <w:rPr>
                <w:rFonts w:ascii="Arial Narrow" w:hAnsi="Arial Narrow" w:cs="Calibri"/>
                <w:b/>
                <w:bCs/>
                <w:sz w:val="20"/>
              </w:rPr>
              <w:t>(cost not included)</w:t>
            </w:r>
          </w:p>
        </w:tc>
        <w:tc>
          <w:tcPr>
            <w:tcW w:w="915" w:type="pct"/>
          </w:tcPr>
          <w:p w14:paraId="16978FF9" w14:textId="77777777" w:rsidR="00C4012D" w:rsidRPr="00C4012D" w:rsidRDefault="00C4012D" w:rsidP="00D87CFA">
            <w:pPr>
              <w:pStyle w:val="In-tableHeading"/>
              <w:keepLines/>
              <w:jc w:val="center"/>
              <w:rPr>
                <w:szCs w:val="20"/>
                <w:lang w:val="en-AU"/>
              </w:rPr>
            </w:pPr>
            <w:r w:rsidRPr="00C4012D">
              <w:rPr>
                <w:szCs w:val="20"/>
                <w:lang w:val="en-AU"/>
              </w:rPr>
              <w:t>Increment</w:t>
            </w:r>
          </w:p>
        </w:tc>
      </w:tr>
      <w:tr w:rsidR="00C4012D" w:rsidRPr="00C4012D" w14:paraId="1A2AB42E" w14:textId="77777777" w:rsidTr="00AB21D4">
        <w:trPr>
          <w:tblHeader/>
        </w:trPr>
        <w:tc>
          <w:tcPr>
            <w:tcW w:w="1805" w:type="pct"/>
            <w:vAlign w:val="center"/>
          </w:tcPr>
          <w:p w14:paraId="3BBEDC3B" w14:textId="77777777" w:rsidR="00C4012D" w:rsidRPr="00C4012D" w:rsidRDefault="00C4012D" w:rsidP="00D87CFA">
            <w:pPr>
              <w:pStyle w:val="NoSpacing"/>
              <w:keepNext/>
              <w:keepLines/>
              <w:rPr>
                <w:rFonts w:ascii="Arial Narrow" w:hAnsi="Arial Narrow" w:cs="Calibri"/>
                <w:sz w:val="20"/>
              </w:rPr>
            </w:pPr>
            <w:r w:rsidRPr="00C4012D">
              <w:rPr>
                <w:rFonts w:ascii="Arial Narrow" w:hAnsi="Arial Narrow" w:cs="Calibri"/>
                <w:sz w:val="20"/>
              </w:rPr>
              <w:t>Fenfluramine costs per year</w:t>
            </w:r>
          </w:p>
        </w:tc>
        <w:tc>
          <w:tcPr>
            <w:tcW w:w="1178" w:type="pct"/>
          </w:tcPr>
          <w:p w14:paraId="241387EC" w14:textId="01A220C4" w:rsidR="00C4012D" w:rsidRPr="00C4012D" w:rsidRDefault="00C4012D" w:rsidP="00D87CFA">
            <w:pPr>
              <w:pStyle w:val="TableText0"/>
              <w:keepLines/>
              <w:jc w:val="center"/>
              <w:rPr>
                <w:rFonts w:cs="Calibri"/>
                <w:szCs w:val="20"/>
              </w:rPr>
            </w:pPr>
            <w:r w:rsidRPr="00C4012D">
              <w:rPr>
                <w:rFonts w:cs="Calibri"/>
                <w:szCs w:val="20"/>
              </w:rPr>
              <w:t>$</w:t>
            </w:r>
            <w:r w:rsidR="008114C4" w:rsidRPr="008114C4">
              <w:rPr>
                <w:rFonts w:cs="Calibri"/>
                <w:color w:val="000000"/>
                <w:spacing w:val="49"/>
                <w:szCs w:val="20"/>
                <w:shd w:val="solid" w:color="000000" w:fill="000000"/>
                <w:fitText w:val="320" w:id="-761538297"/>
                <w14:textFill>
                  <w14:solidFill>
                    <w14:srgbClr w14:val="000000">
                      <w14:alpha w14:val="100000"/>
                    </w14:srgbClr>
                  </w14:solidFill>
                </w14:textFill>
              </w:rPr>
              <w:t>|||</w:t>
            </w:r>
            <w:r w:rsidR="008114C4" w:rsidRPr="008114C4">
              <w:rPr>
                <w:rFonts w:cs="Calibri"/>
                <w:color w:val="000000"/>
                <w:spacing w:val="3"/>
                <w:szCs w:val="20"/>
                <w:shd w:val="solid" w:color="000000" w:fill="000000"/>
                <w:fitText w:val="320" w:id="-761538297"/>
                <w14:textFill>
                  <w14:solidFill>
                    <w14:srgbClr w14:val="000000">
                      <w14:alpha w14:val="100000"/>
                    </w14:srgbClr>
                  </w14:solidFill>
                </w14:textFill>
              </w:rPr>
              <w:t>|</w:t>
            </w:r>
          </w:p>
        </w:tc>
        <w:tc>
          <w:tcPr>
            <w:tcW w:w="1102" w:type="pct"/>
          </w:tcPr>
          <w:p w14:paraId="1C521CF6" w14:textId="77777777" w:rsidR="00C4012D" w:rsidRPr="00C4012D" w:rsidRDefault="00C4012D" w:rsidP="00D87CFA">
            <w:pPr>
              <w:pStyle w:val="TableText0"/>
              <w:keepLines/>
              <w:jc w:val="center"/>
              <w:rPr>
                <w:rFonts w:cs="Calibri"/>
                <w:szCs w:val="20"/>
              </w:rPr>
            </w:pPr>
            <w:r w:rsidRPr="00C4012D">
              <w:rPr>
                <w:rFonts w:cs="Calibri"/>
                <w:szCs w:val="20"/>
              </w:rPr>
              <w:t>$0</w:t>
            </w:r>
          </w:p>
        </w:tc>
        <w:tc>
          <w:tcPr>
            <w:tcW w:w="915" w:type="pct"/>
          </w:tcPr>
          <w:p w14:paraId="152DD400" w14:textId="02724064" w:rsidR="00C4012D" w:rsidRPr="00C4012D" w:rsidRDefault="00C4012D" w:rsidP="00D87CFA">
            <w:pPr>
              <w:pStyle w:val="TableText0"/>
              <w:keepLines/>
              <w:jc w:val="center"/>
              <w:rPr>
                <w:rFonts w:cs="Calibri"/>
                <w:szCs w:val="20"/>
              </w:rPr>
            </w:pPr>
            <w:r w:rsidRPr="00C4012D">
              <w:rPr>
                <w:rFonts w:cs="Calibri"/>
                <w:szCs w:val="20"/>
              </w:rPr>
              <w:t>$</w:t>
            </w:r>
            <w:r w:rsidR="008114C4" w:rsidRPr="008114C4">
              <w:rPr>
                <w:rFonts w:cs="Calibri"/>
                <w:color w:val="000000"/>
                <w:spacing w:val="62"/>
                <w:w w:val="86"/>
                <w:szCs w:val="20"/>
                <w:shd w:val="solid" w:color="000000" w:fill="000000"/>
                <w:fitText w:val="333" w:id="-761538296"/>
                <w14:textFill>
                  <w14:solidFill>
                    <w14:srgbClr w14:val="000000">
                      <w14:alpha w14:val="100000"/>
                    </w14:srgbClr>
                  </w14:solidFill>
                </w14:textFill>
              </w:rPr>
              <w:t>|||</w:t>
            </w:r>
            <w:r w:rsidR="008114C4" w:rsidRPr="008114C4">
              <w:rPr>
                <w:rFonts w:cs="Calibri"/>
                <w:color w:val="000000"/>
                <w:spacing w:val="1"/>
                <w:w w:val="86"/>
                <w:szCs w:val="20"/>
                <w:shd w:val="solid" w:color="000000" w:fill="000000"/>
                <w:fitText w:val="333" w:id="-761538296"/>
                <w14:textFill>
                  <w14:solidFill>
                    <w14:srgbClr w14:val="000000">
                      <w14:alpha w14:val="100000"/>
                    </w14:srgbClr>
                  </w14:solidFill>
                </w14:textFill>
              </w:rPr>
              <w:t>|</w:t>
            </w:r>
          </w:p>
        </w:tc>
      </w:tr>
      <w:tr w:rsidR="00C4012D" w:rsidRPr="00C4012D" w14:paraId="58FDBA87" w14:textId="77777777" w:rsidTr="00AB21D4">
        <w:trPr>
          <w:tblHeader/>
        </w:trPr>
        <w:tc>
          <w:tcPr>
            <w:tcW w:w="1805" w:type="pct"/>
            <w:vAlign w:val="center"/>
          </w:tcPr>
          <w:p w14:paraId="552F5C91" w14:textId="77777777" w:rsidR="00C4012D" w:rsidRPr="00C4012D" w:rsidRDefault="00C4012D" w:rsidP="00D87CFA">
            <w:pPr>
              <w:pStyle w:val="NoSpacing"/>
              <w:keepNext/>
              <w:keepLines/>
              <w:rPr>
                <w:rFonts w:ascii="Arial Narrow" w:hAnsi="Arial Narrow" w:cs="Calibri"/>
                <w:sz w:val="20"/>
              </w:rPr>
            </w:pPr>
            <w:r w:rsidRPr="00C4012D">
              <w:rPr>
                <w:rFonts w:ascii="Arial Narrow" w:hAnsi="Arial Narrow" w:cs="Calibri"/>
                <w:sz w:val="20"/>
              </w:rPr>
              <w:t>Proportion of patients with at least a 50% reduction in monthly CSF</w:t>
            </w:r>
            <w:r w:rsidRPr="00C4012D">
              <w:rPr>
                <w:rFonts w:ascii="Arial Narrow" w:hAnsi="Arial Narrow" w:cs="Calibri"/>
                <w:sz w:val="20"/>
                <w:vertAlign w:val="superscript"/>
              </w:rPr>
              <w:t>1</w:t>
            </w:r>
          </w:p>
        </w:tc>
        <w:tc>
          <w:tcPr>
            <w:tcW w:w="1178" w:type="pct"/>
            <w:vAlign w:val="center"/>
          </w:tcPr>
          <w:p w14:paraId="14FEFF2B" w14:textId="77777777" w:rsidR="00C4012D" w:rsidRPr="00C4012D" w:rsidRDefault="00C4012D" w:rsidP="00D87CFA">
            <w:pPr>
              <w:pStyle w:val="TableText0"/>
              <w:keepLines/>
              <w:jc w:val="center"/>
              <w:rPr>
                <w:rFonts w:cs="Calibri"/>
                <w:szCs w:val="20"/>
              </w:rPr>
            </w:pPr>
            <w:r w:rsidRPr="00C4012D">
              <w:rPr>
                <w:rFonts w:cs="Calibri"/>
                <w:szCs w:val="20"/>
              </w:rPr>
              <w:t>53.5%</w:t>
            </w:r>
          </w:p>
        </w:tc>
        <w:tc>
          <w:tcPr>
            <w:tcW w:w="1102" w:type="pct"/>
            <w:vAlign w:val="center"/>
          </w:tcPr>
          <w:p w14:paraId="158FDBF5" w14:textId="77777777" w:rsidR="00C4012D" w:rsidRPr="00C4012D" w:rsidRDefault="00C4012D" w:rsidP="00D87CFA">
            <w:pPr>
              <w:pStyle w:val="TableText0"/>
              <w:keepLines/>
              <w:jc w:val="center"/>
              <w:rPr>
                <w:rFonts w:cs="Calibri"/>
                <w:szCs w:val="20"/>
              </w:rPr>
            </w:pPr>
            <w:r w:rsidRPr="00C4012D">
              <w:rPr>
                <w:rFonts w:cs="Calibri"/>
                <w:szCs w:val="20"/>
              </w:rPr>
              <w:t>4.5%</w:t>
            </w:r>
          </w:p>
        </w:tc>
        <w:tc>
          <w:tcPr>
            <w:tcW w:w="915" w:type="pct"/>
            <w:vAlign w:val="center"/>
          </w:tcPr>
          <w:p w14:paraId="4AF5F67B" w14:textId="77777777" w:rsidR="00C4012D" w:rsidRPr="00C4012D" w:rsidRDefault="00C4012D" w:rsidP="00D87CFA">
            <w:pPr>
              <w:pStyle w:val="TableText0"/>
              <w:keepLines/>
              <w:jc w:val="center"/>
              <w:rPr>
                <w:rFonts w:cs="Calibri"/>
                <w:szCs w:val="20"/>
              </w:rPr>
            </w:pPr>
            <w:r w:rsidRPr="00C4012D">
              <w:rPr>
                <w:rFonts w:cs="Calibri"/>
                <w:szCs w:val="20"/>
              </w:rPr>
              <w:t>49.0%</w:t>
            </w:r>
          </w:p>
        </w:tc>
      </w:tr>
      <w:tr w:rsidR="00C4012D" w:rsidRPr="00C4012D" w14:paraId="1E279493" w14:textId="77777777" w:rsidTr="00AB21D4">
        <w:trPr>
          <w:tblHeader/>
        </w:trPr>
        <w:tc>
          <w:tcPr>
            <w:tcW w:w="4085" w:type="pct"/>
            <w:gridSpan w:val="3"/>
            <w:vAlign w:val="center"/>
          </w:tcPr>
          <w:p w14:paraId="62E9CB9E" w14:textId="77777777" w:rsidR="00C4012D" w:rsidRPr="00C4012D" w:rsidRDefault="00C4012D" w:rsidP="00D87CFA">
            <w:pPr>
              <w:pStyle w:val="NoSpacing"/>
              <w:keepNext/>
              <w:keepLines/>
              <w:rPr>
                <w:sz w:val="20"/>
              </w:rPr>
            </w:pPr>
            <w:r w:rsidRPr="00C4012D">
              <w:rPr>
                <w:rFonts w:ascii="Arial Narrow" w:hAnsi="Arial Narrow" w:cs="Calibri"/>
                <w:sz w:val="20"/>
              </w:rPr>
              <w:t>Incremental cost per patient with a 50% or greater reduction in convulsive seizures over 15 weeks (15-week cost/0.49)</w:t>
            </w:r>
          </w:p>
        </w:tc>
        <w:tc>
          <w:tcPr>
            <w:tcW w:w="915" w:type="pct"/>
            <w:vAlign w:val="center"/>
          </w:tcPr>
          <w:p w14:paraId="3E354F14" w14:textId="752A2420" w:rsidR="00C4012D" w:rsidRPr="00C4012D" w:rsidRDefault="00C4012D" w:rsidP="00D87CFA">
            <w:pPr>
              <w:pStyle w:val="NoSpacing"/>
              <w:keepNext/>
              <w:keepLines/>
              <w:jc w:val="center"/>
              <w:rPr>
                <w:sz w:val="20"/>
              </w:rPr>
            </w:pPr>
            <w:r w:rsidRPr="00C4012D">
              <w:rPr>
                <w:rFonts w:ascii="Arial Narrow" w:hAnsi="Arial Narrow" w:cs="Calibri"/>
                <w:sz w:val="20"/>
              </w:rPr>
              <w:t>$</w:t>
            </w:r>
            <w:r w:rsidR="008114C4" w:rsidRPr="008114C4">
              <w:rPr>
                <w:rFonts w:ascii="Arial Narrow" w:hAnsi="Arial Narrow" w:cs="Calibri"/>
                <w:color w:val="000000"/>
                <w:spacing w:val="63"/>
                <w:w w:val="84"/>
                <w:sz w:val="20"/>
                <w:shd w:val="solid" w:color="000000" w:fill="000000"/>
                <w:fitText w:val="333" w:id="-761538295"/>
                <w14:textFill>
                  <w14:solidFill>
                    <w14:srgbClr w14:val="000000">
                      <w14:alpha w14:val="100000"/>
                    </w14:srgbClr>
                  </w14:solidFill>
                </w14:textFill>
              </w:rPr>
              <w:t>|||</w:t>
            </w:r>
            <w:r w:rsidR="008114C4" w:rsidRPr="008114C4">
              <w:rPr>
                <w:rFonts w:ascii="Arial Narrow" w:hAnsi="Arial Narrow" w:cs="Calibri"/>
                <w:color w:val="000000"/>
                <w:spacing w:val="2"/>
                <w:w w:val="84"/>
                <w:sz w:val="20"/>
                <w:shd w:val="solid" w:color="000000" w:fill="000000"/>
                <w:fitText w:val="333" w:id="-761538295"/>
                <w14:textFill>
                  <w14:solidFill>
                    <w14:srgbClr w14:val="000000">
                      <w14:alpha w14:val="100000"/>
                    </w14:srgbClr>
                  </w14:solidFill>
                </w14:textFill>
              </w:rPr>
              <w:t>|</w:t>
            </w:r>
          </w:p>
        </w:tc>
      </w:tr>
    </w:tbl>
    <w:p w14:paraId="0E7317A6" w14:textId="43F813A2" w:rsidR="00453941" w:rsidRDefault="00453941" w:rsidP="00D87CFA">
      <w:pPr>
        <w:pStyle w:val="NoSpacing"/>
        <w:keepNext/>
        <w:keepLines/>
        <w:rPr>
          <w:rFonts w:ascii="Arial Narrow" w:hAnsi="Arial Narrow" w:cs="Calibri"/>
          <w:sz w:val="18"/>
          <w:szCs w:val="18"/>
        </w:rPr>
      </w:pPr>
      <w:r>
        <w:rPr>
          <w:rFonts w:ascii="Arial Narrow" w:hAnsi="Arial Narrow" w:cs="Calibri"/>
          <w:sz w:val="18"/>
          <w:szCs w:val="18"/>
        </w:rPr>
        <w:t>ANZSPED growth chart (weighted) weight of 29 kg used</w:t>
      </w:r>
    </w:p>
    <w:p w14:paraId="4CF17EAB" w14:textId="77777777" w:rsidR="00E20114" w:rsidRPr="0027260B" w:rsidRDefault="00E20114" w:rsidP="00E20114">
      <w:pPr>
        <w:pStyle w:val="NoSpacing"/>
        <w:rPr>
          <w:rFonts w:ascii="Arial Narrow" w:hAnsi="Arial Narrow" w:cs="Calibri"/>
          <w:sz w:val="18"/>
          <w:szCs w:val="18"/>
        </w:rPr>
      </w:pPr>
      <w:r>
        <w:rPr>
          <w:rFonts w:ascii="Arial Narrow" w:hAnsi="Arial Narrow" w:cs="Calibri"/>
          <w:sz w:val="18"/>
          <w:szCs w:val="18"/>
        </w:rPr>
        <w:t>Abbreviations: mg/kg/day = mg per kg (body weight) per day, CSF = convulsive seizure frequency</w:t>
      </w:r>
    </w:p>
    <w:p w14:paraId="72069F53" w14:textId="07161BC4" w:rsidR="00B51DC6" w:rsidRDefault="00B91495" w:rsidP="009C5083">
      <w:pPr>
        <w:pStyle w:val="3-BodyText"/>
        <w:spacing w:before="120"/>
      </w:pPr>
      <w:r>
        <w:lastRenderedPageBreak/>
        <w:t>The PBAC</w:t>
      </w:r>
      <w:r w:rsidR="00C5022F">
        <w:t xml:space="preserve"> noted previous decisions it had made using an incremental cost per responder analysis</w:t>
      </w:r>
      <w:r w:rsidR="00270034">
        <w:t xml:space="preserve"> </w:t>
      </w:r>
      <w:r w:rsidR="00D27310">
        <w:t>(</w:t>
      </w:r>
      <w:r w:rsidR="00D10A4A">
        <w:t xml:space="preserve">Table 10, osildrostat PSD, March 2024 PBAC meeting). </w:t>
      </w:r>
    </w:p>
    <w:p w14:paraId="2D95266C" w14:textId="0FFD5FDD" w:rsidR="00CE7338" w:rsidRPr="006B5229" w:rsidRDefault="00CE7338" w:rsidP="00CE7338">
      <w:pPr>
        <w:pStyle w:val="4-SubsectionHeading"/>
      </w:pPr>
      <w:r w:rsidRPr="006B5229">
        <w:t>Drug cost/patient/year</w:t>
      </w:r>
      <w:bookmarkEnd w:id="90"/>
      <w:bookmarkEnd w:id="91"/>
    </w:p>
    <w:p w14:paraId="08666C66" w14:textId="2C6BC84D" w:rsidR="00FE7F83" w:rsidRPr="00550BF0" w:rsidRDefault="00FE7F83" w:rsidP="006A799F">
      <w:pPr>
        <w:pStyle w:val="3-BodyText"/>
      </w:pPr>
      <w:bookmarkStart w:id="96" w:name="_Toc22897647"/>
      <w:bookmarkStart w:id="97" w:name="_Toc177562911"/>
      <w:bookmarkEnd w:id="92"/>
      <w:r>
        <w:t>The cost per patient per</w:t>
      </w:r>
      <w:r w:rsidR="004E649C">
        <w:t xml:space="preserve"> year based on the Pre-PBAC Response price at three different age/weight scenarios for </w:t>
      </w:r>
      <w:r w:rsidR="00907822">
        <w:t>both fenfluramine dose options (assuming 100% compliance) are detailed in Table 19 above.</w:t>
      </w:r>
    </w:p>
    <w:p w14:paraId="515E6B11" w14:textId="06ED3D24" w:rsidR="00CE7338" w:rsidRPr="006B5229" w:rsidRDefault="00CE7338" w:rsidP="00CE7338">
      <w:pPr>
        <w:pStyle w:val="4-SubsectionHeading"/>
      </w:pPr>
      <w:r w:rsidRPr="006B5229">
        <w:t>Estimated PBS usage &amp; financial implications</w:t>
      </w:r>
      <w:bookmarkEnd w:id="96"/>
      <w:bookmarkEnd w:id="97"/>
    </w:p>
    <w:p w14:paraId="42B2C16C" w14:textId="268A408D" w:rsidR="00DC4B3B" w:rsidRPr="00D87CFA" w:rsidRDefault="00B45F74" w:rsidP="00D87CFA">
      <w:pPr>
        <w:pStyle w:val="3-BodyText"/>
      </w:pPr>
      <w:bookmarkStart w:id="98" w:name="_Toc22897648"/>
      <w:bookmarkStart w:id="99" w:name="_Toc177562912"/>
      <w:r w:rsidRPr="00D87CFA">
        <w:t>This submission was considered by DUSC.</w:t>
      </w:r>
    </w:p>
    <w:p w14:paraId="415DB5F0" w14:textId="51AD4432" w:rsidR="00B45F74" w:rsidRPr="00D87CFA" w:rsidRDefault="00B45F74" w:rsidP="00D87CFA">
      <w:pPr>
        <w:pStyle w:val="3-BodyText"/>
      </w:pPr>
      <w:r w:rsidRPr="00D87CFA">
        <w:t xml:space="preserve">The submission used a market share approach to predict the financial impact of including fenfluramine on the PBS as an add-on therapy for patients with Dravet Syndrome who are not adequately controlled with at least 2 other AEDs. A supplementary epidemiological component of the analysis was included for </w:t>
      </w:r>
      <w:r w:rsidR="00AA73D5">
        <w:t xml:space="preserve"> &lt;</w:t>
      </w:r>
      <w:r w:rsidR="004634FA">
        <w:t> </w:t>
      </w:r>
      <w:r w:rsidR="00AA73D5">
        <w:t xml:space="preserve">500 </w:t>
      </w:r>
      <w:r w:rsidRPr="00D87CFA">
        <w:t>patients to be included under a grandfathering restriction, who were already receiving fenfluramine for Dravet Syndrome by 31 December 2023 and will transition to PBS supply when listing occurs. The submission stated that patients who commenced treatment with fenfluramine for Dravet Syndrome on or after 1</w:t>
      </w:r>
      <w:r w:rsidR="00D87CFA">
        <w:t> </w:t>
      </w:r>
      <w:r w:rsidRPr="00D87CFA">
        <w:t>January</w:t>
      </w:r>
      <w:r w:rsidR="00D87CFA">
        <w:t> </w:t>
      </w:r>
      <w:r w:rsidRPr="00D87CFA">
        <w:t>2024 were captured in the market share analysis. Th</w:t>
      </w:r>
      <w:r w:rsidR="00F61434" w:rsidRPr="00D87CFA">
        <w:t>e evaluation considered this</w:t>
      </w:r>
      <w:r w:rsidRPr="00D87CFA">
        <w:t xml:space="preserve"> was reasonable, given the market share approach was estimated using 2023 data for cannabidiol and stiripentol and the proposed grandfathered population would not be counted in those data.</w:t>
      </w:r>
      <w:r w:rsidR="00F61434" w:rsidRPr="00D87CFA">
        <w:t xml:space="preserve"> </w:t>
      </w:r>
    </w:p>
    <w:p w14:paraId="688BC576" w14:textId="2BB522F0" w:rsidR="00B916DF" w:rsidRPr="00D87CFA" w:rsidRDefault="00B916DF" w:rsidP="00D87CFA">
      <w:pPr>
        <w:pStyle w:val="3-BodyText"/>
      </w:pPr>
      <w:r w:rsidRPr="00D87CFA">
        <w:t xml:space="preserve">The submission assumed uptake from stiripentol of </w:t>
      </w:r>
      <w:r w:rsidR="008114C4" w:rsidRPr="008114C4">
        <w:rPr>
          <w:color w:val="000000"/>
          <w:w w:val="61"/>
          <w:shd w:val="solid" w:color="000000" w:fill="000000"/>
          <w:fitText w:val="473" w:id="-761538294"/>
          <w14:textFill>
            <w14:solidFill>
              <w14:srgbClr w14:val="000000">
                <w14:alpha w14:val="100000"/>
              </w14:srgbClr>
            </w14:solidFill>
          </w14:textFill>
        </w:rPr>
        <w:t>|||  ||</w:t>
      </w:r>
      <w:r w:rsidR="008114C4" w:rsidRPr="008114C4">
        <w:rPr>
          <w:color w:val="000000"/>
          <w:spacing w:val="3"/>
          <w:w w:val="61"/>
          <w:shd w:val="solid" w:color="000000" w:fill="000000"/>
          <w:fitText w:val="473" w:id="-761538294"/>
          <w14:textFill>
            <w14:solidFill>
              <w14:srgbClr w14:val="000000">
                <w14:alpha w14:val="100000"/>
              </w14:srgbClr>
            </w14:solidFill>
          </w14:textFill>
        </w:rPr>
        <w:t>|</w:t>
      </w:r>
      <w:r w:rsidRPr="00D87CFA">
        <w:t xml:space="preserve">% in Year 1, increasing to </w:t>
      </w:r>
      <w:r w:rsidR="008114C4" w:rsidRPr="008114C4">
        <w:rPr>
          <w:color w:val="000000"/>
          <w:w w:val="61"/>
          <w:shd w:val="solid" w:color="000000" w:fill="000000"/>
          <w:fitText w:val="473" w:id="-761538293"/>
          <w14:textFill>
            <w14:solidFill>
              <w14:srgbClr w14:val="000000">
                <w14:alpha w14:val="100000"/>
              </w14:srgbClr>
            </w14:solidFill>
          </w14:textFill>
        </w:rPr>
        <w:t>|||  ||</w:t>
      </w:r>
      <w:r w:rsidR="008114C4" w:rsidRPr="008114C4">
        <w:rPr>
          <w:color w:val="000000"/>
          <w:spacing w:val="3"/>
          <w:w w:val="61"/>
          <w:shd w:val="solid" w:color="000000" w:fill="000000"/>
          <w:fitText w:val="473" w:id="-761538293"/>
          <w14:textFill>
            <w14:solidFill>
              <w14:srgbClr w14:val="000000">
                <w14:alpha w14:val="100000"/>
              </w14:srgbClr>
            </w14:solidFill>
          </w14:textFill>
        </w:rPr>
        <w:t>|</w:t>
      </w:r>
      <w:r w:rsidRPr="00D87CFA">
        <w:t xml:space="preserve">% in Year 6. </w:t>
      </w:r>
    </w:p>
    <w:p w14:paraId="6ED3EF8F" w14:textId="4BE68442" w:rsidR="00F61434" w:rsidRPr="00D87CFA" w:rsidRDefault="00F61434" w:rsidP="00D87CFA">
      <w:pPr>
        <w:pStyle w:val="3-BodyText"/>
      </w:pPr>
      <w:r w:rsidRPr="00D87CFA">
        <w:t>The</w:t>
      </w:r>
      <w:r w:rsidR="00EC04BD" w:rsidRPr="00D87CFA">
        <w:t xml:space="preserve"> evaluation and</w:t>
      </w:r>
      <w:r w:rsidRPr="00D87CFA">
        <w:t xml:space="preserve"> DUSC w</w:t>
      </w:r>
      <w:r w:rsidR="00EC04BD" w:rsidRPr="00D87CFA">
        <w:t>ere</w:t>
      </w:r>
      <w:r w:rsidRPr="00D87CFA">
        <w:t xml:space="preserve"> concerned the submission did not consider whether fenfluramine would grow the market for Dravet Syndrome by being used as an add-on therapy to cannabidiol and/or stiripentol. The DUSC further considered this was inappropriate given combination therapy was not precluded by the proposed restriction</w:t>
      </w:r>
      <w:r w:rsidR="00BD552A" w:rsidRPr="00D87CFA">
        <w:t>.</w:t>
      </w:r>
      <w:r w:rsidRPr="00D87CFA">
        <w:t xml:space="preserve"> </w:t>
      </w:r>
    </w:p>
    <w:p w14:paraId="43198BE2" w14:textId="68DF4B39" w:rsidR="00B45F74" w:rsidRPr="00D87CFA" w:rsidRDefault="00B45F74" w:rsidP="00D87CFA">
      <w:pPr>
        <w:pStyle w:val="3-BodyText"/>
      </w:pPr>
      <w:r w:rsidRPr="00D87CFA">
        <w:fldChar w:fldCharType="begin" w:fldLock="1"/>
      </w:r>
      <w:r w:rsidRPr="00D87CFA">
        <w:instrText xml:space="preserve"> REF _Ref104805262 \h  \* MERGEFORMAT </w:instrText>
      </w:r>
      <w:r w:rsidRPr="00D87CFA">
        <w:fldChar w:fldCharType="separate"/>
      </w:r>
      <w:r w:rsidR="00D72887" w:rsidRPr="00D87CFA">
        <w:t>Table 22</w:t>
      </w:r>
      <w:r w:rsidRPr="00D87CFA">
        <w:fldChar w:fldCharType="end"/>
      </w:r>
      <w:r w:rsidRPr="00D87CFA">
        <w:t xml:space="preserve"> presents key inputs for the financial estimates.</w:t>
      </w:r>
    </w:p>
    <w:p w14:paraId="461832D2" w14:textId="7F10FCB1" w:rsidR="00B45F74" w:rsidRPr="00B45F74" w:rsidRDefault="00B45F74" w:rsidP="00B45F74">
      <w:pPr>
        <w:pStyle w:val="Caption"/>
        <w:rPr>
          <w:rStyle w:val="CommentReference"/>
          <w:b/>
        </w:rPr>
      </w:pPr>
      <w:bookmarkStart w:id="100" w:name="_Ref104805262"/>
      <w:r w:rsidRPr="00B45F74">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22</w:t>
      </w:r>
      <w:r w:rsidR="00D72887">
        <w:rPr>
          <w:noProof/>
        </w:rPr>
        <w:fldChar w:fldCharType="end"/>
      </w:r>
      <w:bookmarkEnd w:id="100"/>
      <w:r w:rsidRPr="00B45F74">
        <w:t>:</w:t>
      </w:r>
      <w:r w:rsidRPr="00B45F74">
        <w:rPr>
          <w:rStyle w:val="CommentReference"/>
          <w:b/>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4"/>
        <w:gridCol w:w="3544"/>
        <w:gridCol w:w="3919"/>
      </w:tblGrid>
      <w:tr w:rsidR="00B45F74" w:rsidRPr="00B45F74" w14:paraId="1A45DB29" w14:textId="77777777" w:rsidTr="00CC30EA">
        <w:trPr>
          <w:tblHeader/>
        </w:trPr>
        <w:tc>
          <w:tcPr>
            <w:tcW w:w="862" w:type="pct"/>
            <w:shd w:val="clear" w:color="auto" w:fill="auto"/>
            <w:vAlign w:val="center"/>
          </w:tcPr>
          <w:p w14:paraId="29627456" w14:textId="77777777" w:rsidR="00B45F74" w:rsidRPr="00B45F74" w:rsidRDefault="00B45F74" w:rsidP="00AB21D4">
            <w:pPr>
              <w:pStyle w:val="In-tableHeading"/>
              <w:rPr>
                <w:lang w:val="en-AU"/>
              </w:rPr>
            </w:pPr>
            <w:r w:rsidRPr="00B45F74">
              <w:rPr>
                <w:lang w:val="en-AU"/>
              </w:rPr>
              <w:t>Parameter</w:t>
            </w:r>
          </w:p>
        </w:tc>
        <w:tc>
          <w:tcPr>
            <w:tcW w:w="1965" w:type="pct"/>
            <w:shd w:val="clear" w:color="auto" w:fill="auto"/>
            <w:vAlign w:val="center"/>
          </w:tcPr>
          <w:p w14:paraId="4115DD1C" w14:textId="77777777" w:rsidR="00B45F74" w:rsidRPr="00B45F74" w:rsidRDefault="00B45F74" w:rsidP="00AB21D4">
            <w:pPr>
              <w:pStyle w:val="In-tableHeading"/>
              <w:rPr>
                <w:lang w:val="en-AU"/>
              </w:rPr>
            </w:pPr>
            <w:r w:rsidRPr="00B45F74">
              <w:rPr>
                <w:lang w:val="en-AU"/>
              </w:rPr>
              <w:t>Value applied and source</w:t>
            </w:r>
          </w:p>
        </w:tc>
        <w:tc>
          <w:tcPr>
            <w:tcW w:w="2173" w:type="pct"/>
            <w:shd w:val="clear" w:color="auto" w:fill="auto"/>
            <w:vAlign w:val="center"/>
          </w:tcPr>
          <w:p w14:paraId="7ED05B27" w14:textId="77777777" w:rsidR="00B45F74" w:rsidRPr="00B45F74" w:rsidRDefault="00B45F74" w:rsidP="00AB21D4">
            <w:pPr>
              <w:pStyle w:val="In-tableHeading"/>
              <w:rPr>
                <w:lang w:val="en-AU"/>
              </w:rPr>
            </w:pPr>
            <w:r w:rsidRPr="00B45F74">
              <w:rPr>
                <w:lang w:val="en-AU"/>
              </w:rPr>
              <w:t>Comment</w:t>
            </w:r>
          </w:p>
        </w:tc>
      </w:tr>
      <w:tr w:rsidR="00B45F74" w:rsidRPr="00B45F74" w14:paraId="7E744B1B" w14:textId="77777777" w:rsidTr="00CC30EA">
        <w:tc>
          <w:tcPr>
            <w:tcW w:w="862" w:type="pct"/>
            <w:vAlign w:val="center"/>
          </w:tcPr>
          <w:p w14:paraId="04F56E45" w14:textId="77777777" w:rsidR="00B45F74" w:rsidRPr="00B45F74" w:rsidRDefault="00B45F74" w:rsidP="00AB21D4">
            <w:pPr>
              <w:pStyle w:val="TableText0"/>
            </w:pPr>
            <w:r w:rsidRPr="00B45F74">
              <w:t>Scripts in the current market (cannabidiol and stiripentol)</w:t>
            </w:r>
          </w:p>
        </w:tc>
        <w:tc>
          <w:tcPr>
            <w:tcW w:w="1965" w:type="pct"/>
            <w:shd w:val="clear" w:color="auto" w:fill="auto"/>
            <w:vAlign w:val="center"/>
          </w:tcPr>
          <w:p w14:paraId="5693ED49" w14:textId="125E0E1C" w:rsidR="00B45F74" w:rsidRPr="00B45F74" w:rsidRDefault="00B45F74" w:rsidP="00AB21D4">
            <w:pPr>
              <w:pStyle w:val="TableText0"/>
            </w:pPr>
            <w:r w:rsidRPr="00183F90">
              <w:t>2,548</w:t>
            </w:r>
            <w:r w:rsidRPr="00B45F74">
              <w:t>, based on PBS item reports for cannabidiol (12467E) and stiripentol (12088F, 12103B, 12106E, 12107F) in calendar year 2023.</w:t>
            </w:r>
          </w:p>
        </w:tc>
        <w:tc>
          <w:tcPr>
            <w:tcW w:w="2173" w:type="pct"/>
            <w:shd w:val="clear" w:color="auto" w:fill="auto"/>
            <w:vAlign w:val="center"/>
          </w:tcPr>
          <w:p w14:paraId="0402E769" w14:textId="77777777" w:rsidR="00B45F74" w:rsidRPr="00B45F74" w:rsidRDefault="00B45F74" w:rsidP="00AB21D4">
            <w:pPr>
              <w:pStyle w:val="TableText0"/>
            </w:pPr>
            <w:r w:rsidRPr="00B45F74">
              <w:t>This was reasonable.</w:t>
            </w:r>
          </w:p>
        </w:tc>
      </w:tr>
      <w:tr w:rsidR="00B45F74" w:rsidRPr="00B45F74" w14:paraId="4B608804" w14:textId="77777777" w:rsidTr="00CC30EA">
        <w:tc>
          <w:tcPr>
            <w:tcW w:w="862" w:type="pct"/>
            <w:vAlign w:val="center"/>
          </w:tcPr>
          <w:p w14:paraId="4E725234" w14:textId="77777777" w:rsidR="00B45F74" w:rsidRPr="00B45F74" w:rsidRDefault="00B45F74" w:rsidP="00AB21D4">
            <w:pPr>
              <w:pStyle w:val="TableText0"/>
            </w:pPr>
            <w:r w:rsidRPr="00B45F74">
              <w:t>Proportion of patients receiving combination therapy with cannabidiol and stiripentol</w:t>
            </w:r>
          </w:p>
        </w:tc>
        <w:tc>
          <w:tcPr>
            <w:tcW w:w="1965" w:type="pct"/>
            <w:shd w:val="clear" w:color="auto" w:fill="auto"/>
            <w:vAlign w:val="center"/>
          </w:tcPr>
          <w:p w14:paraId="12C8776D" w14:textId="77777777" w:rsidR="00B45F74" w:rsidRPr="00B45F74" w:rsidRDefault="00B45F74" w:rsidP="00AB21D4">
            <w:pPr>
              <w:pStyle w:val="TableText0"/>
            </w:pPr>
            <w:r w:rsidRPr="00B45F74">
              <w:t>31%, based on PBS utilisation data provided by the Department of Health</w:t>
            </w:r>
          </w:p>
        </w:tc>
        <w:tc>
          <w:tcPr>
            <w:tcW w:w="2173" w:type="pct"/>
            <w:shd w:val="clear" w:color="auto" w:fill="auto"/>
            <w:vAlign w:val="center"/>
          </w:tcPr>
          <w:p w14:paraId="2F9A3E9B" w14:textId="77777777" w:rsidR="00B45F74" w:rsidRPr="00B45F74" w:rsidRDefault="00B45F74" w:rsidP="00AB21D4">
            <w:pPr>
              <w:pStyle w:val="TableText0"/>
            </w:pPr>
            <w:r w:rsidRPr="00B45F74">
              <w:t>This was reasonable.</w:t>
            </w:r>
          </w:p>
        </w:tc>
      </w:tr>
      <w:tr w:rsidR="00B45F74" w:rsidRPr="00B45F74" w14:paraId="2BEBDA6D" w14:textId="77777777" w:rsidTr="00CC30EA">
        <w:tc>
          <w:tcPr>
            <w:tcW w:w="862" w:type="pct"/>
            <w:shd w:val="clear" w:color="auto" w:fill="auto"/>
            <w:vAlign w:val="center"/>
          </w:tcPr>
          <w:p w14:paraId="514ED4C6" w14:textId="77777777" w:rsidR="00B45F74" w:rsidRPr="00B45F74" w:rsidRDefault="00B45F74" w:rsidP="00AB21D4">
            <w:pPr>
              <w:pStyle w:val="TableText0"/>
            </w:pPr>
            <w:r w:rsidRPr="00B45F74">
              <w:t>Market growth</w:t>
            </w:r>
          </w:p>
        </w:tc>
        <w:tc>
          <w:tcPr>
            <w:tcW w:w="1965" w:type="pct"/>
            <w:shd w:val="clear" w:color="auto" w:fill="auto"/>
            <w:vAlign w:val="center"/>
          </w:tcPr>
          <w:p w14:paraId="5845892B" w14:textId="77777777" w:rsidR="00B45F74" w:rsidRPr="00B45F74" w:rsidRDefault="00B45F74" w:rsidP="00AB21D4">
            <w:pPr>
              <w:pStyle w:val="TableText0"/>
            </w:pPr>
            <w:r w:rsidRPr="00B45F74">
              <w:t>20% in Year 1, 15% in Year 2, 10% in Year 3 and 5% thereafter, based on historical data, expert opinion, internal market research and commercial forecasts.</w:t>
            </w:r>
          </w:p>
        </w:tc>
        <w:tc>
          <w:tcPr>
            <w:tcW w:w="2173" w:type="pct"/>
            <w:shd w:val="clear" w:color="auto" w:fill="auto"/>
            <w:vAlign w:val="center"/>
          </w:tcPr>
          <w:p w14:paraId="7EAC1D45" w14:textId="3C645E3E" w:rsidR="00B45F74" w:rsidRPr="00B45F74" w:rsidRDefault="00B5110A" w:rsidP="00AB21D4">
            <w:pPr>
              <w:pStyle w:val="TableText0"/>
            </w:pPr>
            <w:r>
              <w:t>Assumption</w:t>
            </w:r>
          </w:p>
        </w:tc>
      </w:tr>
      <w:tr w:rsidR="00B45F74" w:rsidRPr="00B45F74" w14:paraId="048CDB74" w14:textId="77777777" w:rsidTr="00CC30EA">
        <w:tc>
          <w:tcPr>
            <w:tcW w:w="862" w:type="pct"/>
            <w:shd w:val="clear" w:color="auto" w:fill="auto"/>
            <w:vAlign w:val="center"/>
          </w:tcPr>
          <w:p w14:paraId="122752E7" w14:textId="77777777" w:rsidR="00B45F74" w:rsidRPr="00B45F74" w:rsidRDefault="00B45F74" w:rsidP="00AB21D4">
            <w:pPr>
              <w:pStyle w:val="TableText0"/>
            </w:pPr>
            <w:r w:rsidRPr="00B45F74">
              <w:t>Uptake rate from cannabidiol</w:t>
            </w:r>
          </w:p>
        </w:tc>
        <w:tc>
          <w:tcPr>
            <w:tcW w:w="1965" w:type="pct"/>
            <w:shd w:val="clear" w:color="auto" w:fill="auto"/>
            <w:vAlign w:val="center"/>
          </w:tcPr>
          <w:p w14:paraId="09A43074" w14:textId="4E8C09C6" w:rsidR="00B45F74" w:rsidRPr="00B45F74" w:rsidRDefault="008114C4" w:rsidP="00AB21D4">
            <w:pPr>
              <w:pStyle w:val="TableText0"/>
            </w:pPr>
            <w:r w:rsidRPr="008114C4">
              <w:rPr>
                <w:color w:val="000000"/>
                <w:spacing w:val="54"/>
                <w:shd w:val="solid" w:color="000000" w:fill="000000"/>
                <w:fitText w:val="334" w:id="-761538292"/>
                <w14:textFill>
                  <w14:solidFill>
                    <w14:srgbClr w14:val="000000">
                      <w14:alpha w14:val="100000"/>
                    </w14:srgbClr>
                  </w14:solidFill>
                </w14:textFill>
              </w:rPr>
              <w:t>|||</w:t>
            </w:r>
            <w:r w:rsidRPr="008114C4">
              <w:rPr>
                <w:color w:val="000000"/>
                <w:spacing w:val="2"/>
                <w:shd w:val="solid" w:color="000000" w:fill="000000"/>
                <w:fitText w:val="334" w:id="-761538292"/>
                <w14:textFill>
                  <w14:solidFill>
                    <w14:srgbClr w14:val="000000">
                      <w14:alpha w14:val="100000"/>
                    </w14:srgbClr>
                  </w14:solidFill>
                </w14:textFill>
              </w:rPr>
              <w:t>|</w:t>
            </w:r>
            <w:r w:rsidR="00B45F74" w:rsidRPr="00B45F74">
              <w:t xml:space="preserve">% in Year 1, increasing to </w:t>
            </w:r>
            <w:r w:rsidRPr="008114C4">
              <w:rPr>
                <w:color w:val="000000"/>
                <w:spacing w:val="49"/>
                <w:shd w:val="solid" w:color="000000" w:fill="000000"/>
                <w:fitText w:val="320" w:id="-761538291"/>
                <w14:textFill>
                  <w14:solidFill>
                    <w14:srgbClr w14:val="000000">
                      <w14:alpha w14:val="100000"/>
                    </w14:srgbClr>
                  </w14:solidFill>
                </w14:textFill>
              </w:rPr>
              <w:t>|||</w:t>
            </w:r>
            <w:r w:rsidRPr="008114C4">
              <w:rPr>
                <w:color w:val="000000"/>
                <w:spacing w:val="3"/>
                <w:shd w:val="solid" w:color="000000" w:fill="000000"/>
                <w:fitText w:val="320" w:id="-761538291"/>
                <w14:textFill>
                  <w14:solidFill>
                    <w14:srgbClr w14:val="000000">
                      <w14:alpha w14:val="100000"/>
                    </w14:srgbClr>
                  </w14:solidFill>
                </w14:textFill>
              </w:rPr>
              <w:t>|</w:t>
            </w:r>
            <w:r w:rsidR="00B45F74" w:rsidRPr="00B45F74">
              <w:t>% in Year 6, based on historical data, expert opinion, internal market research and commercial forecasts.</w:t>
            </w:r>
          </w:p>
        </w:tc>
        <w:tc>
          <w:tcPr>
            <w:tcW w:w="2173" w:type="pct"/>
            <w:shd w:val="clear" w:color="auto" w:fill="auto"/>
            <w:vAlign w:val="center"/>
          </w:tcPr>
          <w:p w14:paraId="7AE37F05" w14:textId="3C082A2D" w:rsidR="00B45F74" w:rsidRPr="00B45F74" w:rsidRDefault="00B5110A" w:rsidP="00AB21D4">
            <w:pPr>
              <w:pStyle w:val="TableText0"/>
            </w:pPr>
            <w:r>
              <w:t>Assumption</w:t>
            </w:r>
          </w:p>
        </w:tc>
      </w:tr>
      <w:tr w:rsidR="00B45F74" w:rsidRPr="00B45F74" w14:paraId="4AF450EB" w14:textId="77777777" w:rsidTr="00CC30EA">
        <w:tc>
          <w:tcPr>
            <w:tcW w:w="862" w:type="pct"/>
            <w:shd w:val="clear" w:color="auto" w:fill="auto"/>
            <w:vAlign w:val="center"/>
          </w:tcPr>
          <w:p w14:paraId="2ACBB5B4" w14:textId="77777777" w:rsidR="00B45F74" w:rsidRPr="00B45F74" w:rsidRDefault="00B45F74" w:rsidP="00AB21D4">
            <w:pPr>
              <w:pStyle w:val="TableText0"/>
            </w:pPr>
            <w:r w:rsidRPr="00B45F74">
              <w:t>Uptake rate from stiripentol</w:t>
            </w:r>
          </w:p>
        </w:tc>
        <w:tc>
          <w:tcPr>
            <w:tcW w:w="1965" w:type="pct"/>
            <w:shd w:val="clear" w:color="auto" w:fill="auto"/>
            <w:vAlign w:val="center"/>
          </w:tcPr>
          <w:p w14:paraId="64067595" w14:textId="0BB29242" w:rsidR="00B45F74" w:rsidRPr="00B45F74" w:rsidRDefault="008114C4" w:rsidP="00AB21D4">
            <w:pPr>
              <w:pStyle w:val="TableText0"/>
            </w:pPr>
            <w:r w:rsidRPr="008114C4">
              <w:rPr>
                <w:color w:val="000000"/>
                <w:spacing w:val="54"/>
                <w:shd w:val="solid" w:color="000000" w:fill="000000"/>
                <w:fitText w:val="334" w:id="-761538290"/>
                <w14:textFill>
                  <w14:solidFill>
                    <w14:srgbClr w14:val="000000">
                      <w14:alpha w14:val="100000"/>
                    </w14:srgbClr>
                  </w14:solidFill>
                </w14:textFill>
              </w:rPr>
              <w:t>|||</w:t>
            </w:r>
            <w:r w:rsidRPr="008114C4">
              <w:rPr>
                <w:color w:val="000000"/>
                <w:spacing w:val="2"/>
                <w:shd w:val="solid" w:color="000000" w:fill="000000"/>
                <w:fitText w:val="334" w:id="-761538290"/>
                <w14:textFill>
                  <w14:solidFill>
                    <w14:srgbClr w14:val="000000">
                      <w14:alpha w14:val="100000"/>
                    </w14:srgbClr>
                  </w14:solidFill>
                </w14:textFill>
              </w:rPr>
              <w:t>|</w:t>
            </w:r>
            <w:r w:rsidR="00B45F74" w:rsidRPr="00B45F74">
              <w:t xml:space="preserve">% in Year 1, increasing to </w:t>
            </w:r>
            <w:r w:rsidRPr="008114C4">
              <w:rPr>
                <w:color w:val="000000"/>
                <w:spacing w:val="49"/>
                <w:shd w:val="solid" w:color="000000" w:fill="000000"/>
                <w:fitText w:val="320" w:id="-761538289"/>
                <w14:textFill>
                  <w14:solidFill>
                    <w14:srgbClr w14:val="000000">
                      <w14:alpha w14:val="100000"/>
                    </w14:srgbClr>
                  </w14:solidFill>
                </w14:textFill>
              </w:rPr>
              <w:t>|||</w:t>
            </w:r>
            <w:r w:rsidRPr="008114C4">
              <w:rPr>
                <w:color w:val="000000"/>
                <w:spacing w:val="3"/>
                <w:shd w:val="solid" w:color="000000" w:fill="000000"/>
                <w:fitText w:val="320" w:id="-761538289"/>
                <w14:textFill>
                  <w14:solidFill>
                    <w14:srgbClr w14:val="000000">
                      <w14:alpha w14:val="100000"/>
                    </w14:srgbClr>
                  </w14:solidFill>
                </w14:textFill>
              </w:rPr>
              <w:t>|</w:t>
            </w:r>
            <w:r w:rsidR="00B45F74" w:rsidRPr="00B45F74">
              <w:t>% in Year 6, based on historical data, expert opinion, internal market research and commercial forecasts.</w:t>
            </w:r>
          </w:p>
        </w:tc>
        <w:tc>
          <w:tcPr>
            <w:tcW w:w="2173" w:type="pct"/>
            <w:shd w:val="clear" w:color="auto" w:fill="auto"/>
            <w:vAlign w:val="center"/>
          </w:tcPr>
          <w:p w14:paraId="66D9C1FF" w14:textId="0AE2CE6A" w:rsidR="00B45F74" w:rsidRPr="00B45F74" w:rsidRDefault="00B5110A" w:rsidP="00AB21D4">
            <w:pPr>
              <w:pStyle w:val="TableText0"/>
            </w:pPr>
            <w:r>
              <w:t xml:space="preserve">Assumption </w:t>
            </w:r>
          </w:p>
        </w:tc>
      </w:tr>
      <w:tr w:rsidR="00121995" w:rsidRPr="00B45F74" w14:paraId="027ED8D4" w14:textId="77777777" w:rsidTr="00E75C84">
        <w:tc>
          <w:tcPr>
            <w:tcW w:w="862" w:type="pct"/>
            <w:shd w:val="clear" w:color="auto" w:fill="auto"/>
          </w:tcPr>
          <w:p w14:paraId="608B784E" w14:textId="32EC78CA" w:rsidR="00121995" w:rsidRPr="00B45F74" w:rsidRDefault="00121995" w:rsidP="00121995">
            <w:pPr>
              <w:pStyle w:val="TableText0"/>
            </w:pPr>
            <w:r w:rsidRPr="0091296F">
              <w:t>Patient age distribution</w:t>
            </w:r>
          </w:p>
        </w:tc>
        <w:tc>
          <w:tcPr>
            <w:tcW w:w="1965" w:type="pct"/>
            <w:shd w:val="clear" w:color="auto" w:fill="auto"/>
          </w:tcPr>
          <w:p w14:paraId="619332E2" w14:textId="0BB8CB26" w:rsidR="00121995" w:rsidRPr="00B45F74" w:rsidRDefault="00121995" w:rsidP="00121995">
            <w:pPr>
              <w:pStyle w:val="TableText0"/>
            </w:pPr>
            <w:r w:rsidRPr="0091296F">
              <w:t>Estimated as a skewed pyramid with a mean of approx. 9 years.</w:t>
            </w:r>
            <w:r w:rsidR="006D7108">
              <w:t xml:space="preserve"> </w:t>
            </w:r>
            <w:r w:rsidR="006D7108" w:rsidRPr="0091296F">
              <w:t>Local demographic data, current utilisation of stiripentol, the average age of patients in the RCTs, local expert opinion and broader clinical literature.</w:t>
            </w:r>
          </w:p>
        </w:tc>
        <w:tc>
          <w:tcPr>
            <w:tcW w:w="2173" w:type="pct"/>
            <w:shd w:val="clear" w:color="auto" w:fill="auto"/>
            <w:vAlign w:val="center"/>
          </w:tcPr>
          <w:p w14:paraId="340E2995" w14:textId="790CF62C" w:rsidR="00121995" w:rsidRDefault="00E4616E" w:rsidP="00121995">
            <w:pPr>
              <w:pStyle w:val="TableText0"/>
            </w:pPr>
            <w:r w:rsidRPr="003E76A4">
              <w:t>The mean age in the fenfluramine trials was approximately 9 years. Local demographic data, expert opinion and broader literature were not cited to support this claim.</w:t>
            </w:r>
            <w:r w:rsidR="00CC30EA">
              <w:t xml:space="preserve"> </w:t>
            </w:r>
          </w:p>
          <w:p w14:paraId="6713ED2E" w14:textId="5E361689" w:rsidR="00CC30EA" w:rsidRPr="00CC30EA" w:rsidRDefault="00CC30EA" w:rsidP="00121995">
            <w:pPr>
              <w:pStyle w:val="TableText0"/>
            </w:pPr>
            <w:r w:rsidRPr="00CC30EA">
              <w:t xml:space="preserve">The DUSC noted that the trial only included patients aged 2 to 18 years old, but there was no age limit included in the proposed PBS restriction. </w:t>
            </w:r>
          </w:p>
        </w:tc>
      </w:tr>
      <w:tr w:rsidR="00B45F74" w:rsidRPr="00B45F74" w14:paraId="2B6772D6" w14:textId="77777777" w:rsidTr="00CC30EA">
        <w:tc>
          <w:tcPr>
            <w:tcW w:w="862" w:type="pct"/>
            <w:shd w:val="clear" w:color="auto" w:fill="auto"/>
            <w:vAlign w:val="center"/>
          </w:tcPr>
          <w:p w14:paraId="19D115D3" w14:textId="77777777" w:rsidR="00B45F74" w:rsidRPr="00B45F74" w:rsidRDefault="00B45F74" w:rsidP="00AB21D4">
            <w:pPr>
              <w:pStyle w:val="TableText0"/>
            </w:pPr>
            <w:r w:rsidRPr="00B45F74">
              <w:t>Stiripentol dose</w:t>
            </w:r>
          </w:p>
        </w:tc>
        <w:tc>
          <w:tcPr>
            <w:tcW w:w="1965" w:type="pct"/>
            <w:shd w:val="clear" w:color="auto" w:fill="auto"/>
            <w:vAlign w:val="center"/>
          </w:tcPr>
          <w:p w14:paraId="053EF9F3" w14:textId="77777777" w:rsidR="00B45F74" w:rsidRPr="00B45F74" w:rsidRDefault="00B45F74" w:rsidP="00AB21D4">
            <w:pPr>
              <w:pStyle w:val="TableText0"/>
            </w:pPr>
            <w:r w:rsidRPr="00B45F74">
              <w:t>35 mg/kg/day, assumed halfway between recommended minimum and maximum dose.</w:t>
            </w:r>
          </w:p>
        </w:tc>
        <w:tc>
          <w:tcPr>
            <w:tcW w:w="2173" w:type="pct"/>
            <w:shd w:val="clear" w:color="auto" w:fill="auto"/>
            <w:vAlign w:val="center"/>
          </w:tcPr>
          <w:p w14:paraId="5C079EE4" w14:textId="1AEBF123" w:rsidR="00B45F74" w:rsidRPr="00B45F74" w:rsidRDefault="00B45F74" w:rsidP="00AB21D4">
            <w:pPr>
              <w:pStyle w:val="TableText0"/>
            </w:pPr>
          </w:p>
        </w:tc>
      </w:tr>
      <w:tr w:rsidR="00B45F74" w:rsidRPr="00B45F74" w14:paraId="3108E486" w14:textId="77777777" w:rsidTr="00CC30EA">
        <w:tc>
          <w:tcPr>
            <w:tcW w:w="862" w:type="pct"/>
            <w:shd w:val="clear" w:color="auto" w:fill="auto"/>
            <w:vAlign w:val="center"/>
          </w:tcPr>
          <w:p w14:paraId="3AAD45B2" w14:textId="77777777" w:rsidR="00B45F74" w:rsidRPr="00B45F74" w:rsidRDefault="00B45F74" w:rsidP="00AB21D4">
            <w:pPr>
              <w:pStyle w:val="TableText0"/>
            </w:pPr>
            <w:r w:rsidRPr="00B45F74">
              <w:t>Script equivalence</w:t>
            </w:r>
          </w:p>
        </w:tc>
        <w:tc>
          <w:tcPr>
            <w:tcW w:w="1965" w:type="pct"/>
            <w:shd w:val="clear" w:color="auto" w:fill="auto"/>
            <w:vAlign w:val="center"/>
          </w:tcPr>
          <w:p w14:paraId="2457A238" w14:textId="77777777" w:rsidR="00B45F74" w:rsidRPr="00B45F74" w:rsidRDefault="00B45F74" w:rsidP="00AB21D4">
            <w:pPr>
              <w:pStyle w:val="TableText0"/>
            </w:pPr>
            <w:r w:rsidRPr="00B45F74">
              <w:t>vs CBD: 0.464, vs STP 250 mg: 0.758, vs STP 500 mg: 1.285. Calculated using assumed distribution of ages from 2 to 25, weight-based dosing, 50%:50% distribution of CBD doses, and 31% receiving FFA with STP.</w:t>
            </w:r>
          </w:p>
        </w:tc>
        <w:tc>
          <w:tcPr>
            <w:tcW w:w="2173" w:type="pct"/>
            <w:shd w:val="clear" w:color="auto" w:fill="auto"/>
            <w:vAlign w:val="center"/>
          </w:tcPr>
          <w:p w14:paraId="68188CD2" w14:textId="7A2FB2AE" w:rsidR="00B45F74" w:rsidRDefault="00B45F74" w:rsidP="00AB21D4">
            <w:pPr>
              <w:pStyle w:val="TableText0"/>
            </w:pPr>
            <w:r w:rsidRPr="00B45F74">
              <w:t>The financial estimates were sensitive to the script equivalence estimate for cannabidiol.</w:t>
            </w:r>
          </w:p>
          <w:p w14:paraId="50F70F0A" w14:textId="286820C4" w:rsidR="00AB53ED" w:rsidRPr="00AB53ED" w:rsidRDefault="00AB53ED" w:rsidP="00AB21D4">
            <w:pPr>
              <w:pStyle w:val="TableText0"/>
            </w:pPr>
          </w:p>
        </w:tc>
      </w:tr>
      <w:tr w:rsidR="00B45F74" w:rsidRPr="00B45F74" w14:paraId="2615F9EF" w14:textId="77777777" w:rsidTr="00CC30EA">
        <w:tc>
          <w:tcPr>
            <w:tcW w:w="862" w:type="pct"/>
            <w:shd w:val="clear" w:color="auto" w:fill="auto"/>
            <w:vAlign w:val="center"/>
          </w:tcPr>
          <w:p w14:paraId="3D33C61E" w14:textId="77777777" w:rsidR="00B45F74" w:rsidRPr="00B45F74" w:rsidRDefault="00B45F74" w:rsidP="00AB21D4">
            <w:pPr>
              <w:pStyle w:val="TableText0"/>
            </w:pPr>
            <w:r w:rsidRPr="00B45F74">
              <w:t>Fenfluramine discontinuation</w:t>
            </w:r>
          </w:p>
        </w:tc>
        <w:tc>
          <w:tcPr>
            <w:tcW w:w="1965" w:type="pct"/>
            <w:shd w:val="clear" w:color="auto" w:fill="auto"/>
            <w:vAlign w:val="center"/>
          </w:tcPr>
          <w:p w14:paraId="064433C9" w14:textId="77777777" w:rsidR="00B45F74" w:rsidRPr="00B45F74" w:rsidRDefault="00B45F74" w:rsidP="00AB21D4">
            <w:pPr>
              <w:pStyle w:val="TableText0"/>
            </w:pPr>
            <w:r w:rsidRPr="00B45F74">
              <w:t>5% per annum, based on an assumption.</w:t>
            </w:r>
          </w:p>
        </w:tc>
        <w:tc>
          <w:tcPr>
            <w:tcW w:w="2173" w:type="pct"/>
            <w:shd w:val="clear" w:color="auto" w:fill="auto"/>
            <w:vAlign w:val="center"/>
          </w:tcPr>
          <w:p w14:paraId="0183530E" w14:textId="6DCAE65E" w:rsidR="00B45F74" w:rsidRPr="00B45F74" w:rsidRDefault="00B45F74" w:rsidP="00AB21D4">
            <w:pPr>
              <w:pStyle w:val="TableText0"/>
            </w:pPr>
          </w:p>
        </w:tc>
      </w:tr>
      <w:tr w:rsidR="00B45F74" w:rsidRPr="00B45F74" w14:paraId="1EA27F74" w14:textId="77777777" w:rsidTr="00CC30EA">
        <w:tc>
          <w:tcPr>
            <w:tcW w:w="862" w:type="pct"/>
            <w:shd w:val="clear" w:color="auto" w:fill="auto"/>
            <w:vAlign w:val="center"/>
          </w:tcPr>
          <w:p w14:paraId="342201FE" w14:textId="77777777" w:rsidR="00B45F74" w:rsidRPr="00B45F74" w:rsidRDefault="00B45F74" w:rsidP="00AB21D4">
            <w:pPr>
              <w:pStyle w:val="TableText0"/>
            </w:pPr>
            <w:r w:rsidRPr="00B45F74">
              <w:t>Fenfluramine monitoring</w:t>
            </w:r>
          </w:p>
        </w:tc>
        <w:tc>
          <w:tcPr>
            <w:tcW w:w="1965" w:type="pct"/>
            <w:shd w:val="clear" w:color="auto" w:fill="auto"/>
            <w:vAlign w:val="center"/>
          </w:tcPr>
          <w:p w14:paraId="17B34D26" w14:textId="77777777" w:rsidR="00B45F74" w:rsidRPr="00B45F74" w:rsidRDefault="00B45F74" w:rsidP="00AB21D4">
            <w:pPr>
              <w:pStyle w:val="TableText0"/>
            </w:pPr>
            <w:r w:rsidRPr="00B45F74">
              <w:t xml:space="preserve">$34.40 based on MBS item 11707 (electrocardiogram). </w:t>
            </w:r>
          </w:p>
        </w:tc>
        <w:tc>
          <w:tcPr>
            <w:tcW w:w="2173" w:type="pct"/>
            <w:shd w:val="clear" w:color="auto" w:fill="auto"/>
            <w:vAlign w:val="center"/>
          </w:tcPr>
          <w:p w14:paraId="54A35ACC" w14:textId="77777777" w:rsidR="00B45F74" w:rsidRPr="00B45F74" w:rsidRDefault="00B45F74" w:rsidP="00AB21D4">
            <w:pPr>
              <w:pStyle w:val="TableText0"/>
            </w:pPr>
            <w:r w:rsidRPr="00B45F74">
              <w:t>The MBS fee for item 11707 is $20.95, not $34.40.</w:t>
            </w:r>
          </w:p>
          <w:p w14:paraId="19DF17D8" w14:textId="756D4F17" w:rsidR="00B45F74" w:rsidRPr="00B45F74" w:rsidRDefault="00692F1B" w:rsidP="00AB21D4">
            <w:pPr>
              <w:pStyle w:val="TableText0"/>
            </w:pPr>
            <w:r>
              <w:t xml:space="preserve">The evaluation considered </w:t>
            </w:r>
            <w:r w:rsidR="00B45F74" w:rsidRPr="00B45F74">
              <w:t>MBS item 55133 (echocardiogram, $232.80) is more appropriate.</w:t>
            </w:r>
          </w:p>
        </w:tc>
      </w:tr>
    </w:tbl>
    <w:p w14:paraId="5B0051A4" w14:textId="77777777" w:rsidR="00B45F74" w:rsidRPr="00B45F74" w:rsidRDefault="00B45F74" w:rsidP="00B45F74">
      <w:pPr>
        <w:pStyle w:val="FooterTableFigure"/>
      </w:pPr>
      <w:r w:rsidRPr="00B45F74">
        <w:t>Source: Tables 4-1, 4-5, 4-6, 4-7, pp171, 173-175 of the submission, pp 159, 172 &amp; 174 of the submission.</w:t>
      </w:r>
    </w:p>
    <w:p w14:paraId="1B9A8B68" w14:textId="464DA0D3" w:rsidR="00E57C20" w:rsidRDefault="00B45F74" w:rsidP="00F5298A">
      <w:pPr>
        <w:pStyle w:val="FooterTableFigure"/>
      </w:pPr>
      <w:r w:rsidRPr="00B45F74">
        <w:t>CBD = cannabidiol; FFA = fenfluramine; MBS = Medicare Benefits Schedule; PBS = Pharmaceutical Benefits Scheme; STP = stiripentol.</w:t>
      </w:r>
    </w:p>
    <w:p w14:paraId="268DCE69" w14:textId="642A6728" w:rsidR="00B45F74" w:rsidRPr="00D87CFA" w:rsidRDefault="00B45F74" w:rsidP="00D87CFA">
      <w:pPr>
        <w:pStyle w:val="3-BodyText"/>
      </w:pPr>
      <w:r w:rsidRPr="00D87CFA">
        <w:t xml:space="preserve">The submission estimated the prevalent treated population as </w:t>
      </w:r>
      <w:r w:rsidR="003B558D" w:rsidRPr="003B558D">
        <w:t>&lt; 500</w:t>
      </w:r>
      <w:r w:rsidRPr="00D87CFA">
        <w:t xml:space="preserve"> patients (</w:t>
      </w:r>
      <w:r w:rsidR="008114C4" w:rsidRPr="008114C4">
        <w:rPr>
          <w:color w:val="000000"/>
          <w:w w:val="61"/>
          <w:shd w:val="solid" w:color="000000" w:fill="000000"/>
          <w:fitText w:val="474" w:id="-761538288"/>
          <w14:textFill>
            <w14:solidFill>
              <w14:srgbClr w14:val="000000">
                <w14:alpha w14:val="100000"/>
              </w14:srgbClr>
            </w14:solidFill>
          </w14:textFill>
        </w:rPr>
        <w:t>|||  ||</w:t>
      </w:r>
      <w:r w:rsidR="008114C4" w:rsidRPr="008114C4">
        <w:rPr>
          <w:color w:val="000000"/>
          <w:spacing w:val="4"/>
          <w:w w:val="61"/>
          <w:shd w:val="solid" w:color="000000" w:fill="000000"/>
          <w:fitText w:val="474" w:id="-761538288"/>
          <w14:textFill>
            <w14:solidFill>
              <w14:srgbClr w14:val="000000">
                <w14:alpha w14:val="100000"/>
              </w14:srgbClr>
            </w14:solidFill>
          </w14:textFill>
        </w:rPr>
        <w:t>|</w:t>
      </w:r>
      <w:r w:rsidRPr="00D87CFA">
        <w:t xml:space="preserve"> + </w:t>
      </w:r>
      <w:r w:rsidR="008114C4" w:rsidRPr="008114C4">
        <w:rPr>
          <w:color w:val="000000"/>
          <w:w w:val="61"/>
          <w:shd w:val="solid" w:color="000000" w:fill="000000"/>
          <w:fitText w:val="473" w:id="-761538304"/>
          <w14:textFill>
            <w14:solidFill>
              <w14:srgbClr w14:val="000000">
                <w14:alpha w14:val="100000"/>
              </w14:srgbClr>
            </w14:solidFill>
          </w14:textFill>
        </w:rPr>
        <w:t>|||  ||</w:t>
      </w:r>
      <w:r w:rsidR="008114C4" w:rsidRPr="008114C4">
        <w:rPr>
          <w:color w:val="000000"/>
          <w:spacing w:val="3"/>
          <w:w w:val="61"/>
          <w:shd w:val="solid" w:color="000000" w:fill="000000"/>
          <w:fitText w:val="473" w:id="-761538304"/>
          <w14:textFill>
            <w14:solidFill>
              <w14:srgbClr w14:val="000000">
                <w14:alpha w14:val="100000"/>
              </w14:srgbClr>
            </w14:solidFill>
          </w14:textFill>
        </w:rPr>
        <w:t>|</w:t>
      </w:r>
      <w:r w:rsidRPr="00D87CFA">
        <w:t>).</w:t>
      </w:r>
      <w:r w:rsidR="42FAA814" w:rsidRPr="00D87CFA">
        <w:t xml:space="preserve"> The DUSC n</w:t>
      </w:r>
      <w:r w:rsidR="0309A2B3" w:rsidRPr="00D87CFA">
        <w:t xml:space="preserve">oted PBS utilisation data indicated </w:t>
      </w:r>
      <w:r w:rsidR="003B558D" w:rsidRPr="003B558D">
        <w:t>&lt; 500</w:t>
      </w:r>
      <w:r w:rsidR="0309A2B3" w:rsidRPr="00D87CFA">
        <w:t xml:space="preserve"> was the correct number of prevalent patients </w:t>
      </w:r>
      <w:r w:rsidR="67081000" w:rsidRPr="00D87CFA">
        <w:t xml:space="preserve">being treated with cannabidiol and/or stiripentol. </w:t>
      </w:r>
    </w:p>
    <w:p w14:paraId="3FD47F0A" w14:textId="02B9F522" w:rsidR="00B45F74" w:rsidRPr="00D87CFA" w:rsidRDefault="00B45F74" w:rsidP="00D87CFA">
      <w:pPr>
        <w:pStyle w:val="3-BodyText"/>
      </w:pPr>
      <w:r w:rsidRPr="00D87CFA">
        <w:fldChar w:fldCharType="begin" w:fldLock="1"/>
      </w:r>
      <w:r w:rsidRPr="00D87CFA">
        <w:instrText xml:space="preserve"> REF _Ref104805295 \h  \* MERGEFORMAT </w:instrText>
      </w:r>
      <w:r w:rsidRPr="00D87CFA">
        <w:fldChar w:fldCharType="separate"/>
      </w:r>
      <w:r w:rsidR="00D72887" w:rsidRPr="00D87CFA">
        <w:t>Table 23</w:t>
      </w:r>
      <w:r w:rsidRPr="00D87CFA">
        <w:fldChar w:fldCharType="end"/>
      </w:r>
      <w:r w:rsidRPr="00D87CFA">
        <w:t xml:space="preserve"> presents the estimated financial implications for the PBS listing of fenfluramine as treatment for Dravet Syndrome based on the proposed effective price for fenfluramine</w:t>
      </w:r>
      <w:r w:rsidR="00D5611C" w:rsidRPr="00D87CFA">
        <w:t xml:space="preserve"> from the submission</w:t>
      </w:r>
      <w:r w:rsidRPr="00D87CFA">
        <w:t xml:space="preserve"> and the assumed effective price for cannabidiol. </w:t>
      </w:r>
    </w:p>
    <w:p w14:paraId="561A6624" w14:textId="00401E72" w:rsidR="00B45F74" w:rsidRPr="00B45F74" w:rsidRDefault="00B45F74" w:rsidP="00B45F74">
      <w:pPr>
        <w:pStyle w:val="Caption"/>
        <w:jc w:val="left"/>
      </w:pPr>
      <w:bookmarkStart w:id="101" w:name="_Ref104805295"/>
      <w:bookmarkStart w:id="102" w:name="_Hlk174894030"/>
      <w:r w:rsidRPr="00B45F74">
        <w:lastRenderedPageBreak/>
        <w:t xml:space="preserve">Table </w:t>
      </w:r>
      <w:r w:rsidR="00D72887">
        <w:fldChar w:fldCharType="begin" w:fldLock="1"/>
      </w:r>
      <w:r w:rsidR="00D72887">
        <w:instrText xml:space="preserve"> SEQ Table \* ARABIC </w:instrText>
      </w:r>
      <w:r w:rsidR="00D72887">
        <w:fldChar w:fldCharType="separate"/>
      </w:r>
      <w:r w:rsidR="00D72887">
        <w:rPr>
          <w:noProof/>
        </w:rPr>
        <w:t>23</w:t>
      </w:r>
      <w:r w:rsidR="00D72887">
        <w:rPr>
          <w:noProof/>
        </w:rPr>
        <w:fldChar w:fldCharType="end"/>
      </w:r>
      <w:bookmarkEnd w:id="101"/>
      <w:r w:rsidRPr="00B45F74">
        <w:t>: Estimated use and financial implications – proposed effective price for fenfluramine and assumed effective price for cannabidiol</w:t>
      </w:r>
      <w:r w:rsidR="00C51930">
        <w:t xml:space="preserve"> (submission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B45F74" w:rsidRPr="00B45F74" w14:paraId="005FE0E2" w14:textId="77777777" w:rsidTr="00AB21D4">
        <w:trPr>
          <w:tblHeader/>
        </w:trPr>
        <w:tc>
          <w:tcPr>
            <w:tcW w:w="1334" w:type="pct"/>
            <w:shd w:val="clear" w:color="auto" w:fill="auto"/>
            <w:vAlign w:val="center"/>
          </w:tcPr>
          <w:p w14:paraId="4DCD662B" w14:textId="77777777" w:rsidR="00B45F74" w:rsidRPr="00B45F74" w:rsidRDefault="00B45F74" w:rsidP="00AB21D4">
            <w:pPr>
              <w:pStyle w:val="In-tableHeading"/>
            </w:pPr>
          </w:p>
        </w:tc>
        <w:tc>
          <w:tcPr>
            <w:tcW w:w="611" w:type="pct"/>
            <w:shd w:val="clear" w:color="auto" w:fill="auto"/>
            <w:vAlign w:val="center"/>
          </w:tcPr>
          <w:p w14:paraId="5BD55975" w14:textId="77777777" w:rsidR="00B45F74" w:rsidRPr="00B45F74" w:rsidRDefault="00B45F74" w:rsidP="009A6D15">
            <w:pPr>
              <w:pStyle w:val="In-tableHeading"/>
              <w:jc w:val="center"/>
            </w:pPr>
            <w:r w:rsidRPr="00B45F74">
              <w:t>Year 1</w:t>
            </w:r>
          </w:p>
        </w:tc>
        <w:tc>
          <w:tcPr>
            <w:tcW w:w="611" w:type="pct"/>
            <w:shd w:val="clear" w:color="auto" w:fill="auto"/>
            <w:vAlign w:val="center"/>
          </w:tcPr>
          <w:p w14:paraId="22D5D58B" w14:textId="77777777" w:rsidR="00B45F74" w:rsidRPr="00B45F74" w:rsidRDefault="00B45F74" w:rsidP="009A6D15">
            <w:pPr>
              <w:pStyle w:val="In-tableHeading"/>
              <w:jc w:val="center"/>
            </w:pPr>
            <w:r w:rsidRPr="00B45F74">
              <w:t>Year 2</w:t>
            </w:r>
          </w:p>
        </w:tc>
        <w:tc>
          <w:tcPr>
            <w:tcW w:w="611" w:type="pct"/>
            <w:shd w:val="clear" w:color="auto" w:fill="auto"/>
            <w:vAlign w:val="center"/>
          </w:tcPr>
          <w:p w14:paraId="006DE887" w14:textId="77777777" w:rsidR="00B45F74" w:rsidRPr="00B45F74" w:rsidRDefault="00B45F74" w:rsidP="009A6D15">
            <w:pPr>
              <w:pStyle w:val="In-tableHeading"/>
              <w:jc w:val="center"/>
            </w:pPr>
            <w:r w:rsidRPr="00B45F74">
              <w:t>Year 3</w:t>
            </w:r>
          </w:p>
        </w:tc>
        <w:tc>
          <w:tcPr>
            <w:tcW w:w="611" w:type="pct"/>
            <w:shd w:val="clear" w:color="auto" w:fill="auto"/>
            <w:vAlign w:val="center"/>
          </w:tcPr>
          <w:p w14:paraId="137E2AE8" w14:textId="77777777" w:rsidR="00B45F74" w:rsidRPr="00B45F74" w:rsidRDefault="00B45F74" w:rsidP="009A6D15">
            <w:pPr>
              <w:pStyle w:val="In-tableHeading"/>
              <w:jc w:val="center"/>
            </w:pPr>
            <w:r w:rsidRPr="00B45F74">
              <w:t>Year 4</w:t>
            </w:r>
          </w:p>
        </w:tc>
        <w:tc>
          <w:tcPr>
            <w:tcW w:w="611" w:type="pct"/>
            <w:shd w:val="clear" w:color="auto" w:fill="auto"/>
            <w:vAlign w:val="center"/>
          </w:tcPr>
          <w:p w14:paraId="6A40D208" w14:textId="77777777" w:rsidR="00B45F74" w:rsidRPr="00B45F74" w:rsidRDefault="00B45F74" w:rsidP="009A6D15">
            <w:pPr>
              <w:pStyle w:val="In-tableHeading"/>
              <w:jc w:val="center"/>
            </w:pPr>
            <w:r w:rsidRPr="00B45F74">
              <w:t>Year 5</w:t>
            </w:r>
          </w:p>
        </w:tc>
        <w:tc>
          <w:tcPr>
            <w:tcW w:w="611" w:type="pct"/>
          </w:tcPr>
          <w:p w14:paraId="53C67ABF" w14:textId="77777777" w:rsidR="00B45F74" w:rsidRPr="00B45F74" w:rsidRDefault="00B45F74" w:rsidP="009A6D15">
            <w:pPr>
              <w:pStyle w:val="In-tableHeading"/>
              <w:jc w:val="center"/>
            </w:pPr>
            <w:r w:rsidRPr="00B45F74">
              <w:t>Year 6</w:t>
            </w:r>
          </w:p>
        </w:tc>
      </w:tr>
      <w:tr w:rsidR="00B45F74" w:rsidRPr="00B45F74" w14:paraId="19D879D2" w14:textId="77777777" w:rsidTr="00AB21D4">
        <w:tc>
          <w:tcPr>
            <w:tcW w:w="5000" w:type="pct"/>
            <w:gridSpan w:val="7"/>
            <w:shd w:val="clear" w:color="auto" w:fill="auto"/>
            <w:vAlign w:val="center"/>
          </w:tcPr>
          <w:p w14:paraId="7942FC5D" w14:textId="77777777" w:rsidR="00B45F74" w:rsidRPr="00B45F74" w:rsidRDefault="00B45F74" w:rsidP="00AB21D4">
            <w:pPr>
              <w:pStyle w:val="In-tableHeading"/>
            </w:pPr>
            <w:r w:rsidRPr="00B45F74">
              <w:t>Estimated extent of use</w:t>
            </w:r>
          </w:p>
        </w:tc>
      </w:tr>
      <w:tr w:rsidR="00B45F74" w:rsidRPr="00B45F74" w14:paraId="259FB702" w14:textId="77777777" w:rsidTr="00AB21D4">
        <w:tc>
          <w:tcPr>
            <w:tcW w:w="1334" w:type="pct"/>
            <w:shd w:val="clear" w:color="auto" w:fill="auto"/>
            <w:vAlign w:val="center"/>
          </w:tcPr>
          <w:p w14:paraId="20C61CB9" w14:textId="77777777" w:rsidR="00B45F74" w:rsidRPr="00B45F74" w:rsidRDefault="00B45F74" w:rsidP="00AB21D4">
            <w:pPr>
              <w:pStyle w:val="TableText0"/>
              <w:rPr>
                <w:rFonts w:ascii="Times" w:hAnsi="Times"/>
              </w:rPr>
            </w:pPr>
            <w:r w:rsidRPr="00B45F74">
              <w:t xml:space="preserve">Number of grandfathered patients treated </w:t>
            </w:r>
            <w:r w:rsidRPr="00B45F74">
              <w:rPr>
                <w:vertAlign w:val="superscript"/>
              </w:rPr>
              <w:t>a</w:t>
            </w:r>
          </w:p>
        </w:tc>
        <w:tc>
          <w:tcPr>
            <w:tcW w:w="611" w:type="pct"/>
            <w:tcBorders>
              <w:top w:val="single" w:sz="4" w:space="0" w:color="auto"/>
              <w:left w:val="nil"/>
              <w:bottom w:val="single" w:sz="4" w:space="0" w:color="auto"/>
              <w:right w:val="single" w:sz="4" w:space="0" w:color="auto"/>
            </w:tcBorders>
            <w:shd w:val="clear" w:color="auto" w:fill="auto"/>
            <w:vAlign w:val="center"/>
          </w:tcPr>
          <w:p w14:paraId="6B4897DB" w14:textId="4DAE76E0" w:rsidR="00B45F74" w:rsidRPr="00CC047A" w:rsidRDefault="008114C4" w:rsidP="00AB21D4">
            <w:pPr>
              <w:pStyle w:val="TableText0"/>
              <w:jc w:val="center"/>
              <w:rPr>
                <w:highlight w:val="darkGray"/>
              </w:rPr>
            </w:pPr>
            <w:r w:rsidRPr="008114C4">
              <w:rPr>
                <w:color w:val="000000"/>
                <w:spacing w:val="49"/>
                <w:shd w:val="solid" w:color="000000" w:fill="000000"/>
                <w:fitText w:val="320" w:id="-761538303"/>
                <w14:textFill>
                  <w14:solidFill>
                    <w14:srgbClr w14:val="000000">
                      <w14:alpha w14:val="100000"/>
                    </w14:srgbClr>
                  </w14:solidFill>
                </w14:textFill>
              </w:rPr>
              <w:t>|||</w:t>
            </w:r>
            <w:r w:rsidRPr="008114C4">
              <w:rPr>
                <w:color w:val="000000"/>
                <w:spacing w:val="3"/>
                <w:shd w:val="solid" w:color="000000" w:fill="000000"/>
                <w:fitText w:val="320" w:id="-761538303"/>
                <w14:textFill>
                  <w14:solidFill>
                    <w14:srgbClr w14:val="000000">
                      <w14:alpha w14:val="100000"/>
                    </w14:srgbClr>
                  </w14:solidFill>
                </w14:textFill>
              </w:rPr>
              <w:t>|</w:t>
            </w:r>
            <w:r w:rsidR="00A9487D" w:rsidRPr="002F777D">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AF6A4AB" w14:textId="4BF2B535" w:rsidR="00B45F74" w:rsidRPr="00CC047A" w:rsidRDefault="008114C4" w:rsidP="00AB21D4">
            <w:pPr>
              <w:pStyle w:val="TableText0"/>
              <w:jc w:val="center"/>
              <w:rPr>
                <w:highlight w:val="darkGray"/>
              </w:rPr>
            </w:pPr>
            <w:r w:rsidRPr="008114C4">
              <w:rPr>
                <w:color w:val="000000"/>
                <w:spacing w:val="49"/>
                <w:shd w:val="solid" w:color="000000" w:fill="000000"/>
                <w:fitText w:val="320" w:id="-761538302"/>
                <w14:textFill>
                  <w14:solidFill>
                    <w14:srgbClr w14:val="000000">
                      <w14:alpha w14:val="100000"/>
                    </w14:srgbClr>
                  </w14:solidFill>
                </w14:textFill>
              </w:rPr>
              <w:t>|||</w:t>
            </w:r>
            <w:r w:rsidRPr="008114C4">
              <w:rPr>
                <w:color w:val="000000"/>
                <w:spacing w:val="3"/>
                <w:shd w:val="solid" w:color="000000" w:fill="000000"/>
                <w:fitText w:val="320" w:id="-761538302"/>
                <w14:textFill>
                  <w14:solidFill>
                    <w14:srgbClr w14:val="000000">
                      <w14:alpha w14:val="100000"/>
                    </w14:srgbClr>
                  </w14:solidFill>
                </w14:textFill>
              </w:rPr>
              <w:t>|</w:t>
            </w:r>
            <w:r w:rsidR="002F777D" w:rsidRPr="002F777D">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318148E" w14:textId="507A635F" w:rsidR="00B45F74" w:rsidRPr="00CC047A" w:rsidRDefault="008114C4" w:rsidP="00AB21D4">
            <w:pPr>
              <w:pStyle w:val="TableText0"/>
              <w:jc w:val="center"/>
              <w:rPr>
                <w:highlight w:val="darkGray"/>
              </w:rPr>
            </w:pPr>
            <w:r w:rsidRPr="008114C4">
              <w:rPr>
                <w:color w:val="000000"/>
                <w:spacing w:val="49"/>
                <w:shd w:val="solid" w:color="000000" w:fill="000000"/>
                <w:fitText w:val="320" w:id="-761538301"/>
                <w14:textFill>
                  <w14:solidFill>
                    <w14:srgbClr w14:val="000000">
                      <w14:alpha w14:val="100000"/>
                    </w14:srgbClr>
                  </w14:solidFill>
                </w14:textFill>
              </w:rPr>
              <w:t>|||</w:t>
            </w:r>
            <w:r w:rsidRPr="008114C4">
              <w:rPr>
                <w:color w:val="000000"/>
                <w:spacing w:val="3"/>
                <w:shd w:val="solid" w:color="000000" w:fill="000000"/>
                <w:fitText w:val="320" w:id="-761538301"/>
                <w14:textFill>
                  <w14:solidFill>
                    <w14:srgbClr w14:val="000000">
                      <w14:alpha w14:val="100000"/>
                    </w14:srgbClr>
                  </w14:solidFill>
                </w14:textFill>
              </w:rPr>
              <w:t>|</w:t>
            </w:r>
            <w:r w:rsidR="002F777D" w:rsidRPr="002F777D">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DD95CA9" w14:textId="7C722885" w:rsidR="00B45F74" w:rsidRPr="00CC047A" w:rsidRDefault="008114C4" w:rsidP="00AB21D4">
            <w:pPr>
              <w:pStyle w:val="TableText0"/>
              <w:jc w:val="center"/>
              <w:rPr>
                <w:highlight w:val="darkGray"/>
              </w:rPr>
            </w:pPr>
            <w:r w:rsidRPr="008114C4">
              <w:rPr>
                <w:color w:val="000000"/>
                <w:spacing w:val="49"/>
                <w:shd w:val="solid" w:color="000000" w:fill="000000"/>
                <w:fitText w:val="320" w:id="-761538300"/>
                <w14:textFill>
                  <w14:solidFill>
                    <w14:srgbClr w14:val="000000">
                      <w14:alpha w14:val="100000"/>
                    </w14:srgbClr>
                  </w14:solidFill>
                </w14:textFill>
              </w:rPr>
              <w:t>|||</w:t>
            </w:r>
            <w:r w:rsidRPr="008114C4">
              <w:rPr>
                <w:color w:val="000000"/>
                <w:spacing w:val="3"/>
                <w:shd w:val="solid" w:color="000000" w:fill="000000"/>
                <w:fitText w:val="320" w:id="-761538300"/>
                <w14:textFill>
                  <w14:solidFill>
                    <w14:srgbClr w14:val="000000">
                      <w14:alpha w14:val="100000"/>
                    </w14:srgbClr>
                  </w14:solidFill>
                </w14:textFill>
              </w:rPr>
              <w:t>|</w:t>
            </w:r>
            <w:r w:rsidR="002F777D" w:rsidRPr="002F777D">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6C48766" w14:textId="13E11D29" w:rsidR="00B45F74" w:rsidRPr="00CC047A" w:rsidRDefault="008114C4" w:rsidP="00AB21D4">
            <w:pPr>
              <w:pStyle w:val="TableText0"/>
              <w:jc w:val="center"/>
              <w:rPr>
                <w:highlight w:val="darkGray"/>
              </w:rPr>
            </w:pPr>
            <w:r w:rsidRPr="008114C4">
              <w:rPr>
                <w:color w:val="000000"/>
                <w:spacing w:val="49"/>
                <w:shd w:val="solid" w:color="000000" w:fill="000000"/>
                <w:fitText w:val="320" w:id="-761538299"/>
                <w14:textFill>
                  <w14:solidFill>
                    <w14:srgbClr w14:val="000000">
                      <w14:alpha w14:val="100000"/>
                    </w14:srgbClr>
                  </w14:solidFill>
                </w14:textFill>
              </w:rPr>
              <w:t>|||</w:t>
            </w:r>
            <w:r w:rsidRPr="008114C4">
              <w:rPr>
                <w:color w:val="000000"/>
                <w:spacing w:val="3"/>
                <w:shd w:val="solid" w:color="000000" w:fill="000000"/>
                <w:fitText w:val="320" w:id="-761538299"/>
                <w14:textFill>
                  <w14:solidFill>
                    <w14:srgbClr w14:val="000000">
                      <w14:alpha w14:val="100000"/>
                    </w14:srgbClr>
                  </w14:solidFill>
                </w14:textFill>
              </w:rPr>
              <w:t>|</w:t>
            </w:r>
            <w:r w:rsidR="002F777D" w:rsidRPr="002F777D">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C8B4340" w14:textId="0701FACE" w:rsidR="00B45F74" w:rsidRPr="00CC047A" w:rsidRDefault="008114C4" w:rsidP="00AB21D4">
            <w:pPr>
              <w:pStyle w:val="TableText0"/>
              <w:jc w:val="center"/>
              <w:rPr>
                <w:highlight w:val="darkGray"/>
              </w:rPr>
            </w:pPr>
            <w:r w:rsidRPr="008114C4">
              <w:rPr>
                <w:color w:val="000000"/>
                <w:spacing w:val="49"/>
                <w:shd w:val="solid" w:color="000000" w:fill="000000"/>
                <w:fitText w:val="320" w:id="-761538298"/>
                <w14:textFill>
                  <w14:solidFill>
                    <w14:srgbClr w14:val="000000">
                      <w14:alpha w14:val="100000"/>
                    </w14:srgbClr>
                  </w14:solidFill>
                </w14:textFill>
              </w:rPr>
              <w:t>|||</w:t>
            </w:r>
            <w:r w:rsidRPr="008114C4">
              <w:rPr>
                <w:color w:val="000000"/>
                <w:spacing w:val="3"/>
                <w:shd w:val="solid" w:color="000000" w:fill="000000"/>
                <w:fitText w:val="320" w:id="-761538298"/>
                <w14:textFill>
                  <w14:solidFill>
                    <w14:srgbClr w14:val="000000">
                      <w14:alpha w14:val="100000"/>
                    </w14:srgbClr>
                  </w14:solidFill>
                </w14:textFill>
              </w:rPr>
              <w:t>|</w:t>
            </w:r>
            <w:r w:rsidR="002F777D" w:rsidRPr="002F777D">
              <w:rPr>
                <w:vertAlign w:val="superscript"/>
              </w:rPr>
              <w:t>1</w:t>
            </w:r>
          </w:p>
        </w:tc>
      </w:tr>
      <w:tr w:rsidR="00B45F74" w:rsidRPr="00B45F74" w14:paraId="454A05C8" w14:textId="77777777" w:rsidTr="00AB21D4">
        <w:tc>
          <w:tcPr>
            <w:tcW w:w="1334" w:type="pct"/>
            <w:shd w:val="clear" w:color="auto" w:fill="auto"/>
            <w:vAlign w:val="center"/>
          </w:tcPr>
          <w:p w14:paraId="7B3C8983" w14:textId="77777777" w:rsidR="00B45F74" w:rsidRPr="00B45F74" w:rsidRDefault="00B45F74" w:rsidP="00AB21D4">
            <w:pPr>
              <w:pStyle w:val="TableText0"/>
              <w:rPr>
                <w:vertAlign w:val="superscript"/>
              </w:rPr>
            </w:pPr>
            <w:r w:rsidRPr="00B45F74">
              <w:t>Total Number of scripts dispensed (substitution plus grandfathered patients)</w:t>
            </w:r>
            <w:r w:rsidRPr="00B45F74" w:rsidDel="0007547F">
              <w:t xml:space="preserve"> </w:t>
            </w:r>
            <w:r w:rsidRPr="00B45F74">
              <w:rPr>
                <w:vertAlign w:val="superscript"/>
              </w:rPr>
              <w:t xml:space="preserve">b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C7452DC" w14:textId="6C7888A0" w:rsidR="00B45F74" w:rsidRPr="00CC047A" w:rsidRDefault="008114C4" w:rsidP="00AB21D4">
            <w:pPr>
              <w:pStyle w:val="TableText0"/>
              <w:jc w:val="center"/>
              <w:rPr>
                <w:highlight w:val="darkGray"/>
              </w:rPr>
            </w:pPr>
            <w:r w:rsidRPr="008114C4">
              <w:rPr>
                <w:color w:val="000000"/>
                <w:spacing w:val="49"/>
                <w:shd w:val="solid" w:color="000000" w:fill="000000"/>
                <w:fitText w:val="320" w:id="-761538297"/>
                <w14:textFill>
                  <w14:solidFill>
                    <w14:srgbClr w14:val="000000">
                      <w14:alpha w14:val="100000"/>
                    </w14:srgbClr>
                  </w14:solidFill>
                </w14:textFill>
              </w:rPr>
              <w:t>|||</w:t>
            </w:r>
            <w:r w:rsidRPr="008114C4">
              <w:rPr>
                <w:color w:val="000000"/>
                <w:spacing w:val="3"/>
                <w:shd w:val="solid" w:color="000000" w:fill="000000"/>
                <w:fitText w:val="320" w:id="-761538297"/>
                <w14:textFill>
                  <w14:solidFill>
                    <w14:srgbClr w14:val="000000">
                      <w14:alpha w14:val="100000"/>
                    </w14:srgbClr>
                  </w14:solidFill>
                </w14:textFill>
              </w:rPr>
              <w:t>|</w:t>
            </w:r>
            <w:r w:rsidR="00D31B1E" w:rsidRPr="00D31B1E">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759BADE4" w14:textId="28967F26" w:rsidR="00B45F74" w:rsidRPr="00CC047A" w:rsidRDefault="008114C4" w:rsidP="00AB21D4">
            <w:pPr>
              <w:pStyle w:val="TableText0"/>
              <w:jc w:val="center"/>
              <w:rPr>
                <w:highlight w:val="darkGray"/>
              </w:rPr>
            </w:pPr>
            <w:r w:rsidRPr="008114C4">
              <w:rPr>
                <w:color w:val="000000"/>
                <w:spacing w:val="49"/>
                <w:shd w:val="solid" w:color="000000" w:fill="000000"/>
                <w:fitText w:val="320" w:id="-761538296"/>
                <w14:textFill>
                  <w14:solidFill>
                    <w14:srgbClr w14:val="000000">
                      <w14:alpha w14:val="100000"/>
                    </w14:srgbClr>
                  </w14:solidFill>
                </w14:textFill>
              </w:rPr>
              <w:t>|||</w:t>
            </w:r>
            <w:r w:rsidRPr="008114C4">
              <w:rPr>
                <w:color w:val="000000"/>
                <w:spacing w:val="3"/>
                <w:shd w:val="solid" w:color="000000" w:fill="000000"/>
                <w:fitText w:val="320" w:id="-761538296"/>
                <w14:textFill>
                  <w14:solidFill>
                    <w14:srgbClr w14:val="000000">
                      <w14:alpha w14:val="100000"/>
                    </w14:srgbClr>
                  </w14:solidFill>
                </w14:textFill>
              </w:rPr>
              <w:t>|</w:t>
            </w:r>
            <w:r w:rsidR="00D31B1E" w:rsidRPr="00D31B1E">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706AFA36" w14:textId="1DF5A26D" w:rsidR="00B45F74" w:rsidRPr="00CC047A" w:rsidRDefault="008114C4" w:rsidP="00AB21D4">
            <w:pPr>
              <w:pStyle w:val="TableText0"/>
              <w:jc w:val="center"/>
              <w:rPr>
                <w:highlight w:val="darkGray"/>
              </w:rPr>
            </w:pPr>
            <w:r w:rsidRPr="008114C4">
              <w:rPr>
                <w:color w:val="000000"/>
                <w:spacing w:val="49"/>
                <w:shd w:val="solid" w:color="000000" w:fill="000000"/>
                <w:fitText w:val="320" w:id="-761538295"/>
                <w14:textFill>
                  <w14:solidFill>
                    <w14:srgbClr w14:val="000000">
                      <w14:alpha w14:val="100000"/>
                    </w14:srgbClr>
                  </w14:solidFill>
                </w14:textFill>
              </w:rPr>
              <w:t>|||</w:t>
            </w:r>
            <w:r w:rsidRPr="008114C4">
              <w:rPr>
                <w:color w:val="000000"/>
                <w:spacing w:val="3"/>
                <w:shd w:val="solid" w:color="000000" w:fill="000000"/>
                <w:fitText w:val="320" w:id="-761538295"/>
                <w14:textFill>
                  <w14:solidFill>
                    <w14:srgbClr w14:val="000000">
                      <w14:alpha w14:val="100000"/>
                    </w14:srgbClr>
                  </w14:solidFill>
                </w14:textFill>
              </w:rPr>
              <w:t>|</w:t>
            </w:r>
            <w:r w:rsidR="00D31B1E" w:rsidRPr="00D31B1E">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530DE985" w14:textId="7FED9169" w:rsidR="00B45F74" w:rsidRPr="00CC047A" w:rsidRDefault="008114C4" w:rsidP="00AB21D4">
            <w:pPr>
              <w:pStyle w:val="TableText0"/>
              <w:jc w:val="center"/>
              <w:rPr>
                <w:highlight w:val="darkGray"/>
              </w:rPr>
            </w:pPr>
            <w:r w:rsidRPr="008114C4">
              <w:rPr>
                <w:color w:val="000000"/>
                <w:spacing w:val="49"/>
                <w:shd w:val="solid" w:color="000000" w:fill="000000"/>
                <w:fitText w:val="320" w:id="-761538294"/>
                <w14:textFill>
                  <w14:solidFill>
                    <w14:srgbClr w14:val="000000">
                      <w14:alpha w14:val="100000"/>
                    </w14:srgbClr>
                  </w14:solidFill>
                </w14:textFill>
              </w:rPr>
              <w:t>|||</w:t>
            </w:r>
            <w:r w:rsidRPr="008114C4">
              <w:rPr>
                <w:color w:val="000000"/>
                <w:spacing w:val="3"/>
                <w:shd w:val="solid" w:color="000000" w:fill="000000"/>
                <w:fitText w:val="320" w:id="-761538294"/>
                <w14:textFill>
                  <w14:solidFill>
                    <w14:srgbClr w14:val="000000">
                      <w14:alpha w14:val="100000"/>
                    </w14:srgbClr>
                  </w14:solidFill>
                </w14:textFill>
              </w:rPr>
              <w:t>|</w:t>
            </w:r>
            <w:r w:rsidR="00D31B1E" w:rsidRPr="00D31B1E">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57C46F8D" w14:textId="2CF1EC92" w:rsidR="00B45F74" w:rsidRPr="00CC047A" w:rsidRDefault="008114C4" w:rsidP="00AB21D4">
            <w:pPr>
              <w:pStyle w:val="TableText0"/>
              <w:jc w:val="center"/>
              <w:rPr>
                <w:highlight w:val="darkGray"/>
              </w:rPr>
            </w:pPr>
            <w:r w:rsidRPr="008114C4">
              <w:rPr>
                <w:color w:val="000000"/>
                <w:spacing w:val="49"/>
                <w:shd w:val="solid" w:color="000000" w:fill="000000"/>
                <w:fitText w:val="320" w:id="-761538293"/>
                <w14:textFill>
                  <w14:solidFill>
                    <w14:srgbClr w14:val="000000">
                      <w14:alpha w14:val="100000"/>
                    </w14:srgbClr>
                  </w14:solidFill>
                </w14:textFill>
              </w:rPr>
              <w:t>|||</w:t>
            </w:r>
            <w:r w:rsidRPr="008114C4">
              <w:rPr>
                <w:color w:val="000000"/>
                <w:spacing w:val="3"/>
                <w:shd w:val="solid" w:color="000000" w:fill="000000"/>
                <w:fitText w:val="320" w:id="-761538293"/>
                <w14:textFill>
                  <w14:solidFill>
                    <w14:srgbClr w14:val="000000">
                      <w14:alpha w14:val="100000"/>
                    </w14:srgbClr>
                  </w14:solidFill>
                </w14:textFill>
              </w:rPr>
              <w:t>|</w:t>
            </w:r>
            <w:r w:rsidR="00D31B1E" w:rsidRPr="00D31B1E">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25F86511" w14:textId="37896852" w:rsidR="00B45F74" w:rsidRPr="00CC047A" w:rsidRDefault="008114C4" w:rsidP="00AB21D4">
            <w:pPr>
              <w:pStyle w:val="TableText0"/>
              <w:jc w:val="center"/>
              <w:rPr>
                <w:highlight w:val="darkGray"/>
              </w:rPr>
            </w:pPr>
            <w:r w:rsidRPr="008114C4">
              <w:rPr>
                <w:color w:val="000000"/>
                <w:spacing w:val="49"/>
                <w:shd w:val="solid" w:color="000000" w:fill="000000"/>
                <w:fitText w:val="320" w:id="-761538292"/>
                <w14:textFill>
                  <w14:solidFill>
                    <w14:srgbClr w14:val="000000">
                      <w14:alpha w14:val="100000"/>
                    </w14:srgbClr>
                  </w14:solidFill>
                </w14:textFill>
              </w:rPr>
              <w:t>|||</w:t>
            </w:r>
            <w:r w:rsidRPr="008114C4">
              <w:rPr>
                <w:color w:val="000000"/>
                <w:spacing w:val="3"/>
                <w:shd w:val="solid" w:color="000000" w:fill="000000"/>
                <w:fitText w:val="320" w:id="-761538292"/>
                <w14:textFill>
                  <w14:solidFill>
                    <w14:srgbClr w14:val="000000">
                      <w14:alpha w14:val="100000"/>
                    </w14:srgbClr>
                  </w14:solidFill>
                </w14:textFill>
              </w:rPr>
              <w:t>|</w:t>
            </w:r>
            <w:r w:rsidR="00D31B1E" w:rsidRPr="00D31B1E">
              <w:rPr>
                <w:vertAlign w:val="superscript"/>
              </w:rPr>
              <w:t>2</w:t>
            </w:r>
          </w:p>
        </w:tc>
      </w:tr>
      <w:tr w:rsidR="00B45F74" w:rsidRPr="00B45F74" w14:paraId="1CB7702A" w14:textId="77777777" w:rsidTr="00AB21D4">
        <w:tc>
          <w:tcPr>
            <w:tcW w:w="5000" w:type="pct"/>
            <w:gridSpan w:val="7"/>
            <w:shd w:val="clear" w:color="auto" w:fill="auto"/>
            <w:vAlign w:val="center"/>
          </w:tcPr>
          <w:p w14:paraId="43CCA3DF" w14:textId="77777777" w:rsidR="00B45F74" w:rsidRPr="00B45F74" w:rsidRDefault="00B45F74" w:rsidP="00AB21D4">
            <w:pPr>
              <w:pStyle w:val="In-tableHeading"/>
              <w:rPr>
                <w:lang w:val="en-AU"/>
              </w:rPr>
            </w:pPr>
            <w:r w:rsidRPr="00B45F74">
              <w:t>Estimated financial implications of fenfluramine</w:t>
            </w:r>
          </w:p>
        </w:tc>
      </w:tr>
      <w:tr w:rsidR="00B45F74" w:rsidRPr="00B45F74" w14:paraId="6A1D9010" w14:textId="77777777" w:rsidTr="00AB21D4">
        <w:tc>
          <w:tcPr>
            <w:tcW w:w="1334" w:type="pct"/>
            <w:shd w:val="clear" w:color="auto" w:fill="auto"/>
            <w:vAlign w:val="center"/>
          </w:tcPr>
          <w:p w14:paraId="4456C00B" w14:textId="77777777" w:rsidR="00B45F74" w:rsidRPr="00B45F74" w:rsidRDefault="00B45F74" w:rsidP="00AB21D4">
            <w:pPr>
              <w:pStyle w:val="TableText0"/>
              <w:rPr>
                <w:sz w:val="19"/>
                <w:szCs w:val="19"/>
              </w:rPr>
            </w:pPr>
            <w:r w:rsidRPr="00B45F74">
              <w:rPr>
                <w:sz w:val="19"/>
                <w:szCs w:val="19"/>
              </w:rPr>
              <w:t>Cost to PBS/RPBS less copayments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F123618" w14:textId="73281AEC" w:rsidR="00B45F74" w:rsidRPr="00CC047A" w:rsidRDefault="008114C4" w:rsidP="00AB21D4">
            <w:pPr>
              <w:pStyle w:val="TableText0"/>
              <w:jc w:val="center"/>
              <w:rPr>
                <w:highlight w:val="darkGray"/>
              </w:rPr>
            </w:pPr>
            <w:r w:rsidRPr="008114C4">
              <w:rPr>
                <w:color w:val="000000"/>
                <w:spacing w:val="49"/>
                <w:shd w:val="solid" w:color="000000" w:fill="000000"/>
                <w:fitText w:val="320" w:id="-761538291"/>
                <w14:textFill>
                  <w14:solidFill>
                    <w14:srgbClr w14:val="000000">
                      <w14:alpha w14:val="100000"/>
                    </w14:srgbClr>
                  </w14:solidFill>
                </w14:textFill>
              </w:rPr>
              <w:t>|||</w:t>
            </w:r>
            <w:r w:rsidRPr="008114C4">
              <w:rPr>
                <w:color w:val="000000"/>
                <w:spacing w:val="3"/>
                <w:shd w:val="solid" w:color="000000" w:fill="000000"/>
                <w:fitText w:val="320" w:id="-761538291"/>
                <w14:textFill>
                  <w14:solidFill>
                    <w14:srgbClr w14:val="000000">
                      <w14:alpha w14:val="100000"/>
                    </w14:srgbClr>
                  </w14:solidFill>
                </w14:textFill>
              </w:rPr>
              <w:t>|</w:t>
            </w:r>
            <w:r w:rsidR="00D54110" w:rsidRPr="00D54110">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08B2173B" w14:textId="2E4241A5" w:rsidR="00B45F74" w:rsidRPr="00CC047A" w:rsidRDefault="008114C4" w:rsidP="00AB21D4">
            <w:pPr>
              <w:pStyle w:val="TableText0"/>
              <w:jc w:val="center"/>
              <w:rPr>
                <w:highlight w:val="darkGray"/>
              </w:rPr>
            </w:pPr>
            <w:r w:rsidRPr="008114C4">
              <w:rPr>
                <w:color w:val="000000"/>
                <w:spacing w:val="49"/>
                <w:shd w:val="solid" w:color="000000" w:fill="000000"/>
                <w:fitText w:val="320" w:id="-761538290"/>
                <w14:textFill>
                  <w14:solidFill>
                    <w14:srgbClr w14:val="000000">
                      <w14:alpha w14:val="100000"/>
                    </w14:srgbClr>
                  </w14:solidFill>
                </w14:textFill>
              </w:rPr>
              <w:t>|||</w:t>
            </w:r>
            <w:r w:rsidRPr="008114C4">
              <w:rPr>
                <w:color w:val="000000"/>
                <w:spacing w:val="3"/>
                <w:shd w:val="solid" w:color="000000" w:fill="000000"/>
                <w:fitText w:val="320" w:id="-761538290"/>
                <w14:textFill>
                  <w14:solidFill>
                    <w14:srgbClr w14:val="000000">
                      <w14:alpha w14:val="100000"/>
                    </w14:srgbClr>
                  </w14:solidFill>
                </w14:textFill>
              </w:rPr>
              <w:t>|</w:t>
            </w:r>
            <w:r w:rsidR="00D54110" w:rsidRPr="00D54110">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3331E41D" w14:textId="7BF17894" w:rsidR="00B45F74" w:rsidRPr="00CC047A" w:rsidRDefault="008114C4" w:rsidP="00AB21D4">
            <w:pPr>
              <w:pStyle w:val="TableText0"/>
              <w:jc w:val="center"/>
              <w:rPr>
                <w:highlight w:val="darkGray"/>
              </w:rPr>
            </w:pPr>
            <w:r w:rsidRPr="008114C4">
              <w:rPr>
                <w:color w:val="000000"/>
                <w:spacing w:val="49"/>
                <w:shd w:val="solid" w:color="000000" w:fill="000000"/>
                <w:fitText w:val="320" w:id="-761538289"/>
                <w14:textFill>
                  <w14:solidFill>
                    <w14:srgbClr w14:val="000000">
                      <w14:alpha w14:val="100000"/>
                    </w14:srgbClr>
                  </w14:solidFill>
                </w14:textFill>
              </w:rPr>
              <w:t>|||</w:t>
            </w:r>
            <w:r w:rsidRPr="008114C4">
              <w:rPr>
                <w:color w:val="000000"/>
                <w:spacing w:val="3"/>
                <w:shd w:val="solid" w:color="000000" w:fill="000000"/>
                <w:fitText w:val="320" w:id="-761538289"/>
                <w14:textFill>
                  <w14:solidFill>
                    <w14:srgbClr w14:val="000000">
                      <w14:alpha w14:val="100000"/>
                    </w14:srgbClr>
                  </w14:solidFill>
                </w14:textFill>
              </w:rPr>
              <w:t>|</w:t>
            </w:r>
            <w:r w:rsidR="00D54110" w:rsidRPr="00D54110">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1C08F06C" w14:textId="2C1D4947" w:rsidR="00B45F74" w:rsidRPr="00CC047A" w:rsidRDefault="008114C4" w:rsidP="00AB21D4">
            <w:pPr>
              <w:pStyle w:val="TableText0"/>
              <w:jc w:val="center"/>
              <w:rPr>
                <w:highlight w:val="darkGray"/>
              </w:rPr>
            </w:pPr>
            <w:r w:rsidRPr="008114C4">
              <w:rPr>
                <w:color w:val="000000"/>
                <w:spacing w:val="49"/>
                <w:shd w:val="solid" w:color="000000" w:fill="000000"/>
                <w:fitText w:val="320" w:id="-761538288"/>
                <w14:textFill>
                  <w14:solidFill>
                    <w14:srgbClr w14:val="000000">
                      <w14:alpha w14:val="100000"/>
                    </w14:srgbClr>
                  </w14:solidFill>
                </w14:textFill>
              </w:rPr>
              <w:t>|||</w:t>
            </w:r>
            <w:r w:rsidRPr="008114C4">
              <w:rPr>
                <w:color w:val="000000"/>
                <w:spacing w:val="3"/>
                <w:shd w:val="solid" w:color="000000" w:fill="000000"/>
                <w:fitText w:val="320" w:id="-761538288"/>
                <w14:textFill>
                  <w14:solidFill>
                    <w14:srgbClr w14:val="000000">
                      <w14:alpha w14:val="100000"/>
                    </w14:srgbClr>
                  </w14:solidFill>
                </w14:textFill>
              </w:rPr>
              <w:t>|</w:t>
            </w:r>
            <w:r w:rsidR="00D54110" w:rsidRPr="00D54110">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1DFC2871" w14:textId="333ECFD1" w:rsidR="00B45F74" w:rsidRPr="00CC047A" w:rsidRDefault="008114C4" w:rsidP="00AB21D4">
            <w:pPr>
              <w:pStyle w:val="TableText0"/>
              <w:jc w:val="center"/>
              <w:rPr>
                <w:highlight w:val="darkGray"/>
              </w:rPr>
            </w:pPr>
            <w:r w:rsidRPr="008114C4">
              <w:rPr>
                <w:color w:val="000000"/>
                <w:spacing w:val="49"/>
                <w:shd w:val="solid" w:color="000000" w:fill="000000"/>
                <w:fitText w:val="320" w:id="-761538304"/>
                <w14:textFill>
                  <w14:solidFill>
                    <w14:srgbClr w14:val="000000">
                      <w14:alpha w14:val="100000"/>
                    </w14:srgbClr>
                  </w14:solidFill>
                </w14:textFill>
              </w:rPr>
              <w:t>|||</w:t>
            </w:r>
            <w:r w:rsidRPr="008114C4">
              <w:rPr>
                <w:color w:val="000000"/>
                <w:spacing w:val="3"/>
                <w:shd w:val="solid" w:color="000000" w:fill="000000"/>
                <w:fitText w:val="320" w:id="-761538304"/>
                <w14:textFill>
                  <w14:solidFill>
                    <w14:srgbClr w14:val="000000">
                      <w14:alpha w14:val="100000"/>
                    </w14:srgbClr>
                  </w14:solidFill>
                </w14:textFill>
              </w:rPr>
              <w:t>|</w:t>
            </w:r>
            <w:r w:rsidR="00D54110" w:rsidRPr="00D54110">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6DA83C48" w14:textId="1352CEF7" w:rsidR="00B45F74" w:rsidRPr="00CC047A" w:rsidRDefault="008114C4" w:rsidP="00AB21D4">
            <w:pPr>
              <w:pStyle w:val="TableText0"/>
              <w:jc w:val="center"/>
              <w:rPr>
                <w:highlight w:val="darkGray"/>
              </w:rPr>
            </w:pPr>
            <w:r w:rsidRPr="008114C4">
              <w:rPr>
                <w:color w:val="000000"/>
                <w:spacing w:val="49"/>
                <w:shd w:val="solid" w:color="000000" w:fill="000000"/>
                <w:fitText w:val="320" w:id="-761538303"/>
                <w14:textFill>
                  <w14:solidFill>
                    <w14:srgbClr w14:val="000000">
                      <w14:alpha w14:val="100000"/>
                    </w14:srgbClr>
                  </w14:solidFill>
                </w14:textFill>
              </w:rPr>
              <w:t>|||</w:t>
            </w:r>
            <w:r w:rsidRPr="008114C4">
              <w:rPr>
                <w:color w:val="000000"/>
                <w:spacing w:val="3"/>
                <w:shd w:val="solid" w:color="000000" w:fill="000000"/>
                <w:fitText w:val="320" w:id="-761538303"/>
                <w14:textFill>
                  <w14:solidFill>
                    <w14:srgbClr w14:val="000000">
                      <w14:alpha w14:val="100000"/>
                    </w14:srgbClr>
                  </w14:solidFill>
                </w14:textFill>
              </w:rPr>
              <w:t>|</w:t>
            </w:r>
            <w:r w:rsidR="00D54110" w:rsidRPr="00D54110">
              <w:rPr>
                <w:vertAlign w:val="superscript"/>
              </w:rPr>
              <w:t>3</w:t>
            </w:r>
          </w:p>
        </w:tc>
      </w:tr>
      <w:tr w:rsidR="00B45F74" w:rsidRPr="00B45F74" w14:paraId="4A9DA82A" w14:textId="77777777" w:rsidTr="00AB21D4">
        <w:tc>
          <w:tcPr>
            <w:tcW w:w="5000" w:type="pct"/>
            <w:gridSpan w:val="7"/>
            <w:shd w:val="clear" w:color="auto" w:fill="auto"/>
            <w:vAlign w:val="center"/>
          </w:tcPr>
          <w:p w14:paraId="0B2CA409" w14:textId="77777777" w:rsidR="00B45F74" w:rsidRPr="00B45F74" w:rsidRDefault="00B45F74" w:rsidP="00AB21D4">
            <w:pPr>
              <w:pStyle w:val="In-tableHeading"/>
            </w:pPr>
            <w:r w:rsidRPr="00B45F74">
              <w:t>Estimated financial implications for cannabidiol and stiripentol</w:t>
            </w:r>
          </w:p>
        </w:tc>
      </w:tr>
      <w:tr w:rsidR="00B45F74" w:rsidRPr="00B45F74" w14:paraId="4A21E288" w14:textId="77777777" w:rsidTr="00AB21D4">
        <w:tc>
          <w:tcPr>
            <w:tcW w:w="1334" w:type="pct"/>
            <w:shd w:val="clear" w:color="auto" w:fill="auto"/>
            <w:vAlign w:val="center"/>
          </w:tcPr>
          <w:p w14:paraId="1D492442" w14:textId="77777777" w:rsidR="00B45F74" w:rsidRPr="00B45F74" w:rsidRDefault="00B45F74" w:rsidP="00AB21D4">
            <w:pPr>
              <w:pStyle w:val="TableText0"/>
              <w:rPr>
                <w:sz w:val="19"/>
                <w:szCs w:val="19"/>
              </w:rPr>
            </w:pPr>
            <w:r w:rsidRPr="00B45F74">
              <w:rPr>
                <w:sz w:val="19"/>
                <w:szCs w:val="19"/>
              </w:rPr>
              <w:t>Cost to PBS/RPBS less copayments</w:t>
            </w:r>
            <w:r w:rsidRPr="00B45F74">
              <w:rPr>
                <w:sz w:val="19"/>
                <w:szCs w:val="19"/>
                <w:vertAlign w:val="superscript"/>
              </w:rPr>
              <w:t>b</w:t>
            </w:r>
          </w:p>
        </w:tc>
        <w:tc>
          <w:tcPr>
            <w:tcW w:w="611" w:type="pct"/>
            <w:tcBorders>
              <w:top w:val="single" w:sz="4" w:space="0" w:color="auto"/>
              <w:left w:val="single" w:sz="4" w:space="0" w:color="auto"/>
              <w:bottom w:val="nil"/>
              <w:right w:val="single" w:sz="4" w:space="0" w:color="auto"/>
            </w:tcBorders>
            <w:shd w:val="clear" w:color="auto" w:fill="auto"/>
            <w:vAlign w:val="center"/>
          </w:tcPr>
          <w:p w14:paraId="1A00B904" w14:textId="389E0CF9" w:rsidR="00B45F74" w:rsidRPr="00CC047A" w:rsidRDefault="008114C4" w:rsidP="00AB21D4">
            <w:pPr>
              <w:pStyle w:val="TableText0"/>
              <w:jc w:val="center"/>
              <w:rPr>
                <w:highlight w:val="darkGray"/>
              </w:rPr>
            </w:pPr>
            <w:r w:rsidRPr="008114C4">
              <w:rPr>
                <w:color w:val="000000"/>
                <w:spacing w:val="49"/>
                <w:shd w:val="solid" w:color="000000" w:fill="000000"/>
                <w:fitText w:val="320" w:id="-761538302"/>
                <w14:textFill>
                  <w14:solidFill>
                    <w14:srgbClr w14:val="000000">
                      <w14:alpha w14:val="100000"/>
                    </w14:srgbClr>
                  </w14:solidFill>
                </w14:textFill>
              </w:rPr>
              <w:t>|||</w:t>
            </w:r>
            <w:r w:rsidRPr="008114C4">
              <w:rPr>
                <w:color w:val="000000"/>
                <w:spacing w:val="3"/>
                <w:shd w:val="solid" w:color="000000" w:fill="000000"/>
                <w:fitText w:val="320" w:id="-761538302"/>
                <w14:textFill>
                  <w14:solidFill>
                    <w14:srgbClr w14:val="000000">
                      <w14:alpha w14:val="100000"/>
                    </w14:srgbClr>
                  </w14:solidFill>
                </w14:textFill>
              </w:rPr>
              <w:t>|</w:t>
            </w:r>
            <w:r w:rsidR="00D4638B" w:rsidRPr="00D4638B">
              <w:rPr>
                <w:vertAlign w:val="superscript"/>
              </w:rPr>
              <w:t>4</w:t>
            </w:r>
          </w:p>
        </w:tc>
        <w:tc>
          <w:tcPr>
            <w:tcW w:w="611" w:type="pct"/>
            <w:tcBorders>
              <w:top w:val="single" w:sz="4" w:space="0" w:color="auto"/>
              <w:left w:val="nil"/>
              <w:bottom w:val="nil"/>
              <w:right w:val="single" w:sz="4" w:space="0" w:color="auto"/>
            </w:tcBorders>
            <w:shd w:val="clear" w:color="auto" w:fill="auto"/>
            <w:vAlign w:val="center"/>
          </w:tcPr>
          <w:p w14:paraId="28C69B68" w14:textId="47715EE3" w:rsidR="00B45F74" w:rsidRPr="00CC047A" w:rsidRDefault="008114C4" w:rsidP="00AB21D4">
            <w:pPr>
              <w:pStyle w:val="TableText0"/>
              <w:jc w:val="center"/>
              <w:rPr>
                <w:highlight w:val="darkGray"/>
              </w:rPr>
            </w:pPr>
            <w:r w:rsidRPr="008114C4">
              <w:rPr>
                <w:color w:val="000000"/>
                <w:spacing w:val="49"/>
                <w:shd w:val="solid" w:color="000000" w:fill="000000"/>
                <w:fitText w:val="320" w:id="-761538301"/>
                <w14:textFill>
                  <w14:solidFill>
                    <w14:srgbClr w14:val="000000">
                      <w14:alpha w14:val="100000"/>
                    </w14:srgbClr>
                  </w14:solidFill>
                </w14:textFill>
              </w:rPr>
              <w:t>|||</w:t>
            </w:r>
            <w:r w:rsidRPr="008114C4">
              <w:rPr>
                <w:color w:val="000000"/>
                <w:spacing w:val="3"/>
                <w:shd w:val="solid" w:color="000000" w:fill="000000"/>
                <w:fitText w:val="320" w:id="-761538301"/>
                <w14:textFill>
                  <w14:solidFill>
                    <w14:srgbClr w14:val="000000">
                      <w14:alpha w14:val="100000"/>
                    </w14:srgbClr>
                  </w14:solidFill>
                </w14:textFill>
              </w:rPr>
              <w:t>|</w:t>
            </w:r>
            <w:r w:rsidR="00D4638B" w:rsidRPr="00D4638B">
              <w:rPr>
                <w:vertAlign w:val="superscript"/>
              </w:rPr>
              <w:t>4</w:t>
            </w:r>
          </w:p>
        </w:tc>
        <w:tc>
          <w:tcPr>
            <w:tcW w:w="611" w:type="pct"/>
            <w:tcBorders>
              <w:top w:val="single" w:sz="4" w:space="0" w:color="auto"/>
              <w:left w:val="nil"/>
              <w:bottom w:val="nil"/>
              <w:right w:val="single" w:sz="4" w:space="0" w:color="auto"/>
            </w:tcBorders>
            <w:shd w:val="clear" w:color="auto" w:fill="auto"/>
            <w:vAlign w:val="center"/>
          </w:tcPr>
          <w:p w14:paraId="6644AD29" w14:textId="6F62739C" w:rsidR="00B45F74" w:rsidRPr="00CC047A" w:rsidRDefault="008114C4" w:rsidP="00AB21D4">
            <w:pPr>
              <w:pStyle w:val="TableText0"/>
              <w:jc w:val="center"/>
              <w:rPr>
                <w:highlight w:val="darkGray"/>
              </w:rPr>
            </w:pPr>
            <w:r w:rsidRPr="008114C4">
              <w:rPr>
                <w:color w:val="000000"/>
                <w:spacing w:val="49"/>
                <w:shd w:val="solid" w:color="000000" w:fill="000000"/>
                <w:fitText w:val="320" w:id="-761538300"/>
                <w14:textFill>
                  <w14:solidFill>
                    <w14:srgbClr w14:val="000000">
                      <w14:alpha w14:val="100000"/>
                    </w14:srgbClr>
                  </w14:solidFill>
                </w14:textFill>
              </w:rPr>
              <w:t>|||</w:t>
            </w:r>
            <w:r w:rsidRPr="008114C4">
              <w:rPr>
                <w:color w:val="000000"/>
                <w:spacing w:val="3"/>
                <w:shd w:val="solid" w:color="000000" w:fill="000000"/>
                <w:fitText w:val="320" w:id="-761538300"/>
                <w14:textFill>
                  <w14:solidFill>
                    <w14:srgbClr w14:val="000000">
                      <w14:alpha w14:val="100000"/>
                    </w14:srgbClr>
                  </w14:solidFill>
                </w14:textFill>
              </w:rPr>
              <w:t>|</w:t>
            </w:r>
            <w:r w:rsidR="00D4638B" w:rsidRPr="00D4638B">
              <w:rPr>
                <w:vertAlign w:val="superscript"/>
              </w:rPr>
              <w:t>4</w:t>
            </w:r>
          </w:p>
        </w:tc>
        <w:tc>
          <w:tcPr>
            <w:tcW w:w="611" w:type="pct"/>
            <w:tcBorders>
              <w:top w:val="single" w:sz="4" w:space="0" w:color="auto"/>
              <w:left w:val="nil"/>
              <w:bottom w:val="nil"/>
              <w:right w:val="single" w:sz="4" w:space="0" w:color="auto"/>
            </w:tcBorders>
            <w:shd w:val="clear" w:color="auto" w:fill="auto"/>
            <w:vAlign w:val="center"/>
          </w:tcPr>
          <w:p w14:paraId="73B3E990" w14:textId="6D4F835D" w:rsidR="00B45F74" w:rsidRPr="00CC047A" w:rsidRDefault="008114C4" w:rsidP="00AB21D4">
            <w:pPr>
              <w:pStyle w:val="TableText0"/>
              <w:jc w:val="center"/>
              <w:rPr>
                <w:highlight w:val="darkGray"/>
              </w:rPr>
            </w:pPr>
            <w:r w:rsidRPr="008114C4">
              <w:rPr>
                <w:color w:val="000000"/>
                <w:spacing w:val="49"/>
                <w:shd w:val="solid" w:color="000000" w:fill="000000"/>
                <w:fitText w:val="320" w:id="-761538299"/>
                <w14:textFill>
                  <w14:solidFill>
                    <w14:srgbClr w14:val="000000">
                      <w14:alpha w14:val="100000"/>
                    </w14:srgbClr>
                  </w14:solidFill>
                </w14:textFill>
              </w:rPr>
              <w:t>|||</w:t>
            </w:r>
            <w:r w:rsidRPr="008114C4">
              <w:rPr>
                <w:color w:val="000000"/>
                <w:spacing w:val="3"/>
                <w:shd w:val="solid" w:color="000000" w:fill="000000"/>
                <w:fitText w:val="320" w:id="-761538299"/>
                <w14:textFill>
                  <w14:solidFill>
                    <w14:srgbClr w14:val="000000">
                      <w14:alpha w14:val="100000"/>
                    </w14:srgbClr>
                  </w14:solidFill>
                </w14:textFill>
              </w:rPr>
              <w:t>|</w:t>
            </w:r>
            <w:r w:rsidR="00D4638B" w:rsidRPr="00D4638B">
              <w:rPr>
                <w:vertAlign w:val="superscript"/>
              </w:rPr>
              <w:t>4</w:t>
            </w:r>
          </w:p>
        </w:tc>
        <w:tc>
          <w:tcPr>
            <w:tcW w:w="611" w:type="pct"/>
            <w:tcBorders>
              <w:top w:val="single" w:sz="4" w:space="0" w:color="auto"/>
              <w:left w:val="nil"/>
              <w:bottom w:val="nil"/>
              <w:right w:val="single" w:sz="4" w:space="0" w:color="auto"/>
            </w:tcBorders>
            <w:shd w:val="clear" w:color="auto" w:fill="auto"/>
            <w:vAlign w:val="center"/>
          </w:tcPr>
          <w:p w14:paraId="58143A30" w14:textId="6FD8A29E" w:rsidR="00B45F74" w:rsidRPr="00CC047A" w:rsidRDefault="008114C4" w:rsidP="00AB21D4">
            <w:pPr>
              <w:pStyle w:val="TableText0"/>
              <w:jc w:val="center"/>
              <w:rPr>
                <w:highlight w:val="darkGray"/>
              </w:rPr>
            </w:pPr>
            <w:r w:rsidRPr="008114C4">
              <w:rPr>
                <w:color w:val="000000"/>
                <w:spacing w:val="49"/>
                <w:shd w:val="solid" w:color="000000" w:fill="000000"/>
                <w:fitText w:val="320" w:id="-761538298"/>
                <w14:textFill>
                  <w14:solidFill>
                    <w14:srgbClr w14:val="000000">
                      <w14:alpha w14:val="100000"/>
                    </w14:srgbClr>
                  </w14:solidFill>
                </w14:textFill>
              </w:rPr>
              <w:t>|||</w:t>
            </w:r>
            <w:r w:rsidRPr="008114C4">
              <w:rPr>
                <w:color w:val="000000"/>
                <w:spacing w:val="3"/>
                <w:shd w:val="solid" w:color="000000" w:fill="000000"/>
                <w:fitText w:val="320" w:id="-761538298"/>
                <w14:textFill>
                  <w14:solidFill>
                    <w14:srgbClr w14:val="000000">
                      <w14:alpha w14:val="100000"/>
                    </w14:srgbClr>
                  </w14:solidFill>
                </w14:textFill>
              </w:rPr>
              <w:t>|</w:t>
            </w:r>
            <w:r w:rsidR="00D4638B" w:rsidRPr="00D4638B">
              <w:rPr>
                <w:vertAlign w:val="superscript"/>
              </w:rPr>
              <w:t>4</w:t>
            </w:r>
          </w:p>
        </w:tc>
        <w:tc>
          <w:tcPr>
            <w:tcW w:w="611" w:type="pct"/>
            <w:tcBorders>
              <w:top w:val="single" w:sz="4" w:space="0" w:color="auto"/>
              <w:left w:val="nil"/>
              <w:bottom w:val="nil"/>
              <w:right w:val="single" w:sz="4" w:space="0" w:color="auto"/>
            </w:tcBorders>
            <w:shd w:val="clear" w:color="auto" w:fill="auto"/>
            <w:vAlign w:val="center"/>
          </w:tcPr>
          <w:p w14:paraId="1B092D77" w14:textId="6786A453" w:rsidR="00B45F74" w:rsidRPr="00CC047A" w:rsidRDefault="008114C4" w:rsidP="00AB21D4">
            <w:pPr>
              <w:pStyle w:val="TableText0"/>
              <w:jc w:val="center"/>
              <w:rPr>
                <w:highlight w:val="darkGray"/>
              </w:rPr>
            </w:pPr>
            <w:r w:rsidRPr="008114C4">
              <w:rPr>
                <w:color w:val="000000"/>
                <w:spacing w:val="49"/>
                <w:shd w:val="solid" w:color="000000" w:fill="000000"/>
                <w:fitText w:val="320" w:id="-761538297"/>
                <w14:textFill>
                  <w14:solidFill>
                    <w14:srgbClr w14:val="000000">
                      <w14:alpha w14:val="100000"/>
                    </w14:srgbClr>
                  </w14:solidFill>
                </w14:textFill>
              </w:rPr>
              <w:t>|||</w:t>
            </w:r>
            <w:r w:rsidRPr="008114C4">
              <w:rPr>
                <w:color w:val="000000"/>
                <w:spacing w:val="3"/>
                <w:shd w:val="solid" w:color="000000" w:fill="000000"/>
                <w:fitText w:val="320" w:id="-761538297"/>
                <w14:textFill>
                  <w14:solidFill>
                    <w14:srgbClr w14:val="000000">
                      <w14:alpha w14:val="100000"/>
                    </w14:srgbClr>
                  </w14:solidFill>
                </w14:textFill>
              </w:rPr>
              <w:t>|</w:t>
            </w:r>
            <w:r w:rsidR="00D4638B" w:rsidRPr="00D4638B">
              <w:rPr>
                <w:vertAlign w:val="superscript"/>
              </w:rPr>
              <w:t>4</w:t>
            </w:r>
          </w:p>
        </w:tc>
      </w:tr>
      <w:tr w:rsidR="00B45F74" w:rsidRPr="00B45F74" w14:paraId="3A22F1C9" w14:textId="77777777" w:rsidTr="00AB21D4">
        <w:tc>
          <w:tcPr>
            <w:tcW w:w="5000" w:type="pct"/>
            <w:gridSpan w:val="7"/>
            <w:shd w:val="clear" w:color="auto" w:fill="auto"/>
            <w:vAlign w:val="center"/>
          </w:tcPr>
          <w:p w14:paraId="10FC4D02" w14:textId="77777777" w:rsidR="00B45F74" w:rsidRPr="00B45F74" w:rsidRDefault="00B45F74" w:rsidP="00AB21D4">
            <w:pPr>
              <w:pStyle w:val="In-tableHeading"/>
              <w:rPr>
                <w:lang w:val="en-AU"/>
              </w:rPr>
            </w:pPr>
            <w:r w:rsidRPr="00B45F74">
              <w:t xml:space="preserve">Net financial </w:t>
            </w:r>
            <w:r w:rsidRPr="00B45F74">
              <w:rPr>
                <w:lang w:val="en-AU"/>
              </w:rPr>
              <w:t>implications</w:t>
            </w:r>
          </w:p>
        </w:tc>
      </w:tr>
      <w:tr w:rsidR="00B45F74" w:rsidRPr="00B45F74" w14:paraId="037A3FE3" w14:textId="77777777" w:rsidTr="00AB21D4">
        <w:tc>
          <w:tcPr>
            <w:tcW w:w="1334" w:type="pct"/>
            <w:shd w:val="clear" w:color="auto" w:fill="auto"/>
            <w:vAlign w:val="center"/>
          </w:tcPr>
          <w:p w14:paraId="69A27E5D" w14:textId="77777777" w:rsidR="00B45F74" w:rsidRPr="00B45F74" w:rsidRDefault="00B45F74" w:rsidP="00AB21D4">
            <w:pPr>
              <w:pStyle w:val="TableText0"/>
              <w:rPr>
                <w:sz w:val="19"/>
                <w:szCs w:val="19"/>
              </w:rPr>
            </w:pPr>
            <w:r w:rsidRPr="00B45F74">
              <w:rPr>
                <w:sz w:val="19"/>
                <w:szCs w:val="19"/>
              </w:rPr>
              <w:t>Net cost to PBS/RPBS</w:t>
            </w:r>
            <w:r w:rsidRPr="00B45F74">
              <w:rPr>
                <w:sz w:val="19"/>
                <w:szCs w:val="19"/>
                <w:vertAlign w:val="superscript"/>
              </w:rPr>
              <w:t xml:space="preserve"> c</w:t>
            </w:r>
          </w:p>
        </w:tc>
        <w:tc>
          <w:tcPr>
            <w:tcW w:w="611" w:type="pct"/>
            <w:tcBorders>
              <w:top w:val="single" w:sz="4" w:space="0" w:color="auto"/>
              <w:left w:val="nil"/>
              <w:bottom w:val="single" w:sz="4" w:space="0" w:color="auto"/>
              <w:right w:val="single" w:sz="4" w:space="0" w:color="auto"/>
            </w:tcBorders>
            <w:shd w:val="clear" w:color="auto" w:fill="auto"/>
            <w:vAlign w:val="center"/>
          </w:tcPr>
          <w:p w14:paraId="19D6A787" w14:textId="50220C58" w:rsidR="00B45F74" w:rsidRPr="00CC047A" w:rsidRDefault="008114C4" w:rsidP="00AB21D4">
            <w:pPr>
              <w:pStyle w:val="TableText0"/>
              <w:jc w:val="center"/>
              <w:rPr>
                <w:highlight w:val="darkGray"/>
              </w:rPr>
            </w:pPr>
            <w:r w:rsidRPr="008114C4">
              <w:rPr>
                <w:color w:val="000000"/>
                <w:spacing w:val="49"/>
                <w:shd w:val="solid" w:color="000000" w:fill="000000"/>
                <w:fitText w:val="320" w:id="-761538296"/>
                <w14:textFill>
                  <w14:solidFill>
                    <w14:srgbClr w14:val="000000">
                      <w14:alpha w14:val="100000"/>
                    </w14:srgbClr>
                  </w14:solidFill>
                </w14:textFill>
              </w:rPr>
              <w:t>|||</w:t>
            </w:r>
            <w:r w:rsidRPr="008114C4">
              <w:rPr>
                <w:color w:val="000000"/>
                <w:spacing w:val="3"/>
                <w:shd w:val="solid" w:color="000000" w:fill="000000"/>
                <w:fitText w:val="320" w:id="-761538296"/>
                <w14:textFill>
                  <w14:solidFill>
                    <w14:srgbClr w14:val="000000">
                      <w14:alpha w14:val="100000"/>
                    </w14:srgbClr>
                  </w14:solidFill>
                </w14:textFill>
              </w:rPr>
              <w:t>|</w:t>
            </w:r>
            <w:r w:rsidR="00D54110" w:rsidRPr="00D54110">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AE5B58A" w14:textId="16547EEF" w:rsidR="00B45F74" w:rsidRPr="00CC047A" w:rsidRDefault="008114C4" w:rsidP="00AB21D4">
            <w:pPr>
              <w:pStyle w:val="TableText0"/>
              <w:jc w:val="center"/>
              <w:rPr>
                <w:highlight w:val="darkGray"/>
              </w:rPr>
            </w:pPr>
            <w:r w:rsidRPr="008114C4">
              <w:rPr>
                <w:color w:val="000000"/>
                <w:spacing w:val="49"/>
                <w:shd w:val="solid" w:color="000000" w:fill="000000"/>
                <w:fitText w:val="320" w:id="-761538295"/>
                <w14:textFill>
                  <w14:solidFill>
                    <w14:srgbClr w14:val="000000">
                      <w14:alpha w14:val="100000"/>
                    </w14:srgbClr>
                  </w14:solidFill>
                </w14:textFill>
              </w:rPr>
              <w:t>|||</w:t>
            </w:r>
            <w:r w:rsidRPr="008114C4">
              <w:rPr>
                <w:color w:val="000000"/>
                <w:spacing w:val="3"/>
                <w:shd w:val="solid" w:color="000000" w:fill="000000"/>
                <w:fitText w:val="320" w:id="-761538295"/>
                <w14:textFill>
                  <w14:solidFill>
                    <w14:srgbClr w14:val="000000">
                      <w14:alpha w14:val="100000"/>
                    </w14:srgbClr>
                  </w14:solidFill>
                </w14:textFill>
              </w:rPr>
              <w:t>|</w:t>
            </w:r>
            <w:r w:rsidR="00D54110" w:rsidRPr="00D54110">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972649F" w14:textId="14027EBA" w:rsidR="00B45F74" w:rsidRPr="00CC047A" w:rsidRDefault="008114C4" w:rsidP="00AB21D4">
            <w:pPr>
              <w:pStyle w:val="TableText0"/>
              <w:jc w:val="center"/>
              <w:rPr>
                <w:highlight w:val="darkGray"/>
              </w:rPr>
            </w:pPr>
            <w:r w:rsidRPr="008114C4">
              <w:rPr>
                <w:color w:val="000000"/>
                <w:spacing w:val="49"/>
                <w:shd w:val="solid" w:color="000000" w:fill="000000"/>
                <w:fitText w:val="320" w:id="-761538294"/>
                <w14:textFill>
                  <w14:solidFill>
                    <w14:srgbClr w14:val="000000">
                      <w14:alpha w14:val="100000"/>
                    </w14:srgbClr>
                  </w14:solidFill>
                </w14:textFill>
              </w:rPr>
              <w:t>|||</w:t>
            </w:r>
            <w:r w:rsidRPr="008114C4">
              <w:rPr>
                <w:color w:val="000000"/>
                <w:spacing w:val="3"/>
                <w:shd w:val="solid" w:color="000000" w:fill="000000"/>
                <w:fitText w:val="320" w:id="-761538294"/>
                <w14:textFill>
                  <w14:solidFill>
                    <w14:srgbClr w14:val="000000">
                      <w14:alpha w14:val="100000"/>
                    </w14:srgbClr>
                  </w14:solidFill>
                </w14:textFill>
              </w:rPr>
              <w:t>|</w:t>
            </w:r>
            <w:r w:rsidR="00D54110" w:rsidRPr="00D54110">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48AFA68" w14:textId="4B1BB53B" w:rsidR="00B45F74" w:rsidRPr="00CC047A" w:rsidRDefault="008114C4" w:rsidP="00AB21D4">
            <w:pPr>
              <w:pStyle w:val="TableText0"/>
              <w:jc w:val="center"/>
              <w:rPr>
                <w:highlight w:val="darkGray"/>
              </w:rPr>
            </w:pPr>
            <w:r w:rsidRPr="008114C4">
              <w:rPr>
                <w:color w:val="000000"/>
                <w:spacing w:val="49"/>
                <w:shd w:val="solid" w:color="000000" w:fill="000000"/>
                <w:fitText w:val="320" w:id="-761538293"/>
                <w14:textFill>
                  <w14:solidFill>
                    <w14:srgbClr w14:val="000000">
                      <w14:alpha w14:val="100000"/>
                    </w14:srgbClr>
                  </w14:solidFill>
                </w14:textFill>
              </w:rPr>
              <w:t>|||</w:t>
            </w:r>
            <w:r w:rsidRPr="008114C4">
              <w:rPr>
                <w:color w:val="000000"/>
                <w:spacing w:val="3"/>
                <w:shd w:val="solid" w:color="000000" w:fill="000000"/>
                <w:fitText w:val="320" w:id="-761538293"/>
                <w14:textFill>
                  <w14:solidFill>
                    <w14:srgbClr w14:val="000000">
                      <w14:alpha w14:val="100000"/>
                    </w14:srgbClr>
                  </w14:solidFill>
                </w14:textFill>
              </w:rPr>
              <w:t>|</w:t>
            </w:r>
            <w:r w:rsidR="00D54110" w:rsidRPr="00D54110">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2B54F09" w14:textId="2D46108F" w:rsidR="00B45F74" w:rsidRPr="00CC047A" w:rsidRDefault="008114C4" w:rsidP="00AB21D4">
            <w:pPr>
              <w:pStyle w:val="TableText0"/>
              <w:jc w:val="center"/>
              <w:rPr>
                <w:highlight w:val="darkGray"/>
              </w:rPr>
            </w:pPr>
            <w:r w:rsidRPr="008114C4">
              <w:rPr>
                <w:color w:val="000000"/>
                <w:spacing w:val="49"/>
                <w:shd w:val="solid" w:color="000000" w:fill="000000"/>
                <w:fitText w:val="320" w:id="-761538292"/>
                <w14:textFill>
                  <w14:solidFill>
                    <w14:srgbClr w14:val="000000">
                      <w14:alpha w14:val="100000"/>
                    </w14:srgbClr>
                  </w14:solidFill>
                </w14:textFill>
              </w:rPr>
              <w:t>|||</w:t>
            </w:r>
            <w:r w:rsidRPr="008114C4">
              <w:rPr>
                <w:color w:val="000000"/>
                <w:spacing w:val="3"/>
                <w:shd w:val="solid" w:color="000000" w:fill="000000"/>
                <w:fitText w:val="320" w:id="-761538292"/>
                <w14:textFill>
                  <w14:solidFill>
                    <w14:srgbClr w14:val="000000">
                      <w14:alpha w14:val="100000"/>
                    </w14:srgbClr>
                  </w14:solidFill>
                </w14:textFill>
              </w:rPr>
              <w:t>|</w:t>
            </w:r>
            <w:r w:rsidR="00D54110" w:rsidRPr="00D54110">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0A5CB6F" w14:textId="19D20EB3" w:rsidR="00B45F74" w:rsidRPr="00CC047A" w:rsidRDefault="008114C4" w:rsidP="00AB21D4">
            <w:pPr>
              <w:pStyle w:val="TableText0"/>
              <w:jc w:val="center"/>
              <w:rPr>
                <w:highlight w:val="darkGray"/>
              </w:rPr>
            </w:pPr>
            <w:r w:rsidRPr="008114C4">
              <w:rPr>
                <w:color w:val="000000"/>
                <w:spacing w:val="49"/>
                <w:shd w:val="solid" w:color="000000" w:fill="000000"/>
                <w:fitText w:val="320" w:id="-761538291"/>
                <w14:textFill>
                  <w14:solidFill>
                    <w14:srgbClr w14:val="000000">
                      <w14:alpha w14:val="100000"/>
                    </w14:srgbClr>
                  </w14:solidFill>
                </w14:textFill>
              </w:rPr>
              <w:t>|||</w:t>
            </w:r>
            <w:r w:rsidRPr="008114C4">
              <w:rPr>
                <w:color w:val="000000"/>
                <w:spacing w:val="3"/>
                <w:shd w:val="solid" w:color="000000" w:fill="000000"/>
                <w:fitText w:val="320" w:id="-761538291"/>
                <w14:textFill>
                  <w14:solidFill>
                    <w14:srgbClr w14:val="000000">
                      <w14:alpha w14:val="100000"/>
                    </w14:srgbClr>
                  </w14:solidFill>
                </w14:textFill>
              </w:rPr>
              <w:t>|</w:t>
            </w:r>
            <w:r w:rsidR="00D54110" w:rsidRPr="00D54110">
              <w:rPr>
                <w:vertAlign w:val="superscript"/>
              </w:rPr>
              <w:t>3</w:t>
            </w:r>
          </w:p>
        </w:tc>
      </w:tr>
      <w:tr w:rsidR="00B45F74" w:rsidRPr="00B45F74" w14:paraId="6CE49781" w14:textId="77777777" w:rsidTr="00AB21D4">
        <w:tc>
          <w:tcPr>
            <w:tcW w:w="1334" w:type="pct"/>
            <w:tcBorders>
              <w:top w:val="single" w:sz="4" w:space="0" w:color="auto"/>
            </w:tcBorders>
            <w:shd w:val="clear" w:color="auto" w:fill="auto"/>
            <w:vAlign w:val="center"/>
          </w:tcPr>
          <w:p w14:paraId="03F1A3C9" w14:textId="77777777" w:rsidR="00B45F74" w:rsidRPr="00B45F74" w:rsidRDefault="00B45F74" w:rsidP="00AB21D4">
            <w:pPr>
              <w:pStyle w:val="TableText0"/>
              <w:rPr>
                <w:rFonts w:ascii="Times" w:hAnsi="Times"/>
              </w:rPr>
            </w:pPr>
            <w:r w:rsidRPr="00B45F74">
              <w:rPr>
                <w:sz w:val="19"/>
                <w:szCs w:val="19"/>
              </w:rPr>
              <w:t>Net cost to MBS</w:t>
            </w:r>
          </w:p>
        </w:tc>
        <w:tc>
          <w:tcPr>
            <w:tcW w:w="611" w:type="pct"/>
            <w:tcBorders>
              <w:top w:val="single" w:sz="4" w:space="0" w:color="auto"/>
              <w:bottom w:val="single" w:sz="4" w:space="0" w:color="auto"/>
            </w:tcBorders>
          </w:tcPr>
          <w:p w14:paraId="682511F6" w14:textId="35B3EBBE" w:rsidR="00B45F74" w:rsidRPr="00CC047A" w:rsidRDefault="008114C4" w:rsidP="00AB21D4">
            <w:pPr>
              <w:pStyle w:val="TableText0"/>
              <w:jc w:val="center"/>
              <w:rPr>
                <w:highlight w:val="darkGray"/>
              </w:rPr>
            </w:pPr>
            <w:r w:rsidRPr="008114C4">
              <w:rPr>
                <w:color w:val="000000"/>
                <w:spacing w:val="49"/>
                <w:shd w:val="solid" w:color="000000" w:fill="000000"/>
                <w:fitText w:val="320" w:id="-761538290"/>
                <w14:textFill>
                  <w14:solidFill>
                    <w14:srgbClr w14:val="000000">
                      <w14:alpha w14:val="100000"/>
                    </w14:srgbClr>
                  </w14:solidFill>
                </w14:textFill>
              </w:rPr>
              <w:t>|||</w:t>
            </w:r>
            <w:r w:rsidRPr="008114C4">
              <w:rPr>
                <w:color w:val="000000"/>
                <w:spacing w:val="3"/>
                <w:shd w:val="solid" w:color="000000" w:fill="000000"/>
                <w:fitText w:val="320" w:id="-761538290"/>
                <w14:textFill>
                  <w14:solidFill>
                    <w14:srgbClr w14:val="000000">
                      <w14:alpha w14:val="100000"/>
                    </w14:srgbClr>
                  </w14:solidFill>
                </w14:textFill>
              </w:rPr>
              <w:t>|</w:t>
            </w:r>
            <w:r w:rsidR="006109B7" w:rsidRPr="00D54110">
              <w:rPr>
                <w:vertAlign w:val="superscript"/>
              </w:rPr>
              <w:t>3</w:t>
            </w:r>
          </w:p>
        </w:tc>
        <w:tc>
          <w:tcPr>
            <w:tcW w:w="611" w:type="pct"/>
            <w:tcBorders>
              <w:top w:val="single" w:sz="4" w:space="0" w:color="auto"/>
              <w:bottom w:val="single" w:sz="4" w:space="0" w:color="auto"/>
            </w:tcBorders>
          </w:tcPr>
          <w:p w14:paraId="712EF031" w14:textId="57336C71" w:rsidR="00B45F74" w:rsidRPr="00CC047A" w:rsidRDefault="008114C4" w:rsidP="00AB21D4">
            <w:pPr>
              <w:pStyle w:val="TableText0"/>
              <w:jc w:val="center"/>
              <w:rPr>
                <w:highlight w:val="darkGray"/>
              </w:rPr>
            </w:pPr>
            <w:r w:rsidRPr="008114C4">
              <w:rPr>
                <w:color w:val="000000"/>
                <w:spacing w:val="49"/>
                <w:shd w:val="solid" w:color="000000" w:fill="000000"/>
                <w:fitText w:val="320" w:id="-761538289"/>
                <w14:textFill>
                  <w14:solidFill>
                    <w14:srgbClr w14:val="000000">
                      <w14:alpha w14:val="100000"/>
                    </w14:srgbClr>
                  </w14:solidFill>
                </w14:textFill>
              </w:rPr>
              <w:t>|||</w:t>
            </w:r>
            <w:r w:rsidRPr="008114C4">
              <w:rPr>
                <w:color w:val="000000"/>
                <w:spacing w:val="3"/>
                <w:shd w:val="solid" w:color="000000" w:fill="000000"/>
                <w:fitText w:val="320" w:id="-761538289"/>
                <w14:textFill>
                  <w14:solidFill>
                    <w14:srgbClr w14:val="000000">
                      <w14:alpha w14:val="100000"/>
                    </w14:srgbClr>
                  </w14:solidFill>
                </w14:textFill>
              </w:rPr>
              <w:t>|</w:t>
            </w:r>
            <w:r w:rsidR="006109B7" w:rsidRPr="00D54110">
              <w:rPr>
                <w:vertAlign w:val="superscript"/>
              </w:rPr>
              <w:t>3</w:t>
            </w:r>
          </w:p>
        </w:tc>
        <w:tc>
          <w:tcPr>
            <w:tcW w:w="611" w:type="pct"/>
            <w:tcBorders>
              <w:top w:val="single" w:sz="4" w:space="0" w:color="auto"/>
              <w:bottom w:val="single" w:sz="4" w:space="0" w:color="auto"/>
            </w:tcBorders>
          </w:tcPr>
          <w:p w14:paraId="30C1823C" w14:textId="174F0413" w:rsidR="00B45F74" w:rsidRPr="00CC047A" w:rsidRDefault="008114C4" w:rsidP="00AB21D4">
            <w:pPr>
              <w:pStyle w:val="TableText0"/>
              <w:jc w:val="center"/>
              <w:rPr>
                <w:highlight w:val="darkGray"/>
              </w:rPr>
            </w:pPr>
            <w:r w:rsidRPr="008114C4">
              <w:rPr>
                <w:color w:val="000000"/>
                <w:spacing w:val="49"/>
                <w:shd w:val="solid" w:color="000000" w:fill="000000"/>
                <w:fitText w:val="320" w:id="-761538288"/>
                <w14:textFill>
                  <w14:solidFill>
                    <w14:srgbClr w14:val="000000">
                      <w14:alpha w14:val="100000"/>
                    </w14:srgbClr>
                  </w14:solidFill>
                </w14:textFill>
              </w:rPr>
              <w:t>|||</w:t>
            </w:r>
            <w:r w:rsidRPr="008114C4">
              <w:rPr>
                <w:color w:val="000000"/>
                <w:spacing w:val="3"/>
                <w:shd w:val="solid" w:color="000000" w:fill="000000"/>
                <w:fitText w:val="320" w:id="-761538288"/>
                <w14:textFill>
                  <w14:solidFill>
                    <w14:srgbClr w14:val="000000">
                      <w14:alpha w14:val="100000"/>
                    </w14:srgbClr>
                  </w14:solidFill>
                </w14:textFill>
              </w:rPr>
              <w:t>|</w:t>
            </w:r>
            <w:r w:rsidR="006109B7" w:rsidRPr="00D54110">
              <w:rPr>
                <w:vertAlign w:val="superscript"/>
              </w:rPr>
              <w:t>3</w:t>
            </w:r>
          </w:p>
        </w:tc>
        <w:tc>
          <w:tcPr>
            <w:tcW w:w="611" w:type="pct"/>
            <w:tcBorders>
              <w:top w:val="single" w:sz="4" w:space="0" w:color="auto"/>
              <w:bottom w:val="single" w:sz="4" w:space="0" w:color="auto"/>
            </w:tcBorders>
          </w:tcPr>
          <w:p w14:paraId="0AAE0A26" w14:textId="15D2846A" w:rsidR="00B45F74" w:rsidRPr="00CC047A" w:rsidRDefault="008114C4" w:rsidP="00AB21D4">
            <w:pPr>
              <w:pStyle w:val="TableText0"/>
              <w:jc w:val="center"/>
              <w:rPr>
                <w:highlight w:val="darkGray"/>
              </w:rPr>
            </w:pPr>
            <w:r w:rsidRPr="008114C4">
              <w:rPr>
                <w:color w:val="000000"/>
                <w:spacing w:val="49"/>
                <w:shd w:val="solid" w:color="000000" w:fill="000000"/>
                <w:fitText w:val="320" w:id="-761538304"/>
                <w14:textFill>
                  <w14:solidFill>
                    <w14:srgbClr w14:val="000000">
                      <w14:alpha w14:val="100000"/>
                    </w14:srgbClr>
                  </w14:solidFill>
                </w14:textFill>
              </w:rPr>
              <w:t>|||</w:t>
            </w:r>
            <w:r w:rsidRPr="008114C4">
              <w:rPr>
                <w:color w:val="000000"/>
                <w:spacing w:val="3"/>
                <w:shd w:val="solid" w:color="000000" w:fill="000000"/>
                <w:fitText w:val="320" w:id="-761538304"/>
                <w14:textFill>
                  <w14:solidFill>
                    <w14:srgbClr w14:val="000000">
                      <w14:alpha w14:val="100000"/>
                    </w14:srgbClr>
                  </w14:solidFill>
                </w14:textFill>
              </w:rPr>
              <w:t>|</w:t>
            </w:r>
            <w:r w:rsidR="006109B7" w:rsidRPr="00D54110">
              <w:rPr>
                <w:vertAlign w:val="superscript"/>
              </w:rPr>
              <w:t>3</w:t>
            </w:r>
          </w:p>
        </w:tc>
        <w:tc>
          <w:tcPr>
            <w:tcW w:w="611" w:type="pct"/>
            <w:tcBorders>
              <w:top w:val="single" w:sz="4" w:space="0" w:color="auto"/>
              <w:bottom w:val="single" w:sz="4" w:space="0" w:color="auto"/>
            </w:tcBorders>
          </w:tcPr>
          <w:p w14:paraId="51C7F8D2" w14:textId="3FE7C389" w:rsidR="00B45F74" w:rsidRPr="00CC047A" w:rsidRDefault="008114C4" w:rsidP="00AB21D4">
            <w:pPr>
              <w:pStyle w:val="TableText0"/>
              <w:jc w:val="center"/>
              <w:rPr>
                <w:highlight w:val="darkGray"/>
              </w:rPr>
            </w:pPr>
            <w:r w:rsidRPr="008114C4">
              <w:rPr>
                <w:color w:val="000000"/>
                <w:spacing w:val="49"/>
                <w:shd w:val="solid" w:color="000000" w:fill="000000"/>
                <w:fitText w:val="320" w:id="-761538303"/>
                <w14:textFill>
                  <w14:solidFill>
                    <w14:srgbClr w14:val="000000">
                      <w14:alpha w14:val="100000"/>
                    </w14:srgbClr>
                  </w14:solidFill>
                </w14:textFill>
              </w:rPr>
              <w:t>|||</w:t>
            </w:r>
            <w:r w:rsidRPr="008114C4">
              <w:rPr>
                <w:color w:val="000000"/>
                <w:spacing w:val="3"/>
                <w:shd w:val="solid" w:color="000000" w:fill="000000"/>
                <w:fitText w:val="320" w:id="-761538303"/>
                <w14:textFill>
                  <w14:solidFill>
                    <w14:srgbClr w14:val="000000">
                      <w14:alpha w14:val="100000"/>
                    </w14:srgbClr>
                  </w14:solidFill>
                </w14:textFill>
              </w:rPr>
              <w:t>|</w:t>
            </w:r>
            <w:r w:rsidR="006109B7" w:rsidRPr="00D54110">
              <w:rPr>
                <w:vertAlign w:val="superscript"/>
              </w:rPr>
              <w:t>3</w:t>
            </w:r>
          </w:p>
        </w:tc>
        <w:tc>
          <w:tcPr>
            <w:tcW w:w="611" w:type="pct"/>
            <w:tcBorders>
              <w:top w:val="single" w:sz="4" w:space="0" w:color="auto"/>
              <w:bottom w:val="single" w:sz="4" w:space="0" w:color="auto"/>
            </w:tcBorders>
          </w:tcPr>
          <w:p w14:paraId="7FA15FC9" w14:textId="66E0C4DA" w:rsidR="00B45F74" w:rsidRPr="00CC047A" w:rsidRDefault="008114C4" w:rsidP="00AB21D4">
            <w:pPr>
              <w:pStyle w:val="TableText0"/>
              <w:jc w:val="center"/>
              <w:rPr>
                <w:highlight w:val="darkGray"/>
              </w:rPr>
            </w:pPr>
            <w:r w:rsidRPr="008114C4">
              <w:rPr>
                <w:color w:val="000000"/>
                <w:spacing w:val="49"/>
                <w:shd w:val="solid" w:color="000000" w:fill="000000"/>
                <w:fitText w:val="320" w:id="-761538302"/>
                <w14:textFill>
                  <w14:solidFill>
                    <w14:srgbClr w14:val="000000">
                      <w14:alpha w14:val="100000"/>
                    </w14:srgbClr>
                  </w14:solidFill>
                </w14:textFill>
              </w:rPr>
              <w:t>|||</w:t>
            </w:r>
            <w:r w:rsidRPr="008114C4">
              <w:rPr>
                <w:color w:val="000000"/>
                <w:spacing w:val="3"/>
                <w:shd w:val="solid" w:color="000000" w:fill="000000"/>
                <w:fitText w:val="320" w:id="-761538302"/>
                <w14:textFill>
                  <w14:solidFill>
                    <w14:srgbClr w14:val="000000">
                      <w14:alpha w14:val="100000"/>
                    </w14:srgbClr>
                  </w14:solidFill>
                </w14:textFill>
              </w:rPr>
              <w:t>|</w:t>
            </w:r>
            <w:r w:rsidR="006109B7" w:rsidRPr="00D54110">
              <w:rPr>
                <w:vertAlign w:val="superscript"/>
              </w:rPr>
              <w:t>3</w:t>
            </w:r>
          </w:p>
        </w:tc>
      </w:tr>
      <w:tr w:rsidR="00B45F74" w:rsidRPr="00B45F74" w14:paraId="7EB64555" w14:textId="77777777" w:rsidTr="00AB21D4">
        <w:tc>
          <w:tcPr>
            <w:tcW w:w="1334" w:type="pct"/>
            <w:shd w:val="clear" w:color="auto" w:fill="auto"/>
            <w:vAlign w:val="center"/>
          </w:tcPr>
          <w:p w14:paraId="189528E0" w14:textId="77777777" w:rsidR="00B45F74" w:rsidRPr="00B45F74" w:rsidRDefault="00B45F74" w:rsidP="00AB21D4">
            <w:pPr>
              <w:pStyle w:val="TableText0"/>
              <w:rPr>
                <w:sz w:val="19"/>
                <w:szCs w:val="19"/>
              </w:rPr>
            </w:pPr>
            <w:r w:rsidRPr="00B45F74">
              <w:rPr>
                <w:sz w:val="19"/>
                <w:szCs w:val="19"/>
              </w:rPr>
              <w:t>Net cost to Australian Government</w:t>
            </w:r>
            <w:r w:rsidRPr="00B45F74">
              <w:rPr>
                <w:sz w:val="19"/>
                <w:szCs w:val="19"/>
                <w:vertAlign w:val="superscript"/>
              </w:rPr>
              <w:t>b</w:t>
            </w:r>
          </w:p>
        </w:tc>
        <w:tc>
          <w:tcPr>
            <w:tcW w:w="611" w:type="pct"/>
            <w:tcBorders>
              <w:top w:val="single" w:sz="4" w:space="0" w:color="auto"/>
              <w:left w:val="nil"/>
              <w:bottom w:val="single" w:sz="4" w:space="0" w:color="auto"/>
              <w:right w:val="single" w:sz="4" w:space="0" w:color="auto"/>
            </w:tcBorders>
            <w:shd w:val="clear" w:color="auto" w:fill="auto"/>
            <w:vAlign w:val="center"/>
          </w:tcPr>
          <w:p w14:paraId="2D4DDA57" w14:textId="106AE980" w:rsidR="00B45F74" w:rsidRPr="00CC047A" w:rsidRDefault="008114C4" w:rsidP="00AB21D4">
            <w:pPr>
              <w:pStyle w:val="TableText0"/>
              <w:jc w:val="center"/>
              <w:rPr>
                <w:highlight w:val="darkGray"/>
              </w:rPr>
            </w:pPr>
            <w:r w:rsidRPr="008114C4">
              <w:rPr>
                <w:color w:val="000000"/>
                <w:spacing w:val="49"/>
                <w:shd w:val="solid" w:color="000000" w:fill="000000"/>
                <w:fitText w:val="320" w:id="-761538301"/>
                <w14:textFill>
                  <w14:solidFill>
                    <w14:srgbClr w14:val="000000">
                      <w14:alpha w14:val="100000"/>
                    </w14:srgbClr>
                  </w14:solidFill>
                </w14:textFill>
              </w:rPr>
              <w:t>|||</w:t>
            </w:r>
            <w:r w:rsidRPr="008114C4">
              <w:rPr>
                <w:color w:val="000000"/>
                <w:spacing w:val="3"/>
                <w:shd w:val="solid" w:color="000000" w:fill="000000"/>
                <w:fitText w:val="320" w:id="-761538301"/>
                <w14:textFill>
                  <w14:solidFill>
                    <w14:srgbClr w14:val="000000">
                      <w14:alpha w14:val="100000"/>
                    </w14:srgbClr>
                  </w14:solidFill>
                </w14:textFill>
              </w:rPr>
              <w:t>|</w:t>
            </w:r>
            <w:r w:rsidR="006109B7" w:rsidRPr="00D54110">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EBE0197" w14:textId="04E8F0C4" w:rsidR="00B45F74" w:rsidRPr="00CC047A" w:rsidRDefault="008114C4" w:rsidP="00AB21D4">
            <w:pPr>
              <w:pStyle w:val="TableText0"/>
              <w:jc w:val="center"/>
              <w:rPr>
                <w:highlight w:val="darkGray"/>
              </w:rPr>
            </w:pPr>
            <w:r w:rsidRPr="008114C4">
              <w:rPr>
                <w:color w:val="000000"/>
                <w:spacing w:val="49"/>
                <w:shd w:val="solid" w:color="000000" w:fill="000000"/>
                <w:fitText w:val="320" w:id="-761538300"/>
                <w14:textFill>
                  <w14:solidFill>
                    <w14:srgbClr w14:val="000000">
                      <w14:alpha w14:val="100000"/>
                    </w14:srgbClr>
                  </w14:solidFill>
                </w14:textFill>
              </w:rPr>
              <w:t>|||</w:t>
            </w:r>
            <w:r w:rsidRPr="008114C4">
              <w:rPr>
                <w:color w:val="000000"/>
                <w:spacing w:val="3"/>
                <w:shd w:val="solid" w:color="000000" w:fill="000000"/>
                <w:fitText w:val="320" w:id="-761538300"/>
                <w14:textFill>
                  <w14:solidFill>
                    <w14:srgbClr w14:val="000000">
                      <w14:alpha w14:val="100000"/>
                    </w14:srgbClr>
                  </w14:solidFill>
                </w14:textFill>
              </w:rPr>
              <w:t>|</w:t>
            </w:r>
            <w:r w:rsidR="006109B7" w:rsidRPr="00D54110">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A4FCA5B" w14:textId="33F6A3C6" w:rsidR="00B45F74" w:rsidRPr="00CC047A" w:rsidRDefault="008114C4" w:rsidP="00AB21D4">
            <w:pPr>
              <w:pStyle w:val="TableText0"/>
              <w:jc w:val="center"/>
              <w:rPr>
                <w:highlight w:val="darkGray"/>
              </w:rPr>
            </w:pPr>
            <w:r w:rsidRPr="008114C4">
              <w:rPr>
                <w:color w:val="000000"/>
                <w:spacing w:val="49"/>
                <w:shd w:val="solid" w:color="000000" w:fill="000000"/>
                <w:fitText w:val="320" w:id="-761538299"/>
                <w14:textFill>
                  <w14:solidFill>
                    <w14:srgbClr w14:val="000000">
                      <w14:alpha w14:val="100000"/>
                    </w14:srgbClr>
                  </w14:solidFill>
                </w14:textFill>
              </w:rPr>
              <w:t>|||</w:t>
            </w:r>
            <w:r w:rsidRPr="008114C4">
              <w:rPr>
                <w:color w:val="000000"/>
                <w:spacing w:val="3"/>
                <w:shd w:val="solid" w:color="000000" w:fill="000000"/>
                <w:fitText w:val="320" w:id="-761538299"/>
                <w14:textFill>
                  <w14:solidFill>
                    <w14:srgbClr w14:val="000000">
                      <w14:alpha w14:val="100000"/>
                    </w14:srgbClr>
                  </w14:solidFill>
                </w14:textFill>
              </w:rPr>
              <w:t>|</w:t>
            </w:r>
            <w:r w:rsidR="006109B7" w:rsidRPr="00D54110">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212F05B" w14:textId="4BE24C99" w:rsidR="00B45F74" w:rsidRPr="00CC047A" w:rsidRDefault="008114C4" w:rsidP="00AB21D4">
            <w:pPr>
              <w:pStyle w:val="TableText0"/>
              <w:jc w:val="center"/>
              <w:rPr>
                <w:highlight w:val="darkGray"/>
              </w:rPr>
            </w:pPr>
            <w:r w:rsidRPr="008114C4">
              <w:rPr>
                <w:color w:val="000000"/>
                <w:spacing w:val="49"/>
                <w:shd w:val="solid" w:color="000000" w:fill="000000"/>
                <w:fitText w:val="320" w:id="-761538298"/>
                <w14:textFill>
                  <w14:solidFill>
                    <w14:srgbClr w14:val="000000">
                      <w14:alpha w14:val="100000"/>
                    </w14:srgbClr>
                  </w14:solidFill>
                </w14:textFill>
              </w:rPr>
              <w:t>|||</w:t>
            </w:r>
            <w:r w:rsidRPr="008114C4">
              <w:rPr>
                <w:color w:val="000000"/>
                <w:spacing w:val="3"/>
                <w:shd w:val="solid" w:color="000000" w:fill="000000"/>
                <w:fitText w:val="320" w:id="-761538298"/>
                <w14:textFill>
                  <w14:solidFill>
                    <w14:srgbClr w14:val="000000">
                      <w14:alpha w14:val="100000"/>
                    </w14:srgbClr>
                  </w14:solidFill>
                </w14:textFill>
              </w:rPr>
              <w:t>|</w:t>
            </w:r>
            <w:r w:rsidR="006109B7" w:rsidRPr="00D54110">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B9BB119" w14:textId="56EEF872" w:rsidR="00B45F74" w:rsidRPr="00CC047A" w:rsidRDefault="008114C4" w:rsidP="00AB21D4">
            <w:pPr>
              <w:pStyle w:val="TableText0"/>
              <w:jc w:val="center"/>
              <w:rPr>
                <w:highlight w:val="darkGray"/>
              </w:rPr>
            </w:pPr>
            <w:r w:rsidRPr="008114C4">
              <w:rPr>
                <w:color w:val="000000"/>
                <w:spacing w:val="49"/>
                <w:shd w:val="solid" w:color="000000" w:fill="000000"/>
                <w:fitText w:val="320" w:id="-761538297"/>
                <w14:textFill>
                  <w14:solidFill>
                    <w14:srgbClr w14:val="000000">
                      <w14:alpha w14:val="100000"/>
                    </w14:srgbClr>
                  </w14:solidFill>
                </w14:textFill>
              </w:rPr>
              <w:t>|||</w:t>
            </w:r>
            <w:r w:rsidRPr="008114C4">
              <w:rPr>
                <w:color w:val="000000"/>
                <w:spacing w:val="3"/>
                <w:shd w:val="solid" w:color="000000" w:fill="000000"/>
                <w:fitText w:val="320" w:id="-761538297"/>
                <w14:textFill>
                  <w14:solidFill>
                    <w14:srgbClr w14:val="000000">
                      <w14:alpha w14:val="100000"/>
                    </w14:srgbClr>
                  </w14:solidFill>
                </w14:textFill>
              </w:rPr>
              <w:t>|</w:t>
            </w:r>
            <w:r w:rsidR="006109B7" w:rsidRPr="00D54110">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EE5BDFB" w14:textId="53585C52" w:rsidR="00B45F74" w:rsidRPr="00CC047A" w:rsidRDefault="008114C4" w:rsidP="00AB21D4">
            <w:pPr>
              <w:pStyle w:val="TableText0"/>
              <w:jc w:val="center"/>
              <w:rPr>
                <w:highlight w:val="darkGray"/>
              </w:rPr>
            </w:pPr>
            <w:r>
              <w:rPr>
                <w:color w:val="000000"/>
                <w:spacing w:val="49"/>
                <w:shd w:val="solid" w:color="000000" w:fill="000000"/>
                <w:fitText w:val="320" w:id="-761538296"/>
                <w14:textFill>
                  <w14:solidFill>
                    <w14:srgbClr w14:val="000000">
                      <w14:alpha w14:val="100000"/>
                    </w14:srgbClr>
                  </w14:solidFill>
                </w14:textFill>
              </w:rPr>
              <w:t>|||</w:t>
            </w:r>
            <w:r>
              <w:rPr>
                <w:color w:val="000000"/>
                <w:spacing w:val="1"/>
                <w:shd w:val="solid" w:color="000000" w:fill="000000"/>
                <w:fitText w:val="320" w:id="-761538296"/>
                <w14:textFill>
                  <w14:solidFill>
                    <w14:srgbClr w14:val="000000">
                      <w14:alpha w14:val="100000"/>
                    </w14:srgbClr>
                  </w14:solidFill>
                </w14:textFill>
              </w:rPr>
              <w:t>|</w:t>
            </w:r>
            <w:r w:rsidR="006109B7" w:rsidRPr="00D54110">
              <w:rPr>
                <w:vertAlign w:val="superscript"/>
              </w:rPr>
              <w:t>3</w:t>
            </w:r>
          </w:p>
        </w:tc>
      </w:tr>
    </w:tbl>
    <w:p w14:paraId="318ED786" w14:textId="77777777" w:rsidR="00B45F74" w:rsidRPr="00B45F74" w:rsidRDefault="00B45F74" w:rsidP="00B45F74">
      <w:pPr>
        <w:pStyle w:val="FooterTableFigure"/>
      </w:pPr>
      <w:r w:rsidRPr="00B45F74">
        <w:t>Source: Tables 4-8, 4-9, 4-10 &amp; 4-12, pp176, 177 &amp; 179 of the submission; Sheet ‘2c. Patients – GF’ of the Section 4 workbook. Italicised text (net cost to PBS/RPBS and Australian Government using proposed effective price for fenfluramine, assumed effective for cannabidiol, and published price for stiripentol in July 2024 added during the evaluation).</w:t>
      </w:r>
    </w:p>
    <w:p w14:paraId="4FEEFD14" w14:textId="77777777" w:rsidR="00B45F74" w:rsidRPr="00B45F74" w:rsidRDefault="00B45F74" w:rsidP="00B45F74">
      <w:pPr>
        <w:pStyle w:val="FooterTableFigure"/>
        <w:rPr>
          <w:rStyle w:val="CommentReference"/>
        </w:rPr>
      </w:pPr>
      <w:r w:rsidRPr="00B45F74">
        <w:t>DPMQ = Dispensed Price for Maximum Quantity; MBS = Medicare Benefits Schedule; PBS = Pharmaceutical Benefits Scheme; RPBS = Repatriation Pharmaceutical Benefits Scheme.</w:t>
      </w:r>
    </w:p>
    <w:p w14:paraId="1E6FDA75" w14:textId="19B5E12E" w:rsidR="00B45F74" w:rsidRPr="00B45F74" w:rsidRDefault="00B45F74" w:rsidP="00B45F74">
      <w:pPr>
        <w:pStyle w:val="FooterTableFigure"/>
      </w:pPr>
      <w:proofErr w:type="spellStart"/>
      <w:r w:rsidRPr="00B45F74">
        <w:rPr>
          <w:vertAlign w:val="superscript"/>
        </w:rPr>
        <w:t>a</w:t>
      </w:r>
      <w:proofErr w:type="spellEnd"/>
      <w:r w:rsidRPr="00B45F74">
        <w:t xml:space="preserve"> The submission proposed that </w:t>
      </w:r>
      <w:r w:rsidR="00F842FD">
        <w:t>&lt; 500</w:t>
      </w:r>
      <w:r w:rsidR="00F842FD" w:rsidRPr="00B45F74">
        <w:t xml:space="preserve"> </w:t>
      </w:r>
      <w:r w:rsidRPr="00B45F74">
        <w:t xml:space="preserve">patients would be eligible for the grandfathering restriction, and of these 5% would discontinue treatment, leaving </w:t>
      </w:r>
      <w:r w:rsidR="00F842FD">
        <w:t xml:space="preserve"> &lt; 500 </w:t>
      </w:r>
      <w:r w:rsidRPr="00B45F74">
        <w:t>patients to be treated under the PBS grandfathering restriction in Year 1 (2024).</w:t>
      </w:r>
    </w:p>
    <w:p w14:paraId="441C8D73" w14:textId="77777777" w:rsidR="00B45F74" w:rsidRPr="00B45F74" w:rsidRDefault="00B45F74" w:rsidP="00B45F74">
      <w:pPr>
        <w:pStyle w:val="FooterTableFigure"/>
      </w:pPr>
      <w:r w:rsidRPr="00B45F74">
        <w:rPr>
          <w:vertAlign w:val="superscript"/>
        </w:rPr>
        <w:t>b</w:t>
      </w:r>
      <w:r w:rsidRPr="00B45F74">
        <w:t xml:space="preserve"> Assuming 7.71 scripts per year for grandfathered patients, script substitution from cannabidiol = 0.464, stiripentol 250 mg = 0.758, and stiripentol 500 mg = 1.285.</w:t>
      </w:r>
    </w:p>
    <w:p w14:paraId="166B518B" w14:textId="77777777" w:rsidR="00B45F74" w:rsidRDefault="00B45F74" w:rsidP="00B45F74">
      <w:pPr>
        <w:pStyle w:val="FooterTableFigure"/>
      </w:pPr>
      <w:r w:rsidRPr="00B45F74">
        <w:rPr>
          <w:vertAlign w:val="superscript"/>
        </w:rPr>
        <w:t>c</w:t>
      </w:r>
      <w:r w:rsidRPr="00B45F74">
        <w:t xml:space="preserve"> The submission applied DPMQs from June 2024. Applying July 2024 DPMQs had minimal impact on the financial estimates.</w:t>
      </w:r>
    </w:p>
    <w:p w14:paraId="53605676" w14:textId="77777777" w:rsidR="001560EF" w:rsidRPr="00D424D8" w:rsidRDefault="001560EF" w:rsidP="001560EF">
      <w:pPr>
        <w:pStyle w:val="FooterTableFigure"/>
        <w:rPr>
          <w:i/>
          <w:iCs/>
        </w:rPr>
      </w:pPr>
      <w:r w:rsidRPr="00D424D8">
        <w:rPr>
          <w:i/>
          <w:iCs/>
        </w:rPr>
        <w:t>The redacted values correspond to the following ranges:</w:t>
      </w:r>
    </w:p>
    <w:p w14:paraId="39827BB2" w14:textId="11185647" w:rsidR="00D31B1E" w:rsidRPr="00D424D8" w:rsidRDefault="00D31B1E" w:rsidP="001560EF">
      <w:pPr>
        <w:pStyle w:val="FooterTableFigure"/>
        <w:rPr>
          <w:i/>
          <w:iCs/>
        </w:rPr>
      </w:pPr>
      <w:r w:rsidRPr="00D424D8">
        <w:rPr>
          <w:i/>
          <w:iCs/>
        </w:rPr>
        <w:t>1 &lt; 500</w:t>
      </w:r>
    </w:p>
    <w:p w14:paraId="31E1BF70" w14:textId="0AB53FE6" w:rsidR="001560EF" w:rsidRPr="00D424D8" w:rsidRDefault="00D54110" w:rsidP="001560EF">
      <w:pPr>
        <w:pStyle w:val="FooterTableFigure"/>
        <w:rPr>
          <w:i/>
          <w:iCs/>
        </w:rPr>
      </w:pPr>
      <w:r w:rsidRPr="00D424D8">
        <w:rPr>
          <w:i/>
          <w:iCs/>
        </w:rPr>
        <w:t>2</w:t>
      </w:r>
      <w:r w:rsidR="001560EF" w:rsidRPr="00D424D8">
        <w:rPr>
          <w:i/>
          <w:iCs/>
        </w:rPr>
        <w:t xml:space="preserve"> 500 to &lt; 5,000</w:t>
      </w:r>
    </w:p>
    <w:p w14:paraId="55FFB220" w14:textId="3145719D" w:rsidR="00D4638B" w:rsidRPr="00D424D8" w:rsidRDefault="00D4638B" w:rsidP="001560EF">
      <w:pPr>
        <w:pStyle w:val="FooterTableFigure"/>
        <w:rPr>
          <w:i/>
          <w:iCs/>
        </w:rPr>
      </w:pPr>
      <w:r w:rsidRPr="00D424D8">
        <w:rPr>
          <w:bCs/>
          <w:i/>
          <w:iCs/>
        </w:rPr>
        <w:t>3 $0 to &lt; $10 million</w:t>
      </w:r>
    </w:p>
    <w:p w14:paraId="232BE9D5" w14:textId="64CC9721" w:rsidR="00897420" w:rsidRPr="00504C76" w:rsidRDefault="00897420" w:rsidP="001560EF">
      <w:pPr>
        <w:pStyle w:val="FooterTableFigure"/>
        <w:rPr>
          <w:i/>
          <w:iCs/>
        </w:rPr>
      </w:pPr>
      <w:bookmarkStart w:id="103" w:name="_Hlk113629082"/>
      <w:r w:rsidRPr="00D424D8">
        <w:rPr>
          <w:i/>
          <w:iCs/>
        </w:rPr>
        <w:t>4 net cost saving</w:t>
      </w:r>
      <w:bookmarkEnd w:id="103"/>
    </w:p>
    <w:bookmarkEnd w:id="102"/>
    <w:p w14:paraId="33BC0EAA" w14:textId="3BF330EF" w:rsidR="00B45F74" w:rsidRPr="00D87CFA" w:rsidRDefault="00B45F74" w:rsidP="00D87CFA">
      <w:pPr>
        <w:pStyle w:val="3-BodyText"/>
      </w:pPr>
      <w:r w:rsidRPr="00D87CFA">
        <w:t>The total cost to the PBS/RPBS of listing fenfluramine</w:t>
      </w:r>
      <w:r w:rsidR="00EC04BD" w:rsidRPr="00D87CFA">
        <w:t xml:space="preserve"> at the price proposed in the submission</w:t>
      </w:r>
      <w:r w:rsidRPr="00D87CFA">
        <w:t xml:space="preserve"> was estimated to be </w:t>
      </w:r>
      <w:r w:rsidR="00FD30E3" w:rsidRPr="00FD30E3">
        <w:t>$0</w:t>
      </w:r>
      <w:r w:rsidR="00C469F9">
        <w:t> </w:t>
      </w:r>
      <w:r w:rsidR="00FD30E3" w:rsidRPr="00FD30E3">
        <w:t>to</w:t>
      </w:r>
      <w:r w:rsidR="00C469F9">
        <w:t> </w:t>
      </w:r>
      <w:r w:rsidR="00FD30E3" w:rsidRPr="00FD30E3">
        <w:t>&lt;</w:t>
      </w:r>
      <w:r w:rsidR="00C469F9">
        <w:t> </w:t>
      </w:r>
      <w:r w:rsidR="00FD30E3" w:rsidRPr="00FD30E3">
        <w:t>$10</w:t>
      </w:r>
      <w:r w:rsidR="00C469F9">
        <w:t> </w:t>
      </w:r>
      <w:r w:rsidR="00FD30E3" w:rsidRPr="00FD30E3">
        <w:t>million</w:t>
      </w:r>
      <w:r w:rsidR="00504C76">
        <w:t xml:space="preserve"> </w:t>
      </w:r>
      <w:r w:rsidRPr="00D87CFA">
        <w:t xml:space="preserve">in Year 6, and a total of </w:t>
      </w:r>
      <w:r w:rsidR="0039102E" w:rsidRPr="0039102E">
        <w:t>$10</w:t>
      </w:r>
      <w:r w:rsidR="00504C76">
        <w:t> </w:t>
      </w:r>
      <w:r w:rsidR="0039102E" w:rsidRPr="0039102E">
        <w:t>million</w:t>
      </w:r>
      <w:r w:rsidR="00504C76">
        <w:t> </w:t>
      </w:r>
      <w:r w:rsidR="0039102E" w:rsidRPr="0039102E">
        <w:t>to &lt; $20 million</w:t>
      </w:r>
      <w:r w:rsidR="00C469F9">
        <w:t xml:space="preserve"> </w:t>
      </w:r>
      <w:r w:rsidRPr="00D87CFA">
        <w:t xml:space="preserve">in the first 6 years of listing when the assumed effective price of cannabidiol was used. </w:t>
      </w:r>
    </w:p>
    <w:p w14:paraId="3FA7F5C3" w14:textId="47E882A7" w:rsidR="00EC04BD" w:rsidRPr="00D87CFA" w:rsidRDefault="00EC04BD" w:rsidP="00D87CFA">
      <w:pPr>
        <w:pStyle w:val="3-BodyText"/>
      </w:pPr>
      <w:r w:rsidRPr="00D87CFA">
        <w:t>The DUSC considered use by adult patients may have been underestimated, as an analysis of PBS prescriptions for Dravet syndrome suggested the mean age of treated patients was 16 and the median was 14.</w:t>
      </w:r>
    </w:p>
    <w:p w14:paraId="7CEF6007" w14:textId="35C1B232" w:rsidR="00B45F74" w:rsidRPr="00D87CFA" w:rsidRDefault="004A5687" w:rsidP="00D87CFA">
      <w:pPr>
        <w:pStyle w:val="3-BodyText"/>
      </w:pPr>
      <w:r w:rsidRPr="00D87CFA">
        <w:t xml:space="preserve">The Pre-PBAC Response acknowledged the advice of the DUSC, however argued that while </w:t>
      </w:r>
      <w:r w:rsidR="00F26FF8" w:rsidRPr="00D87CFA">
        <w:t xml:space="preserve">higher than expected use in adults may increase the use of fenfluramine, it also means the use of stiripentol and cannabidiol were likely underestimated, as there is no maximum daily dose for these agents with increasing weight. Furthermore, the Response </w:t>
      </w:r>
      <w:r w:rsidR="0036080F" w:rsidRPr="00D87CFA">
        <w:t>acknowledged that whilst some combination use of fenfluramine</w:t>
      </w:r>
      <w:r w:rsidR="00F10D2B" w:rsidRPr="00D87CFA">
        <w:t xml:space="preserve"> and cannabidiol </w:t>
      </w:r>
      <w:r w:rsidR="0036080F" w:rsidRPr="00D87CFA">
        <w:t>(in any combination) may occur</w:t>
      </w:r>
      <w:r w:rsidR="00F10D2B" w:rsidRPr="00D87CFA">
        <w:t xml:space="preserve"> in practice</w:t>
      </w:r>
      <w:r w:rsidR="0036080F" w:rsidRPr="00D87CFA">
        <w:t xml:space="preserve">, </w:t>
      </w:r>
      <w:r w:rsidR="00F10D2B" w:rsidRPr="00D87CFA">
        <w:t>the lack of available evidence</w:t>
      </w:r>
      <w:r w:rsidR="0017462F" w:rsidRPr="00D87CFA">
        <w:t xml:space="preserve"> is likely to limit such use, and argued any use in this manner would likely be offset </w:t>
      </w:r>
      <w:r w:rsidR="00226778" w:rsidRPr="00D87CFA">
        <w:t xml:space="preserve">by </w:t>
      </w:r>
      <w:r w:rsidR="00226778" w:rsidRPr="00D87CFA">
        <w:lastRenderedPageBreak/>
        <w:t>lower estimated costs given the DUSC advice the prevalent treated population was smaller than estimated by the submission.</w:t>
      </w:r>
    </w:p>
    <w:p w14:paraId="5EF965D9" w14:textId="77777777" w:rsidR="00CE7338" w:rsidRPr="006B5229" w:rsidRDefault="00CE7338" w:rsidP="00CE7338">
      <w:pPr>
        <w:pStyle w:val="4-SubsectionHeading"/>
      </w:pPr>
      <w:r w:rsidRPr="006B5229">
        <w:t>Quality Use of Medicines</w:t>
      </w:r>
      <w:bookmarkEnd w:id="98"/>
      <w:bookmarkEnd w:id="99"/>
    </w:p>
    <w:p w14:paraId="4FD01EBF" w14:textId="74198180" w:rsidR="00BC4C70" w:rsidRPr="00D87CFA" w:rsidRDefault="00CE7338" w:rsidP="00D87CFA">
      <w:pPr>
        <w:pStyle w:val="3-BodyText"/>
      </w:pPr>
      <w:r w:rsidRPr="00D87CFA">
        <w:t>The submission did not present a quality use of medicines section. Dosing of liquid medicines can be challenging, and educational materials for patients and caregivers regarding measuring and administering these medicines (i.e., working in mL, using a dose adaptor and supplied syringes) would be beneficial.</w:t>
      </w:r>
    </w:p>
    <w:p w14:paraId="18B777BC" w14:textId="79EDE049" w:rsidR="000305AB" w:rsidRPr="00D87CFA" w:rsidRDefault="000305AB" w:rsidP="00D87CFA">
      <w:pPr>
        <w:pStyle w:val="3-BodyText"/>
      </w:pPr>
      <w:r w:rsidRPr="00D87CFA">
        <w:t xml:space="preserve">The DUSC considered educational materials for patients and caregivers regarding the measurement and administration of fenfluramine would be beneficial. </w:t>
      </w:r>
      <w:r w:rsidR="005C175F" w:rsidRPr="00D87CFA">
        <w:t>The Pre-PBAC Response stated the consumer medicines information (CMI) documentation for fenfluramine will include</w:t>
      </w:r>
      <w:r w:rsidR="0004231B" w:rsidRPr="00D87CFA">
        <w:t xml:space="preserve"> instructions on the measurement and administration for patients. </w:t>
      </w:r>
    </w:p>
    <w:p w14:paraId="30904464" w14:textId="006FFA51" w:rsidR="00B45F74" w:rsidRPr="001660F7" w:rsidRDefault="00B45F74" w:rsidP="001660F7">
      <w:pPr>
        <w:ind w:firstLine="709"/>
        <w:rPr>
          <w:rFonts w:asciiTheme="minorHAnsi" w:hAnsiTheme="minorHAnsi"/>
          <w:i/>
        </w:rPr>
      </w:pPr>
      <w:r w:rsidRPr="00C33D30">
        <w:rPr>
          <w:rFonts w:asciiTheme="minorHAnsi" w:hAnsiTheme="minorHAnsi"/>
          <w:i/>
        </w:rPr>
        <w:t>For more detail on PBAC’s view, see section 7 PBAC outcome.</w:t>
      </w:r>
    </w:p>
    <w:p w14:paraId="3E499BDF" w14:textId="77777777" w:rsidR="00B45F74" w:rsidRPr="0090150D" w:rsidRDefault="00B45F74" w:rsidP="00B45F74">
      <w:pPr>
        <w:pStyle w:val="2-SectionHeading"/>
      </w:pPr>
      <w:bookmarkStart w:id="104" w:name="_Hlk76381249"/>
      <w:bookmarkStart w:id="105" w:name="_Toc177562915"/>
      <w:r w:rsidRPr="0090150D">
        <w:t>PBAC Outcome</w:t>
      </w:r>
    </w:p>
    <w:p w14:paraId="5151FB34" w14:textId="07E31418" w:rsidR="00C53E5E" w:rsidRPr="00C53E5E" w:rsidRDefault="00AD3283" w:rsidP="00C53E5E">
      <w:pPr>
        <w:widowControl w:val="0"/>
        <w:numPr>
          <w:ilvl w:val="1"/>
          <w:numId w:val="3"/>
        </w:numPr>
        <w:spacing w:after="120"/>
        <w:rPr>
          <w:rFonts w:asciiTheme="minorHAnsi" w:hAnsiTheme="minorHAnsi"/>
          <w:snapToGrid w:val="0"/>
          <w:lang w:val="en-GB"/>
        </w:rPr>
      </w:pPr>
      <w:r w:rsidRPr="00AD3283">
        <w:rPr>
          <w:rFonts w:asciiTheme="minorHAnsi" w:hAnsiTheme="minorHAnsi"/>
          <w:snapToGrid w:val="0"/>
          <w:lang w:val="en-GB"/>
        </w:rPr>
        <w:t>The PBAC recommended the General Schedule, Authority Required (telephone/online) listing of fenfluramine for the treatment of</w:t>
      </w:r>
      <w:r w:rsidR="00FE1E06">
        <w:rPr>
          <w:rFonts w:asciiTheme="minorHAnsi" w:hAnsiTheme="minorHAnsi"/>
          <w:snapToGrid w:val="0"/>
          <w:lang w:val="en-GB"/>
        </w:rPr>
        <w:t xml:space="preserve"> seizures associated with</w:t>
      </w:r>
      <w:r w:rsidRPr="00AD3283">
        <w:rPr>
          <w:rFonts w:asciiTheme="minorHAnsi" w:hAnsiTheme="minorHAnsi"/>
          <w:snapToGrid w:val="0"/>
          <w:lang w:val="en-GB"/>
        </w:rPr>
        <w:t xml:space="preserve"> Dravet Syndrome</w:t>
      </w:r>
      <w:r w:rsidR="00E812D1">
        <w:rPr>
          <w:rFonts w:asciiTheme="minorHAnsi" w:hAnsiTheme="minorHAnsi"/>
          <w:snapToGrid w:val="0"/>
          <w:lang w:val="en-GB"/>
        </w:rPr>
        <w:t>,</w:t>
      </w:r>
      <w:r w:rsidR="00BE513A">
        <w:rPr>
          <w:rFonts w:asciiTheme="minorHAnsi" w:hAnsiTheme="minorHAnsi"/>
          <w:snapToGrid w:val="0"/>
          <w:lang w:val="en-GB"/>
        </w:rPr>
        <w:t xml:space="preserve"> to be used</w:t>
      </w:r>
      <w:r w:rsidRPr="00AD3283">
        <w:rPr>
          <w:rFonts w:asciiTheme="minorHAnsi" w:hAnsiTheme="minorHAnsi"/>
          <w:snapToGrid w:val="0"/>
          <w:lang w:val="en-GB"/>
        </w:rPr>
        <w:t xml:space="preserve"> in </w:t>
      </w:r>
      <w:r w:rsidR="00E812D1">
        <w:rPr>
          <w:rFonts w:asciiTheme="minorHAnsi" w:hAnsiTheme="minorHAnsi"/>
          <w:snapToGrid w:val="0"/>
          <w:lang w:val="en-GB"/>
        </w:rPr>
        <w:t>combination with at least</w:t>
      </w:r>
      <w:r w:rsidRPr="00AD3283">
        <w:rPr>
          <w:rFonts w:asciiTheme="minorHAnsi" w:hAnsiTheme="minorHAnsi"/>
          <w:snapToGrid w:val="0"/>
          <w:lang w:val="en-GB"/>
        </w:rPr>
        <w:t xml:space="preserve"> two </w:t>
      </w:r>
      <w:r w:rsidR="00E812D1">
        <w:rPr>
          <w:rFonts w:asciiTheme="minorHAnsi" w:hAnsiTheme="minorHAnsi"/>
          <w:snapToGrid w:val="0"/>
          <w:lang w:val="en-GB"/>
        </w:rPr>
        <w:t>other</w:t>
      </w:r>
      <w:r w:rsidRPr="00AD3283">
        <w:rPr>
          <w:rFonts w:asciiTheme="minorHAnsi" w:hAnsiTheme="minorHAnsi"/>
          <w:snapToGrid w:val="0"/>
          <w:lang w:val="en-GB"/>
        </w:rPr>
        <w:t xml:space="preserve"> anti-epileptic drugs</w:t>
      </w:r>
      <w:r w:rsidR="005F6433">
        <w:rPr>
          <w:rFonts w:asciiTheme="minorHAnsi" w:hAnsiTheme="minorHAnsi"/>
          <w:snapToGrid w:val="0"/>
          <w:lang w:val="en-GB"/>
        </w:rPr>
        <w:t xml:space="preserve"> (AEDs)</w:t>
      </w:r>
      <w:r w:rsidR="003001DE">
        <w:rPr>
          <w:rFonts w:asciiTheme="minorHAnsi" w:hAnsiTheme="minorHAnsi"/>
          <w:snapToGrid w:val="0"/>
          <w:lang w:val="en-GB"/>
        </w:rPr>
        <w:t>.</w:t>
      </w:r>
      <w:r w:rsidRPr="00AD3283">
        <w:rPr>
          <w:rFonts w:asciiTheme="minorHAnsi" w:hAnsiTheme="minorHAnsi"/>
          <w:snapToGrid w:val="0"/>
          <w:lang w:val="en-GB"/>
        </w:rPr>
        <w:t xml:space="preserve"> In making this recommendation, the PBAC recognised the high unmet clinical need for effective therapies for this </w:t>
      </w:r>
      <w:r w:rsidR="003001DE">
        <w:rPr>
          <w:rFonts w:asciiTheme="minorHAnsi" w:hAnsiTheme="minorHAnsi"/>
          <w:snapToGrid w:val="0"/>
          <w:lang w:val="en-GB"/>
        </w:rPr>
        <w:t>refractory</w:t>
      </w:r>
      <w:r w:rsidR="000D636F" w:rsidRPr="00AD3283">
        <w:rPr>
          <w:rFonts w:asciiTheme="minorHAnsi" w:hAnsiTheme="minorHAnsi"/>
          <w:snapToGrid w:val="0"/>
          <w:lang w:val="en-GB"/>
        </w:rPr>
        <w:t xml:space="preserve"> </w:t>
      </w:r>
      <w:r w:rsidRPr="00AD3283">
        <w:rPr>
          <w:rFonts w:asciiTheme="minorHAnsi" w:hAnsiTheme="minorHAnsi"/>
          <w:snapToGrid w:val="0"/>
          <w:lang w:val="en-GB"/>
        </w:rPr>
        <w:t xml:space="preserve">and </w:t>
      </w:r>
      <w:r w:rsidR="00FE1E06">
        <w:rPr>
          <w:rFonts w:asciiTheme="minorHAnsi" w:hAnsiTheme="minorHAnsi"/>
          <w:snapToGrid w:val="0"/>
          <w:lang w:val="en-GB"/>
        </w:rPr>
        <w:t>severe</w:t>
      </w:r>
      <w:r w:rsidR="00FE1E06" w:rsidRPr="00AD3283">
        <w:rPr>
          <w:rFonts w:asciiTheme="minorHAnsi" w:hAnsiTheme="minorHAnsi"/>
          <w:snapToGrid w:val="0"/>
          <w:lang w:val="en-GB"/>
        </w:rPr>
        <w:t xml:space="preserve"> </w:t>
      </w:r>
      <w:r>
        <w:rPr>
          <w:rFonts w:asciiTheme="minorHAnsi" w:hAnsiTheme="minorHAnsi"/>
          <w:snapToGrid w:val="0"/>
          <w:lang w:val="en-GB"/>
        </w:rPr>
        <w:t>form</w:t>
      </w:r>
      <w:r w:rsidRPr="00AD3283">
        <w:rPr>
          <w:rFonts w:asciiTheme="minorHAnsi" w:hAnsiTheme="minorHAnsi"/>
          <w:snapToGrid w:val="0"/>
          <w:lang w:val="en-GB"/>
        </w:rPr>
        <w:t xml:space="preserve"> of epilepsy</w:t>
      </w:r>
      <w:r w:rsidR="0044712A">
        <w:rPr>
          <w:rFonts w:asciiTheme="minorHAnsi" w:hAnsiTheme="minorHAnsi"/>
          <w:snapToGrid w:val="0"/>
          <w:lang w:val="en-GB"/>
        </w:rPr>
        <w:t>. The PBAC</w:t>
      </w:r>
      <w:r w:rsidRPr="00AD3283" w:rsidDel="0044712A">
        <w:rPr>
          <w:rFonts w:asciiTheme="minorHAnsi" w:hAnsiTheme="minorHAnsi"/>
          <w:snapToGrid w:val="0"/>
          <w:lang w:val="en-GB"/>
        </w:rPr>
        <w:t xml:space="preserve"> </w:t>
      </w:r>
      <w:r w:rsidRPr="00AD3283">
        <w:rPr>
          <w:rFonts w:asciiTheme="minorHAnsi" w:hAnsiTheme="minorHAnsi"/>
          <w:snapToGrid w:val="0"/>
          <w:lang w:val="en-GB"/>
        </w:rPr>
        <w:t xml:space="preserve">considered the available evidence supported a conclusion that </w:t>
      </w:r>
      <w:r w:rsidR="00C53E5E" w:rsidRPr="002F10AA">
        <w:rPr>
          <w:rFonts w:asciiTheme="minorHAnsi" w:hAnsiTheme="minorHAnsi"/>
          <w:snapToGrid w:val="0"/>
          <w:lang w:val="en-GB"/>
        </w:rPr>
        <w:t xml:space="preserve">fenfluramine is an effective therapy for the treatment of Dravet Syndrome and </w:t>
      </w:r>
      <w:r w:rsidR="00B84518">
        <w:rPr>
          <w:rFonts w:asciiTheme="minorHAnsi" w:hAnsiTheme="minorHAnsi"/>
          <w:snapToGrid w:val="0"/>
          <w:lang w:val="en-GB"/>
        </w:rPr>
        <w:t>wa</w:t>
      </w:r>
      <w:r w:rsidR="00C53E5E" w:rsidRPr="002F10AA">
        <w:rPr>
          <w:rFonts w:asciiTheme="minorHAnsi" w:hAnsiTheme="minorHAnsi"/>
          <w:snapToGrid w:val="0"/>
          <w:lang w:val="en-GB"/>
        </w:rPr>
        <w:t>s satisfied that fenfluramine provides, for some patients, a significant improvement in efficacy over cannabidiol.</w:t>
      </w:r>
      <w:r w:rsidR="002F10AA">
        <w:rPr>
          <w:rFonts w:asciiTheme="minorHAnsi" w:hAnsiTheme="minorHAnsi"/>
          <w:snapToGrid w:val="0"/>
          <w:lang w:val="en-GB"/>
        </w:rPr>
        <w:t xml:space="preserve"> </w:t>
      </w:r>
      <w:r w:rsidR="003001DE" w:rsidRPr="003001DE">
        <w:rPr>
          <w:rFonts w:asciiTheme="minorHAnsi" w:hAnsiTheme="minorHAnsi"/>
          <w:snapToGrid w:val="0"/>
        </w:rPr>
        <w:t>The PBAC considered fenfluramine would be acceptably cost-effective at the price proposed in the Pre-PBAC Response.</w:t>
      </w:r>
    </w:p>
    <w:p w14:paraId="07453A87" w14:textId="75328878" w:rsidR="002F10AA" w:rsidRPr="00F62059" w:rsidRDefault="002F10AA" w:rsidP="00F62059">
      <w:pPr>
        <w:widowControl w:val="0"/>
        <w:numPr>
          <w:ilvl w:val="1"/>
          <w:numId w:val="3"/>
        </w:numPr>
        <w:spacing w:after="120"/>
        <w:rPr>
          <w:rFonts w:asciiTheme="minorHAnsi" w:hAnsiTheme="minorHAnsi"/>
          <w:snapToGrid w:val="0"/>
          <w:lang w:val="en-GB"/>
        </w:rPr>
      </w:pPr>
      <w:r w:rsidRPr="002F10AA">
        <w:rPr>
          <w:rFonts w:asciiTheme="minorHAnsi" w:hAnsiTheme="minorHAnsi"/>
          <w:snapToGrid w:val="0"/>
          <w:lang w:val="en-GB"/>
        </w:rPr>
        <w:t xml:space="preserve">The Committee considered there remained a high and unmet clinical need for additional effective therapies for Dravet Syndrome. The PBAC acknowledged Dravet Syndrome was a rare and severe developmental and epileptic encephalopathy which manifests through frequent, severe seizures, as well as cognitive and physical developmental delays and regression, which has a </w:t>
      </w:r>
      <w:r w:rsidR="00AD215C">
        <w:rPr>
          <w:rFonts w:asciiTheme="minorHAnsi" w:hAnsiTheme="minorHAnsi"/>
          <w:snapToGrid w:val="0"/>
          <w:lang w:val="en-GB"/>
        </w:rPr>
        <w:t>considerable</w:t>
      </w:r>
      <w:r w:rsidR="000568C1" w:rsidRPr="002F10AA">
        <w:rPr>
          <w:rFonts w:asciiTheme="minorHAnsi" w:hAnsiTheme="minorHAnsi"/>
          <w:snapToGrid w:val="0"/>
          <w:lang w:val="en-GB"/>
        </w:rPr>
        <w:t xml:space="preserve"> </w:t>
      </w:r>
      <w:r w:rsidRPr="002F10AA">
        <w:rPr>
          <w:rFonts w:asciiTheme="minorHAnsi" w:hAnsiTheme="minorHAnsi"/>
          <w:snapToGrid w:val="0"/>
          <w:lang w:val="en-GB"/>
        </w:rPr>
        <w:t xml:space="preserve">impact on patients, parents, families and caregivers. </w:t>
      </w:r>
      <w:r w:rsidRPr="00F62059">
        <w:rPr>
          <w:rFonts w:asciiTheme="minorHAnsi" w:hAnsiTheme="minorHAnsi"/>
          <w:snapToGrid w:val="0"/>
          <w:lang w:val="en-GB"/>
        </w:rPr>
        <w:t>The Committee welcomed the input from individuals, parents and caregivers that discussed the life-altering impact of Dravet Syndrome and the substantial improvements in terms of seizure symptoms, cognitive and physical ability and quality of life that fenfluramine had provided for those who had accessed it either through clinical trials or compassionate access programs (discussed</w:t>
      </w:r>
      <w:r w:rsidR="00BF7BCC" w:rsidRPr="00F62059">
        <w:rPr>
          <w:rFonts w:asciiTheme="minorHAnsi" w:hAnsiTheme="minorHAnsi"/>
          <w:snapToGrid w:val="0"/>
          <w:lang w:val="en-GB"/>
        </w:rPr>
        <w:t xml:space="preserve"> further</w:t>
      </w:r>
      <w:r w:rsidRPr="00F62059">
        <w:rPr>
          <w:rFonts w:asciiTheme="minorHAnsi" w:hAnsiTheme="minorHAnsi"/>
          <w:snapToGrid w:val="0"/>
          <w:lang w:val="en-GB"/>
        </w:rPr>
        <w:t xml:space="preserve"> in 'Consumer Comments'). </w:t>
      </w:r>
      <w:r w:rsidR="00972D10" w:rsidRPr="00F62059">
        <w:rPr>
          <w:rFonts w:asciiTheme="minorHAnsi" w:hAnsiTheme="minorHAnsi"/>
          <w:snapToGrid w:val="0"/>
          <w:lang w:val="en-GB"/>
        </w:rPr>
        <w:t xml:space="preserve">The PBAC also acknowledged that </w:t>
      </w:r>
      <w:r w:rsidR="00D50CEC" w:rsidRPr="00F62059">
        <w:rPr>
          <w:rFonts w:asciiTheme="minorHAnsi" w:hAnsiTheme="minorHAnsi"/>
          <w:snapToGrid w:val="0"/>
          <w:lang w:val="en-GB"/>
        </w:rPr>
        <w:t xml:space="preserve">Dravet Syndrome is associated with a significant risk of sudden unexpected death in epilepsy (SUDEP) which is commonly associated with </w:t>
      </w:r>
      <w:r w:rsidR="00950765" w:rsidRPr="00F62059">
        <w:rPr>
          <w:rFonts w:asciiTheme="minorHAnsi" w:hAnsiTheme="minorHAnsi"/>
          <w:snapToGrid w:val="0"/>
          <w:lang w:val="en-GB"/>
        </w:rPr>
        <w:t xml:space="preserve">major seizures, therefore a reduced seizure burden </w:t>
      </w:r>
      <w:r w:rsidR="00B0291C" w:rsidRPr="00F62059">
        <w:rPr>
          <w:rFonts w:asciiTheme="minorHAnsi" w:hAnsiTheme="minorHAnsi"/>
          <w:snapToGrid w:val="0"/>
          <w:lang w:val="en-GB"/>
        </w:rPr>
        <w:t>may</w:t>
      </w:r>
      <w:r w:rsidR="005223C5" w:rsidRPr="00F62059">
        <w:rPr>
          <w:rFonts w:asciiTheme="minorHAnsi" w:hAnsiTheme="minorHAnsi"/>
          <w:snapToGrid w:val="0"/>
          <w:lang w:val="en-GB"/>
        </w:rPr>
        <w:t xml:space="preserve"> </w:t>
      </w:r>
      <w:r w:rsidR="004C685B" w:rsidRPr="00F62059">
        <w:rPr>
          <w:rFonts w:asciiTheme="minorHAnsi" w:hAnsiTheme="minorHAnsi"/>
          <w:snapToGrid w:val="0"/>
          <w:lang w:val="en-GB"/>
        </w:rPr>
        <w:t>reduce</w:t>
      </w:r>
      <w:r w:rsidR="005223C5" w:rsidRPr="00F62059">
        <w:rPr>
          <w:rFonts w:asciiTheme="minorHAnsi" w:hAnsiTheme="minorHAnsi"/>
          <w:snapToGrid w:val="0"/>
          <w:lang w:val="en-GB"/>
        </w:rPr>
        <w:t xml:space="preserve"> </w:t>
      </w:r>
      <w:r w:rsidR="004C685B" w:rsidRPr="00F62059">
        <w:rPr>
          <w:rFonts w:asciiTheme="minorHAnsi" w:hAnsiTheme="minorHAnsi"/>
          <w:snapToGrid w:val="0"/>
          <w:lang w:val="en-GB"/>
        </w:rPr>
        <w:t xml:space="preserve">the </w:t>
      </w:r>
      <w:r w:rsidR="00B0291C" w:rsidRPr="00F62059">
        <w:rPr>
          <w:rFonts w:asciiTheme="minorHAnsi" w:hAnsiTheme="minorHAnsi"/>
          <w:snapToGrid w:val="0"/>
          <w:lang w:val="en-GB"/>
        </w:rPr>
        <w:t>risk of SUDEP events when treated with a more efficacious therapy</w:t>
      </w:r>
      <w:r w:rsidR="004C685B" w:rsidRPr="00F62059">
        <w:rPr>
          <w:rFonts w:asciiTheme="minorHAnsi" w:hAnsiTheme="minorHAnsi"/>
          <w:snapToGrid w:val="0"/>
          <w:lang w:val="en-GB"/>
        </w:rPr>
        <w:t xml:space="preserve">, but such a </w:t>
      </w:r>
      <w:r w:rsidR="00B400CB">
        <w:rPr>
          <w:rFonts w:asciiTheme="minorHAnsi" w:hAnsiTheme="minorHAnsi"/>
          <w:snapToGrid w:val="0"/>
          <w:lang w:val="en-GB"/>
        </w:rPr>
        <w:t>benefit</w:t>
      </w:r>
      <w:r w:rsidR="004C685B" w:rsidRPr="00F62059">
        <w:rPr>
          <w:rFonts w:asciiTheme="minorHAnsi" w:hAnsiTheme="minorHAnsi"/>
          <w:snapToGrid w:val="0"/>
          <w:lang w:val="en-GB"/>
        </w:rPr>
        <w:t xml:space="preserve"> was difficult to quantify</w:t>
      </w:r>
      <w:r w:rsidR="00B0291C" w:rsidRPr="00F62059">
        <w:rPr>
          <w:rFonts w:asciiTheme="minorHAnsi" w:hAnsiTheme="minorHAnsi"/>
          <w:snapToGrid w:val="0"/>
          <w:lang w:val="en-GB"/>
        </w:rPr>
        <w:t xml:space="preserve">. </w:t>
      </w:r>
    </w:p>
    <w:p w14:paraId="0D7160C9" w14:textId="55EE9386" w:rsidR="002F10AA" w:rsidRDefault="001A67F9" w:rsidP="00B45F74">
      <w:pPr>
        <w:widowControl w:val="0"/>
        <w:numPr>
          <w:ilvl w:val="1"/>
          <w:numId w:val="3"/>
        </w:numPr>
        <w:spacing w:after="120"/>
        <w:rPr>
          <w:rFonts w:asciiTheme="minorHAnsi" w:hAnsiTheme="minorHAnsi"/>
          <w:snapToGrid w:val="0"/>
          <w:lang w:val="en-GB"/>
        </w:rPr>
      </w:pPr>
      <w:r w:rsidRPr="001A67F9">
        <w:rPr>
          <w:rFonts w:asciiTheme="minorHAnsi" w:hAnsiTheme="minorHAnsi"/>
          <w:snapToGrid w:val="0"/>
          <w:lang w:val="en-GB"/>
        </w:rPr>
        <w:lastRenderedPageBreak/>
        <w:t xml:space="preserve">The PBAC considered the listing should be aligned with that of stiripentol and cannabidiol, with no restrictions on potential combination use </w:t>
      </w:r>
      <w:r w:rsidR="006071B0">
        <w:rPr>
          <w:rFonts w:asciiTheme="minorHAnsi" w:hAnsiTheme="minorHAnsi"/>
          <w:snapToGrid w:val="0"/>
          <w:lang w:val="en-GB"/>
        </w:rPr>
        <w:t>or patient</w:t>
      </w:r>
      <w:r w:rsidRPr="001A67F9">
        <w:rPr>
          <w:rFonts w:asciiTheme="minorHAnsi" w:hAnsiTheme="minorHAnsi"/>
          <w:snapToGrid w:val="0"/>
          <w:lang w:val="en-GB"/>
        </w:rPr>
        <w:t xml:space="preserve"> age.</w:t>
      </w:r>
      <w:r w:rsidR="00631CBB">
        <w:rPr>
          <w:rFonts w:asciiTheme="minorHAnsi" w:hAnsiTheme="minorHAnsi"/>
          <w:snapToGrid w:val="0"/>
          <w:lang w:val="en-GB"/>
        </w:rPr>
        <w:t xml:space="preserve"> The PBAC noted patients with Dravet Syndrome were</w:t>
      </w:r>
      <w:r w:rsidR="00507F79">
        <w:rPr>
          <w:rFonts w:asciiTheme="minorHAnsi" w:hAnsiTheme="minorHAnsi"/>
          <w:snapToGrid w:val="0"/>
          <w:lang w:val="en-GB"/>
        </w:rPr>
        <w:t xml:space="preserve"> typically</w:t>
      </w:r>
      <w:r w:rsidR="00631CBB">
        <w:rPr>
          <w:rFonts w:asciiTheme="minorHAnsi" w:hAnsiTheme="minorHAnsi"/>
          <w:snapToGrid w:val="0"/>
          <w:lang w:val="en-GB"/>
        </w:rPr>
        <w:t xml:space="preserve"> managed by a small number of expert</w:t>
      </w:r>
      <w:r w:rsidR="000E5E0D">
        <w:rPr>
          <w:rFonts w:asciiTheme="minorHAnsi" w:hAnsiTheme="minorHAnsi"/>
          <w:snapToGrid w:val="0"/>
          <w:lang w:val="en-GB"/>
        </w:rPr>
        <w:t xml:space="preserve"> neurologists</w:t>
      </w:r>
      <w:r w:rsidR="00D64E01">
        <w:rPr>
          <w:rFonts w:asciiTheme="minorHAnsi" w:hAnsiTheme="minorHAnsi"/>
          <w:snapToGrid w:val="0"/>
          <w:lang w:val="en-GB"/>
        </w:rPr>
        <w:t xml:space="preserve"> and the PBS listing</w:t>
      </w:r>
      <w:r w:rsidR="00507F79">
        <w:rPr>
          <w:rFonts w:asciiTheme="minorHAnsi" w:hAnsiTheme="minorHAnsi"/>
          <w:snapToGrid w:val="0"/>
          <w:lang w:val="en-GB"/>
        </w:rPr>
        <w:t xml:space="preserve">s </w:t>
      </w:r>
      <w:r w:rsidR="00D64E01">
        <w:rPr>
          <w:rFonts w:asciiTheme="minorHAnsi" w:hAnsiTheme="minorHAnsi"/>
          <w:snapToGrid w:val="0"/>
          <w:lang w:val="en-GB"/>
        </w:rPr>
        <w:t>require a neurologist to initiate</w:t>
      </w:r>
      <w:r w:rsidR="00507F79">
        <w:rPr>
          <w:rFonts w:asciiTheme="minorHAnsi" w:hAnsiTheme="minorHAnsi"/>
          <w:snapToGrid w:val="0"/>
          <w:lang w:val="en-GB"/>
        </w:rPr>
        <w:t xml:space="preserve"> treatment</w:t>
      </w:r>
      <w:r w:rsidR="005B4A18">
        <w:rPr>
          <w:rFonts w:asciiTheme="minorHAnsi" w:hAnsiTheme="minorHAnsi"/>
          <w:snapToGrid w:val="0"/>
          <w:lang w:val="en-GB"/>
        </w:rPr>
        <w:t>, therefore the risk of inappropriate polypharmacy was low</w:t>
      </w:r>
      <w:r w:rsidR="00507F79">
        <w:rPr>
          <w:rFonts w:asciiTheme="minorHAnsi" w:hAnsiTheme="minorHAnsi"/>
          <w:snapToGrid w:val="0"/>
          <w:lang w:val="en-GB"/>
        </w:rPr>
        <w:t xml:space="preserve">. </w:t>
      </w:r>
      <w:r w:rsidRPr="001A67F9">
        <w:rPr>
          <w:rFonts w:asciiTheme="minorHAnsi" w:hAnsiTheme="minorHAnsi"/>
          <w:snapToGrid w:val="0"/>
          <w:lang w:val="en-GB"/>
        </w:rPr>
        <w:t>Given the maximum daily dose of fenfluramine resulted in no more than 1 bottle per month being required, the PBAC considered it was appropriate for standard 'no increases' clauses to maximum quantities or repeats to be included in the listing.</w:t>
      </w:r>
      <w:r w:rsidR="00635FAE">
        <w:rPr>
          <w:rFonts w:asciiTheme="minorHAnsi" w:hAnsiTheme="minorHAnsi"/>
          <w:snapToGrid w:val="0"/>
          <w:lang w:val="en-GB"/>
        </w:rPr>
        <w:t xml:space="preserve"> </w:t>
      </w:r>
      <w:r w:rsidR="00EF4CC3">
        <w:rPr>
          <w:rFonts w:asciiTheme="minorHAnsi" w:hAnsiTheme="minorHAnsi"/>
          <w:snapToGrid w:val="0"/>
          <w:lang w:val="en-GB"/>
        </w:rPr>
        <w:t>The PBAC considered it was appropriate to include a</w:t>
      </w:r>
      <w:r w:rsidR="008B792B">
        <w:rPr>
          <w:rFonts w:asciiTheme="minorHAnsi" w:hAnsiTheme="minorHAnsi"/>
          <w:snapToGrid w:val="0"/>
          <w:lang w:val="en-GB"/>
        </w:rPr>
        <w:t xml:space="preserve">n administrative advice </w:t>
      </w:r>
      <w:r w:rsidR="00EF4CC3">
        <w:rPr>
          <w:rFonts w:asciiTheme="minorHAnsi" w:hAnsiTheme="minorHAnsi"/>
          <w:snapToGrid w:val="0"/>
          <w:lang w:val="en-GB"/>
        </w:rPr>
        <w:t>regarding the need for</w:t>
      </w:r>
      <w:r w:rsidR="00890DDB">
        <w:rPr>
          <w:rFonts w:asciiTheme="minorHAnsi" w:hAnsiTheme="minorHAnsi"/>
          <w:snapToGrid w:val="0"/>
          <w:lang w:val="en-GB"/>
        </w:rPr>
        <w:t xml:space="preserve"> ongoing</w:t>
      </w:r>
      <w:r w:rsidR="00EF4CC3">
        <w:rPr>
          <w:rFonts w:asciiTheme="minorHAnsi" w:hAnsiTheme="minorHAnsi"/>
          <w:snapToGrid w:val="0"/>
          <w:lang w:val="en-GB"/>
        </w:rPr>
        <w:t xml:space="preserve"> </w:t>
      </w:r>
      <w:r w:rsidR="00EB5BF3">
        <w:rPr>
          <w:rFonts w:asciiTheme="minorHAnsi" w:hAnsiTheme="minorHAnsi"/>
          <w:snapToGrid w:val="0"/>
          <w:lang w:val="en-GB"/>
        </w:rPr>
        <w:t>cardiac function testing as outlined in the Product Information whilst being treated with fenfluramine.</w:t>
      </w:r>
    </w:p>
    <w:p w14:paraId="7C5DEFC0" w14:textId="4159C748" w:rsidR="00635FAE" w:rsidRDefault="00635FAE" w:rsidP="00B45F74">
      <w:pPr>
        <w:widowControl w:val="0"/>
        <w:numPr>
          <w:ilvl w:val="1"/>
          <w:numId w:val="3"/>
        </w:numPr>
        <w:spacing w:after="120"/>
        <w:rPr>
          <w:rFonts w:asciiTheme="minorHAnsi" w:hAnsiTheme="minorHAnsi"/>
          <w:snapToGrid w:val="0"/>
          <w:lang w:val="en-GB"/>
        </w:rPr>
      </w:pPr>
      <w:r w:rsidRPr="00635FAE">
        <w:rPr>
          <w:rFonts w:asciiTheme="minorHAnsi" w:hAnsiTheme="minorHAnsi"/>
          <w:snapToGrid w:val="0"/>
          <w:lang w:val="en-GB"/>
        </w:rPr>
        <w:t xml:space="preserve">The Committee considered the proposed clinical place as a third (or later) line therapy after patients had not responded to two or more prior AEDs, </w:t>
      </w:r>
      <w:proofErr w:type="gramStart"/>
      <w:r w:rsidRPr="00635FAE">
        <w:rPr>
          <w:rFonts w:asciiTheme="minorHAnsi" w:hAnsiTheme="minorHAnsi"/>
          <w:snapToGrid w:val="0"/>
          <w:lang w:val="en-GB"/>
        </w:rPr>
        <w:t>similar to</w:t>
      </w:r>
      <w:proofErr w:type="gramEnd"/>
      <w:r w:rsidRPr="00635FAE">
        <w:rPr>
          <w:rFonts w:asciiTheme="minorHAnsi" w:hAnsiTheme="minorHAnsi"/>
          <w:snapToGrid w:val="0"/>
          <w:lang w:val="en-GB"/>
        </w:rPr>
        <w:t xml:space="preserve"> stiripentol and cannabidiol, was reasonable.</w:t>
      </w:r>
    </w:p>
    <w:p w14:paraId="173F6079" w14:textId="2DAE4481" w:rsidR="00076C22" w:rsidRPr="001D5504" w:rsidDel="001D5504" w:rsidRDefault="00795D23" w:rsidP="001D5504">
      <w:pPr>
        <w:widowControl w:val="0"/>
        <w:numPr>
          <w:ilvl w:val="1"/>
          <w:numId w:val="3"/>
        </w:numPr>
        <w:spacing w:after="120"/>
        <w:rPr>
          <w:rFonts w:asciiTheme="minorHAnsi" w:hAnsiTheme="minorHAnsi"/>
          <w:snapToGrid w:val="0"/>
          <w:lang w:val="en-GB"/>
        </w:rPr>
      </w:pPr>
      <w:r w:rsidRPr="00795D23">
        <w:rPr>
          <w:rFonts w:asciiTheme="minorHAnsi" w:hAnsiTheme="minorHAnsi"/>
          <w:snapToGrid w:val="0"/>
          <w:lang w:val="en-GB"/>
        </w:rPr>
        <w:t>The PBAC considered the nominated comparator of cannabidiol was reasonable, however considered stiripentol was also a reasonable comparator.</w:t>
      </w:r>
      <w:r w:rsidRPr="00795D23" w:rsidDel="003D7CB8">
        <w:rPr>
          <w:rFonts w:asciiTheme="minorHAnsi" w:hAnsiTheme="minorHAnsi"/>
          <w:snapToGrid w:val="0"/>
          <w:lang w:val="en-GB"/>
        </w:rPr>
        <w:t xml:space="preserve"> </w:t>
      </w:r>
    </w:p>
    <w:p w14:paraId="02B47477" w14:textId="73060801" w:rsidR="007F6251" w:rsidRDefault="007F6251" w:rsidP="00B45F74">
      <w:pPr>
        <w:widowControl w:val="0"/>
        <w:numPr>
          <w:ilvl w:val="1"/>
          <w:numId w:val="3"/>
        </w:numPr>
        <w:spacing w:after="120"/>
        <w:rPr>
          <w:rFonts w:asciiTheme="minorHAnsi" w:hAnsiTheme="minorHAnsi"/>
          <w:snapToGrid w:val="0"/>
          <w:lang w:val="en-GB"/>
        </w:rPr>
      </w:pPr>
      <w:r w:rsidRPr="007F6251">
        <w:rPr>
          <w:rFonts w:asciiTheme="minorHAnsi" w:hAnsiTheme="minorHAnsi"/>
          <w:snapToGrid w:val="0"/>
          <w:lang w:val="en-GB"/>
        </w:rPr>
        <w:t xml:space="preserve">The PBAC noted the </w:t>
      </w:r>
      <w:r w:rsidR="0052043E">
        <w:rPr>
          <w:rFonts w:asciiTheme="minorHAnsi" w:hAnsiTheme="minorHAnsi"/>
          <w:snapToGrid w:val="0"/>
          <w:lang w:val="en-GB"/>
        </w:rPr>
        <w:t xml:space="preserve">clinical </w:t>
      </w:r>
      <w:r w:rsidRPr="007F6251">
        <w:rPr>
          <w:rFonts w:asciiTheme="minorHAnsi" w:hAnsiTheme="minorHAnsi"/>
          <w:snapToGrid w:val="0"/>
          <w:lang w:val="en-GB"/>
        </w:rPr>
        <w:t xml:space="preserve">evidence </w:t>
      </w:r>
      <w:r w:rsidR="0052043E">
        <w:rPr>
          <w:rFonts w:asciiTheme="minorHAnsi" w:hAnsiTheme="minorHAnsi"/>
          <w:snapToGrid w:val="0"/>
          <w:lang w:val="en-GB"/>
        </w:rPr>
        <w:t xml:space="preserve">for fenfluramine </w:t>
      </w:r>
      <w:r w:rsidRPr="007F6251">
        <w:rPr>
          <w:rFonts w:asciiTheme="minorHAnsi" w:hAnsiTheme="minorHAnsi"/>
          <w:snapToGrid w:val="0"/>
          <w:lang w:val="en-GB"/>
        </w:rPr>
        <w:t>was based on three randomised controlled trials (RCTs) (Study 1, Study 2 and Study 3) comparing fenfluramine to placebo (as add-on to background therapy), with Study 1 and Study 3 requiring no concomitant stiripentol (assessing the 0.7</w:t>
      </w:r>
      <w:r w:rsidR="00651ADE">
        <w:rPr>
          <w:rFonts w:asciiTheme="minorHAnsi" w:hAnsiTheme="minorHAnsi"/>
          <w:snapToGrid w:val="0"/>
          <w:lang w:val="en-GB"/>
        </w:rPr>
        <w:t> </w:t>
      </w:r>
      <w:r w:rsidRPr="007F6251">
        <w:rPr>
          <w:rFonts w:asciiTheme="minorHAnsi" w:hAnsiTheme="minorHAnsi"/>
          <w:snapToGrid w:val="0"/>
          <w:lang w:val="en-GB"/>
        </w:rPr>
        <w:t>mg/kg/day dose), and Study 2 assessing fenfluramine (at the 0.4</w:t>
      </w:r>
      <w:r w:rsidR="00651ADE">
        <w:rPr>
          <w:rFonts w:asciiTheme="minorHAnsi" w:hAnsiTheme="minorHAnsi"/>
          <w:snapToGrid w:val="0"/>
          <w:lang w:val="en-GB"/>
        </w:rPr>
        <w:t> </w:t>
      </w:r>
      <w:r w:rsidRPr="007F6251">
        <w:rPr>
          <w:rFonts w:asciiTheme="minorHAnsi" w:hAnsiTheme="minorHAnsi"/>
          <w:snapToGrid w:val="0"/>
          <w:lang w:val="en-GB"/>
        </w:rPr>
        <w:t xml:space="preserve">mg/kg/day dose) added onto a background regimen containing stiripentol. The Committee noted the </w:t>
      </w:r>
      <w:r w:rsidR="00FE4E96">
        <w:rPr>
          <w:rFonts w:asciiTheme="minorHAnsi" w:hAnsiTheme="minorHAnsi"/>
          <w:snapToGrid w:val="0"/>
          <w:lang w:val="en-GB"/>
        </w:rPr>
        <w:t>clinical evidence</w:t>
      </w:r>
      <w:r w:rsidRPr="007F6251">
        <w:rPr>
          <w:rFonts w:asciiTheme="minorHAnsi" w:hAnsiTheme="minorHAnsi"/>
          <w:snapToGrid w:val="0"/>
          <w:lang w:val="en-GB"/>
        </w:rPr>
        <w:t xml:space="preserve"> for cannabidiol (GWPCARE1 and 2) and stiripentol (STICLO France and STICLO Italy) had previously been used to support the PBAC submissions for these agents. The PBAC noted that for the comparison of fenfluramine and cannabidiol, there were exchangeability issues that created uncertainty with the indirect treatment comparisons, including different composition of background AEDs (particularly with respect to proportion of stiripentol use), different definitions of convulsive seizures, and different statistical approaches. Furthermore, the Committee noted</w:t>
      </w:r>
      <w:r w:rsidR="00AB579D">
        <w:rPr>
          <w:rFonts w:asciiTheme="minorHAnsi" w:hAnsiTheme="minorHAnsi"/>
          <w:snapToGrid w:val="0"/>
          <w:lang w:val="en-GB"/>
        </w:rPr>
        <w:t xml:space="preserve"> </w:t>
      </w:r>
      <w:r w:rsidR="00B63FB3">
        <w:rPr>
          <w:rFonts w:asciiTheme="minorHAnsi" w:hAnsiTheme="minorHAnsi"/>
          <w:snapToGrid w:val="0"/>
          <w:lang w:val="en-GB"/>
        </w:rPr>
        <w:t>additional</w:t>
      </w:r>
      <w:r w:rsidRPr="007F6251">
        <w:rPr>
          <w:rFonts w:asciiTheme="minorHAnsi" w:hAnsiTheme="minorHAnsi"/>
          <w:snapToGrid w:val="0"/>
          <w:lang w:val="en-GB"/>
        </w:rPr>
        <w:t xml:space="preserve"> issues for the comparison of fenfluramine and stiripentol, </w:t>
      </w:r>
      <w:r w:rsidR="00AB579D">
        <w:rPr>
          <w:rFonts w:asciiTheme="minorHAnsi" w:hAnsiTheme="minorHAnsi"/>
          <w:snapToGrid w:val="0"/>
          <w:lang w:val="en-GB"/>
        </w:rPr>
        <w:t>including</w:t>
      </w:r>
      <w:r w:rsidRPr="007F6251">
        <w:rPr>
          <w:rFonts w:asciiTheme="minorHAnsi" w:hAnsiTheme="minorHAnsi"/>
          <w:snapToGrid w:val="0"/>
          <w:lang w:val="en-GB"/>
        </w:rPr>
        <w:t xml:space="preserve"> differences in trial eligibility criteria, treatment settings, the range of available AEDs at time of study (as the stiripentol trials were older) and differences in outcome measures and timepoints and length of follow-up. Given these additional transitivity issues, the PBAC formed the view</w:t>
      </w:r>
      <w:r w:rsidR="006B5CCE">
        <w:rPr>
          <w:rFonts w:asciiTheme="minorHAnsi" w:hAnsiTheme="minorHAnsi"/>
          <w:snapToGrid w:val="0"/>
          <w:lang w:val="en-GB"/>
        </w:rPr>
        <w:t xml:space="preserve"> that</w:t>
      </w:r>
      <w:r w:rsidRPr="007F6251">
        <w:rPr>
          <w:rFonts w:asciiTheme="minorHAnsi" w:hAnsiTheme="minorHAnsi"/>
          <w:snapToGrid w:val="0"/>
          <w:lang w:val="en-GB"/>
        </w:rPr>
        <w:t xml:space="preserve"> the indirect treatment comparisons of fenfluramine and stiripentol were unlikely to be </w:t>
      </w:r>
      <w:r w:rsidR="006E1482">
        <w:rPr>
          <w:rFonts w:asciiTheme="minorHAnsi" w:hAnsiTheme="minorHAnsi"/>
          <w:snapToGrid w:val="0"/>
          <w:lang w:val="en-GB"/>
        </w:rPr>
        <w:t>reliable</w:t>
      </w:r>
      <w:r w:rsidR="006E1482" w:rsidRPr="007F6251">
        <w:rPr>
          <w:rFonts w:asciiTheme="minorHAnsi" w:hAnsiTheme="minorHAnsi"/>
          <w:snapToGrid w:val="0"/>
          <w:lang w:val="en-GB"/>
        </w:rPr>
        <w:t xml:space="preserve"> </w:t>
      </w:r>
      <w:r w:rsidRPr="007F6251">
        <w:rPr>
          <w:rFonts w:asciiTheme="minorHAnsi" w:hAnsiTheme="minorHAnsi"/>
          <w:snapToGrid w:val="0"/>
          <w:lang w:val="en-GB"/>
        </w:rPr>
        <w:t>for assessing the comparative effectiveness and safety of these therapies</w:t>
      </w:r>
      <w:r w:rsidR="006E1482">
        <w:rPr>
          <w:rFonts w:asciiTheme="minorHAnsi" w:hAnsiTheme="minorHAnsi"/>
          <w:snapToGrid w:val="0"/>
          <w:lang w:val="en-GB"/>
        </w:rPr>
        <w:t xml:space="preserve"> </w:t>
      </w:r>
      <w:r w:rsidR="005E2665">
        <w:rPr>
          <w:rFonts w:asciiTheme="minorHAnsi" w:hAnsiTheme="minorHAnsi"/>
          <w:snapToGrid w:val="0"/>
          <w:lang w:val="en-GB"/>
        </w:rPr>
        <w:t>or</w:t>
      </w:r>
      <w:r w:rsidR="006B5CCE">
        <w:rPr>
          <w:rFonts w:asciiTheme="minorHAnsi" w:hAnsiTheme="minorHAnsi"/>
          <w:snapToGrid w:val="0"/>
          <w:lang w:val="en-GB"/>
        </w:rPr>
        <w:t xml:space="preserve"> for</w:t>
      </w:r>
      <w:r w:rsidR="005E2665">
        <w:rPr>
          <w:rFonts w:asciiTheme="minorHAnsi" w:hAnsiTheme="minorHAnsi"/>
          <w:snapToGrid w:val="0"/>
          <w:lang w:val="en-GB"/>
        </w:rPr>
        <w:t xml:space="preserve"> determining </w:t>
      </w:r>
      <w:r w:rsidR="006E1482">
        <w:rPr>
          <w:rFonts w:asciiTheme="minorHAnsi" w:hAnsiTheme="minorHAnsi"/>
          <w:snapToGrid w:val="0"/>
          <w:lang w:val="en-GB"/>
        </w:rPr>
        <w:t>the magnitude of</w:t>
      </w:r>
      <w:r w:rsidR="00761E67">
        <w:rPr>
          <w:rFonts w:asciiTheme="minorHAnsi" w:hAnsiTheme="minorHAnsi"/>
          <w:snapToGrid w:val="0"/>
          <w:lang w:val="en-GB"/>
        </w:rPr>
        <w:t xml:space="preserve"> a</w:t>
      </w:r>
      <w:r w:rsidR="006B5CCE">
        <w:rPr>
          <w:rFonts w:asciiTheme="minorHAnsi" w:hAnsiTheme="minorHAnsi"/>
          <w:snapToGrid w:val="0"/>
          <w:lang w:val="en-GB"/>
        </w:rPr>
        <w:t>ny clinical</w:t>
      </w:r>
      <w:r w:rsidR="006E1482">
        <w:rPr>
          <w:rFonts w:asciiTheme="minorHAnsi" w:hAnsiTheme="minorHAnsi"/>
          <w:snapToGrid w:val="0"/>
          <w:lang w:val="en-GB"/>
        </w:rPr>
        <w:t xml:space="preserve"> </w:t>
      </w:r>
      <w:r w:rsidR="006B5CCE">
        <w:rPr>
          <w:rFonts w:asciiTheme="minorHAnsi" w:hAnsiTheme="minorHAnsi"/>
          <w:snapToGrid w:val="0"/>
          <w:lang w:val="en-GB"/>
        </w:rPr>
        <w:t>benefit</w:t>
      </w:r>
      <w:r w:rsidRPr="007F6251">
        <w:rPr>
          <w:rFonts w:asciiTheme="minorHAnsi" w:hAnsiTheme="minorHAnsi"/>
          <w:snapToGrid w:val="0"/>
          <w:lang w:val="en-GB"/>
        </w:rPr>
        <w:t>.</w:t>
      </w:r>
      <w:r>
        <w:rPr>
          <w:rFonts w:asciiTheme="minorHAnsi" w:hAnsiTheme="minorHAnsi"/>
          <w:snapToGrid w:val="0"/>
          <w:lang w:val="en-GB"/>
        </w:rPr>
        <w:t xml:space="preserve"> </w:t>
      </w:r>
    </w:p>
    <w:p w14:paraId="1764F736" w14:textId="4387E3AD" w:rsidR="00DE6D3E" w:rsidRDefault="002F353E" w:rsidP="00B45F74">
      <w:pPr>
        <w:widowControl w:val="0"/>
        <w:numPr>
          <w:ilvl w:val="1"/>
          <w:numId w:val="3"/>
        </w:numPr>
        <w:spacing w:after="120"/>
        <w:rPr>
          <w:rFonts w:asciiTheme="minorHAnsi" w:hAnsiTheme="minorHAnsi"/>
          <w:snapToGrid w:val="0"/>
          <w:lang w:val="en-GB"/>
        </w:rPr>
      </w:pPr>
      <w:r w:rsidRPr="002F353E">
        <w:rPr>
          <w:rFonts w:asciiTheme="minorHAnsi" w:hAnsiTheme="minorHAnsi"/>
          <w:snapToGrid w:val="0"/>
          <w:lang w:val="en-GB"/>
        </w:rPr>
        <w:t>With respect to the effectiveness of fenfluramine, the PBAC noted the pooled results of Study 1 and Study 3 (fenfluramine monotherapy) found</w:t>
      </w:r>
      <w:r w:rsidR="00B63FB3">
        <w:rPr>
          <w:rFonts w:asciiTheme="minorHAnsi" w:hAnsiTheme="minorHAnsi"/>
          <w:snapToGrid w:val="0"/>
          <w:lang w:val="en-GB"/>
        </w:rPr>
        <w:t xml:space="preserve"> patients treated with</w:t>
      </w:r>
      <w:r w:rsidRPr="002F353E">
        <w:rPr>
          <w:rFonts w:asciiTheme="minorHAnsi" w:hAnsiTheme="minorHAnsi"/>
          <w:snapToGrid w:val="0"/>
          <w:lang w:val="en-GB"/>
        </w:rPr>
        <w:t xml:space="preserve"> fenfluramine </w:t>
      </w:r>
      <w:r w:rsidR="00B63FB3">
        <w:rPr>
          <w:rFonts w:asciiTheme="minorHAnsi" w:hAnsiTheme="minorHAnsi"/>
          <w:snapToGrid w:val="0"/>
          <w:lang w:val="en-GB"/>
        </w:rPr>
        <w:t>were statistically more likely to</w:t>
      </w:r>
      <w:r w:rsidRPr="002F353E">
        <w:rPr>
          <w:rFonts w:asciiTheme="minorHAnsi" w:hAnsiTheme="minorHAnsi"/>
          <w:snapToGrid w:val="0"/>
          <w:lang w:val="en-GB"/>
        </w:rPr>
        <w:t xml:space="preserve"> achiev</w:t>
      </w:r>
      <w:r w:rsidR="00B63FB3">
        <w:rPr>
          <w:rFonts w:asciiTheme="minorHAnsi" w:hAnsiTheme="minorHAnsi"/>
          <w:snapToGrid w:val="0"/>
          <w:lang w:val="en-GB"/>
        </w:rPr>
        <w:t>e</w:t>
      </w:r>
      <w:r w:rsidRPr="002F353E">
        <w:rPr>
          <w:rFonts w:asciiTheme="minorHAnsi" w:hAnsiTheme="minorHAnsi"/>
          <w:snapToGrid w:val="0"/>
          <w:lang w:val="en-GB"/>
        </w:rPr>
        <w:t xml:space="preserve"> a 50% or more reduction from baseline monthly CSF (50% CSF) for both relative and absolute statistics compared to placebo (RR 7.28 (95% CI 3.49, 15.19), RD 0.62 (95% CI 0.51, 0.73)), with a similarly statistically significant result from Study 2 for fenfluramine + stiripentol </w:t>
      </w:r>
      <w:r w:rsidR="00AB28BD">
        <w:rPr>
          <w:rFonts w:asciiTheme="minorHAnsi" w:hAnsiTheme="minorHAnsi"/>
          <w:snapToGrid w:val="0"/>
          <w:lang w:val="en-GB"/>
        </w:rPr>
        <w:t xml:space="preserve">compared to </w:t>
      </w:r>
      <w:r w:rsidR="00AB28BD">
        <w:rPr>
          <w:rFonts w:asciiTheme="minorHAnsi" w:hAnsiTheme="minorHAnsi"/>
          <w:snapToGrid w:val="0"/>
          <w:lang w:val="en-GB"/>
        </w:rPr>
        <w:lastRenderedPageBreak/>
        <w:t xml:space="preserve">placebo + stiripentol </w:t>
      </w:r>
      <w:r w:rsidRPr="002F353E">
        <w:rPr>
          <w:rFonts w:asciiTheme="minorHAnsi" w:hAnsiTheme="minorHAnsi"/>
          <w:snapToGrid w:val="0"/>
          <w:lang w:val="en-GB"/>
        </w:rPr>
        <w:t>(RR 11.77 (95% CI 2.95, 46.89), RD 0.49 (95% CI 0.33, 0.65)). The Committee also noted statistically significant results</w:t>
      </w:r>
      <w:r w:rsidR="00987CA8">
        <w:rPr>
          <w:rFonts w:asciiTheme="minorHAnsi" w:hAnsiTheme="minorHAnsi"/>
          <w:snapToGrid w:val="0"/>
          <w:lang w:val="en-GB"/>
        </w:rPr>
        <w:t xml:space="preserve"> across Studies 1</w:t>
      </w:r>
      <w:r w:rsidR="00987CA8">
        <w:rPr>
          <w:rFonts w:asciiTheme="minorHAnsi" w:hAnsiTheme="minorHAnsi" w:cstheme="minorHAnsi"/>
          <w:snapToGrid w:val="0"/>
          <w:lang w:val="en-GB"/>
        </w:rPr>
        <w:t>−</w:t>
      </w:r>
      <w:r w:rsidR="00987CA8">
        <w:rPr>
          <w:rFonts w:asciiTheme="minorHAnsi" w:hAnsiTheme="minorHAnsi"/>
          <w:snapToGrid w:val="0"/>
          <w:lang w:val="en-GB"/>
        </w:rPr>
        <w:t>3</w:t>
      </w:r>
      <w:r w:rsidRPr="002F353E">
        <w:rPr>
          <w:rFonts w:asciiTheme="minorHAnsi" w:hAnsiTheme="minorHAnsi"/>
          <w:snapToGrid w:val="0"/>
          <w:lang w:val="en-GB"/>
        </w:rPr>
        <w:t xml:space="preserve"> for fenfluramine (+/- stiripentol) over placebo </w:t>
      </w:r>
      <w:r w:rsidR="00804A22" w:rsidRPr="002F353E">
        <w:rPr>
          <w:rFonts w:asciiTheme="minorHAnsi" w:hAnsiTheme="minorHAnsi"/>
          <w:snapToGrid w:val="0"/>
          <w:lang w:val="en-GB"/>
        </w:rPr>
        <w:t xml:space="preserve">(+/- stiripentol) </w:t>
      </w:r>
      <w:r w:rsidRPr="002F353E">
        <w:rPr>
          <w:rFonts w:asciiTheme="minorHAnsi" w:hAnsiTheme="minorHAnsi"/>
          <w:snapToGrid w:val="0"/>
          <w:lang w:val="en-GB"/>
        </w:rPr>
        <w:t>in terms of reducing the number of seizures over 28 days compared to baseline. On that basis, the PBAC considered the evidence supported a conclusion that fenfluramine is an effective therapy for the treatment of Dravet Syndrome.</w:t>
      </w:r>
      <w:r>
        <w:rPr>
          <w:rFonts w:asciiTheme="minorHAnsi" w:hAnsiTheme="minorHAnsi"/>
          <w:snapToGrid w:val="0"/>
          <w:lang w:val="en-GB"/>
        </w:rPr>
        <w:t xml:space="preserve"> </w:t>
      </w:r>
    </w:p>
    <w:p w14:paraId="6843EF82" w14:textId="1CA4405A" w:rsidR="002047C1" w:rsidRDefault="00631CBB" w:rsidP="002047C1">
      <w:pPr>
        <w:widowControl w:val="0"/>
        <w:numPr>
          <w:ilvl w:val="1"/>
          <w:numId w:val="3"/>
        </w:numPr>
        <w:spacing w:after="120"/>
        <w:rPr>
          <w:rFonts w:asciiTheme="minorHAnsi" w:hAnsiTheme="minorHAnsi"/>
          <w:snapToGrid w:val="0"/>
          <w:lang w:val="en-GB"/>
        </w:rPr>
      </w:pPr>
      <w:r w:rsidRPr="00631CBB">
        <w:rPr>
          <w:rFonts w:asciiTheme="minorHAnsi" w:hAnsiTheme="minorHAnsi"/>
          <w:snapToGrid w:val="0"/>
          <w:lang w:val="en-GB"/>
        </w:rPr>
        <w:t>When considering the comparative effectiveness of fenfluramine and cannabidiol, the PBAC noted the results of the indirect treatment comparisons (ITCs</w:t>
      </w:r>
      <w:r w:rsidR="00804A22">
        <w:rPr>
          <w:rFonts w:asciiTheme="minorHAnsi" w:hAnsiTheme="minorHAnsi"/>
          <w:snapToGrid w:val="0"/>
          <w:lang w:val="en-GB"/>
        </w:rPr>
        <w:t>)</w:t>
      </w:r>
      <w:r w:rsidRPr="00631CBB">
        <w:rPr>
          <w:rFonts w:asciiTheme="minorHAnsi" w:hAnsiTheme="minorHAnsi"/>
          <w:snapToGrid w:val="0"/>
          <w:lang w:val="en-GB"/>
        </w:rPr>
        <w:t xml:space="preserve"> were statistically in favour of fenfluramine (both +/- stiripentol) over both cann</w:t>
      </w:r>
      <w:r w:rsidR="0037736A">
        <w:rPr>
          <w:rFonts w:asciiTheme="minorHAnsi" w:hAnsiTheme="minorHAnsi"/>
          <w:snapToGrid w:val="0"/>
          <w:lang w:val="en-GB"/>
        </w:rPr>
        <w:t>a</w:t>
      </w:r>
      <w:r w:rsidRPr="00631CBB">
        <w:rPr>
          <w:rFonts w:asciiTheme="minorHAnsi" w:hAnsiTheme="minorHAnsi"/>
          <w:snapToGrid w:val="0"/>
          <w:lang w:val="en-GB"/>
        </w:rPr>
        <w:t>bidiol 10</w:t>
      </w:r>
      <w:r w:rsidR="00E2777B">
        <w:rPr>
          <w:rFonts w:asciiTheme="minorHAnsi" w:hAnsiTheme="minorHAnsi"/>
          <w:snapToGrid w:val="0"/>
          <w:lang w:val="en-GB"/>
        </w:rPr>
        <w:t> </w:t>
      </w:r>
      <w:r w:rsidRPr="00631CBB">
        <w:rPr>
          <w:rFonts w:asciiTheme="minorHAnsi" w:hAnsiTheme="minorHAnsi"/>
          <w:snapToGrid w:val="0"/>
          <w:lang w:val="en-GB"/>
        </w:rPr>
        <w:t>mg/kg/day and 20</w:t>
      </w:r>
      <w:r w:rsidR="00E2777B">
        <w:rPr>
          <w:rFonts w:asciiTheme="minorHAnsi" w:hAnsiTheme="minorHAnsi"/>
          <w:snapToGrid w:val="0"/>
          <w:lang w:val="en-GB"/>
        </w:rPr>
        <w:t> </w:t>
      </w:r>
      <w:r w:rsidRPr="00631CBB">
        <w:rPr>
          <w:rFonts w:asciiTheme="minorHAnsi" w:hAnsiTheme="minorHAnsi"/>
          <w:snapToGrid w:val="0"/>
          <w:lang w:val="en-GB"/>
        </w:rPr>
        <w:t>mg/kg/day, with similar results against each of these cannabidiol doses for the comparison of 50% CSF, with some comparisons for 25% CSF and 75% CSF favouring fenfluramine (but none statistically significantly favouring cannabidiol, see Table 9). The PBAC noted fenfluramine (both +/- stiripentol) also achieved a statistically significant result over cann</w:t>
      </w:r>
      <w:r w:rsidR="0037736A">
        <w:rPr>
          <w:rFonts w:asciiTheme="minorHAnsi" w:hAnsiTheme="minorHAnsi"/>
          <w:snapToGrid w:val="0"/>
          <w:lang w:val="en-GB"/>
        </w:rPr>
        <w:t>a</w:t>
      </w:r>
      <w:r w:rsidRPr="00631CBB">
        <w:rPr>
          <w:rFonts w:asciiTheme="minorHAnsi" w:hAnsiTheme="minorHAnsi"/>
          <w:snapToGrid w:val="0"/>
          <w:lang w:val="en-GB"/>
        </w:rPr>
        <w:t>bidiol (10 and 20 mg/kg/day) in terms of percentage change in monthly CSF from baseline (see Table 9). Whilst there were uncertainties with the indirect treatment comparisons, the PBAC considered the available evidence supported a conclusion that fenfluramine is likely to be superior to cannabidiol in terms of achieving a 50% reduction in CSF and percentage change in number of CSF from baseline.</w:t>
      </w:r>
    </w:p>
    <w:p w14:paraId="08928201" w14:textId="5F4FB3E5" w:rsidR="000A7F07" w:rsidRPr="00DF40D9" w:rsidRDefault="002047C1" w:rsidP="00DF40D9">
      <w:pPr>
        <w:pStyle w:val="3-BodyText"/>
        <w:rPr>
          <w:lang w:val="en-GB"/>
        </w:rPr>
      </w:pPr>
      <w:r w:rsidRPr="002047C1">
        <w:rPr>
          <w:lang w:val="en-GB"/>
        </w:rPr>
        <w:t>With re</w:t>
      </w:r>
      <w:r>
        <w:rPr>
          <w:lang w:val="en-GB"/>
        </w:rPr>
        <w:t xml:space="preserve">gards </w:t>
      </w:r>
      <w:r w:rsidRPr="002047C1">
        <w:rPr>
          <w:lang w:val="en-GB"/>
        </w:rPr>
        <w:t xml:space="preserve">to comparative safety, the PBAC noted the submission described fenfluramine as having 'similar' safety to cannabidiol. The PBAC </w:t>
      </w:r>
      <w:r w:rsidR="00FC7C17">
        <w:rPr>
          <w:lang w:val="en-GB"/>
        </w:rPr>
        <w:t>noted</w:t>
      </w:r>
      <w:r w:rsidR="00FC7C17" w:rsidRPr="002047C1">
        <w:rPr>
          <w:lang w:val="en-GB"/>
        </w:rPr>
        <w:t xml:space="preserve"> </w:t>
      </w:r>
      <w:r w:rsidRPr="002047C1">
        <w:rPr>
          <w:lang w:val="en-GB"/>
        </w:rPr>
        <w:t>the available evidence was difficult to assess in comparative terms for fenfluramine</w:t>
      </w:r>
      <w:r w:rsidR="00A64D6E">
        <w:rPr>
          <w:lang w:val="en-GB"/>
        </w:rPr>
        <w:t xml:space="preserve"> vs. </w:t>
      </w:r>
      <w:r w:rsidRPr="002047C1">
        <w:rPr>
          <w:lang w:val="en-GB"/>
        </w:rPr>
        <w:t xml:space="preserve"> cannabidiol, however </w:t>
      </w:r>
      <w:r w:rsidR="00D950D0">
        <w:rPr>
          <w:lang w:val="en-GB"/>
        </w:rPr>
        <w:t>considered</w:t>
      </w:r>
      <w:r w:rsidRPr="002047C1">
        <w:rPr>
          <w:lang w:val="en-GB"/>
        </w:rPr>
        <w:t xml:space="preserve"> the safety profiles of these agents are different (see </w:t>
      </w:r>
      <w:r w:rsidR="001A25C8">
        <w:rPr>
          <w:lang w:val="en-GB"/>
        </w:rPr>
        <w:fldChar w:fldCharType="begin" w:fldLock="1"/>
      </w:r>
      <w:r w:rsidR="001A25C8">
        <w:rPr>
          <w:lang w:val="en-GB"/>
        </w:rPr>
        <w:instrText xml:space="preserve"> REF _Ref174490346 \h </w:instrText>
      </w:r>
      <w:r w:rsidR="001A25C8">
        <w:rPr>
          <w:lang w:val="en-GB"/>
        </w:rPr>
      </w:r>
      <w:r w:rsidR="001A25C8">
        <w:rPr>
          <w:lang w:val="en-GB"/>
        </w:rPr>
        <w:fldChar w:fldCharType="separate"/>
      </w:r>
      <w:r w:rsidR="00D72887" w:rsidRPr="005E3251">
        <w:t xml:space="preserve">Table </w:t>
      </w:r>
      <w:r w:rsidR="00D72887">
        <w:rPr>
          <w:noProof/>
        </w:rPr>
        <w:t>11</w:t>
      </w:r>
      <w:r w:rsidR="001A25C8">
        <w:rPr>
          <w:lang w:val="en-GB"/>
        </w:rPr>
        <w:fldChar w:fldCharType="end"/>
      </w:r>
      <w:r w:rsidRPr="002047C1">
        <w:rPr>
          <w:lang w:val="en-GB"/>
        </w:rPr>
        <w:t xml:space="preserve">) but could </w:t>
      </w:r>
      <w:r w:rsidR="003D1EAD">
        <w:rPr>
          <w:lang w:val="en-GB"/>
        </w:rPr>
        <w:t xml:space="preserve">not </w:t>
      </w:r>
      <w:r w:rsidRPr="002047C1">
        <w:rPr>
          <w:lang w:val="en-GB"/>
        </w:rPr>
        <w:t xml:space="preserve">be </w:t>
      </w:r>
      <w:r w:rsidR="00F02E3E">
        <w:rPr>
          <w:lang w:val="en-GB"/>
        </w:rPr>
        <w:t>considered</w:t>
      </w:r>
      <w:r w:rsidRPr="002047C1" w:rsidDel="00F02E3E">
        <w:rPr>
          <w:lang w:val="en-GB"/>
        </w:rPr>
        <w:t xml:space="preserve"> </w:t>
      </w:r>
      <w:r w:rsidRPr="002047C1">
        <w:rPr>
          <w:lang w:val="en-GB"/>
        </w:rPr>
        <w:t xml:space="preserve">superior (or inferior) to another. </w:t>
      </w:r>
      <w:r w:rsidR="009E6686" w:rsidRPr="00DF40D9">
        <w:rPr>
          <w:lang w:val="en-GB"/>
        </w:rPr>
        <w:t xml:space="preserve">The PBAC considered it was not possible to draw meaningful conclusions </w:t>
      </w:r>
      <w:r w:rsidR="00DA1FCB" w:rsidRPr="00DF40D9">
        <w:rPr>
          <w:lang w:val="en-GB"/>
        </w:rPr>
        <w:t xml:space="preserve">regarding </w:t>
      </w:r>
      <w:r w:rsidR="009E6686" w:rsidRPr="00DF40D9">
        <w:rPr>
          <w:lang w:val="en-GB"/>
        </w:rPr>
        <w:t>the comparative effectiveness and safety of fenfluramine and stiripentol, as there were substantial transitivity issues with the available evidence that precluded a robust comparison of these therapies. T</w:t>
      </w:r>
      <w:r w:rsidRPr="00DF40D9">
        <w:rPr>
          <w:lang w:val="en-GB"/>
        </w:rPr>
        <w:t>he PBAC noted long-term data with respect to cardiac outcomes such as pulmonary hypertension and valvular heart disease was not available at</w:t>
      </w:r>
      <w:r w:rsidR="003278AB" w:rsidRPr="00DF40D9">
        <w:rPr>
          <w:lang w:val="en-GB"/>
        </w:rPr>
        <w:t xml:space="preserve"> the</w:t>
      </w:r>
      <w:r w:rsidRPr="00DF40D9">
        <w:rPr>
          <w:lang w:val="en-GB"/>
        </w:rPr>
        <w:t xml:space="preserve"> time of consideration and considered that given the known safety profile of fenfluramine from historical use (at higher doses), this risk </w:t>
      </w:r>
      <w:r w:rsidR="00813B52" w:rsidRPr="00DF40D9">
        <w:rPr>
          <w:lang w:val="en-GB"/>
        </w:rPr>
        <w:t>continued to be a relevant consideration</w:t>
      </w:r>
      <w:r w:rsidRPr="00DF40D9">
        <w:rPr>
          <w:lang w:val="en-GB"/>
        </w:rPr>
        <w:t>.</w:t>
      </w:r>
      <w:r w:rsidR="00746664" w:rsidRPr="00DF40D9">
        <w:rPr>
          <w:lang w:val="en-GB"/>
        </w:rPr>
        <w:t xml:space="preserve"> </w:t>
      </w:r>
    </w:p>
    <w:p w14:paraId="33E50962" w14:textId="7CF9BBBA" w:rsidR="005C5ACF" w:rsidRPr="00746664" w:rsidRDefault="005C5ACF" w:rsidP="00746664">
      <w:pPr>
        <w:pStyle w:val="3-BodyText"/>
        <w:rPr>
          <w:lang w:val="en-GB"/>
        </w:rPr>
      </w:pPr>
      <w:r w:rsidRPr="00746664">
        <w:rPr>
          <w:lang w:val="en-GB"/>
        </w:rPr>
        <w:t xml:space="preserve">The PBAC agreed with the ESC and considered the economic model provided in the submission, which used a weighted ICER approach based on cohorts that either included or excluded use of stiripentol, to be unreliable for decision-making (discussed further in paragraphs </w:t>
      </w:r>
      <w:r w:rsidR="00DF2D65">
        <w:rPr>
          <w:lang w:val="en-GB"/>
        </w:rPr>
        <w:fldChar w:fldCharType="begin" w:fldLock="1"/>
      </w:r>
      <w:r w:rsidR="00DF2D65">
        <w:rPr>
          <w:lang w:val="en-GB"/>
        </w:rPr>
        <w:instrText xml:space="preserve"> REF _Ref183089472 \r \h </w:instrText>
      </w:r>
      <w:r w:rsidR="00DF2D65">
        <w:rPr>
          <w:lang w:val="en-GB"/>
        </w:rPr>
      </w:r>
      <w:r w:rsidR="00DF2D65">
        <w:rPr>
          <w:lang w:val="en-GB"/>
        </w:rPr>
        <w:fldChar w:fldCharType="separate"/>
      </w:r>
      <w:r w:rsidR="00D72887">
        <w:rPr>
          <w:lang w:val="en-GB"/>
        </w:rPr>
        <w:t>6.77</w:t>
      </w:r>
      <w:r w:rsidR="00DF2D65">
        <w:rPr>
          <w:lang w:val="en-GB"/>
        </w:rPr>
        <w:fldChar w:fldCharType="end"/>
      </w:r>
      <w:r w:rsidRPr="00746664" w:rsidDel="00DF2D65">
        <w:rPr>
          <w:lang w:val="en-GB"/>
        </w:rPr>
        <w:t xml:space="preserve"> </w:t>
      </w:r>
      <w:r w:rsidRPr="00746664">
        <w:rPr>
          <w:lang w:val="en-GB"/>
        </w:rPr>
        <w:t xml:space="preserve">- </w:t>
      </w:r>
      <w:r w:rsidR="00DF2D65">
        <w:rPr>
          <w:lang w:val="en-GB"/>
        </w:rPr>
        <w:fldChar w:fldCharType="begin" w:fldLock="1"/>
      </w:r>
      <w:r w:rsidR="00DF2D65">
        <w:rPr>
          <w:lang w:val="en-GB"/>
        </w:rPr>
        <w:instrText xml:space="preserve"> REF _Ref183075921 \r \h </w:instrText>
      </w:r>
      <w:r w:rsidR="00DF2D65">
        <w:rPr>
          <w:lang w:val="en-GB"/>
        </w:rPr>
      </w:r>
      <w:r w:rsidR="00DF2D65">
        <w:rPr>
          <w:lang w:val="en-GB"/>
        </w:rPr>
        <w:fldChar w:fldCharType="separate"/>
      </w:r>
      <w:r w:rsidR="00D72887">
        <w:rPr>
          <w:lang w:val="en-GB"/>
        </w:rPr>
        <w:t>6.80</w:t>
      </w:r>
      <w:r w:rsidR="00DF2D65">
        <w:rPr>
          <w:lang w:val="en-GB"/>
        </w:rPr>
        <w:fldChar w:fldCharType="end"/>
      </w:r>
      <w:r w:rsidRPr="00746664">
        <w:rPr>
          <w:lang w:val="en-GB"/>
        </w:rPr>
        <w:t>). The PBAC considered a simpler approach to assessing the cost</w:t>
      </w:r>
      <w:r w:rsidR="00C82011">
        <w:rPr>
          <w:lang w:val="en-GB"/>
        </w:rPr>
        <w:t>-</w:t>
      </w:r>
      <w:r w:rsidRPr="00746664">
        <w:rPr>
          <w:lang w:val="en-GB"/>
        </w:rPr>
        <w:t>effectiveness of fenfluramine was justified</w:t>
      </w:r>
      <w:r w:rsidR="00131967">
        <w:rPr>
          <w:lang w:val="en-GB"/>
        </w:rPr>
        <w:t xml:space="preserve">. The PBAC considered that this was </w:t>
      </w:r>
      <w:r w:rsidR="00636180">
        <w:rPr>
          <w:lang w:val="en-GB"/>
        </w:rPr>
        <w:t>appropriate</w:t>
      </w:r>
      <w:r w:rsidRPr="00746664">
        <w:rPr>
          <w:lang w:val="en-GB"/>
        </w:rPr>
        <w:t xml:space="preserve"> given the clinical need and the available evidence supporting a conclusion of superior comparative effectiveness compared to cannabidiol. The Committee considered it may be reasonable to consider a cost per responder approach (defined as a 50% reduction in CSF from baseline). The PBAC noted the results of the cost per responder analyses (</w:t>
      </w:r>
      <w:r w:rsidR="00C82011">
        <w:rPr>
          <w:lang w:val="en-GB"/>
        </w:rPr>
        <w:fldChar w:fldCharType="begin" w:fldLock="1"/>
      </w:r>
      <w:r w:rsidR="00C82011">
        <w:rPr>
          <w:lang w:val="en-GB"/>
        </w:rPr>
        <w:instrText xml:space="preserve"> REF _Ref183089608 \h </w:instrText>
      </w:r>
      <w:r w:rsidR="00C82011">
        <w:rPr>
          <w:lang w:val="en-GB"/>
        </w:rPr>
      </w:r>
      <w:r w:rsidR="00C82011">
        <w:rPr>
          <w:lang w:val="en-GB"/>
        </w:rPr>
        <w:fldChar w:fldCharType="separate"/>
      </w:r>
      <w:r w:rsidR="00D72887">
        <w:t xml:space="preserve">Table </w:t>
      </w:r>
      <w:r w:rsidR="00D72887">
        <w:rPr>
          <w:noProof/>
        </w:rPr>
        <w:t>19</w:t>
      </w:r>
      <w:r w:rsidR="00C82011">
        <w:rPr>
          <w:lang w:val="en-GB"/>
        </w:rPr>
        <w:fldChar w:fldCharType="end"/>
      </w:r>
      <w:r w:rsidR="00C82011">
        <w:rPr>
          <w:lang w:val="en-GB"/>
        </w:rPr>
        <w:t xml:space="preserve"> - </w:t>
      </w:r>
      <w:r w:rsidR="00C82011">
        <w:rPr>
          <w:lang w:val="en-GB"/>
        </w:rPr>
        <w:fldChar w:fldCharType="begin" w:fldLock="1"/>
      </w:r>
      <w:r w:rsidR="00C82011">
        <w:rPr>
          <w:lang w:val="en-GB"/>
        </w:rPr>
        <w:instrText xml:space="preserve"> REF _Ref183089617 \h </w:instrText>
      </w:r>
      <w:r w:rsidR="00C82011">
        <w:rPr>
          <w:lang w:val="en-GB"/>
        </w:rPr>
      </w:r>
      <w:r w:rsidR="00C82011">
        <w:rPr>
          <w:lang w:val="en-GB"/>
        </w:rPr>
        <w:fldChar w:fldCharType="separate"/>
      </w:r>
      <w:r w:rsidR="00D72887">
        <w:t xml:space="preserve">Table </w:t>
      </w:r>
      <w:r w:rsidR="00D72887">
        <w:rPr>
          <w:noProof/>
        </w:rPr>
        <w:t>21</w:t>
      </w:r>
      <w:r w:rsidR="00C82011">
        <w:rPr>
          <w:lang w:val="en-GB"/>
        </w:rPr>
        <w:fldChar w:fldCharType="end"/>
      </w:r>
      <w:r w:rsidRPr="00746664">
        <w:rPr>
          <w:lang w:val="en-GB"/>
        </w:rPr>
        <w:t xml:space="preserve">) based on the populations of the three fenfluramine trials and considered that given the clinical and </w:t>
      </w:r>
      <w:r w:rsidRPr="00746664">
        <w:rPr>
          <w:lang w:val="en-GB"/>
        </w:rPr>
        <w:lastRenderedPageBreak/>
        <w:t>quality of life benefit associated with a 50% reduction in CSF, that fenfluramine likely represented a cost</w:t>
      </w:r>
      <w:r w:rsidR="00C34E2F">
        <w:rPr>
          <w:lang w:val="en-GB"/>
        </w:rPr>
        <w:t>-</w:t>
      </w:r>
      <w:r w:rsidRPr="00746664">
        <w:rPr>
          <w:lang w:val="en-GB"/>
        </w:rPr>
        <w:t xml:space="preserve">effective therapy at the price proposed in the Pre-PBAC Response, noting the small, well-defined population, the clinical need and additional benefit to patients likely to be realised over cannabidiol. </w:t>
      </w:r>
    </w:p>
    <w:p w14:paraId="39CBD4A6" w14:textId="71151C61" w:rsidR="003D5111" w:rsidRDefault="002761ED" w:rsidP="00D87CFA">
      <w:pPr>
        <w:pStyle w:val="ListParagraph"/>
        <w:numPr>
          <w:ilvl w:val="1"/>
          <w:numId w:val="3"/>
        </w:numPr>
        <w:contextualSpacing/>
        <w:rPr>
          <w:lang w:val="en-GB" w:eastAsia="en-US"/>
        </w:rPr>
      </w:pPr>
      <w:r>
        <w:rPr>
          <w:lang w:val="en-GB" w:eastAsia="en-US"/>
        </w:rPr>
        <w:t xml:space="preserve">The PBAC considered that, on balance, and noting the small, </w:t>
      </w:r>
      <w:r w:rsidR="008B45D4">
        <w:rPr>
          <w:lang w:val="en-GB" w:eastAsia="en-US"/>
        </w:rPr>
        <w:t>well-defined</w:t>
      </w:r>
      <w:r>
        <w:rPr>
          <w:lang w:val="en-GB" w:eastAsia="en-US"/>
        </w:rPr>
        <w:t xml:space="preserve"> population</w:t>
      </w:r>
      <w:r w:rsidR="005D7AE9">
        <w:rPr>
          <w:lang w:val="en-GB" w:eastAsia="en-US"/>
        </w:rPr>
        <w:t xml:space="preserve">, the </w:t>
      </w:r>
      <w:r w:rsidR="00024C11">
        <w:rPr>
          <w:lang w:val="en-GB" w:eastAsia="en-US"/>
        </w:rPr>
        <w:t xml:space="preserve">fenfluramine </w:t>
      </w:r>
      <w:r w:rsidR="005D7AE9">
        <w:rPr>
          <w:lang w:val="en-GB" w:eastAsia="en-US"/>
        </w:rPr>
        <w:t xml:space="preserve">utilisation estimates provided in the submission were reasonable. </w:t>
      </w:r>
      <w:r w:rsidR="000839CB">
        <w:rPr>
          <w:lang w:val="en-GB" w:eastAsia="en-US"/>
        </w:rPr>
        <w:t xml:space="preserve">The PBAC noted the </w:t>
      </w:r>
      <w:r w:rsidR="00944E56">
        <w:rPr>
          <w:lang w:val="en-GB" w:eastAsia="en-US"/>
        </w:rPr>
        <w:t xml:space="preserve">financial implications of listing fenfluramine will need to be updated to include the price proposed in the pre-PBAC response.  </w:t>
      </w:r>
      <w:r w:rsidR="006E6A32" w:rsidRPr="006E6A32">
        <w:rPr>
          <w:lang w:eastAsia="en-US"/>
        </w:rPr>
        <w:t>The PBAC noted the cost-offsets for stiripentol and cannabidiol were unlikely to be fully realised as fenfluramine may be used in combination with, or displace, these therapies.</w:t>
      </w:r>
    </w:p>
    <w:p w14:paraId="55E78A27" w14:textId="07339D6B" w:rsidR="00B45F74" w:rsidRDefault="00B54C5F" w:rsidP="00B45F74">
      <w:pPr>
        <w:widowControl w:val="0"/>
        <w:numPr>
          <w:ilvl w:val="1"/>
          <w:numId w:val="3"/>
        </w:numPr>
        <w:spacing w:after="120"/>
        <w:rPr>
          <w:rFonts w:asciiTheme="minorHAnsi" w:hAnsiTheme="minorHAnsi"/>
          <w:bCs/>
          <w:snapToGrid w:val="0"/>
          <w:lang w:val="en-GB"/>
        </w:rPr>
      </w:pPr>
      <w:r>
        <w:rPr>
          <w:rFonts w:asciiTheme="minorHAnsi" w:hAnsiTheme="minorHAnsi"/>
          <w:bCs/>
          <w:snapToGrid w:val="0"/>
          <w:lang w:val="en-GB"/>
        </w:rPr>
        <w:t>The PBAC advised fenfluramine should not be treated as interchangeable with any other drugs.</w:t>
      </w:r>
    </w:p>
    <w:p w14:paraId="2AC2B353" w14:textId="3329295D" w:rsidR="00B45F74" w:rsidRDefault="00B45F74" w:rsidP="00B45F74">
      <w:pPr>
        <w:widowControl w:val="0"/>
        <w:numPr>
          <w:ilvl w:val="1"/>
          <w:numId w:val="3"/>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sidR="00B54C5F">
        <w:rPr>
          <w:rFonts w:asciiTheme="minorHAnsi" w:hAnsiTheme="minorHAnsi"/>
          <w:bCs/>
          <w:snapToGrid w:val="0"/>
          <w:lang w:val="en-GB"/>
        </w:rPr>
        <w:t>fenfluramine</w:t>
      </w:r>
      <w:r w:rsidRPr="00525B39">
        <w:rPr>
          <w:rFonts w:asciiTheme="minorHAnsi" w:hAnsiTheme="minorHAnsi"/>
          <w:bCs/>
          <w:snapToGrid w:val="0"/>
          <w:lang w:val="en-GB"/>
        </w:rPr>
        <w:t xml:space="preserve"> is not suitable for presc</w:t>
      </w:r>
      <w:r>
        <w:rPr>
          <w:rFonts w:asciiTheme="minorHAnsi" w:hAnsiTheme="minorHAnsi"/>
          <w:bCs/>
          <w:snapToGrid w:val="0"/>
          <w:lang w:val="en-GB"/>
        </w:rPr>
        <w:t xml:space="preserve">ribing by nurse practitioners. </w:t>
      </w:r>
    </w:p>
    <w:p w14:paraId="4FA5FD43" w14:textId="61499AF2" w:rsidR="00AE2D7B" w:rsidRPr="00525B39" w:rsidRDefault="00AE2D7B" w:rsidP="00B45F74">
      <w:pPr>
        <w:widowControl w:val="0"/>
        <w:numPr>
          <w:ilvl w:val="1"/>
          <w:numId w:val="3"/>
        </w:numPr>
        <w:spacing w:after="120"/>
        <w:rPr>
          <w:rFonts w:asciiTheme="minorHAnsi" w:hAnsiTheme="minorHAnsi"/>
          <w:bCs/>
          <w:snapToGrid w:val="0"/>
          <w:lang w:val="en-GB"/>
        </w:rPr>
      </w:pPr>
      <w:r>
        <w:rPr>
          <w:rFonts w:asciiTheme="minorHAnsi" w:hAnsiTheme="minorHAnsi"/>
          <w:bCs/>
          <w:snapToGrid w:val="0"/>
          <w:lang w:val="en-GB"/>
        </w:rPr>
        <w:t xml:space="preserve">The PBAC </w:t>
      </w:r>
      <w:r w:rsidR="00AA7FB7">
        <w:rPr>
          <w:rFonts w:asciiTheme="minorHAnsi" w:hAnsiTheme="minorHAnsi"/>
          <w:bCs/>
          <w:snapToGrid w:val="0"/>
          <w:lang w:val="en-GB"/>
        </w:rPr>
        <w:t>advised</w:t>
      </w:r>
      <w:r>
        <w:rPr>
          <w:rFonts w:asciiTheme="minorHAnsi" w:hAnsiTheme="minorHAnsi"/>
          <w:bCs/>
          <w:snapToGrid w:val="0"/>
          <w:lang w:val="en-GB"/>
        </w:rPr>
        <w:t xml:space="preserve"> the Early Supply Rule should not apply to fenfluramine as it is an oral liquid</w:t>
      </w:r>
      <w:r w:rsidR="0056514A">
        <w:rPr>
          <w:rFonts w:asciiTheme="minorHAnsi" w:hAnsiTheme="minorHAnsi"/>
          <w:bCs/>
          <w:snapToGrid w:val="0"/>
          <w:lang w:val="en-GB"/>
        </w:rPr>
        <w:t xml:space="preserve"> formulation.</w:t>
      </w:r>
    </w:p>
    <w:p w14:paraId="70FC25E5" w14:textId="0116C01D" w:rsidR="00B45F74" w:rsidRPr="00B54C5F" w:rsidRDefault="00B45F74" w:rsidP="00D87CFA">
      <w:pPr>
        <w:widowControl w:val="0"/>
        <w:numPr>
          <w:ilvl w:val="1"/>
          <w:numId w:val="3"/>
        </w:numPr>
        <w:spacing w:after="120"/>
        <w:rPr>
          <w:rFonts w:asciiTheme="minorHAnsi" w:hAnsiTheme="minorHAnsi" w:cstheme="minorHAnsi"/>
          <w:lang w:val="en-GB"/>
        </w:rPr>
      </w:pPr>
      <w:r w:rsidRPr="00B54C5F">
        <w:rPr>
          <w:rFonts w:asciiTheme="minorHAnsi" w:hAnsiTheme="minorHAnsi" w:cstheme="minorHAnsi"/>
          <w:lang w:val="en-GB"/>
        </w:rPr>
        <w:t xml:space="preserve">The PBAC found that the criteria prescribed by the </w:t>
      </w:r>
      <w:r w:rsidRPr="00B54C5F">
        <w:rPr>
          <w:rFonts w:asciiTheme="minorHAnsi" w:hAnsiTheme="minorHAnsi" w:cstheme="minorHAnsi"/>
          <w:i/>
          <w:lang w:val="en-GB"/>
        </w:rPr>
        <w:t>National Health (Pharmaceuticals and Vaccines – Cost Recovery) Regulations 2022</w:t>
      </w:r>
      <w:r w:rsidRPr="00B54C5F">
        <w:rPr>
          <w:rFonts w:asciiTheme="minorHAnsi" w:hAnsiTheme="minorHAnsi" w:cstheme="minorHAnsi"/>
          <w:lang w:val="en-GB"/>
        </w:rPr>
        <w:t xml:space="preserve"> for Pricing Pathway A were met. </w:t>
      </w:r>
      <w:r w:rsidR="00B674F7" w:rsidRPr="00B54C5F">
        <w:rPr>
          <w:rFonts w:asciiTheme="minorHAnsi" w:hAnsiTheme="minorHAnsi" w:cstheme="minorHAnsi"/>
          <w:lang w:val="en-GB"/>
        </w:rPr>
        <w:t>Specifically,</w:t>
      </w:r>
      <w:r w:rsidRPr="00B54C5F">
        <w:rPr>
          <w:rFonts w:asciiTheme="minorHAnsi" w:hAnsiTheme="minorHAnsi" w:cstheme="minorHAnsi"/>
          <w:lang w:val="en-GB"/>
        </w:rPr>
        <w:t xml:space="preserve"> the PBAC found that in the circumstances of its recommendation for</w:t>
      </w:r>
      <w:r w:rsidR="009D1316">
        <w:rPr>
          <w:rFonts w:asciiTheme="minorHAnsi" w:hAnsiTheme="minorHAnsi" w:cstheme="minorHAnsi"/>
          <w:lang w:val="en-GB"/>
        </w:rPr>
        <w:t xml:space="preserve"> fenfluramine</w:t>
      </w:r>
      <w:r w:rsidRPr="00B54C5F">
        <w:rPr>
          <w:rFonts w:asciiTheme="minorHAnsi" w:hAnsiTheme="minorHAnsi" w:cstheme="minorHAnsi"/>
          <w:lang w:val="en-GB"/>
        </w:rPr>
        <w:t>:</w:t>
      </w:r>
    </w:p>
    <w:p w14:paraId="1446B9B4" w14:textId="60CAE02A" w:rsidR="00B45F74" w:rsidRPr="00763DFB" w:rsidRDefault="00B45F74" w:rsidP="00D87CFA">
      <w:pPr>
        <w:widowControl w:val="0"/>
        <w:numPr>
          <w:ilvl w:val="1"/>
          <w:numId w:val="32"/>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expected to provide a substantial and clinically relevant improvement in efficacy, over </w:t>
      </w:r>
      <w:r w:rsidR="009D1316">
        <w:rPr>
          <w:rFonts w:asciiTheme="minorHAnsi" w:hAnsiTheme="minorHAnsi" w:cstheme="minorHAnsi"/>
          <w:lang w:val="en-GB"/>
        </w:rPr>
        <w:t xml:space="preserve">cannabidiol, based on the results of the ITCs suggesting a statistically significantly higher </w:t>
      </w:r>
      <w:r w:rsidR="007A4BFF">
        <w:rPr>
          <w:rFonts w:asciiTheme="minorHAnsi" w:hAnsiTheme="minorHAnsi" w:cstheme="minorHAnsi"/>
          <w:lang w:val="en-GB"/>
        </w:rPr>
        <w:t>chance of achieving a 50% reduction in CSF</w:t>
      </w:r>
      <w:r w:rsidR="00D525C3">
        <w:rPr>
          <w:rFonts w:asciiTheme="minorHAnsi" w:hAnsiTheme="minorHAnsi" w:cstheme="minorHAnsi"/>
          <w:lang w:val="en-GB"/>
        </w:rPr>
        <w:t xml:space="preserve"> and </w:t>
      </w:r>
      <w:r w:rsidR="00C11990">
        <w:rPr>
          <w:rFonts w:asciiTheme="minorHAnsi" w:hAnsiTheme="minorHAnsi" w:cstheme="minorHAnsi"/>
          <w:lang w:val="en-GB"/>
        </w:rPr>
        <w:t>an improved reduction in monthly seizures from baseline</w:t>
      </w:r>
      <w:r w:rsidR="007A4BFF">
        <w:rPr>
          <w:rFonts w:asciiTheme="minorHAnsi" w:hAnsiTheme="minorHAnsi" w:cstheme="minorHAnsi"/>
          <w:lang w:val="en-GB"/>
        </w:rPr>
        <w:t>.</w:t>
      </w:r>
    </w:p>
    <w:p w14:paraId="784EFD70" w14:textId="488C7916" w:rsidR="00B45F74" w:rsidRPr="00763DFB" w:rsidRDefault="00B45F74" w:rsidP="00D87CFA">
      <w:pPr>
        <w:widowControl w:val="0"/>
        <w:numPr>
          <w:ilvl w:val="1"/>
          <w:numId w:val="32"/>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expected to address a high and urgent unmet clinical need </w:t>
      </w:r>
      <w:r w:rsidR="007A4BFF">
        <w:rPr>
          <w:rFonts w:asciiTheme="minorHAnsi" w:hAnsiTheme="minorHAnsi" w:cstheme="minorHAnsi"/>
          <w:lang w:val="en-GB"/>
        </w:rPr>
        <w:t xml:space="preserve">because </w:t>
      </w:r>
      <w:r w:rsidR="00B674F7">
        <w:rPr>
          <w:rFonts w:asciiTheme="minorHAnsi" w:hAnsiTheme="minorHAnsi" w:cstheme="minorHAnsi"/>
          <w:lang w:val="en-GB"/>
        </w:rPr>
        <w:t xml:space="preserve">Dravet Syndrome is a rare and severe epileptic </w:t>
      </w:r>
      <w:proofErr w:type="gramStart"/>
      <w:r w:rsidR="00B674F7">
        <w:rPr>
          <w:rFonts w:asciiTheme="minorHAnsi" w:hAnsiTheme="minorHAnsi" w:cstheme="minorHAnsi"/>
          <w:lang w:val="en-GB"/>
        </w:rPr>
        <w:t>encephalopathy</w:t>
      </w:r>
      <w:proofErr w:type="gramEnd"/>
      <w:r w:rsidR="00B674F7">
        <w:rPr>
          <w:rFonts w:asciiTheme="minorHAnsi" w:hAnsiTheme="minorHAnsi" w:cstheme="minorHAnsi"/>
          <w:lang w:val="en-GB"/>
        </w:rPr>
        <w:t xml:space="preserve"> and current treatments typically have limited effectiveness and many patients do not respond to </w:t>
      </w:r>
      <w:r w:rsidR="008379F4">
        <w:rPr>
          <w:rFonts w:asciiTheme="minorHAnsi" w:hAnsiTheme="minorHAnsi" w:cstheme="minorHAnsi"/>
          <w:lang w:val="en-GB"/>
        </w:rPr>
        <w:t xml:space="preserve">currently available </w:t>
      </w:r>
      <w:r w:rsidR="00B674F7">
        <w:rPr>
          <w:rFonts w:asciiTheme="minorHAnsi" w:hAnsiTheme="minorHAnsi" w:cstheme="minorHAnsi"/>
          <w:lang w:val="en-GB"/>
        </w:rPr>
        <w:t>treatment</w:t>
      </w:r>
      <w:r w:rsidR="008379F4">
        <w:rPr>
          <w:rFonts w:asciiTheme="minorHAnsi" w:hAnsiTheme="minorHAnsi" w:cstheme="minorHAnsi"/>
          <w:lang w:val="en-GB"/>
        </w:rPr>
        <w:t>s</w:t>
      </w:r>
      <w:r w:rsidR="00B674F7">
        <w:rPr>
          <w:rFonts w:asciiTheme="minorHAnsi" w:hAnsiTheme="minorHAnsi" w:cstheme="minorHAnsi"/>
          <w:lang w:val="en-GB"/>
        </w:rPr>
        <w:t>.</w:t>
      </w:r>
    </w:p>
    <w:p w14:paraId="0A1BF6F4" w14:textId="56051FA9" w:rsidR="00B45F74" w:rsidRPr="00B674F7" w:rsidRDefault="00B45F74" w:rsidP="00D87CFA">
      <w:pPr>
        <w:widowControl w:val="0"/>
        <w:numPr>
          <w:ilvl w:val="1"/>
          <w:numId w:val="32"/>
        </w:numPr>
        <w:spacing w:after="120"/>
        <w:ind w:left="1134"/>
        <w:rPr>
          <w:rFonts w:asciiTheme="minorHAnsi" w:hAnsiTheme="minorHAnsi" w:cstheme="minorHAnsi"/>
          <w:lang w:val="en-GB"/>
        </w:rPr>
      </w:pPr>
      <w:r w:rsidRPr="00763DFB">
        <w:rPr>
          <w:rFonts w:asciiTheme="minorHAnsi" w:hAnsiTheme="minorHAnsi" w:cstheme="minorHAnsi"/>
          <w:lang w:val="en-GB"/>
        </w:rPr>
        <w:t xml:space="preserve">It would be in the public interest for the subsequent pricing application to be progressed under Pricing Pathway </w:t>
      </w:r>
      <w:proofErr w:type="gramStart"/>
      <w:r w:rsidRPr="00763DFB">
        <w:rPr>
          <w:rFonts w:asciiTheme="minorHAnsi" w:hAnsiTheme="minorHAnsi" w:cstheme="minorHAnsi"/>
          <w:lang w:val="en-GB"/>
        </w:rPr>
        <w:t>A on the basis of</w:t>
      </w:r>
      <w:proofErr w:type="gramEnd"/>
      <w:r w:rsidRPr="00763DFB">
        <w:rPr>
          <w:rFonts w:asciiTheme="minorHAnsi" w:hAnsiTheme="minorHAnsi" w:cstheme="minorHAnsi"/>
          <w:lang w:val="en-GB"/>
        </w:rPr>
        <w:t xml:space="preserve"> the preceding findings</w:t>
      </w:r>
      <w:r w:rsidR="00B674F7">
        <w:rPr>
          <w:rFonts w:asciiTheme="minorHAnsi" w:hAnsiTheme="minorHAnsi" w:cstheme="minorHAnsi"/>
          <w:lang w:val="en-GB"/>
        </w:rPr>
        <w:t>.</w:t>
      </w:r>
    </w:p>
    <w:p w14:paraId="53A754D6" w14:textId="4544AD4E" w:rsidR="00B45F74" w:rsidRPr="00120D1A" w:rsidRDefault="00B45F74" w:rsidP="00B45F74">
      <w:pPr>
        <w:widowControl w:val="0"/>
        <w:numPr>
          <w:ilvl w:val="1"/>
          <w:numId w:val="3"/>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no</w:t>
      </w:r>
      <w:r w:rsidR="00BF3A86">
        <w:rPr>
          <w:rFonts w:asciiTheme="minorHAnsi" w:hAnsiTheme="minorHAnsi"/>
          <w:bCs/>
          <w:snapToGrid w:val="0"/>
          <w:lang w:val="en-GB"/>
        </w:rPr>
        <w:t>t</w:t>
      </w:r>
      <w:r w:rsidRPr="00525B39">
        <w:rPr>
          <w:rFonts w:asciiTheme="minorHAnsi" w:hAnsiTheme="minorHAnsi"/>
          <w:bCs/>
          <w:snapToGrid w:val="0"/>
          <w:lang w:val="en-GB"/>
        </w:rPr>
        <w:t xml:space="preserve"> eligible for an Independent Review</w:t>
      </w:r>
      <w:r w:rsidR="00BF3A86">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 xml:space="preserve">. </w:t>
      </w:r>
    </w:p>
    <w:p w14:paraId="556E83D0" w14:textId="77777777" w:rsidR="00B45F74" w:rsidRPr="00525B39" w:rsidRDefault="00B45F74" w:rsidP="00B45F74">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C7D4E2B" w14:textId="1A31016C" w:rsidR="00FB460A" w:rsidRPr="00D87CFA" w:rsidRDefault="00B45F74" w:rsidP="00D87CFA">
      <w:pPr>
        <w:rPr>
          <w:rFonts w:asciiTheme="minorHAnsi" w:hAnsiTheme="minorHAnsi"/>
          <w:bCs/>
          <w:snapToGrid w:val="0"/>
          <w:lang w:val="en-GB"/>
        </w:rPr>
      </w:pPr>
      <w:r w:rsidRPr="00525B39">
        <w:rPr>
          <w:rFonts w:asciiTheme="minorHAnsi" w:hAnsiTheme="minorHAnsi"/>
          <w:bCs/>
          <w:snapToGrid w:val="0"/>
          <w:lang w:val="en-GB"/>
        </w:rPr>
        <w:t>Recommended</w:t>
      </w:r>
    </w:p>
    <w:bookmarkEnd w:id="104"/>
    <w:p w14:paraId="4CC77AD2" w14:textId="77777777" w:rsidR="00B45F74" w:rsidRPr="00907671" w:rsidRDefault="00B45F74" w:rsidP="00B45F74">
      <w:pPr>
        <w:pStyle w:val="2-SectionHeading"/>
      </w:pPr>
      <w:r w:rsidRPr="00907671">
        <w:t>Recommended listing</w:t>
      </w:r>
    </w:p>
    <w:p w14:paraId="4D6E7444" w14:textId="60067968" w:rsidR="008B792B" w:rsidRPr="00D87CFA" w:rsidRDefault="00B45F74" w:rsidP="00D87CFA">
      <w:pPr>
        <w:pStyle w:val="3-BodyText"/>
        <w:rPr>
          <w:b/>
        </w:rPr>
      </w:pPr>
      <w:r w:rsidRPr="008B792B">
        <w:t>Add new item:</w:t>
      </w:r>
      <w:r w:rsidR="008B792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992"/>
        <w:gridCol w:w="950"/>
        <w:gridCol w:w="610"/>
        <w:gridCol w:w="1650"/>
      </w:tblGrid>
      <w:tr w:rsidR="00AF1ABC" w:rsidRPr="00F75D8E" w14:paraId="60AF5168" w14:textId="77777777" w:rsidTr="003D106E">
        <w:trPr>
          <w:cantSplit/>
          <w:trHeight w:val="20"/>
        </w:trPr>
        <w:tc>
          <w:tcPr>
            <w:tcW w:w="2120" w:type="pct"/>
            <w:vAlign w:val="center"/>
          </w:tcPr>
          <w:p w14:paraId="287EDB38" w14:textId="77777777" w:rsidR="00AF1ABC" w:rsidRPr="00104777" w:rsidRDefault="00AF1ABC" w:rsidP="00AB21D4">
            <w:pPr>
              <w:keepLines/>
              <w:rPr>
                <w:rFonts w:ascii="Arial Narrow" w:hAnsi="Arial Narrow"/>
                <w:b/>
                <w:bCs/>
                <w:sz w:val="20"/>
                <w:szCs w:val="20"/>
              </w:rPr>
            </w:pPr>
            <w:r w:rsidRPr="00104777">
              <w:rPr>
                <w:rFonts w:ascii="Arial Narrow" w:hAnsi="Arial Narrow"/>
                <w:b/>
                <w:bCs/>
                <w:sz w:val="20"/>
                <w:szCs w:val="20"/>
              </w:rPr>
              <w:lastRenderedPageBreak/>
              <w:t>MEDICINAL PRODUCT</w:t>
            </w:r>
          </w:p>
          <w:p w14:paraId="25ACBA87" w14:textId="77777777" w:rsidR="00AF1ABC" w:rsidRPr="00104777" w:rsidRDefault="00AF1ABC" w:rsidP="00AB21D4">
            <w:pPr>
              <w:keepLines/>
              <w:rPr>
                <w:rFonts w:ascii="Arial Narrow" w:hAnsi="Arial Narrow"/>
                <w:b/>
                <w:sz w:val="20"/>
                <w:szCs w:val="20"/>
              </w:rPr>
            </w:pPr>
            <w:r w:rsidRPr="00104777">
              <w:rPr>
                <w:rFonts w:ascii="Arial Narrow" w:hAnsi="Arial Narrow"/>
                <w:b/>
                <w:bCs/>
                <w:sz w:val="20"/>
                <w:szCs w:val="20"/>
              </w:rPr>
              <w:t>medicinal product pack</w:t>
            </w:r>
          </w:p>
        </w:tc>
        <w:tc>
          <w:tcPr>
            <w:tcW w:w="550" w:type="pct"/>
            <w:vAlign w:val="center"/>
          </w:tcPr>
          <w:p w14:paraId="6E7C95F2" w14:textId="77777777" w:rsidR="00AF1ABC" w:rsidRPr="00104777" w:rsidRDefault="00AF1ABC" w:rsidP="00AB21D4">
            <w:pPr>
              <w:keepLines/>
              <w:jc w:val="center"/>
              <w:rPr>
                <w:rFonts w:ascii="Arial Narrow" w:hAnsi="Arial Narrow"/>
                <w:b/>
                <w:sz w:val="20"/>
                <w:szCs w:val="20"/>
              </w:rPr>
            </w:pPr>
            <w:r w:rsidRPr="00104777">
              <w:rPr>
                <w:rFonts w:ascii="Arial Narrow" w:hAnsi="Arial Narrow"/>
                <w:b/>
                <w:sz w:val="20"/>
                <w:szCs w:val="20"/>
              </w:rPr>
              <w:t>PBS item code</w:t>
            </w:r>
          </w:p>
        </w:tc>
        <w:tc>
          <w:tcPr>
            <w:tcW w:w="550" w:type="pct"/>
            <w:vAlign w:val="center"/>
          </w:tcPr>
          <w:p w14:paraId="3C915B00" w14:textId="77777777" w:rsidR="00AF1ABC" w:rsidRPr="00104777" w:rsidRDefault="00AF1ABC" w:rsidP="00AB21D4">
            <w:pPr>
              <w:keepLines/>
              <w:jc w:val="center"/>
              <w:rPr>
                <w:rFonts w:ascii="Arial Narrow" w:hAnsi="Arial Narrow"/>
                <w:b/>
                <w:sz w:val="20"/>
                <w:szCs w:val="20"/>
              </w:rPr>
            </w:pPr>
            <w:r w:rsidRPr="00104777">
              <w:rPr>
                <w:rFonts w:ascii="Arial Narrow" w:hAnsi="Arial Narrow"/>
                <w:b/>
                <w:sz w:val="20"/>
                <w:szCs w:val="20"/>
              </w:rPr>
              <w:t>Max. qty packs</w:t>
            </w:r>
          </w:p>
        </w:tc>
        <w:tc>
          <w:tcPr>
            <w:tcW w:w="527" w:type="pct"/>
            <w:vAlign w:val="center"/>
          </w:tcPr>
          <w:p w14:paraId="2F5CF308" w14:textId="77777777" w:rsidR="00AF1ABC" w:rsidRPr="00104777" w:rsidRDefault="00AF1ABC" w:rsidP="00AB21D4">
            <w:pPr>
              <w:keepLines/>
              <w:jc w:val="center"/>
              <w:rPr>
                <w:rFonts w:ascii="Arial Narrow" w:hAnsi="Arial Narrow"/>
                <w:b/>
                <w:sz w:val="20"/>
                <w:szCs w:val="20"/>
              </w:rPr>
            </w:pPr>
            <w:r w:rsidRPr="00104777">
              <w:rPr>
                <w:rFonts w:ascii="Arial Narrow" w:hAnsi="Arial Narrow"/>
                <w:b/>
                <w:sz w:val="20"/>
                <w:szCs w:val="20"/>
              </w:rPr>
              <w:t>Max. qty units</w:t>
            </w:r>
          </w:p>
        </w:tc>
        <w:tc>
          <w:tcPr>
            <w:tcW w:w="338" w:type="pct"/>
            <w:vAlign w:val="center"/>
          </w:tcPr>
          <w:p w14:paraId="1BE44031" w14:textId="77777777" w:rsidR="00AF1ABC" w:rsidRPr="00104777" w:rsidRDefault="00AF1ABC" w:rsidP="00AB21D4">
            <w:pPr>
              <w:keepLines/>
              <w:jc w:val="center"/>
              <w:rPr>
                <w:rFonts w:ascii="Arial Narrow" w:hAnsi="Arial Narrow"/>
                <w:b/>
                <w:sz w:val="20"/>
                <w:szCs w:val="20"/>
              </w:rPr>
            </w:pPr>
            <w:r w:rsidRPr="00104777">
              <w:rPr>
                <w:rFonts w:ascii="Arial Narrow" w:hAnsi="Arial Narrow"/>
                <w:b/>
                <w:sz w:val="20"/>
                <w:szCs w:val="20"/>
              </w:rPr>
              <w:t>№.of</w:t>
            </w:r>
          </w:p>
          <w:p w14:paraId="1E7F59D1" w14:textId="77777777" w:rsidR="00AF1ABC" w:rsidRPr="00104777" w:rsidRDefault="00AF1ABC" w:rsidP="00AB21D4">
            <w:pPr>
              <w:keepLines/>
              <w:jc w:val="center"/>
              <w:rPr>
                <w:rFonts w:ascii="Arial Narrow" w:hAnsi="Arial Narrow"/>
                <w:b/>
                <w:sz w:val="20"/>
                <w:szCs w:val="20"/>
              </w:rPr>
            </w:pPr>
            <w:r w:rsidRPr="00104777">
              <w:rPr>
                <w:rFonts w:ascii="Arial Narrow" w:hAnsi="Arial Narrow"/>
                <w:b/>
                <w:sz w:val="20"/>
                <w:szCs w:val="20"/>
              </w:rPr>
              <w:t>Rpts</w:t>
            </w:r>
          </w:p>
        </w:tc>
        <w:tc>
          <w:tcPr>
            <w:tcW w:w="915" w:type="pct"/>
            <w:vAlign w:val="center"/>
          </w:tcPr>
          <w:p w14:paraId="16A55B61" w14:textId="77777777" w:rsidR="00AF1ABC" w:rsidRPr="00104777" w:rsidRDefault="00AF1ABC" w:rsidP="00AB21D4">
            <w:pPr>
              <w:keepLines/>
              <w:rPr>
                <w:rFonts w:ascii="Arial Narrow" w:hAnsi="Arial Narrow"/>
                <w:b/>
                <w:sz w:val="20"/>
                <w:szCs w:val="20"/>
                <w:lang w:val="fr-FR"/>
              </w:rPr>
            </w:pPr>
            <w:r w:rsidRPr="00104777">
              <w:rPr>
                <w:rFonts w:ascii="Arial Narrow" w:hAnsi="Arial Narrow"/>
                <w:b/>
                <w:sz w:val="20"/>
                <w:szCs w:val="20"/>
              </w:rPr>
              <w:t>Available brands</w:t>
            </w:r>
          </w:p>
        </w:tc>
      </w:tr>
      <w:tr w:rsidR="00AF1ABC" w:rsidRPr="00F75D8E" w14:paraId="77CD8A3F" w14:textId="77777777" w:rsidTr="7BA7AC5E">
        <w:trPr>
          <w:cantSplit/>
          <w:trHeight w:val="20"/>
        </w:trPr>
        <w:tc>
          <w:tcPr>
            <w:tcW w:w="5000" w:type="pct"/>
            <w:gridSpan w:val="6"/>
            <w:vAlign w:val="center"/>
          </w:tcPr>
          <w:p w14:paraId="40D2F353" w14:textId="77777777" w:rsidR="00AF1ABC" w:rsidRPr="00104777" w:rsidRDefault="00AF1ABC" w:rsidP="00AB21D4">
            <w:pPr>
              <w:keepLines/>
              <w:rPr>
                <w:rFonts w:ascii="Arial Narrow" w:hAnsi="Arial Narrow"/>
                <w:sz w:val="20"/>
                <w:szCs w:val="20"/>
              </w:rPr>
            </w:pPr>
            <w:r w:rsidRPr="00104777">
              <w:rPr>
                <w:rFonts w:ascii="Arial Narrow" w:hAnsi="Arial Narrow"/>
                <w:sz w:val="20"/>
                <w:szCs w:val="20"/>
              </w:rPr>
              <w:t>FENFLURAMINE</w:t>
            </w:r>
          </w:p>
        </w:tc>
      </w:tr>
      <w:tr w:rsidR="00AF1ABC" w:rsidRPr="00F75D8E" w14:paraId="6708A929" w14:textId="77777777" w:rsidTr="003D106E">
        <w:trPr>
          <w:cantSplit/>
          <w:trHeight w:val="20"/>
        </w:trPr>
        <w:tc>
          <w:tcPr>
            <w:tcW w:w="2120" w:type="pct"/>
            <w:vAlign w:val="center"/>
          </w:tcPr>
          <w:p w14:paraId="233D7D96" w14:textId="77777777" w:rsidR="00AF1ABC" w:rsidRPr="00104777" w:rsidRDefault="00AF1ABC" w:rsidP="00AB21D4">
            <w:pPr>
              <w:keepLines/>
              <w:rPr>
                <w:rFonts w:ascii="Arial Narrow" w:hAnsi="Arial Narrow"/>
                <w:sz w:val="20"/>
                <w:szCs w:val="20"/>
              </w:rPr>
            </w:pPr>
            <w:r w:rsidRPr="00104777">
              <w:rPr>
                <w:rFonts w:ascii="Arial Narrow" w:hAnsi="Arial Narrow"/>
                <w:sz w:val="20"/>
                <w:szCs w:val="20"/>
              </w:rPr>
              <w:t>fenfluramine hydrochloride 2.2 mg/mL oral liquid, 360 mL</w:t>
            </w:r>
          </w:p>
        </w:tc>
        <w:tc>
          <w:tcPr>
            <w:tcW w:w="550" w:type="pct"/>
            <w:vAlign w:val="center"/>
          </w:tcPr>
          <w:p w14:paraId="0907B026" w14:textId="77777777" w:rsidR="00AF1ABC" w:rsidRPr="00104777" w:rsidRDefault="00AF1ABC" w:rsidP="00AB21D4">
            <w:pPr>
              <w:keepLines/>
              <w:jc w:val="center"/>
              <w:rPr>
                <w:rFonts w:ascii="Arial Narrow" w:hAnsi="Arial Narrow"/>
                <w:sz w:val="20"/>
                <w:szCs w:val="20"/>
              </w:rPr>
            </w:pPr>
            <w:r w:rsidRPr="00104777">
              <w:rPr>
                <w:rFonts w:ascii="Arial Narrow" w:hAnsi="Arial Narrow"/>
                <w:sz w:val="20"/>
                <w:szCs w:val="20"/>
              </w:rPr>
              <w:t>NEW</w:t>
            </w:r>
          </w:p>
        </w:tc>
        <w:tc>
          <w:tcPr>
            <w:tcW w:w="550" w:type="pct"/>
            <w:vAlign w:val="center"/>
          </w:tcPr>
          <w:p w14:paraId="06FD4E51" w14:textId="77777777" w:rsidR="00AF1ABC" w:rsidRPr="00104777" w:rsidRDefault="00AF1ABC" w:rsidP="00AB21D4">
            <w:pPr>
              <w:keepLines/>
              <w:jc w:val="center"/>
              <w:rPr>
                <w:rFonts w:ascii="Arial Narrow" w:hAnsi="Arial Narrow"/>
                <w:sz w:val="20"/>
                <w:szCs w:val="20"/>
              </w:rPr>
            </w:pPr>
            <w:r w:rsidRPr="00104777">
              <w:rPr>
                <w:rFonts w:ascii="Arial Narrow" w:hAnsi="Arial Narrow"/>
                <w:sz w:val="20"/>
                <w:szCs w:val="20"/>
              </w:rPr>
              <w:t>1</w:t>
            </w:r>
          </w:p>
        </w:tc>
        <w:tc>
          <w:tcPr>
            <w:tcW w:w="527" w:type="pct"/>
            <w:vAlign w:val="center"/>
          </w:tcPr>
          <w:p w14:paraId="3EB228DB" w14:textId="77777777" w:rsidR="00AF1ABC" w:rsidRPr="00104777" w:rsidRDefault="00AF1ABC" w:rsidP="00AB21D4">
            <w:pPr>
              <w:keepLines/>
              <w:jc w:val="center"/>
              <w:rPr>
                <w:rFonts w:ascii="Arial Narrow" w:hAnsi="Arial Narrow"/>
                <w:sz w:val="20"/>
                <w:szCs w:val="20"/>
              </w:rPr>
            </w:pPr>
            <w:r w:rsidRPr="00104777">
              <w:rPr>
                <w:rFonts w:ascii="Arial Narrow" w:hAnsi="Arial Narrow"/>
                <w:sz w:val="20"/>
                <w:szCs w:val="20"/>
              </w:rPr>
              <w:t>1</w:t>
            </w:r>
          </w:p>
        </w:tc>
        <w:tc>
          <w:tcPr>
            <w:tcW w:w="338" w:type="pct"/>
            <w:vAlign w:val="center"/>
          </w:tcPr>
          <w:p w14:paraId="53D63293" w14:textId="77777777" w:rsidR="00AF1ABC" w:rsidRPr="00104777" w:rsidRDefault="00AF1ABC" w:rsidP="00AB21D4">
            <w:pPr>
              <w:keepLines/>
              <w:jc w:val="center"/>
              <w:rPr>
                <w:rFonts w:ascii="Arial Narrow" w:hAnsi="Arial Narrow"/>
                <w:sz w:val="20"/>
                <w:szCs w:val="20"/>
              </w:rPr>
            </w:pPr>
            <w:r w:rsidRPr="00104777">
              <w:rPr>
                <w:rFonts w:ascii="Arial Narrow" w:hAnsi="Arial Narrow"/>
                <w:sz w:val="20"/>
                <w:szCs w:val="20"/>
              </w:rPr>
              <w:t>5</w:t>
            </w:r>
          </w:p>
        </w:tc>
        <w:tc>
          <w:tcPr>
            <w:tcW w:w="915" w:type="pct"/>
            <w:vAlign w:val="center"/>
          </w:tcPr>
          <w:p w14:paraId="5B5F0326" w14:textId="77777777" w:rsidR="00AF1ABC" w:rsidRPr="00104777" w:rsidRDefault="00AF1ABC" w:rsidP="00AB21D4">
            <w:pPr>
              <w:keepLines/>
              <w:rPr>
                <w:rFonts w:ascii="Arial Narrow" w:hAnsi="Arial Narrow"/>
                <w:sz w:val="20"/>
                <w:szCs w:val="20"/>
              </w:rPr>
            </w:pPr>
            <w:r w:rsidRPr="00104777">
              <w:rPr>
                <w:rFonts w:ascii="Arial Narrow" w:hAnsi="Arial Narrow"/>
                <w:sz w:val="20"/>
                <w:szCs w:val="20"/>
              </w:rPr>
              <w:t>Fintepla</w:t>
            </w:r>
          </w:p>
        </w:tc>
      </w:tr>
      <w:tr w:rsidR="00AF1ABC" w:rsidRPr="00F75D8E" w14:paraId="27B90DEA" w14:textId="77777777" w:rsidTr="7BA7AC5E">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524E7A5C" w14:textId="77777777" w:rsidR="00AF1ABC" w:rsidRPr="00104777" w:rsidRDefault="00AF1ABC" w:rsidP="00AB21D4">
            <w:pPr>
              <w:rPr>
                <w:rFonts w:ascii="Arial Narrow" w:hAnsi="Arial Narrow"/>
                <w:sz w:val="20"/>
                <w:szCs w:val="20"/>
              </w:rPr>
            </w:pPr>
          </w:p>
        </w:tc>
      </w:tr>
      <w:tr w:rsidR="00AF1ABC" w:rsidRPr="00F75D8E" w14:paraId="179AAB83" w14:textId="77777777" w:rsidTr="7BA7AC5E">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01579278" w14:textId="77777777" w:rsidR="00AF1ABC" w:rsidRPr="00104777" w:rsidRDefault="00AF1ABC" w:rsidP="00AB21D4">
            <w:pPr>
              <w:keepLines/>
              <w:rPr>
                <w:rFonts w:ascii="Arial Narrow" w:hAnsi="Arial Narrow"/>
                <w:b/>
                <w:sz w:val="20"/>
                <w:szCs w:val="20"/>
              </w:rPr>
            </w:pPr>
            <w:r w:rsidRPr="00104777">
              <w:rPr>
                <w:rFonts w:ascii="Arial Narrow" w:hAnsi="Arial Narrow"/>
                <w:b/>
                <w:sz w:val="20"/>
                <w:szCs w:val="20"/>
              </w:rPr>
              <w:t>Restriction Summary variant of 11681 [+GF]</w:t>
            </w:r>
            <w:r w:rsidRPr="00104777">
              <w:rPr>
                <w:rFonts w:ascii="Arial Narrow" w:hAnsi="Arial Narrow"/>
                <w:b/>
                <w:color w:val="FF0000"/>
                <w:sz w:val="20"/>
                <w:szCs w:val="20"/>
              </w:rPr>
              <w:t xml:space="preserve"> </w:t>
            </w:r>
            <w:r w:rsidRPr="00104777">
              <w:rPr>
                <w:rFonts w:ascii="Arial Narrow" w:hAnsi="Arial Narrow"/>
                <w:b/>
                <w:sz w:val="20"/>
                <w:szCs w:val="20"/>
              </w:rPr>
              <w:t>/ Treatment of Concept: variant of 11681 [+GF]</w:t>
            </w:r>
          </w:p>
        </w:tc>
      </w:tr>
      <w:tr w:rsidR="00AF1ABC" w:rsidRPr="00F75D8E" w14:paraId="3B637066" w14:textId="77777777" w:rsidTr="00FF677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3B2709F" w14:textId="77777777" w:rsidR="00AF1ABC" w:rsidRPr="00104777" w:rsidRDefault="00AF1ABC" w:rsidP="00AB21D4">
            <w:pPr>
              <w:keepLines/>
              <w:rPr>
                <w:rFonts w:ascii="Arial Narrow" w:hAnsi="Arial Narrow"/>
                <w:sz w:val="20"/>
                <w:szCs w:val="20"/>
              </w:rPr>
            </w:pPr>
            <w:r w:rsidRPr="00104777">
              <w:rPr>
                <w:rFonts w:ascii="Arial Narrow" w:hAnsi="Arial Narrow"/>
                <w:b/>
                <w:sz w:val="20"/>
                <w:szCs w:val="20"/>
              </w:rPr>
              <w:t>Category / Program:</w:t>
            </w:r>
            <w:r w:rsidRPr="00104777">
              <w:rPr>
                <w:rFonts w:ascii="Arial Narrow" w:hAnsi="Arial Narrow"/>
                <w:color w:val="FF0000"/>
                <w:sz w:val="20"/>
                <w:szCs w:val="20"/>
              </w:rPr>
              <w:t xml:space="preserve"> </w:t>
            </w:r>
          </w:p>
          <w:p w14:paraId="0F97534D" w14:textId="77777777" w:rsidR="00AF1ABC" w:rsidRPr="00104777" w:rsidRDefault="00AF1ABC" w:rsidP="00AB21D4">
            <w:pPr>
              <w:keepLines/>
              <w:rPr>
                <w:rFonts w:ascii="Arial Narrow" w:hAnsi="Arial Narrow"/>
                <w:sz w:val="20"/>
                <w:szCs w:val="20"/>
              </w:rPr>
            </w:pPr>
            <w:r w:rsidRPr="00104777">
              <w:rPr>
                <w:rFonts w:ascii="Arial Narrow" w:eastAsia="Calibri" w:hAnsi="Arial Narrow"/>
                <w:sz w:val="20"/>
                <w:szCs w:val="20"/>
              </w:rPr>
              <w:fldChar w:fldCharType="begin" w:fldLock="1">
                <w:ffData>
                  <w:name w:val="Check1"/>
                  <w:enabled/>
                  <w:calcOnExit w:val="0"/>
                  <w:checkBox>
                    <w:sizeAuto/>
                    <w:default w:val="1"/>
                  </w:checkBox>
                </w:ffData>
              </w:fldChar>
            </w:r>
            <w:bookmarkStart w:id="106" w:name="Check1"/>
            <w:r w:rsidRPr="00104777">
              <w:rPr>
                <w:rFonts w:ascii="Arial Narrow" w:eastAsia="Calibri" w:hAnsi="Arial Narrow"/>
                <w:sz w:val="20"/>
                <w:szCs w:val="20"/>
              </w:rPr>
              <w:instrText xml:space="preserve"> FORMCHECKBOX </w:instrText>
            </w:r>
            <w:r w:rsidRPr="00104777">
              <w:rPr>
                <w:rFonts w:ascii="Arial Narrow" w:eastAsia="Calibri" w:hAnsi="Arial Narrow"/>
                <w:sz w:val="20"/>
                <w:szCs w:val="20"/>
              </w:rPr>
            </w:r>
            <w:r w:rsidRPr="00104777">
              <w:rPr>
                <w:rFonts w:ascii="Arial Narrow" w:eastAsia="Calibri" w:hAnsi="Arial Narrow"/>
                <w:sz w:val="20"/>
                <w:szCs w:val="20"/>
              </w:rPr>
              <w:fldChar w:fldCharType="separate"/>
            </w:r>
            <w:r w:rsidRPr="00104777">
              <w:rPr>
                <w:rFonts w:ascii="Arial Narrow" w:eastAsia="Calibri" w:hAnsi="Arial Narrow"/>
                <w:sz w:val="20"/>
                <w:szCs w:val="20"/>
              </w:rPr>
              <w:fldChar w:fldCharType="end"/>
            </w:r>
            <w:bookmarkEnd w:id="106"/>
            <w:r w:rsidRPr="00104777">
              <w:rPr>
                <w:rFonts w:ascii="Arial Narrow" w:eastAsia="Calibri" w:hAnsi="Arial Narrow"/>
                <w:sz w:val="20"/>
                <w:szCs w:val="20"/>
              </w:rPr>
              <w:t xml:space="preserve"> GENERAL - General Schedule (Code GE) </w:t>
            </w:r>
          </w:p>
        </w:tc>
      </w:tr>
      <w:tr w:rsidR="00AF1ABC" w:rsidRPr="00F75D8E" w14:paraId="3DB34BB1" w14:textId="77777777" w:rsidTr="00FF677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0DBDCD2" w14:textId="77777777" w:rsidR="00AF1ABC" w:rsidRPr="00104777" w:rsidRDefault="00AF1ABC" w:rsidP="00AB21D4">
            <w:pPr>
              <w:keepLines/>
              <w:rPr>
                <w:rFonts w:ascii="Arial Narrow" w:hAnsi="Arial Narrow"/>
                <w:b/>
                <w:sz w:val="20"/>
                <w:szCs w:val="20"/>
              </w:rPr>
            </w:pPr>
            <w:r w:rsidRPr="00104777">
              <w:rPr>
                <w:rFonts w:ascii="Arial Narrow" w:hAnsi="Arial Narrow"/>
                <w:b/>
                <w:sz w:val="20"/>
                <w:szCs w:val="20"/>
              </w:rPr>
              <w:t xml:space="preserve">Prescriber type: </w:t>
            </w:r>
            <w:r w:rsidRPr="00104777">
              <w:rPr>
                <w:rFonts w:ascii="Arial Narrow" w:hAnsi="Arial Narrow"/>
                <w:sz w:val="20"/>
                <w:szCs w:val="20"/>
              </w:rPr>
              <w:fldChar w:fldCharType="begin" w:fldLock="1">
                <w:ffData>
                  <w:name w:val=""/>
                  <w:enabled/>
                  <w:calcOnExit w:val="0"/>
                  <w:checkBox>
                    <w:sizeAuto/>
                    <w:default w:val="1"/>
                  </w:checkBox>
                </w:ffData>
              </w:fldChar>
            </w:r>
            <w:r w:rsidRPr="00104777">
              <w:rPr>
                <w:rFonts w:ascii="Arial Narrow" w:hAnsi="Arial Narrow"/>
                <w:sz w:val="20"/>
                <w:szCs w:val="20"/>
              </w:rPr>
              <w:instrText xml:space="preserve"> FORMCHECKBOX </w:instrText>
            </w:r>
            <w:r w:rsidRPr="00104777">
              <w:rPr>
                <w:rFonts w:ascii="Arial Narrow" w:hAnsi="Arial Narrow"/>
                <w:sz w:val="20"/>
                <w:szCs w:val="20"/>
              </w:rPr>
            </w:r>
            <w:r w:rsidRPr="00104777">
              <w:rPr>
                <w:rFonts w:ascii="Arial Narrow" w:hAnsi="Arial Narrow"/>
                <w:sz w:val="20"/>
                <w:szCs w:val="20"/>
              </w:rPr>
              <w:fldChar w:fldCharType="separate"/>
            </w:r>
            <w:r w:rsidRPr="00104777">
              <w:rPr>
                <w:rFonts w:ascii="Arial Narrow" w:hAnsi="Arial Narrow"/>
                <w:sz w:val="20"/>
                <w:szCs w:val="20"/>
              </w:rPr>
              <w:fldChar w:fldCharType="end"/>
            </w:r>
            <w:r w:rsidRPr="00104777">
              <w:rPr>
                <w:rFonts w:ascii="Arial Narrow" w:hAnsi="Arial Narrow"/>
                <w:sz w:val="20"/>
                <w:szCs w:val="20"/>
              </w:rPr>
              <w:t xml:space="preserve">Medical Practitioners </w:t>
            </w:r>
          </w:p>
        </w:tc>
      </w:tr>
      <w:tr w:rsidR="00AF1ABC" w:rsidRPr="00F75D8E" w14:paraId="13D68FFF" w14:textId="77777777" w:rsidTr="00FF677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26B9241" w14:textId="77777777" w:rsidR="00AF1ABC" w:rsidRPr="00104777" w:rsidRDefault="00AF1ABC" w:rsidP="00AB21D4">
            <w:pPr>
              <w:keepLines/>
              <w:rPr>
                <w:rFonts w:ascii="Arial Narrow" w:hAnsi="Arial Narrow"/>
                <w:b/>
                <w:sz w:val="20"/>
                <w:szCs w:val="20"/>
              </w:rPr>
            </w:pPr>
            <w:r w:rsidRPr="00104777">
              <w:rPr>
                <w:rFonts w:ascii="Arial Narrow" w:hAnsi="Arial Narrow"/>
                <w:b/>
                <w:sz w:val="20"/>
                <w:szCs w:val="20"/>
              </w:rPr>
              <w:t xml:space="preserve">Restriction type: </w:t>
            </w:r>
            <w:r w:rsidRPr="00104777">
              <w:rPr>
                <w:rFonts w:ascii="Arial Narrow" w:eastAsia="Calibri" w:hAnsi="Arial Narrow"/>
                <w:sz w:val="20"/>
                <w:szCs w:val="20"/>
              </w:rPr>
              <w:fldChar w:fldCharType="begin" w:fldLock="1">
                <w:ffData>
                  <w:name w:val="Check3"/>
                  <w:enabled/>
                  <w:calcOnExit w:val="0"/>
                  <w:checkBox>
                    <w:sizeAuto/>
                    <w:default w:val="1"/>
                  </w:checkBox>
                </w:ffData>
              </w:fldChar>
            </w:r>
            <w:r w:rsidRPr="00104777">
              <w:rPr>
                <w:rFonts w:ascii="Arial Narrow" w:eastAsia="Calibri" w:hAnsi="Arial Narrow"/>
                <w:sz w:val="20"/>
                <w:szCs w:val="20"/>
              </w:rPr>
              <w:instrText xml:space="preserve"> FORMCHECKBOX </w:instrText>
            </w:r>
            <w:r w:rsidRPr="00104777">
              <w:rPr>
                <w:rFonts w:ascii="Arial Narrow" w:eastAsia="Calibri" w:hAnsi="Arial Narrow"/>
                <w:sz w:val="20"/>
                <w:szCs w:val="20"/>
              </w:rPr>
            </w:r>
            <w:r w:rsidRPr="00104777">
              <w:rPr>
                <w:rFonts w:ascii="Arial Narrow" w:eastAsia="Calibri" w:hAnsi="Arial Narrow"/>
                <w:sz w:val="20"/>
                <w:szCs w:val="20"/>
              </w:rPr>
              <w:fldChar w:fldCharType="separate"/>
            </w:r>
            <w:r w:rsidRPr="00104777">
              <w:rPr>
                <w:rFonts w:ascii="Arial Narrow" w:eastAsia="Calibri" w:hAnsi="Arial Narrow"/>
                <w:sz w:val="20"/>
                <w:szCs w:val="20"/>
              </w:rPr>
              <w:fldChar w:fldCharType="end"/>
            </w:r>
            <w:r w:rsidRPr="00104777">
              <w:rPr>
                <w:rFonts w:ascii="Arial Narrow" w:eastAsia="Calibri" w:hAnsi="Arial Narrow"/>
                <w:sz w:val="20"/>
                <w:szCs w:val="20"/>
              </w:rPr>
              <w:t xml:space="preserve">Authority Required (immediate assessment) </w:t>
            </w:r>
          </w:p>
        </w:tc>
      </w:tr>
      <w:tr w:rsidR="00AF1ABC" w:rsidRPr="00F75D8E" w14:paraId="3A01946E" w14:textId="77777777" w:rsidTr="00FF677B">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295EEEF2" w14:textId="77777777" w:rsidR="00AF1ABC" w:rsidRPr="00104777" w:rsidRDefault="00AF1ABC" w:rsidP="00AB21D4">
            <w:pPr>
              <w:rPr>
                <w:rFonts w:ascii="Arial Narrow" w:hAnsi="Arial Narrow"/>
                <w:color w:val="333333"/>
                <w:sz w:val="20"/>
                <w:szCs w:val="20"/>
              </w:rPr>
            </w:pPr>
            <w:r w:rsidRPr="00104777">
              <w:rPr>
                <w:rFonts w:ascii="Arial Narrow" w:hAnsi="Arial Narrow"/>
                <w:b/>
                <w:bCs/>
                <w:color w:val="333333"/>
                <w:sz w:val="20"/>
                <w:szCs w:val="20"/>
              </w:rPr>
              <w:t>Administrative Advice:</w:t>
            </w:r>
            <w:r w:rsidRPr="00104777">
              <w:rPr>
                <w:rFonts w:ascii="Arial Narrow" w:hAnsi="Arial Narrow"/>
                <w:color w:val="333333"/>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r w:rsidR="00AF1ABC" w:rsidRPr="00F75D8E" w14:paraId="6D9FC56C" w14:textId="77777777" w:rsidTr="00FF677B">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9A8039E" w14:textId="77777777" w:rsidR="00AF1ABC" w:rsidRPr="00104777" w:rsidRDefault="00AF1ABC" w:rsidP="00AB21D4">
            <w:pPr>
              <w:rPr>
                <w:rFonts w:ascii="Arial Narrow" w:hAnsi="Arial Narrow"/>
                <w:color w:val="333333"/>
                <w:sz w:val="20"/>
                <w:szCs w:val="20"/>
              </w:rPr>
            </w:pPr>
            <w:r w:rsidRPr="00104777">
              <w:rPr>
                <w:rFonts w:ascii="Arial Narrow" w:hAnsi="Arial Narrow"/>
                <w:b/>
                <w:bCs/>
                <w:color w:val="333333"/>
                <w:sz w:val="20"/>
                <w:szCs w:val="20"/>
              </w:rPr>
              <w:t xml:space="preserve">Administrative Advice: </w:t>
            </w:r>
            <w:r w:rsidRPr="00104777">
              <w:rPr>
                <w:rFonts w:ascii="Arial Narrow" w:hAnsi="Arial Narrow"/>
                <w:color w:val="333333"/>
                <w:sz w:val="20"/>
                <w:szCs w:val="20"/>
              </w:rPr>
              <w:t>No increase in the maximum quantity or number of units may be authorised.</w:t>
            </w:r>
          </w:p>
        </w:tc>
      </w:tr>
      <w:tr w:rsidR="00AF1ABC" w:rsidRPr="00F75D8E" w14:paraId="4A5828A9" w14:textId="77777777" w:rsidTr="00FF677B">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2565B832" w14:textId="77777777" w:rsidR="00AF1ABC" w:rsidRPr="00104777" w:rsidRDefault="00AF1ABC" w:rsidP="00AB21D4">
            <w:pPr>
              <w:rPr>
                <w:rFonts w:ascii="Arial Narrow" w:hAnsi="Arial Narrow"/>
                <w:b/>
                <w:bCs/>
                <w:color w:val="333333"/>
                <w:sz w:val="20"/>
                <w:szCs w:val="20"/>
              </w:rPr>
            </w:pPr>
            <w:r w:rsidRPr="00104777">
              <w:rPr>
                <w:rFonts w:ascii="Arial Narrow" w:hAnsi="Arial Narrow"/>
                <w:b/>
                <w:bCs/>
                <w:color w:val="333333"/>
                <w:sz w:val="20"/>
                <w:szCs w:val="20"/>
              </w:rPr>
              <w:t xml:space="preserve">Administrative Advice: </w:t>
            </w:r>
            <w:r w:rsidRPr="00104777">
              <w:rPr>
                <w:rFonts w:ascii="Arial Narrow" w:hAnsi="Arial Narrow"/>
                <w:color w:val="333333"/>
                <w:sz w:val="20"/>
                <w:szCs w:val="20"/>
              </w:rPr>
              <w:t>No increase in the maximum number of repeats may be authorised.</w:t>
            </w:r>
          </w:p>
        </w:tc>
      </w:tr>
      <w:tr w:rsidR="00AF1ABC" w:rsidRPr="00F75D8E" w14:paraId="6F4D715F" w14:textId="77777777" w:rsidTr="00FF677B">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31CB4B6" w14:textId="77777777" w:rsidR="00AF1ABC" w:rsidRPr="00104777" w:rsidRDefault="00AF1ABC" w:rsidP="00AB21D4">
            <w:pPr>
              <w:rPr>
                <w:rFonts w:ascii="Arial Narrow" w:hAnsi="Arial Narrow"/>
                <w:b/>
                <w:bCs/>
                <w:color w:val="333333"/>
                <w:sz w:val="20"/>
                <w:szCs w:val="20"/>
              </w:rPr>
            </w:pPr>
            <w:r w:rsidRPr="00104777">
              <w:rPr>
                <w:rFonts w:ascii="Arial Narrow" w:hAnsi="Arial Narrow"/>
                <w:b/>
                <w:bCs/>
                <w:color w:val="333333"/>
                <w:sz w:val="20"/>
                <w:szCs w:val="20"/>
              </w:rPr>
              <w:t xml:space="preserve">Administrative Advice: </w:t>
            </w:r>
            <w:r w:rsidRPr="00104777">
              <w:rPr>
                <w:rFonts w:ascii="Arial Narrow" w:hAnsi="Arial Narrow"/>
                <w:color w:val="333333"/>
                <w:sz w:val="20"/>
                <w:szCs w:val="20"/>
              </w:rPr>
              <w:t>Special Pricing Arrangements apply.</w:t>
            </w:r>
          </w:p>
        </w:tc>
      </w:tr>
      <w:tr w:rsidR="00AF1ABC" w:rsidRPr="00F75D8E" w14:paraId="5CB17480"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shd w:val="clear" w:color="auto" w:fill="A6A6A6" w:themeFill="background1" w:themeFillShade="A6"/>
            <w:vAlign w:val="center"/>
          </w:tcPr>
          <w:p w14:paraId="09033FC1" w14:textId="77777777" w:rsidR="00AF1ABC" w:rsidRPr="00104777" w:rsidRDefault="00AF1ABC" w:rsidP="00AB21D4">
            <w:pPr>
              <w:keepLines/>
              <w:rPr>
                <w:rFonts w:ascii="Arial Narrow" w:hAnsi="Arial Narrow"/>
                <w:bCs/>
                <w:color w:val="333333"/>
                <w:sz w:val="20"/>
                <w:szCs w:val="20"/>
              </w:rPr>
            </w:pPr>
          </w:p>
        </w:tc>
      </w:tr>
      <w:tr w:rsidR="00AF1ABC" w:rsidRPr="00F75D8E" w14:paraId="1090CCFE"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ECF44D8" w14:textId="77777777" w:rsidR="00AF1ABC" w:rsidRPr="00104777" w:rsidRDefault="00AF1ABC" w:rsidP="00AB21D4">
            <w:pPr>
              <w:keepLines/>
              <w:rPr>
                <w:rFonts w:ascii="Arial Narrow" w:hAnsi="Arial Narrow"/>
                <w:b/>
                <w:bCs/>
                <w:color w:val="333333"/>
                <w:sz w:val="20"/>
                <w:szCs w:val="20"/>
              </w:rPr>
            </w:pPr>
            <w:r w:rsidRPr="00104777">
              <w:rPr>
                <w:rFonts w:ascii="Arial Narrow" w:hAnsi="Arial Narrow"/>
                <w:b/>
                <w:bCs/>
                <w:color w:val="333333"/>
                <w:sz w:val="20"/>
                <w:szCs w:val="20"/>
              </w:rPr>
              <w:t xml:space="preserve">Severity: </w:t>
            </w:r>
            <w:r w:rsidRPr="00104777">
              <w:rPr>
                <w:rFonts w:ascii="Arial Narrow" w:hAnsi="Arial Narrow"/>
                <w:bCs/>
                <w:color w:val="000000" w:themeColor="text1"/>
                <w:sz w:val="20"/>
                <w:szCs w:val="20"/>
              </w:rPr>
              <w:t>Severe</w:t>
            </w:r>
          </w:p>
        </w:tc>
      </w:tr>
      <w:tr w:rsidR="00AF1ABC" w:rsidRPr="00F75D8E" w14:paraId="210C839B"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E14DA6F" w14:textId="77777777" w:rsidR="00AF1ABC" w:rsidRPr="00104777" w:rsidRDefault="00AF1ABC" w:rsidP="00AB21D4">
            <w:pPr>
              <w:keepLines/>
              <w:rPr>
                <w:rFonts w:ascii="Arial Narrow" w:hAnsi="Arial Narrow"/>
                <w:b/>
                <w:bCs/>
                <w:color w:val="333333"/>
                <w:sz w:val="20"/>
                <w:szCs w:val="20"/>
              </w:rPr>
            </w:pPr>
            <w:r w:rsidRPr="00104777">
              <w:rPr>
                <w:rFonts w:ascii="Arial Narrow" w:hAnsi="Arial Narrow"/>
                <w:b/>
                <w:bCs/>
                <w:color w:val="333333"/>
                <w:sz w:val="20"/>
                <w:szCs w:val="20"/>
              </w:rPr>
              <w:t xml:space="preserve">Condition: </w:t>
            </w:r>
            <w:r w:rsidRPr="00104777">
              <w:rPr>
                <w:rFonts w:ascii="Arial Narrow" w:hAnsi="Arial Narrow"/>
                <w:color w:val="333333"/>
                <w:sz w:val="20"/>
                <w:szCs w:val="20"/>
              </w:rPr>
              <w:t>Myoclonic epilepsy in infancy (Dravet syndrome)</w:t>
            </w:r>
          </w:p>
        </w:tc>
      </w:tr>
      <w:tr w:rsidR="00AF1ABC" w:rsidRPr="00F75D8E" w14:paraId="3C795BF4"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8219C62" w14:textId="77777777" w:rsidR="00AF1ABC" w:rsidRPr="00104777" w:rsidRDefault="00AF1ABC" w:rsidP="00AB21D4">
            <w:pPr>
              <w:keepLines/>
              <w:rPr>
                <w:rFonts w:ascii="Arial Narrow" w:hAnsi="Arial Narrow"/>
                <w:color w:val="333333"/>
                <w:sz w:val="20"/>
                <w:szCs w:val="20"/>
              </w:rPr>
            </w:pPr>
            <w:r w:rsidRPr="00104777">
              <w:rPr>
                <w:rFonts w:ascii="Arial Narrow" w:hAnsi="Arial Narrow"/>
                <w:b/>
                <w:bCs/>
                <w:color w:val="333333"/>
                <w:sz w:val="20"/>
                <w:szCs w:val="20"/>
              </w:rPr>
              <w:t>Indication:</w:t>
            </w:r>
            <w:r w:rsidRPr="00104777">
              <w:rPr>
                <w:rFonts w:ascii="Arial Narrow" w:hAnsi="Arial Narrow"/>
                <w:color w:val="333333"/>
                <w:sz w:val="20"/>
                <w:szCs w:val="20"/>
              </w:rPr>
              <w:t xml:space="preserve"> Severe myoclonic epilepsy in infancy (Dravet syndrome)</w:t>
            </w:r>
          </w:p>
        </w:tc>
      </w:tr>
      <w:tr w:rsidR="00AF1ABC" w:rsidRPr="00F75D8E" w14:paraId="4B266B45"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6C97F54" w14:textId="77777777" w:rsidR="00AF1ABC" w:rsidRPr="00104777" w:rsidRDefault="00AF1ABC" w:rsidP="00AB21D4">
            <w:pPr>
              <w:rPr>
                <w:rFonts w:ascii="Arial Narrow" w:hAnsi="Arial Narrow"/>
                <w:sz w:val="20"/>
                <w:szCs w:val="20"/>
              </w:rPr>
            </w:pPr>
            <w:r w:rsidRPr="00104777">
              <w:rPr>
                <w:rFonts w:ascii="Arial Narrow" w:hAnsi="Arial Narrow"/>
                <w:b/>
                <w:bCs/>
                <w:color w:val="333333"/>
                <w:sz w:val="20"/>
                <w:szCs w:val="20"/>
              </w:rPr>
              <w:t>Treatment Phase:</w:t>
            </w:r>
            <w:r w:rsidRPr="00104777">
              <w:rPr>
                <w:rFonts w:ascii="Arial Narrow" w:hAnsi="Arial Narrow"/>
                <w:color w:val="FF0000"/>
                <w:sz w:val="20"/>
                <w:szCs w:val="20"/>
              </w:rPr>
              <w:t xml:space="preserve"> </w:t>
            </w:r>
          </w:p>
        </w:tc>
      </w:tr>
      <w:tr w:rsidR="00AF1ABC" w:rsidRPr="00F75D8E" w14:paraId="14A622D2"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BEE00EC" w14:textId="77777777" w:rsidR="00AF1ABC" w:rsidRPr="00104777" w:rsidRDefault="00AF1ABC" w:rsidP="00AB21D4">
            <w:pPr>
              <w:rPr>
                <w:rFonts w:ascii="Arial Narrow" w:hAnsi="Arial Narrow"/>
                <w:sz w:val="20"/>
                <w:szCs w:val="20"/>
              </w:rPr>
            </w:pPr>
            <w:r w:rsidRPr="00104777">
              <w:rPr>
                <w:rFonts w:ascii="Arial Narrow" w:hAnsi="Arial Narrow"/>
                <w:b/>
                <w:bCs/>
                <w:color w:val="333333"/>
                <w:sz w:val="20"/>
                <w:szCs w:val="20"/>
              </w:rPr>
              <w:t xml:space="preserve">Clinical criteria: </w:t>
            </w:r>
          </w:p>
        </w:tc>
      </w:tr>
      <w:tr w:rsidR="00AF1ABC" w:rsidRPr="00F75D8E" w14:paraId="46DA2294"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49297E6" w14:textId="532B4F86" w:rsidR="00AF1ABC" w:rsidRPr="008B792B" w:rsidRDefault="00AF1ABC" w:rsidP="7BA7AC5E">
            <w:pPr>
              <w:rPr>
                <w:rFonts w:ascii="Arial Narrow" w:hAnsi="Arial Narrow"/>
                <w:color w:val="000000" w:themeColor="text1"/>
                <w:sz w:val="20"/>
                <w:szCs w:val="20"/>
              </w:rPr>
            </w:pPr>
          </w:p>
        </w:tc>
      </w:tr>
      <w:tr w:rsidR="7BA7AC5E" w14:paraId="16737719" w14:textId="77777777" w:rsidTr="00FF677B">
        <w:tblPrEx>
          <w:tblCellMar>
            <w:top w:w="15" w:type="dxa"/>
            <w:bottom w:w="15" w:type="dxa"/>
          </w:tblCellMar>
          <w:tblLook w:val="04A0" w:firstRow="1" w:lastRow="0" w:firstColumn="1" w:lastColumn="0" w:noHBand="0" w:noVBand="1"/>
        </w:tblPrEx>
        <w:trPr>
          <w:cantSplit/>
          <w:trHeight w:val="300"/>
        </w:trPr>
        <w:tc>
          <w:tcPr>
            <w:tcW w:w="5000" w:type="pct"/>
            <w:gridSpan w:val="6"/>
            <w:vAlign w:val="center"/>
            <w:hideMark/>
          </w:tcPr>
          <w:p w14:paraId="7620C6EC" w14:textId="42908F60" w:rsidR="4F5B4688" w:rsidRDefault="4F5B4688" w:rsidP="7BA7AC5E">
            <w:pPr>
              <w:rPr>
                <w:rFonts w:ascii="Arial Narrow" w:hAnsi="Arial Narrow"/>
                <w:color w:val="000000" w:themeColor="text1"/>
                <w:sz w:val="20"/>
                <w:szCs w:val="20"/>
              </w:rPr>
            </w:pPr>
            <w:r w:rsidRPr="7BA7AC5E">
              <w:rPr>
                <w:rFonts w:ascii="Arial Narrow" w:hAnsi="Arial Narrow"/>
                <w:color w:val="000000" w:themeColor="text1"/>
                <w:sz w:val="20"/>
                <w:szCs w:val="20"/>
              </w:rPr>
              <w:t>Patient must have (if initiating) generalised tonic-clonic seizures ore generalised clonic seizures that are not adequately controlled with at least two other anti-epileptic drugs; or</w:t>
            </w:r>
          </w:p>
        </w:tc>
      </w:tr>
      <w:tr w:rsidR="7BA7AC5E" w14:paraId="3DCF7906" w14:textId="77777777" w:rsidTr="00FF677B">
        <w:tblPrEx>
          <w:tblCellMar>
            <w:top w:w="15" w:type="dxa"/>
            <w:bottom w:w="15" w:type="dxa"/>
          </w:tblCellMar>
          <w:tblLook w:val="04A0" w:firstRow="1" w:lastRow="0" w:firstColumn="1" w:lastColumn="0" w:noHBand="0" w:noVBand="1"/>
        </w:tblPrEx>
        <w:trPr>
          <w:cantSplit/>
          <w:trHeight w:val="300"/>
        </w:trPr>
        <w:tc>
          <w:tcPr>
            <w:tcW w:w="5000" w:type="pct"/>
            <w:gridSpan w:val="6"/>
            <w:vAlign w:val="center"/>
            <w:hideMark/>
          </w:tcPr>
          <w:p w14:paraId="3360A4AA" w14:textId="20378AB0" w:rsidR="4F5B4688" w:rsidRDefault="4F5B4688" w:rsidP="7BA7AC5E">
            <w:pPr>
              <w:rPr>
                <w:rFonts w:ascii="Arial Narrow" w:hAnsi="Arial Narrow"/>
                <w:color w:val="000000" w:themeColor="text1"/>
                <w:sz w:val="20"/>
                <w:szCs w:val="20"/>
              </w:rPr>
            </w:pPr>
            <w:r w:rsidRPr="7BA7AC5E">
              <w:rPr>
                <w:rFonts w:ascii="Arial Narrow" w:hAnsi="Arial Narrow"/>
                <w:color w:val="000000" w:themeColor="text1"/>
                <w:sz w:val="20"/>
                <w:szCs w:val="20"/>
              </w:rPr>
              <w:t>Patient must have had (if continuing) generalised tonic-clonic seizures ore generalised clonic seizures that are not adequately controlled with at least two other anti-epileptic drugs.</w:t>
            </w:r>
          </w:p>
        </w:tc>
      </w:tr>
      <w:tr w:rsidR="00AF1ABC" w:rsidRPr="00F75D8E" w14:paraId="343AC980"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96D614E" w14:textId="77777777" w:rsidR="00AF1ABC" w:rsidRPr="00104777" w:rsidRDefault="00AF1ABC" w:rsidP="00AB21D4">
            <w:pPr>
              <w:rPr>
                <w:rFonts w:ascii="Arial Narrow" w:hAnsi="Arial Narrow"/>
                <w:color w:val="333333"/>
                <w:sz w:val="20"/>
                <w:szCs w:val="20"/>
              </w:rPr>
            </w:pPr>
            <w:r w:rsidRPr="00104777">
              <w:rPr>
                <w:rFonts w:ascii="Arial Narrow" w:hAnsi="Arial Narrow"/>
                <w:b/>
                <w:bCs/>
                <w:color w:val="333333"/>
                <w:sz w:val="20"/>
                <w:szCs w:val="20"/>
              </w:rPr>
              <w:t>AND</w:t>
            </w:r>
          </w:p>
        </w:tc>
      </w:tr>
      <w:tr w:rsidR="00AF1ABC" w:rsidRPr="00F75D8E" w14:paraId="1320FAD2"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E50F703" w14:textId="77777777" w:rsidR="00AF1ABC" w:rsidRPr="00104777" w:rsidRDefault="00AF1ABC" w:rsidP="00AB21D4">
            <w:pPr>
              <w:rPr>
                <w:rFonts w:ascii="Arial Narrow" w:hAnsi="Arial Narrow"/>
                <w:color w:val="333333"/>
                <w:sz w:val="20"/>
                <w:szCs w:val="20"/>
              </w:rPr>
            </w:pPr>
            <w:r w:rsidRPr="00104777">
              <w:rPr>
                <w:rFonts w:ascii="Arial Narrow" w:hAnsi="Arial Narrow"/>
                <w:b/>
                <w:bCs/>
                <w:color w:val="333333"/>
                <w:sz w:val="20"/>
                <w:szCs w:val="20"/>
              </w:rPr>
              <w:t>Clinical criteria:</w:t>
            </w:r>
          </w:p>
        </w:tc>
      </w:tr>
      <w:tr w:rsidR="00AF1ABC" w:rsidRPr="00F75D8E" w14:paraId="6C0E19DF"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342FDC3" w14:textId="77777777" w:rsidR="00AF1ABC" w:rsidRPr="00104777" w:rsidRDefault="00AF1ABC" w:rsidP="00AB21D4">
            <w:pPr>
              <w:rPr>
                <w:rFonts w:ascii="Arial Narrow" w:hAnsi="Arial Narrow"/>
                <w:color w:val="FF0000"/>
                <w:sz w:val="20"/>
                <w:szCs w:val="20"/>
              </w:rPr>
            </w:pPr>
            <w:r w:rsidRPr="00104777">
              <w:rPr>
                <w:rFonts w:ascii="Arial Narrow" w:hAnsi="Arial Narrow"/>
                <w:color w:val="000000" w:themeColor="text1"/>
                <w:sz w:val="20"/>
                <w:szCs w:val="20"/>
              </w:rPr>
              <w:t>The treatment must be as adjunctive therapy to at least two other anti-epileptic drugs</w:t>
            </w:r>
          </w:p>
        </w:tc>
      </w:tr>
      <w:tr w:rsidR="00AF1ABC" w:rsidRPr="00F75D8E" w14:paraId="454F103F"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4037FE9" w14:textId="77777777" w:rsidR="00AF1ABC" w:rsidRPr="00104777" w:rsidRDefault="00AF1ABC" w:rsidP="00AB21D4">
            <w:pPr>
              <w:rPr>
                <w:rFonts w:ascii="Arial Narrow" w:hAnsi="Arial Narrow"/>
                <w:color w:val="333333"/>
                <w:sz w:val="20"/>
                <w:szCs w:val="20"/>
              </w:rPr>
            </w:pPr>
            <w:r w:rsidRPr="00104777">
              <w:rPr>
                <w:rFonts w:ascii="Arial Narrow" w:hAnsi="Arial Narrow"/>
                <w:b/>
                <w:bCs/>
                <w:color w:val="333333"/>
                <w:sz w:val="20"/>
                <w:szCs w:val="20"/>
              </w:rPr>
              <w:t>AND</w:t>
            </w:r>
          </w:p>
        </w:tc>
      </w:tr>
      <w:tr w:rsidR="00AF1ABC" w:rsidRPr="00F75D8E" w14:paraId="78D6BD9F"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52F0B72" w14:textId="77777777" w:rsidR="00AF1ABC" w:rsidRPr="00104777" w:rsidRDefault="00AF1ABC" w:rsidP="00AB21D4">
            <w:pPr>
              <w:keepNext/>
              <w:rPr>
                <w:rFonts w:ascii="Arial Narrow" w:hAnsi="Arial Narrow"/>
                <w:color w:val="333333"/>
                <w:sz w:val="20"/>
                <w:szCs w:val="20"/>
              </w:rPr>
            </w:pPr>
            <w:r w:rsidRPr="00104777">
              <w:rPr>
                <w:rFonts w:ascii="Arial Narrow" w:hAnsi="Arial Narrow"/>
                <w:b/>
                <w:bCs/>
                <w:color w:val="333333"/>
                <w:sz w:val="20"/>
                <w:szCs w:val="20"/>
              </w:rPr>
              <w:t>Treatment criteria:</w:t>
            </w:r>
          </w:p>
        </w:tc>
      </w:tr>
      <w:tr w:rsidR="00AF1ABC" w:rsidRPr="00F75D8E" w14:paraId="7C88F51A"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tcBorders>
              <w:bottom w:val="single" w:sz="4" w:space="0" w:color="auto"/>
            </w:tcBorders>
            <w:vAlign w:val="center"/>
            <w:hideMark/>
          </w:tcPr>
          <w:p w14:paraId="61357937" w14:textId="77777777" w:rsidR="00AF1ABC" w:rsidRPr="00104777" w:rsidRDefault="00AF1ABC" w:rsidP="00AB21D4">
            <w:pPr>
              <w:autoSpaceDE w:val="0"/>
              <w:autoSpaceDN w:val="0"/>
              <w:adjustRightInd w:val="0"/>
              <w:rPr>
                <w:rFonts w:ascii="Arial Narrow" w:hAnsi="Arial Narrow" w:cs="Arial Narrow"/>
                <w:sz w:val="20"/>
                <w:szCs w:val="20"/>
              </w:rPr>
            </w:pPr>
            <w:r w:rsidRPr="00104777">
              <w:rPr>
                <w:rFonts w:ascii="Arial Narrow" w:hAnsi="Arial Narrow" w:cs="Arial Narrow"/>
                <w:sz w:val="20"/>
                <w:szCs w:val="20"/>
              </w:rPr>
              <w:t>Must be treated by a neurologist if treatment is being initiated; OR</w:t>
            </w:r>
          </w:p>
          <w:p w14:paraId="5B7827F1" w14:textId="77777777" w:rsidR="00AF1ABC" w:rsidRPr="00104777" w:rsidRDefault="00AF1ABC" w:rsidP="00AB21D4">
            <w:pPr>
              <w:autoSpaceDE w:val="0"/>
              <w:autoSpaceDN w:val="0"/>
              <w:adjustRightInd w:val="0"/>
              <w:rPr>
                <w:rFonts w:ascii="Arial Narrow" w:hAnsi="Arial Narrow" w:cs="Arial Narrow"/>
                <w:sz w:val="20"/>
                <w:szCs w:val="20"/>
              </w:rPr>
            </w:pPr>
            <w:r w:rsidRPr="00104777">
              <w:rPr>
                <w:rFonts w:ascii="Arial Narrow" w:hAnsi="Arial Narrow" w:cs="Arial Narrow"/>
                <w:sz w:val="20"/>
                <w:szCs w:val="20"/>
              </w:rPr>
              <w:t>Must be treated by a neurologist if treatment is being continued or re-initiated; OR</w:t>
            </w:r>
          </w:p>
          <w:p w14:paraId="2BA13726" w14:textId="77777777" w:rsidR="00AF1ABC" w:rsidRPr="00104777" w:rsidRDefault="00AF1ABC" w:rsidP="00AB21D4">
            <w:pPr>
              <w:autoSpaceDE w:val="0"/>
              <w:autoSpaceDN w:val="0"/>
              <w:adjustRightInd w:val="0"/>
              <w:rPr>
                <w:rFonts w:ascii="Arial Narrow" w:hAnsi="Arial Narrow" w:cs="Arial Narrow"/>
                <w:sz w:val="20"/>
                <w:szCs w:val="20"/>
              </w:rPr>
            </w:pPr>
            <w:r w:rsidRPr="00104777">
              <w:rPr>
                <w:rFonts w:ascii="Arial Narrow" w:hAnsi="Arial Narrow" w:cs="Arial Narrow"/>
                <w:sz w:val="20"/>
                <w:szCs w:val="20"/>
              </w:rPr>
              <w:t>Must be treated by a paediatrician in consultation with a neurologist if treatment is being continued; OR</w:t>
            </w:r>
          </w:p>
          <w:p w14:paraId="62CD642D" w14:textId="77777777" w:rsidR="00AF1ABC" w:rsidRPr="00104777" w:rsidRDefault="00AF1ABC" w:rsidP="00AB21D4">
            <w:pPr>
              <w:autoSpaceDE w:val="0"/>
              <w:autoSpaceDN w:val="0"/>
              <w:adjustRightInd w:val="0"/>
              <w:rPr>
                <w:rFonts w:ascii="Arial Narrow" w:hAnsi="Arial Narrow" w:cs="Arial Narrow"/>
                <w:sz w:val="20"/>
                <w:szCs w:val="20"/>
              </w:rPr>
            </w:pPr>
            <w:r w:rsidRPr="00104777">
              <w:rPr>
                <w:rFonts w:ascii="Arial Narrow" w:hAnsi="Arial Narrow" w:cs="Arial Narrow"/>
                <w:sz w:val="20"/>
                <w:szCs w:val="20"/>
              </w:rPr>
              <w:t>Must be treated by a general practitioner in consultation with a neurologist if treatment is being continued</w:t>
            </w:r>
          </w:p>
        </w:tc>
      </w:tr>
      <w:tr w:rsidR="00AF1ABC" w:rsidRPr="00F75D8E" w14:paraId="1E40A7A1"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2FCFB9" w14:textId="77777777" w:rsidR="00AF1ABC" w:rsidRPr="00F75D8E" w:rsidRDefault="00AF1ABC" w:rsidP="00AB21D4">
            <w:pPr>
              <w:rPr>
                <w:rFonts w:ascii="Arial Narrow" w:hAnsi="Arial Narrow"/>
                <w:b/>
                <w:bCs/>
                <w:color w:val="333333"/>
                <w:sz w:val="20"/>
                <w:szCs w:val="20"/>
              </w:rPr>
            </w:pPr>
          </w:p>
        </w:tc>
      </w:tr>
      <w:tr w:rsidR="00AF1ABC" w:rsidRPr="00F75D8E" w14:paraId="042EF8B1" w14:textId="77777777" w:rsidTr="00FF677B">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6B808A" w14:textId="2B15BC56" w:rsidR="00AF1ABC" w:rsidRPr="0012613A" w:rsidRDefault="00AF1ABC" w:rsidP="00AB21D4">
            <w:pPr>
              <w:rPr>
                <w:rFonts w:ascii="Arial Narrow" w:hAnsi="Arial Narrow"/>
                <w:color w:val="333333"/>
                <w:sz w:val="20"/>
                <w:szCs w:val="20"/>
                <w:highlight w:val="yellow"/>
              </w:rPr>
            </w:pPr>
            <w:r w:rsidRPr="005E2665">
              <w:rPr>
                <w:rFonts w:ascii="Arial Narrow" w:hAnsi="Arial Narrow"/>
                <w:b/>
                <w:bCs/>
                <w:color w:val="333333"/>
                <w:sz w:val="20"/>
                <w:szCs w:val="20"/>
              </w:rPr>
              <w:t xml:space="preserve">Administrative Advice: </w:t>
            </w:r>
            <w:r w:rsidRPr="005E2665">
              <w:rPr>
                <w:rFonts w:ascii="Arial Narrow" w:hAnsi="Arial Narrow"/>
                <w:color w:val="333333"/>
                <w:sz w:val="20"/>
                <w:szCs w:val="20"/>
              </w:rPr>
              <w:t>Cardiac monitoring must be carried out in accordance with the approved Product Information while on treatment with this drug for this condition.</w:t>
            </w:r>
          </w:p>
        </w:tc>
      </w:tr>
    </w:tbl>
    <w:p w14:paraId="1D17EE17" w14:textId="77777777" w:rsidR="00FF677B" w:rsidRDefault="00FF677B" w:rsidP="00FF677B">
      <w:pPr>
        <w:spacing w:before="120" w:after="120"/>
        <w:rPr>
          <w:rFonts w:asciiTheme="minorHAnsi" w:hAnsiTheme="minorHAnsi"/>
          <w:b/>
          <w:i/>
          <w:iCs/>
          <w:snapToGrid w:val="0"/>
          <w:lang w:val="en-GB" w:eastAsia="en-US"/>
        </w:rPr>
      </w:pPr>
      <w:r w:rsidRPr="003F1C41">
        <w:rPr>
          <w:rFonts w:asciiTheme="minorHAnsi" w:hAnsiTheme="minorHAnsi"/>
          <w:b/>
          <w:i/>
          <w:iCs/>
          <w:snapToGrid w:val="0"/>
          <w:lang w:val="en-GB" w:eastAsia="en-US"/>
        </w:rPr>
        <w:t>These restrictions may be subject to further review. Should there be any changes made to the restriction the sponsor will be informed.</w:t>
      </w:r>
    </w:p>
    <w:p w14:paraId="1C05F76A" w14:textId="77777777" w:rsidR="00331289" w:rsidRPr="00331289" w:rsidRDefault="00331289" w:rsidP="00331289">
      <w:pPr>
        <w:keepNext/>
        <w:numPr>
          <w:ilvl w:val="0"/>
          <w:numId w:val="3"/>
        </w:numPr>
        <w:spacing w:before="240" w:after="120"/>
        <w:jc w:val="left"/>
        <w:outlineLvl w:val="0"/>
        <w:rPr>
          <w:rFonts w:asciiTheme="minorHAnsi" w:hAnsiTheme="minorHAnsi" w:cs="Times New Roman"/>
          <w:b/>
          <w:bCs/>
          <w:snapToGrid w:val="0"/>
          <w:sz w:val="32"/>
          <w:szCs w:val="32"/>
          <w:lang w:val="en-GB"/>
        </w:rPr>
      </w:pPr>
      <w:bookmarkStart w:id="107" w:name="_Hlk175730821"/>
      <w:r w:rsidRPr="00331289">
        <w:rPr>
          <w:rFonts w:asciiTheme="minorHAnsi" w:hAnsiTheme="minorHAnsi" w:cs="Times New Roman"/>
          <w:b/>
          <w:bCs/>
          <w:snapToGrid w:val="0"/>
          <w:sz w:val="32"/>
          <w:szCs w:val="32"/>
        </w:rPr>
        <w:t>Context for Decision</w:t>
      </w:r>
    </w:p>
    <w:p w14:paraId="2BF15628" w14:textId="77777777" w:rsidR="00331289" w:rsidRPr="00331289" w:rsidRDefault="00331289" w:rsidP="003D106E">
      <w:pPr>
        <w:spacing w:after="120"/>
        <w:ind w:left="720"/>
        <w:rPr>
          <w:rFonts w:asciiTheme="minorHAnsi" w:hAnsiTheme="minorHAnsi" w:cs="Times New Roman"/>
          <w:bCs/>
          <w:lang w:val="en-GB"/>
        </w:rPr>
      </w:pPr>
      <w:r w:rsidRPr="00331289">
        <w:rPr>
          <w:rFonts w:asciiTheme="minorHAnsi" w:hAnsiTheme="minorHAnsi" w:cs="Times New Roman"/>
          <w:bCs/>
          <w:lang w:val="en-GB"/>
        </w:rPr>
        <w:t xml:space="preserve">The PBAC helps decide whether and, if so, how medicines should be subsidised through the Pharmaceutical Benefits Scheme (PBS) in Australia. It considers applications regarding the listing of medicines on the PBS and provides advice about </w:t>
      </w:r>
      <w:r w:rsidRPr="00331289">
        <w:rPr>
          <w:rFonts w:asciiTheme="minorHAnsi" w:hAnsiTheme="minorHAnsi" w:cs="Times New Roman"/>
          <w:bCs/>
          <w:lang w:val="en-GB"/>
        </w:rPr>
        <w:lastRenderedPageBreak/>
        <w:t>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482FC4B" w14:textId="77777777" w:rsidR="00331289" w:rsidRPr="00331289" w:rsidRDefault="00331289" w:rsidP="00331289">
      <w:pPr>
        <w:keepNext/>
        <w:numPr>
          <w:ilvl w:val="0"/>
          <w:numId w:val="3"/>
        </w:numPr>
        <w:spacing w:before="240" w:after="120"/>
        <w:jc w:val="left"/>
        <w:outlineLvl w:val="0"/>
        <w:rPr>
          <w:rFonts w:asciiTheme="minorHAnsi" w:hAnsiTheme="minorHAnsi" w:cs="Times New Roman"/>
          <w:b/>
          <w:snapToGrid w:val="0"/>
          <w:sz w:val="32"/>
          <w:szCs w:val="32"/>
        </w:rPr>
      </w:pPr>
      <w:r w:rsidRPr="00331289">
        <w:rPr>
          <w:rFonts w:asciiTheme="minorHAnsi" w:hAnsiTheme="minorHAnsi" w:cs="Times New Roman"/>
          <w:b/>
          <w:snapToGrid w:val="0"/>
          <w:sz w:val="32"/>
          <w:szCs w:val="32"/>
        </w:rPr>
        <w:t>Sponsor’s Comment</w:t>
      </w:r>
    </w:p>
    <w:p w14:paraId="15E4F9D7" w14:textId="741D7946" w:rsidR="00331289" w:rsidRPr="003D106E" w:rsidRDefault="00331289" w:rsidP="003D106E">
      <w:pPr>
        <w:spacing w:after="120" w:line="276" w:lineRule="auto"/>
        <w:ind w:left="720"/>
        <w:jc w:val="left"/>
        <w:rPr>
          <w:rFonts w:asciiTheme="minorHAnsi" w:eastAsiaTheme="minorHAnsi" w:hAnsiTheme="minorHAnsi" w:cs="Times New Roman"/>
          <w:bCs/>
          <w:szCs w:val="22"/>
          <w:lang w:eastAsia="en-US"/>
        </w:rPr>
      </w:pPr>
      <w:r w:rsidRPr="00331289">
        <w:rPr>
          <w:rFonts w:asciiTheme="minorHAnsi" w:eastAsiaTheme="minorHAnsi" w:hAnsiTheme="minorHAnsi" w:cs="Times New Roman"/>
          <w:bCs/>
          <w:szCs w:val="22"/>
          <w:lang w:eastAsia="en-US"/>
        </w:rPr>
        <w:t>The sponsor had no comment.</w:t>
      </w:r>
      <w:bookmarkEnd w:id="1"/>
      <w:bookmarkEnd w:id="2"/>
      <w:bookmarkEnd w:id="3"/>
      <w:bookmarkEnd w:id="4"/>
      <w:bookmarkEnd w:id="5"/>
      <w:bookmarkEnd w:id="105"/>
      <w:bookmarkEnd w:id="107"/>
    </w:p>
    <w:sectPr w:rsidR="00331289" w:rsidRPr="003D106E" w:rsidSect="00B50910">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18C8" w14:textId="77777777" w:rsidR="004C4DFD" w:rsidRDefault="004C4DFD" w:rsidP="00124A51">
      <w:r>
        <w:separator/>
      </w:r>
    </w:p>
    <w:p w14:paraId="77D76B52" w14:textId="77777777" w:rsidR="004C4DFD" w:rsidRDefault="004C4DFD"/>
  </w:endnote>
  <w:endnote w:type="continuationSeparator" w:id="0">
    <w:p w14:paraId="2CA4FB39" w14:textId="77777777" w:rsidR="004C4DFD" w:rsidRDefault="004C4DFD" w:rsidP="00124A51">
      <w:r>
        <w:continuationSeparator/>
      </w:r>
    </w:p>
    <w:p w14:paraId="50469378" w14:textId="77777777" w:rsidR="004C4DFD" w:rsidRDefault="004C4DFD"/>
  </w:endnote>
  <w:endnote w:type="continuationNotice" w:id="1">
    <w:p w14:paraId="5B5A57E7" w14:textId="77777777" w:rsidR="004C4DFD" w:rsidRDefault="004C4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77BE" w14:textId="4EF6CAB2" w:rsidR="00C46203" w:rsidRDefault="00C46203">
    <w:pPr>
      <w:pStyle w:val="Footer"/>
    </w:pPr>
    <w:r>
      <w:rPr>
        <w:noProof/>
      </w:rPr>
      <mc:AlternateContent>
        <mc:Choice Requires="wps">
          <w:drawing>
            <wp:anchor distT="0" distB="0" distL="0" distR="0" simplePos="0" relativeHeight="251658243" behindDoc="0" locked="0" layoutInCell="1" allowOverlap="1" wp14:anchorId="6CCAE2CE" wp14:editId="67A279E0">
              <wp:simplePos x="635" y="635"/>
              <wp:positionH relativeFrom="page">
                <wp:align>center</wp:align>
              </wp:positionH>
              <wp:positionV relativeFrom="page">
                <wp:align>bottom</wp:align>
              </wp:positionV>
              <wp:extent cx="2160270" cy="365760"/>
              <wp:effectExtent l="0" t="0" r="11430" b="0"/>
              <wp:wrapNone/>
              <wp:docPr id="1866403242" name="Text Box 11" descr="OFFICIAL: Sensitive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0270" cy="365760"/>
                      </a:xfrm>
                      <a:prstGeom prst="rect">
                        <a:avLst/>
                      </a:prstGeom>
                      <a:noFill/>
                      <a:ln>
                        <a:noFill/>
                      </a:ln>
                    </wps:spPr>
                    <wps:txbx>
                      <w:txbxContent>
                        <w:p w14:paraId="2F797E74" w14:textId="62F4EAC0" w:rsidR="00C46203" w:rsidRPr="00C46203" w:rsidRDefault="00C46203" w:rsidP="00C46203">
                          <w:pPr>
                            <w:rPr>
                              <w:rFonts w:ascii="Arial" w:eastAsia="Arial" w:hAnsi="Arial"/>
                              <w:noProof/>
                              <w:color w:val="FF0000"/>
                            </w:rPr>
                          </w:pPr>
                          <w:r w:rsidRPr="00C46203">
                            <w:rPr>
                              <w:rFonts w:ascii="Arial" w:eastAsia="Arial" w:hAnsi="Arial"/>
                              <w:noProof/>
                              <w:color w:val="FF0000"/>
                            </w:rPr>
                            <w:t>OFFICIAL: Sensitive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AE2CE" id="_x0000_t202" coordsize="21600,21600" o:spt="202" path="m,l,21600r21600,l21600,xe">
              <v:stroke joinstyle="miter"/>
              <v:path gradientshapeok="t" o:connecttype="rect"/>
            </v:shapetype>
            <v:shape id="Text Box 11" o:spid="_x0000_s1027" type="#_x0000_t202" alt="OFFICIAL: Sensitive – Personal" style="position:absolute;left:0;text-align:left;margin-left:0;margin-top:0;width:170.1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" filled="f" stroked="f">
              <v:textbox style="mso-fit-shape-to-text:t" inset="0,0,0,15pt">
                <w:txbxContent>
                  <w:p w14:paraId="2F797E74" w14:textId="62F4EAC0" w:rsidR="00C46203" w:rsidRPr="00C46203" w:rsidRDefault="00C46203" w:rsidP="00C46203">
                    <w:pPr>
                      <w:rPr>
                        <w:rFonts w:ascii="Arial" w:eastAsia="Arial" w:hAnsi="Arial"/>
                        <w:noProof/>
                        <w:color w:val="FF0000"/>
                      </w:rPr>
                    </w:pPr>
                    <w:r w:rsidRPr="00C46203">
                      <w:rPr>
                        <w:rFonts w:ascii="Arial" w:eastAsia="Arial" w:hAnsi="Arial"/>
                        <w:noProof/>
                        <w:color w:val="FF0000"/>
                      </w:rPr>
                      <w:t>OFFICIAL: Sensitive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4635" w14:textId="137E6CCB" w:rsidR="00852655" w:rsidRDefault="00852655" w:rsidP="00753B29">
    <w:pPr>
      <w:pStyle w:val="Footer"/>
      <w:jc w:val="center"/>
    </w:pPr>
  </w:p>
  <w:bookmarkStart w:id="109" w:name="_Hlk76375156"/>
  <w:p w14:paraId="596385EB" w14:textId="747E90DD" w:rsidR="006B5229" w:rsidRPr="00B315F3" w:rsidRDefault="00B315F3" w:rsidP="00B315F3">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rPr>
      <w:t>32</w:t>
    </w:r>
    <w:r w:rsidRPr="00836F75">
      <w:rPr>
        <w:b/>
        <w:noProof/>
      </w:rPr>
      <w:fldChar w:fldCharType="end"/>
    </w:r>
    <w:r>
      <w:rPr>
        <w:b/>
        <w:noProof/>
      </w:rPr>
      <w:t xml:space="preserve"> </w:t>
    </w:r>
    <w:bookmarkEnd w:id="10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0CED" w14:textId="0A8A4243" w:rsidR="00C46203" w:rsidRDefault="00C46203">
    <w:pPr>
      <w:pStyle w:val="Footer"/>
    </w:pPr>
    <w:r>
      <w:rPr>
        <w:noProof/>
      </w:rPr>
      <mc:AlternateContent>
        <mc:Choice Requires="wps">
          <w:drawing>
            <wp:anchor distT="0" distB="0" distL="0" distR="0" simplePos="0" relativeHeight="251658242" behindDoc="0" locked="0" layoutInCell="1" allowOverlap="1" wp14:anchorId="751CAA07" wp14:editId="63A61221">
              <wp:simplePos x="635" y="635"/>
              <wp:positionH relativeFrom="page">
                <wp:align>center</wp:align>
              </wp:positionH>
              <wp:positionV relativeFrom="page">
                <wp:align>bottom</wp:align>
              </wp:positionV>
              <wp:extent cx="2160270" cy="365760"/>
              <wp:effectExtent l="0" t="0" r="11430" b="0"/>
              <wp:wrapNone/>
              <wp:docPr id="508627983" name="Text Box 10" descr="OFFICIAL: Sensitive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0270" cy="365760"/>
                      </a:xfrm>
                      <a:prstGeom prst="rect">
                        <a:avLst/>
                      </a:prstGeom>
                      <a:noFill/>
                      <a:ln>
                        <a:noFill/>
                      </a:ln>
                    </wps:spPr>
                    <wps:txbx>
                      <w:txbxContent>
                        <w:p w14:paraId="7DC7351C" w14:textId="5E4D7F5C" w:rsidR="00C46203" w:rsidRPr="00C46203" w:rsidRDefault="00C46203" w:rsidP="00C46203">
                          <w:pPr>
                            <w:rPr>
                              <w:rFonts w:ascii="Arial" w:eastAsia="Arial" w:hAnsi="Arial"/>
                              <w:noProof/>
                              <w:color w:val="FF0000"/>
                            </w:rPr>
                          </w:pPr>
                          <w:r w:rsidRPr="00C46203">
                            <w:rPr>
                              <w:rFonts w:ascii="Arial" w:eastAsia="Arial" w:hAnsi="Arial"/>
                              <w:noProof/>
                              <w:color w:val="FF0000"/>
                            </w:rPr>
                            <w:t>OFFICIAL: Sensitive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CAA07" id="_x0000_t202" coordsize="21600,21600" o:spt="202" path="m,l,21600r21600,l21600,xe">
              <v:stroke joinstyle="miter"/>
              <v:path gradientshapeok="t" o:connecttype="rect"/>
            </v:shapetype>
            <v:shape id="Text Box 10" o:spid="_x0000_s1029" type="#_x0000_t202" alt="OFFICIAL: Sensitive – Personal" style="position:absolute;left:0;text-align:left;margin-left:0;margin-top:0;width:170.1pt;height:28.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" filled="f" stroked="f">
              <v:textbox style="mso-fit-shape-to-text:t" inset="0,0,0,15pt">
                <w:txbxContent>
                  <w:p w14:paraId="7DC7351C" w14:textId="5E4D7F5C" w:rsidR="00C46203" w:rsidRPr="00C46203" w:rsidRDefault="00C46203" w:rsidP="00C46203">
                    <w:pPr>
                      <w:rPr>
                        <w:rFonts w:ascii="Arial" w:eastAsia="Arial" w:hAnsi="Arial"/>
                        <w:noProof/>
                        <w:color w:val="FF0000"/>
                      </w:rPr>
                    </w:pPr>
                    <w:r w:rsidRPr="00C46203">
                      <w:rPr>
                        <w:rFonts w:ascii="Arial" w:eastAsia="Arial" w:hAnsi="Arial"/>
                        <w:noProof/>
                        <w:color w:val="FF0000"/>
                      </w:rPr>
                      <w:t>OFFICIAL: Sensitive – 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799D" w14:textId="77777777" w:rsidR="004C4DFD" w:rsidRDefault="004C4DFD" w:rsidP="00124A51">
      <w:r>
        <w:separator/>
      </w:r>
    </w:p>
    <w:p w14:paraId="209F4E15" w14:textId="77777777" w:rsidR="004C4DFD" w:rsidRDefault="004C4DFD"/>
  </w:footnote>
  <w:footnote w:type="continuationSeparator" w:id="0">
    <w:p w14:paraId="3ADA551F" w14:textId="77777777" w:rsidR="004C4DFD" w:rsidRDefault="004C4DFD" w:rsidP="00124A51">
      <w:r>
        <w:continuationSeparator/>
      </w:r>
    </w:p>
    <w:p w14:paraId="650053E3" w14:textId="77777777" w:rsidR="004C4DFD" w:rsidRDefault="004C4DFD"/>
  </w:footnote>
  <w:footnote w:type="continuationNotice" w:id="1">
    <w:p w14:paraId="68A3C71C" w14:textId="77777777" w:rsidR="004C4DFD" w:rsidRDefault="004C4DFD"/>
  </w:footnote>
  <w:footnote w:id="2">
    <w:p w14:paraId="47DF905C" w14:textId="77777777" w:rsidR="00A332E9" w:rsidRPr="00E20885" w:rsidRDefault="00A332E9" w:rsidP="00A332E9">
      <w:pPr>
        <w:pStyle w:val="FootnoteText"/>
        <w:rPr>
          <w:sz w:val="18"/>
          <w:szCs w:val="18"/>
          <w:lang w:val="en-US"/>
        </w:rPr>
      </w:pPr>
      <w:r>
        <w:rPr>
          <w:rStyle w:val="FootnoteReference"/>
        </w:rPr>
        <w:footnoteRef/>
      </w:r>
      <w:r>
        <w:t xml:space="preserve"> </w:t>
      </w:r>
      <w:r w:rsidRPr="00E20885">
        <w:rPr>
          <w:sz w:val="18"/>
          <w:szCs w:val="18"/>
        </w:rPr>
        <w:t>https://www.tga.gov.au/safety/product-recalls/slimming-factor-also-known-easy-trim-que-she-and-chinese-herbal-diet-pills#:~:text=Fenfluramine%20was%20withdrawn%20from%20the,with%20its%20long%2Dterm%20use.</w:t>
      </w:r>
    </w:p>
  </w:footnote>
  <w:footnote w:id="3">
    <w:p w14:paraId="369E076E" w14:textId="77777777" w:rsidR="00CE7338" w:rsidRPr="008E6CC0" w:rsidRDefault="00CE7338" w:rsidP="00CE7338">
      <w:pPr>
        <w:pStyle w:val="FootnoteText"/>
        <w:rPr>
          <w:sz w:val="18"/>
          <w:szCs w:val="18"/>
          <w:lang w:val="en-US"/>
        </w:rPr>
      </w:pPr>
      <w:r>
        <w:rPr>
          <w:rStyle w:val="FootnoteReference"/>
        </w:rPr>
        <w:footnoteRef/>
      </w:r>
      <w:r>
        <w:t xml:space="preserve"> </w:t>
      </w:r>
      <w:r>
        <w:rPr>
          <w:sz w:val="18"/>
          <w:szCs w:val="18"/>
        </w:rPr>
        <w:t xml:space="preserve">Sullivan J, Benítez A, et al. A systematic literature review on the global epidemiology of Dravet syndrome and Lennox-Gastaut syndrome: Prevalence, incidence, diagnosis, and mortality. </w:t>
      </w:r>
      <w:r w:rsidRPr="00C42EA6">
        <w:rPr>
          <w:i/>
          <w:iCs/>
          <w:sz w:val="18"/>
          <w:szCs w:val="18"/>
        </w:rPr>
        <w:t>Epilepsia</w:t>
      </w:r>
      <w:r>
        <w:rPr>
          <w:sz w:val="18"/>
          <w:szCs w:val="18"/>
        </w:rPr>
        <w:t>. 2024.</w:t>
      </w:r>
    </w:p>
  </w:footnote>
  <w:footnote w:id="4">
    <w:p w14:paraId="3D76071F" w14:textId="5C99CAB6" w:rsidR="00AE166B" w:rsidRPr="00AE166B" w:rsidRDefault="00AE166B">
      <w:pPr>
        <w:pStyle w:val="FootnoteText"/>
        <w:rPr>
          <w:lang w:val="en-US"/>
        </w:rPr>
      </w:pPr>
      <w:r>
        <w:rPr>
          <w:rStyle w:val="FootnoteReference"/>
        </w:rPr>
        <w:footnoteRef/>
      </w:r>
      <w:r>
        <w:t xml:space="preserve"> </w:t>
      </w:r>
      <w:r w:rsidRPr="008F57D3">
        <w:rPr>
          <w:sz w:val="18"/>
          <w:szCs w:val="18"/>
        </w:rPr>
        <w:t xml:space="preserve">Li W, Schneider AL, Scheffer IE. Defining Dravet syndrome: An essential pre-requisite for precision medicine trials. </w:t>
      </w:r>
      <w:r w:rsidRPr="00AE166B">
        <w:rPr>
          <w:i/>
          <w:iCs/>
          <w:sz w:val="18"/>
          <w:szCs w:val="18"/>
        </w:rPr>
        <w:t>Epilepsia.</w:t>
      </w:r>
      <w:r w:rsidRPr="008F57D3">
        <w:rPr>
          <w:sz w:val="18"/>
          <w:szCs w:val="18"/>
        </w:rPr>
        <w:t xml:space="preserve"> 2021;62(9):2205-2217.</w:t>
      </w:r>
    </w:p>
  </w:footnote>
  <w:footnote w:id="5">
    <w:p w14:paraId="51C8887C" w14:textId="77777777" w:rsidR="00621F70" w:rsidRPr="00621F70" w:rsidRDefault="00621F70" w:rsidP="00621F70">
      <w:pPr>
        <w:pStyle w:val="FootnoteText"/>
        <w:rPr>
          <w:sz w:val="18"/>
          <w:szCs w:val="18"/>
        </w:rPr>
      </w:pPr>
      <w:r>
        <w:rPr>
          <w:rStyle w:val="FootnoteReference"/>
        </w:rPr>
        <w:footnoteRef/>
      </w:r>
      <w:r>
        <w:t xml:space="preserve"> </w:t>
      </w:r>
      <w:r w:rsidRPr="00621F70">
        <w:rPr>
          <w:sz w:val="18"/>
          <w:szCs w:val="18"/>
        </w:rPr>
        <w:t xml:space="preserve">Sullivan J, Benítez A, et al. A systematic literature review on the global epidemiology of Dravet syndrome and Lennox-Gastaut syndrome: Prevalence, incidence, diagnosis, and mortality. </w:t>
      </w:r>
      <w:r w:rsidRPr="00621F70">
        <w:rPr>
          <w:i/>
          <w:iCs/>
          <w:sz w:val="18"/>
          <w:szCs w:val="18"/>
        </w:rPr>
        <w:t>Epilepsia.</w:t>
      </w:r>
      <w:r w:rsidRPr="00621F70">
        <w:rPr>
          <w:sz w:val="18"/>
          <w:szCs w:val="18"/>
        </w:rPr>
        <w:t xml:space="preserve"> 2024;65:1240-1263.</w:t>
      </w:r>
    </w:p>
  </w:footnote>
  <w:footnote w:id="6">
    <w:p w14:paraId="416FC563" w14:textId="0D0C697A" w:rsidR="007A651B" w:rsidRPr="007A651B" w:rsidRDefault="007A651B">
      <w:pPr>
        <w:pStyle w:val="FootnoteText"/>
        <w:rPr>
          <w:lang w:val="en-US"/>
        </w:rPr>
      </w:pPr>
      <w:r>
        <w:rPr>
          <w:rStyle w:val="FootnoteReference"/>
        </w:rPr>
        <w:footnoteRef/>
      </w:r>
      <w:r>
        <w:t xml:space="preserve"> </w:t>
      </w:r>
      <w:r w:rsidRPr="007A651B">
        <w:rPr>
          <w:sz w:val="18"/>
          <w:szCs w:val="18"/>
        </w:rPr>
        <w:t xml:space="preserve">Lagae, L., Brambilla, I., </w:t>
      </w:r>
      <w:r>
        <w:rPr>
          <w:sz w:val="18"/>
          <w:szCs w:val="18"/>
        </w:rPr>
        <w:t>et al</w:t>
      </w:r>
      <w:r w:rsidRPr="007A651B">
        <w:rPr>
          <w:sz w:val="18"/>
          <w:szCs w:val="18"/>
        </w:rPr>
        <w:t xml:space="preserve">., Quality of life and comorbidities associated with Dravet syndrome severity: a multinational cohort survey. </w:t>
      </w:r>
      <w:r w:rsidRPr="007A651B">
        <w:rPr>
          <w:i/>
          <w:iCs/>
          <w:sz w:val="18"/>
          <w:szCs w:val="18"/>
        </w:rPr>
        <w:t>Dev Med Child Neurol</w:t>
      </w:r>
      <w:r>
        <w:rPr>
          <w:i/>
          <w:iCs/>
          <w:sz w:val="18"/>
          <w:szCs w:val="18"/>
        </w:rPr>
        <w:t>.</w:t>
      </w:r>
      <w:r w:rsidRPr="007A651B">
        <w:rPr>
          <w:sz w:val="18"/>
          <w:szCs w:val="18"/>
        </w:rPr>
        <w:t xml:space="preserve"> </w:t>
      </w:r>
      <w:r>
        <w:rPr>
          <w:sz w:val="18"/>
          <w:szCs w:val="18"/>
        </w:rPr>
        <w:t xml:space="preserve">2018; </w:t>
      </w:r>
      <w:r w:rsidRPr="007A651B">
        <w:rPr>
          <w:sz w:val="18"/>
          <w:szCs w:val="18"/>
        </w:rPr>
        <w:t>60: 63-72.</w:t>
      </w:r>
    </w:p>
  </w:footnote>
  <w:footnote w:id="7">
    <w:p w14:paraId="4D9E972A" w14:textId="14DC2A43" w:rsidR="005E4F10" w:rsidRPr="005E4F10" w:rsidRDefault="005E4F10">
      <w:pPr>
        <w:pStyle w:val="FootnoteText"/>
        <w:rPr>
          <w:i/>
          <w:iCs/>
          <w:lang w:val="en-US"/>
        </w:rPr>
      </w:pPr>
      <w:r>
        <w:rPr>
          <w:rStyle w:val="FootnoteReference"/>
        </w:rPr>
        <w:footnoteRef/>
      </w:r>
      <w:r>
        <w:t xml:space="preserve"> </w:t>
      </w:r>
      <w:r>
        <w:rPr>
          <w:lang w:val="en-US"/>
        </w:rPr>
        <w:t xml:space="preserve">Sakauchi, M., Oguni, H., et al. Mortality in Dravet syndrome: search for risk factors in Japanese patients. </w:t>
      </w:r>
      <w:r>
        <w:rPr>
          <w:i/>
          <w:iCs/>
          <w:lang w:val="en-US"/>
        </w:rPr>
        <w:t>Epilepsia. 2011; 52:50-4.</w:t>
      </w:r>
    </w:p>
  </w:footnote>
  <w:footnote w:id="8">
    <w:p w14:paraId="5FDAF97B" w14:textId="77777777" w:rsidR="00CE7338" w:rsidRPr="00951FCA" w:rsidRDefault="00CE7338" w:rsidP="00CE7338">
      <w:pPr>
        <w:pStyle w:val="FootnoteText"/>
        <w:rPr>
          <w:sz w:val="18"/>
          <w:szCs w:val="18"/>
          <w:lang w:val="en-US"/>
        </w:rPr>
      </w:pPr>
      <w:r>
        <w:rPr>
          <w:rStyle w:val="FootnoteReference"/>
        </w:rPr>
        <w:footnoteRef/>
      </w:r>
      <w:r>
        <w:t xml:space="preserve"> </w:t>
      </w:r>
      <w:r w:rsidRPr="00951FCA">
        <w:rPr>
          <w:sz w:val="18"/>
          <w:szCs w:val="18"/>
        </w:rPr>
        <w:t xml:space="preserve">Wirrell EC, Hood V et al. International consensus on diagnosis and management of Dravet syndrome. </w:t>
      </w:r>
      <w:r w:rsidRPr="00951FCA">
        <w:rPr>
          <w:i/>
          <w:iCs/>
          <w:sz w:val="18"/>
          <w:szCs w:val="18"/>
        </w:rPr>
        <w:t>Epilepsia</w:t>
      </w:r>
      <w:r w:rsidRPr="00951FCA">
        <w:rPr>
          <w:sz w:val="18"/>
          <w:szCs w:val="18"/>
        </w:rPr>
        <w:t>. 2022; 63: 1761–1777.</w:t>
      </w:r>
    </w:p>
  </w:footnote>
  <w:footnote w:id="9">
    <w:p w14:paraId="6EA1CC6E" w14:textId="77777777" w:rsidR="00CE7338" w:rsidRPr="00951FCA" w:rsidRDefault="00CE7338" w:rsidP="00CE7338">
      <w:pPr>
        <w:pStyle w:val="FootnoteText"/>
        <w:rPr>
          <w:sz w:val="18"/>
          <w:szCs w:val="18"/>
          <w:lang w:val="en-US"/>
        </w:rPr>
      </w:pPr>
      <w:r w:rsidRPr="00951FCA">
        <w:rPr>
          <w:rStyle w:val="FootnoteReference"/>
          <w:sz w:val="18"/>
          <w:szCs w:val="18"/>
        </w:rPr>
        <w:footnoteRef/>
      </w:r>
      <w:r w:rsidRPr="00951FCA">
        <w:rPr>
          <w:sz w:val="18"/>
          <w:szCs w:val="18"/>
        </w:rPr>
        <w:t xml:space="preserve"> NICE Technology Appraisal Guidance. Fenfluramine for treating seizures associated with Dravet syndrome. July 2022. </w:t>
      </w:r>
      <w:hyperlink r:id="rId1" w:history="1">
        <w:r w:rsidRPr="00951FCA">
          <w:rPr>
            <w:rStyle w:val="Hyperlink"/>
            <w:sz w:val="18"/>
            <w:szCs w:val="18"/>
          </w:rPr>
          <w:t>https://www.nice.org.uk/guidance/ta808</w:t>
        </w:r>
      </w:hyperlink>
      <w:r w:rsidRPr="00951FCA">
        <w:rPr>
          <w:sz w:val="18"/>
          <w:szCs w:val="18"/>
        </w:rPr>
        <w:t xml:space="preserve">. </w:t>
      </w:r>
    </w:p>
  </w:footnote>
  <w:footnote w:id="10">
    <w:p w14:paraId="502C959D" w14:textId="77777777" w:rsidR="00CE7338" w:rsidRPr="00D07870" w:rsidRDefault="00CE7338" w:rsidP="00CE7338">
      <w:pPr>
        <w:pStyle w:val="FootnoteText"/>
      </w:pPr>
      <w:r w:rsidRPr="00D07870">
        <w:rPr>
          <w:rStyle w:val="FootnoteReference"/>
        </w:rPr>
        <w:footnoteRef/>
      </w:r>
      <w:r w:rsidRPr="00D07870">
        <w:t xml:space="preserve"> </w:t>
      </w:r>
      <w:r w:rsidRPr="00D07870">
        <w:rPr>
          <w:sz w:val="18"/>
          <w:szCs w:val="18"/>
        </w:rPr>
        <w:t xml:space="preserve">Sullivan, J., Perry, M. S. et al. Fenfluramine responder analyses and numbers needed to treat: Translating epilepsy trial data into clinical practice. </w:t>
      </w:r>
      <w:r w:rsidRPr="00D07870">
        <w:rPr>
          <w:i/>
          <w:iCs/>
          <w:sz w:val="18"/>
          <w:szCs w:val="18"/>
        </w:rPr>
        <w:t>European Journal of Paediatric Neurology</w:t>
      </w:r>
      <w:r w:rsidRPr="00D07870">
        <w:rPr>
          <w:sz w:val="18"/>
          <w:szCs w:val="18"/>
        </w:rPr>
        <w:t>. 2021;31:10-14.</w:t>
      </w:r>
    </w:p>
  </w:footnote>
  <w:footnote w:id="11">
    <w:p w14:paraId="59749967" w14:textId="77777777" w:rsidR="00CE7338" w:rsidRPr="00E43DF7" w:rsidRDefault="00CE7338" w:rsidP="00CE7338">
      <w:pPr>
        <w:pStyle w:val="FootnoteText"/>
        <w:rPr>
          <w:lang w:val="en-US"/>
        </w:rPr>
      </w:pPr>
      <w:r>
        <w:rPr>
          <w:rStyle w:val="FootnoteReference"/>
        </w:rPr>
        <w:footnoteRef/>
      </w:r>
      <w:r>
        <w:t xml:space="preserve"> </w:t>
      </w:r>
      <w:r w:rsidRPr="00E43DF7">
        <w:rPr>
          <w:sz w:val="18"/>
          <w:szCs w:val="18"/>
        </w:rPr>
        <w:t xml:space="preserve">Goodwin SW, Ferro MA, Speechley KN. Development and assessment of the Quality of Life in Childhood Epilepsy Questionnaire (QOLCE-16). </w:t>
      </w:r>
      <w:r w:rsidRPr="00E43DF7">
        <w:rPr>
          <w:i/>
          <w:iCs/>
          <w:sz w:val="18"/>
          <w:szCs w:val="18"/>
        </w:rPr>
        <w:t>Epilepsia.</w:t>
      </w:r>
      <w:r w:rsidRPr="00E43DF7">
        <w:rPr>
          <w:sz w:val="18"/>
          <w:szCs w:val="18"/>
        </w:rPr>
        <w:t xml:space="preserve"> 2018; 59: 668–678.</w:t>
      </w:r>
    </w:p>
  </w:footnote>
  <w:footnote w:id="12">
    <w:p w14:paraId="0742220D" w14:textId="77777777" w:rsidR="0045755E" w:rsidRPr="0035540E" w:rsidRDefault="0045755E" w:rsidP="0045755E">
      <w:pPr>
        <w:pStyle w:val="FootnoteText"/>
        <w:rPr>
          <w:lang w:val="en-US"/>
        </w:rPr>
      </w:pPr>
      <w:r>
        <w:rPr>
          <w:rStyle w:val="FootnoteReference"/>
        </w:rPr>
        <w:footnoteRef/>
      </w:r>
      <w:r>
        <w:t xml:space="preserve"> </w:t>
      </w:r>
      <w:r w:rsidRPr="0035540E">
        <w:rPr>
          <w:sz w:val="18"/>
          <w:szCs w:val="18"/>
        </w:rPr>
        <w:t xml:space="preserve">Lattanzi S, Trinka E, </w:t>
      </w:r>
      <w:r>
        <w:rPr>
          <w:sz w:val="18"/>
          <w:szCs w:val="18"/>
        </w:rPr>
        <w:t>et al</w:t>
      </w:r>
      <w:r w:rsidRPr="0035540E">
        <w:rPr>
          <w:sz w:val="18"/>
          <w:szCs w:val="18"/>
        </w:rPr>
        <w:t xml:space="preserve">. Pharmacotherapy for Dravet Syndrome: A Systematic Review and Network Meta-Analysis of Randomized Controlled Trials. </w:t>
      </w:r>
      <w:r w:rsidRPr="0035540E">
        <w:rPr>
          <w:i/>
          <w:iCs/>
          <w:sz w:val="18"/>
          <w:szCs w:val="18"/>
        </w:rPr>
        <w:t>Drugs.</w:t>
      </w:r>
      <w:r w:rsidRPr="0035540E">
        <w:rPr>
          <w:sz w:val="18"/>
          <w:szCs w:val="18"/>
        </w:rPr>
        <w:t xml:space="preserve"> 2023 Oct;83(15):1409-1424.</w:t>
      </w:r>
    </w:p>
  </w:footnote>
  <w:footnote w:id="13">
    <w:p w14:paraId="692DD770" w14:textId="77777777" w:rsidR="00CE7338" w:rsidRPr="007E3B40" w:rsidRDefault="00CE7338" w:rsidP="00CE7338">
      <w:pPr>
        <w:pStyle w:val="FootnoteText"/>
        <w:rPr>
          <w:lang w:val="en-US"/>
        </w:rPr>
      </w:pPr>
      <w:r w:rsidRPr="00D07870">
        <w:rPr>
          <w:rStyle w:val="FootnoteReference"/>
        </w:rPr>
        <w:footnoteRef/>
      </w:r>
      <w:r w:rsidRPr="00D07870">
        <w:t xml:space="preserve"> https://www.tga.gov.au/safety/product-recalls/slimming-factor-also-known-easy-trim-que-she-and-chinese-herbal-diet-pills#:~:text=Fenfluramine%20was%20withdrawn%20from%20the,with%20its%20long%2Dterm%20use.</w:t>
      </w:r>
    </w:p>
  </w:footnote>
  <w:footnote w:id="14">
    <w:p w14:paraId="1EAEC76B" w14:textId="77777777" w:rsidR="00CE7338" w:rsidRPr="001536BB" w:rsidRDefault="00CE7338" w:rsidP="00CE7338">
      <w:pPr>
        <w:pStyle w:val="FootnoteText"/>
        <w:rPr>
          <w:lang w:val="en-US"/>
        </w:rPr>
      </w:pPr>
      <w:r>
        <w:rPr>
          <w:rStyle w:val="FootnoteReference"/>
        </w:rPr>
        <w:footnoteRef/>
      </w:r>
      <w:r>
        <w:t xml:space="preserve"> NICE, </w:t>
      </w:r>
      <w:hyperlink r:id="rId2" w:history="1">
        <w:r w:rsidRPr="007C7B6B">
          <w:rPr>
            <w:rStyle w:val="Hyperlink"/>
          </w:rPr>
          <w:t>https://www.nice.org.uk/guidance/ta808</w:t>
        </w:r>
      </w:hyperlink>
    </w:p>
  </w:footnote>
  <w:footnote w:id="15">
    <w:p w14:paraId="322524A5" w14:textId="77777777" w:rsidR="00CE7338" w:rsidRPr="001536BB" w:rsidRDefault="00CE7338" w:rsidP="00CE7338">
      <w:pPr>
        <w:pStyle w:val="FootnoteText"/>
        <w:rPr>
          <w:lang w:val="en-US"/>
        </w:rPr>
      </w:pPr>
      <w:r>
        <w:rPr>
          <w:rStyle w:val="FootnoteReference"/>
        </w:rPr>
        <w:footnoteRef/>
      </w:r>
      <w:r>
        <w:t xml:space="preserve"> Scottish Medicines Consoritum, </w:t>
      </w:r>
      <w:r w:rsidRPr="001536BB">
        <w:t>https://scottishmedicines.org.uk/medicines-advice/fenfluramine-fintepla-full-smc2569/</w:t>
      </w:r>
    </w:p>
  </w:footnote>
  <w:footnote w:id="16">
    <w:p w14:paraId="43AF7C88" w14:textId="12D0D687" w:rsidR="004519C4" w:rsidRPr="004519C4" w:rsidRDefault="004519C4">
      <w:pPr>
        <w:pStyle w:val="FootnoteText"/>
      </w:pPr>
      <w:r>
        <w:rPr>
          <w:rStyle w:val="FootnoteReference"/>
        </w:rPr>
        <w:footnoteRef/>
      </w:r>
      <w:r>
        <w:t xml:space="preserve"> </w:t>
      </w:r>
      <w:r w:rsidRPr="004519C4">
        <w:t>Elliot, J., van Katwyk, S., et al. Decision Models for Assessing the Cost Effectiveness of Treatments for Paediatric Drug-Resistant Epilepsy: A Systematic Review of Economic Evaluations. PharmacoEconomics. 2019; 37:1261-76.</w:t>
      </w:r>
    </w:p>
  </w:footnote>
  <w:footnote w:id="17">
    <w:p w14:paraId="46F4DC24" w14:textId="0AF21E84" w:rsidR="004519C4" w:rsidRPr="004519C4" w:rsidRDefault="004519C4">
      <w:pPr>
        <w:pStyle w:val="FootnoteText"/>
        <w:rPr>
          <w:lang w:val="en-US"/>
        </w:rPr>
      </w:pPr>
      <w:r>
        <w:rPr>
          <w:rStyle w:val="FootnoteReference"/>
        </w:rPr>
        <w:footnoteRef/>
      </w:r>
      <w:r>
        <w:t xml:space="preserve"> </w:t>
      </w:r>
      <w:r w:rsidRPr="004519C4">
        <w:t xml:space="preserve">  Erku, D., Shrestha, S., &amp; Scuffam, P. Cost-Effectiveness of Medicinal Cannabis for Management of Refractory Symptoms Associated with Chronic Conditions: A Systematic Review of Economic Evaluations. Value In Health. 2021; 24(10):1520-30.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B666" w14:textId="7C997DB4" w:rsidR="00C46203" w:rsidRDefault="00C46203">
    <w:pPr>
      <w:pStyle w:val="Header"/>
    </w:pPr>
    <w:r>
      <w:rPr>
        <w:noProof/>
      </w:rPr>
      <mc:AlternateContent>
        <mc:Choice Requires="wps">
          <w:drawing>
            <wp:anchor distT="0" distB="0" distL="0" distR="0" simplePos="0" relativeHeight="251658241" behindDoc="0" locked="0" layoutInCell="1" allowOverlap="1" wp14:anchorId="27785D6D" wp14:editId="46201210">
              <wp:simplePos x="635" y="635"/>
              <wp:positionH relativeFrom="page">
                <wp:align>center</wp:align>
              </wp:positionH>
              <wp:positionV relativeFrom="page">
                <wp:align>top</wp:align>
              </wp:positionV>
              <wp:extent cx="2160270" cy="365760"/>
              <wp:effectExtent l="0" t="0" r="11430" b="15240"/>
              <wp:wrapNone/>
              <wp:docPr id="1823596870" name="Text Box 5" descr="OFFICIAL: Sensitive –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60270" cy="365760"/>
                      </a:xfrm>
                      <a:prstGeom prst="rect">
                        <a:avLst/>
                      </a:prstGeom>
                      <a:noFill/>
                      <a:ln>
                        <a:noFill/>
                      </a:ln>
                    </wps:spPr>
                    <wps:txbx>
                      <w:txbxContent>
                        <w:p w14:paraId="04D11E5D" w14:textId="658688BD" w:rsidR="00C46203" w:rsidRPr="00C46203" w:rsidRDefault="00C46203" w:rsidP="00C46203">
                          <w:pPr>
                            <w:rPr>
                              <w:rFonts w:ascii="Arial" w:eastAsia="Arial" w:hAnsi="Arial"/>
                              <w:noProof/>
                              <w:color w:val="FF0000"/>
                            </w:rPr>
                          </w:pPr>
                          <w:r w:rsidRPr="00C46203">
                            <w:rPr>
                              <w:rFonts w:ascii="Arial" w:eastAsia="Arial" w:hAnsi="Arial"/>
                              <w:noProof/>
                              <w:color w:val="FF0000"/>
                            </w:rPr>
                            <w:t>OFFICIAL: Sensitive – Personal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85D6D" id="_x0000_t202" coordsize="21600,21600" o:spt="202" path="m,l,21600r21600,l21600,xe">
              <v:stroke joinstyle="miter"/>
              <v:path gradientshapeok="t" o:connecttype="rect"/>
            </v:shapetype>
            <v:shape id="Text Box 5" o:spid="_x0000_s1026" type="#_x0000_t202" alt="OFFICIAL: Sensitive – Personal" style="position:absolute;left:0;text-align:left;margin-left:0;margin-top:0;width:170.1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" filled="f" stroked="f">
              <v:textbox style="mso-fit-shape-to-text:t" inset="0,15pt,0,0">
                <w:txbxContent>
                  <w:p w14:paraId="04D11E5D" w14:textId="658688BD" w:rsidR="00C46203" w:rsidRPr="00C46203" w:rsidRDefault="00C46203" w:rsidP="00C46203">
                    <w:pPr>
                      <w:rPr>
                        <w:rFonts w:ascii="Arial" w:eastAsia="Arial" w:hAnsi="Arial"/>
                        <w:noProof/>
                        <w:color w:val="FF0000"/>
                      </w:rPr>
                    </w:pPr>
                    <w:r w:rsidRPr="00C46203">
                      <w:rPr>
                        <w:rFonts w:ascii="Arial" w:eastAsia="Arial" w:hAnsi="Arial"/>
                        <w:noProof/>
                        <w:color w:val="FF0000"/>
                      </w:rPr>
                      <w:t>OFFICIAL: Sensitive – Personal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C17B" w14:textId="1317E1A6" w:rsidR="000E1A82" w:rsidRPr="000777DE" w:rsidRDefault="00CD10D4" w:rsidP="000E1A82">
    <w:pPr>
      <w:pStyle w:val="Header"/>
      <w:ind w:left="360"/>
      <w:rPr>
        <w:rFonts w:asciiTheme="minorHAnsi" w:hAnsiTheme="minorHAnsi"/>
        <w:i/>
        <w:iCs/>
        <w:color w:val="808080"/>
      </w:rPr>
    </w:pPr>
    <w:bookmarkStart w:id="108" w:name="_Hlk76375146"/>
    <w:r w:rsidRPr="00CE1B04">
      <w:rPr>
        <w:rFonts w:asciiTheme="minorHAnsi" w:hAnsiTheme="minorHAnsi"/>
        <w:i/>
        <w:iCs/>
        <w:color w:val="808080"/>
      </w:rPr>
      <w:t>Public Summary Document</w:t>
    </w:r>
    <w:r w:rsidRPr="00FA77EB">
      <w:rPr>
        <w:rFonts w:asciiTheme="minorHAnsi" w:hAnsiTheme="minorHAnsi"/>
        <w:color w:val="808080"/>
      </w:rPr>
      <w:t xml:space="preserve"> </w:t>
    </w:r>
    <w:r w:rsidR="000E1A82" w:rsidRPr="000777DE">
      <w:rPr>
        <w:rFonts w:asciiTheme="minorHAnsi" w:hAnsiTheme="minorHAnsi"/>
        <w:i/>
        <w:iCs/>
        <w:color w:val="808080"/>
      </w:rPr>
      <w:t>– November 2024 PBAC Meeting</w:t>
    </w:r>
  </w:p>
  <w:bookmarkEnd w:id="108"/>
  <w:p w14:paraId="07E73338" w14:textId="77777777" w:rsidR="00852655" w:rsidRPr="008C7ECB" w:rsidRDefault="00852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5C77" w14:textId="2966501C" w:rsidR="00C46203" w:rsidRDefault="00C46203">
    <w:pPr>
      <w:pStyle w:val="Header"/>
    </w:pPr>
    <w:r>
      <w:rPr>
        <w:noProof/>
      </w:rPr>
      <mc:AlternateContent>
        <mc:Choice Requires="wps">
          <w:drawing>
            <wp:anchor distT="0" distB="0" distL="0" distR="0" simplePos="0" relativeHeight="251658240" behindDoc="0" locked="0" layoutInCell="1" allowOverlap="1" wp14:anchorId="551C0562" wp14:editId="7BF98114">
              <wp:simplePos x="635" y="635"/>
              <wp:positionH relativeFrom="page">
                <wp:align>center</wp:align>
              </wp:positionH>
              <wp:positionV relativeFrom="page">
                <wp:align>top</wp:align>
              </wp:positionV>
              <wp:extent cx="2160270" cy="365760"/>
              <wp:effectExtent l="0" t="0" r="11430" b="15240"/>
              <wp:wrapNone/>
              <wp:docPr id="984922194" name="Text Box 4" descr="OFFICIAL: Sensitive –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60270" cy="365760"/>
                      </a:xfrm>
                      <a:prstGeom prst="rect">
                        <a:avLst/>
                      </a:prstGeom>
                      <a:noFill/>
                      <a:ln>
                        <a:noFill/>
                      </a:ln>
                    </wps:spPr>
                    <wps:txbx>
                      <w:txbxContent>
                        <w:p w14:paraId="4C0E826C" w14:textId="63AE50B5" w:rsidR="00C46203" w:rsidRPr="00C46203" w:rsidRDefault="00C46203" w:rsidP="00C46203">
                          <w:pPr>
                            <w:rPr>
                              <w:rFonts w:ascii="Arial" w:eastAsia="Arial" w:hAnsi="Arial"/>
                              <w:noProof/>
                              <w:color w:val="FF0000"/>
                            </w:rPr>
                          </w:pPr>
                          <w:r w:rsidRPr="00C46203">
                            <w:rPr>
                              <w:rFonts w:ascii="Arial" w:eastAsia="Arial" w:hAnsi="Arial"/>
                              <w:noProof/>
                              <w:color w:val="FF0000"/>
                            </w:rPr>
                            <w:t>OFFICIAL: Sensitive – Personal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1C0562" id="_x0000_t202" coordsize="21600,21600" o:spt="202" path="m,l,21600r21600,l21600,xe">
              <v:stroke joinstyle="miter"/>
              <v:path gradientshapeok="t" o:connecttype="rect"/>
            </v:shapetype>
            <v:shape id="Text Box 4" o:spid="_x0000_s1028" type="#_x0000_t202" alt="OFFICIAL: Sensitive – Personal" style="position:absolute;left:0;text-align:left;margin-left:0;margin-top:0;width:170.1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" filled="f" stroked="f">
              <v:textbox style="mso-fit-shape-to-text:t" inset="0,15pt,0,0">
                <w:txbxContent>
                  <w:p w14:paraId="4C0E826C" w14:textId="63AE50B5" w:rsidR="00C46203" w:rsidRPr="00C46203" w:rsidRDefault="00C46203" w:rsidP="00C46203">
                    <w:pPr>
                      <w:rPr>
                        <w:rFonts w:ascii="Arial" w:eastAsia="Arial" w:hAnsi="Arial"/>
                        <w:noProof/>
                        <w:color w:val="FF0000"/>
                      </w:rPr>
                    </w:pPr>
                    <w:r w:rsidRPr="00C46203">
                      <w:rPr>
                        <w:rFonts w:ascii="Arial" w:eastAsia="Arial" w:hAnsi="Arial"/>
                        <w:noProof/>
                        <w:color w:val="FF0000"/>
                      </w:rPr>
                      <w:t>OFFICIAL: Sensitive – Personal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AEB0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202FDD"/>
    <w:multiLevelType w:val="hybridMultilevel"/>
    <w:tmpl w:val="B5A4E2E4"/>
    <w:lvl w:ilvl="0" w:tplc="C6648E04">
      <w:start w:val="3"/>
      <w:numFmt w:val="bullet"/>
      <w:lvlText w:val="-"/>
      <w:lvlJc w:val="left"/>
      <w:pPr>
        <w:ind w:left="720" w:hanging="360"/>
      </w:pPr>
      <w:rPr>
        <w:rFonts w:ascii="Arial Narrow" w:eastAsiaTheme="majorEastAsia" w:hAnsi="Arial Narrow" w:cstheme="maj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BA4196"/>
    <w:multiLevelType w:val="hybridMultilevel"/>
    <w:tmpl w:val="1B828ABE"/>
    <w:lvl w:ilvl="0" w:tplc="3A8A4228">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0C5418"/>
    <w:multiLevelType w:val="hybridMultilevel"/>
    <w:tmpl w:val="3C387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D4168"/>
    <w:multiLevelType w:val="hybridMultilevel"/>
    <w:tmpl w:val="5C42D86A"/>
    <w:lvl w:ilvl="0" w:tplc="2ACE77CC">
      <w:start w:val="12"/>
      <w:numFmt w:val="bullet"/>
      <w:lvlText w:val="-"/>
      <w:lvlJc w:val="left"/>
      <w:pPr>
        <w:ind w:left="502"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242402"/>
    <w:multiLevelType w:val="hybridMultilevel"/>
    <w:tmpl w:val="7B6E8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A440B7"/>
    <w:multiLevelType w:val="hybridMultilevel"/>
    <w:tmpl w:val="ABAC9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6B02CD"/>
    <w:multiLevelType w:val="hybridMultilevel"/>
    <w:tmpl w:val="57387F2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38BE0482"/>
    <w:multiLevelType w:val="hybridMultilevel"/>
    <w:tmpl w:val="528A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EB6EA5E"/>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43857"/>
    <w:multiLevelType w:val="hybridMultilevel"/>
    <w:tmpl w:val="43847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33075"/>
    <w:multiLevelType w:val="hybridMultilevel"/>
    <w:tmpl w:val="5922F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877FE0"/>
    <w:multiLevelType w:val="hybridMultilevel"/>
    <w:tmpl w:val="008A08C4"/>
    <w:lvl w:ilvl="0" w:tplc="A91E8356">
      <w:start w:val="1"/>
      <w:numFmt w:val="bullet"/>
      <w:lvlText w:val=""/>
      <w:lvlJc w:val="left"/>
      <w:pPr>
        <w:ind w:left="720" w:hanging="360"/>
      </w:pPr>
      <w:rPr>
        <w:rFonts w:ascii="Symbol" w:hAnsi="Symbol"/>
      </w:rPr>
    </w:lvl>
    <w:lvl w:ilvl="1" w:tplc="005413F2">
      <w:start w:val="1"/>
      <w:numFmt w:val="bullet"/>
      <w:lvlText w:val=""/>
      <w:lvlJc w:val="left"/>
      <w:pPr>
        <w:ind w:left="720" w:hanging="360"/>
      </w:pPr>
      <w:rPr>
        <w:rFonts w:ascii="Symbol" w:hAnsi="Symbol"/>
      </w:rPr>
    </w:lvl>
    <w:lvl w:ilvl="2" w:tplc="75969FE4">
      <w:start w:val="1"/>
      <w:numFmt w:val="bullet"/>
      <w:lvlText w:val=""/>
      <w:lvlJc w:val="left"/>
      <w:pPr>
        <w:ind w:left="720" w:hanging="360"/>
      </w:pPr>
      <w:rPr>
        <w:rFonts w:ascii="Symbol" w:hAnsi="Symbol"/>
      </w:rPr>
    </w:lvl>
    <w:lvl w:ilvl="3" w:tplc="8EBADB8A">
      <w:start w:val="1"/>
      <w:numFmt w:val="bullet"/>
      <w:lvlText w:val=""/>
      <w:lvlJc w:val="left"/>
      <w:pPr>
        <w:ind w:left="720" w:hanging="360"/>
      </w:pPr>
      <w:rPr>
        <w:rFonts w:ascii="Symbol" w:hAnsi="Symbol"/>
      </w:rPr>
    </w:lvl>
    <w:lvl w:ilvl="4" w:tplc="CDC21074">
      <w:start w:val="1"/>
      <w:numFmt w:val="bullet"/>
      <w:lvlText w:val=""/>
      <w:lvlJc w:val="left"/>
      <w:pPr>
        <w:ind w:left="720" w:hanging="360"/>
      </w:pPr>
      <w:rPr>
        <w:rFonts w:ascii="Symbol" w:hAnsi="Symbol"/>
      </w:rPr>
    </w:lvl>
    <w:lvl w:ilvl="5" w:tplc="8D243E5A">
      <w:start w:val="1"/>
      <w:numFmt w:val="bullet"/>
      <w:lvlText w:val=""/>
      <w:lvlJc w:val="left"/>
      <w:pPr>
        <w:ind w:left="720" w:hanging="360"/>
      </w:pPr>
      <w:rPr>
        <w:rFonts w:ascii="Symbol" w:hAnsi="Symbol"/>
      </w:rPr>
    </w:lvl>
    <w:lvl w:ilvl="6" w:tplc="96A83F1C">
      <w:start w:val="1"/>
      <w:numFmt w:val="bullet"/>
      <w:lvlText w:val=""/>
      <w:lvlJc w:val="left"/>
      <w:pPr>
        <w:ind w:left="720" w:hanging="360"/>
      </w:pPr>
      <w:rPr>
        <w:rFonts w:ascii="Symbol" w:hAnsi="Symbol"/>
      </w:rPr>
    </w:lvl>
    <w:lvl w:ilvl="7" w:tplc="99385E60">
      <w:start w:val="1"/>
      <w:numFmt w:val="bullet"/>
      <w:lvlText w:val=""/>
      <w:lvlJc w:val="left"/>
      <w:pPr>
        <w:ind w:left="720" w:hanging="360"/>
      </w:pPr>
      <w:rPr>
        <w:rFonts w:ascii="Symbol" w:hAnsi="Symbol"/>
      </w:rPr>
    </w:lvl>
    <w:lvl w:ilvl="8" w:tplc="F2E4DC00">
      <w:start w:val="1"/>
      <w:numFmt w:val="bullet"/>
      <w:lvlText w:val=""/>
      <w:lvlJc w:val="left"/>
      <w:pPr>
        <w:ind w:left="720" w:hanging="360"/>
      </w:pPr>
      <w:rPr>
        <w:rFonts w:ascii="Symbol" w:hAnsi="Symbol"/>
      </w:r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AF223EF"/>
    <w:multiLevelType w:val="hybridMultilevel"/>
    <w:tmpl w:val="7A0EC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F22442"/>
    <w:multiLevelType w:val="hybridMultilevel"/>
    <w:tmpl w:val="268ACBA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A3C06"/>
    <w:multiLevelType w:val="hybridMultilevel"/>
    <w:tmpl w:val="BE0A2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686136"/>
    <w:multiLevelType w:val="hybridMultilevel"/>
    <w:tmpl w:val="5E82308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9" w15:restartNumberingAfterBreak="0">
    <w:nsid w:val="76FC60BA"/>
    <w:multiLevelType w:val="hybridMultilevel"/>
    <w:tmpl w:val="41C824A0"/>
    <w:lvl w:ilvl="0" w:tplc="0C09001B">
      <w:start w:val="1"/>
      <w:numFmt w:val="lowerRoman"/>
      <w:lvlText w:val="%1."/>
      <w:lvlJc w:val="right"/>
      <w:pPr>
        <w:ind w:left="829" w:hanging="360"/>
      </w:pPr>
      <w:rPr>
        <w:i/>
        <w:color w:val="auto"/>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30" w15:restartNumberingAfterBreak="0">
    <w:nsid w:val="784D033C"/>
    <w:multiLevelType w:val="multilevel"/>
    <w:tmpl w:val="AF62E5E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53044437">
    <w:abstractNumId w:val="15"/>
  </w:num>
  <w:num w:numId="2" w16cid:durableId="797801453">
    <w:abstractNumId w:val="16"/>
  </w:num>
  <w:num w:numId="3" w16cid:durableId="1974826476">
    <w:abstractNumId w:val="30"/>
  </w:num>
  <w:num w:numId="4" w16cid:durableId="2102681194">
    <w:abstractNumId w:val="23"/>
  </w:num>
  <w:num w:numId="5" w16cid:durableId="212276475">
    <w:abstractNumId w:val="6"/>
  </w:num>
  <w:num w:numId="6" w16cid:durableId="1419863689">
    <w:abstractNumId w:val="21"/>
  </w:num>
  <w:num w:numId="7" w16cid:durableId="1593855969">
    <w:abstractNumId w:val="11"/>
  </w:num>
  <w:num w:numId="8" w16cid:durableId="1040277833">
    <w:abstractNumId w:val="5"/>
  </w:num>
  <w:num w:numId="9" w16cid:durableId="743650985">
    <w:abstractNumId w:val="14"/>
  </w:num>
  <w:num w:numId="10" w16cid:durableId="563562726">
    <w:abstractNumId w:val="28"/>
  </w:num>
  <w:num w:numId="11" w16cid:durableId="218248010">
    <w:abstractNumId w:val="24"/>
  </w:num>
  <w:num w:numId="12" w16cid:durableId="66347172">
    <w:abstractNumId w:val="13"/>
  </w:num>
  <w:num w:numId="13" w16cid:durableId="450395182">
    <w:abstractNumId w:val="12"/>
  </w:num>
  <w:num w:numId="14" w16cid:durableId="1592350424">
    <w:abstractNumId w:val="2"/>
  </w:num>
  <w:num w:numId="15" w16cid:durableId="1848710363">
    <w:abstractNumId w:val="18"/>
  </w:num>
  <w:num w:numId="16" w16cid:durableId="660934206">
    <w:abstractNumId w:val="7"/>
  </w:num>
  <w:num w:numId="17" w16cid:durableId="1761023118">
    <w:abstractNumId w:val="0"/>
  </w:num>
  <w:num w:numId="18" w16cid:durableId="430244807">
    <w:abstractNumId w:val="29"/>
  </w:num>
  <w:num w:numId="19" w16cid:durableId="1016078084">
    <w:abstractNumId w:val="4"/>
  </w:num>
  <w:num w:numId="20" w16cid:durableId="126240624">
    <w:abstractNumId w:val="25"/>
  </w:num>
  <w:num w:numId="21" w16cid:durableId="992879292">
    <w:abstractNumId w:val="30"/>
  </w:num>
  <w:num w:numId="22" w16cid:durableId="681591439">
    <w:abstractNumId w:val="30"/>
  </w:num>
  <w:num w:numId="23" w16cid:durableId="1994986612">
    <w:abstractNumId w:val="17"/>
  </w:num>
  <w:num w:numId="24" w16cid:durableId="2084599838">
    <w:abstractNumId w:val="16"/>
  </w:num>
  <w:num w:numId="25" w16cid:durableId="408699874">
    <w:abstractNumId w:val="19"/>
  </w:num>
  <w:num w:numId="26" w16cid:durableId="1569418770">
    <w:abstractNumId w:val="3"/>
  </w:num>
  <w:num w:numId="27" w16cid:durableId="705176722">
    <w:abstractNumId w:val="1"/>
  </w:num>
  <w:num w:numId="28" w16cid:durableId="1926569401">
    <w:abstractNumId w:val="9"/>
  </w:num>
  <w:num w:numId="29" w16cid:durableId="1979457665">
    <w:abstractNumId w:val="10"/>
  </w:num>
  <w:num w:numId="30" w16cid:durableId="2038313566">
    <w:abstractNumId w:val="8"/>
  </w:num>
  <w:num w:numId="31" w16cid:durableId="129744317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997201">
    <w:abstractNumId w:val="27"/>
  </w:num>
  <w:num w:numId="33" w16cid:durableId="363988700">
    <w:abstractNumId w:val="26"/>
  </w:num>
  <w:num w:numId="34" w16cid:durableId="1991784910">
    <w:abstractNumId w:val="30"/>
  </w:num>
  <w:num w:numId="35" w16cid:durableId="108117347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rY0NTa2MLWwMDBV0lEKTi0uzszPAykwN60FALqlgIctAAAA"/>
  </w:docVars>
  <w:rsids>
    <w:rsidRoot w:val="00E65E79"/>
    <w:rsid w:val="00000185"/>
    <w:rsid w:val="00000320"/>
    <w:rsid w:val="00000690"/>
    <w:rsid w:val="00000790"/>
    <w:rsid w:val="000009A0"/>
    <w:rsid w:val="00000C30"/>
    <w:rsid w:val="00000E33"/>
    <w:rsid w:val="0000110B"/>
    <w:rsid w:val="00001245"/>
    <w:rsid w:val="000012F1"/>
    <w:rsid w:val="00001869"/>
    <w:rsid w:val="00001911"/>
    <w:rsid w:val="00001A5A"/>
    <w:rsid w:val="00001B10"/>
    <w:rsid w:val="000026D0"/>
    <w:rsid w:val="00002F94"/>
    <w:rsid w:val="00003244"/>
    <w:rsid w:val="00003478"/>
    <w:rsid w:val="00003499"/>
    <w:rsid w:val="0000363E"/>
    <w:rsid w:val="000039B7"/>
    <w:rsid w:val="00003DA7"/>
    <w:rsid w:val="00003E24"/>
    <w:rsid w:val="0000436C"/>
    <w:rsid w:val="00004DD3"/>
    <w:rsid w:val="000056B9"/>
    <w:rsid w:val="000058CC"/>
    <w:rsid w:val="00005F27"/>
    <w:rsid w:val="00005FEB"/>
    <w:rsid w:val="0000639A"/>
    <w:rsid w:val="00006D6D"/>
    <w:rsid w:val="00006E7F"/>
    <w:rsid w:val="000105B9"/>
    <w:rsid w:val="000107D8"/>
    <w:rsid w:val="0001085F"/>
    <w:rsid w:val="00011489"/>
    <w:rsid w:val="000115FC"/>
    <w:rsid w:val="000116B3"/>
    <w:rsid w:val="00011965"/>
    <w:rsid w:val="000120FA"/>
    <w:rsid w:val="000124C2"/>
    <w:rsid w:val="0001266B"/>
    <w:rsid w:val="0001267B"/>
    <w:rsid w:val="00012E82"/>
    <w:rsid w:val="000130F1"/>
    <w:rsid w:val="00013247"/>
    <w:rsid w:val="0001339B"/>
    <w:rsid w:val="00013F64"/>
    <w:rsid w:val="00014026"/>
    <w:rsid w:val="000154D7"/>
    <w:rsid w:val="00015886"/>
    <w:rsid w:val="00015AFA"/>
    <w:rsid w:val="0001616B"/>
    <w:rsid w:val="000162EF"/>
    <w:rsid w:val="0001640D"/>
    <w:rsid w:val="00016887"/>
    <w:rsid w:val="0001693C"/>
    <w:rsid w:val="00016AD2"/>
    <w:rsid w:val="00016C71"/>
    <w:rsid w:val="00017861"/>
    <w:rsid w:val="00017ADA"/>
    <w:rsid w:val="0002003E"/>
    <w:rsid w:val="0002009F"/>
    <w:rsid w:val="000203F7"/>
    <w:rsid w:val="000207C9"/>
    <w:rsid w:val="00021014"/>
    <w:rsid w:val="0002175A"/>
    <w:rsid w:val="000217BF"/>
    <w:rsid w:val="00021939"/>
    <w:rsid w:val="0002225F"/>
    <w:rsid w:val="00022936"/>
    <w:rsid w:val="000229AC"/>
    <w:rsid w:val="00022BE2"/>
    <w:rsid w:val="000235BB"/>
    <w:rsid w:val="00023763"/>
    <w:rsid w:val="000237AB"/>
    <w:rsid w:val="00023BC1"/>
    <w:rsid w:val="000245AF"/>
    <w:rsid w:val="00024C11"/>
    <w:rsid w:val="00024EB5"/>
    <w:rsid w:val="00025466"/>
    <w:rsid w:val="000254AC"/>
    <w:rsid w:val="00025579"/>
    <w:rsid w:val="00026026"/>
    <w:rsid w:val="00026037"/>
    <w:rsid w:val="0002608B"/>
    <w:rsid w:val="000264B2"/>
    <w:rsid w:val="0002669A"/>
    <w:rsid w:val="0002690A"/>
    <w:rsid w:val="000274B8"/>
    <w:rsid w:val="00027956"/>
    <w:rsid w:val="000302C9"/>
    <w:rsid w:val="000305AB"/>
    <w:rsid w:val="000308B5"/>
    <w:rsid w:val="00030941"/>
    <w:rsid w:val="00030DFA"/>
    <w:rsid w:val="00031606"/>
    <w:rsid w:val="00031CED"/>
    <w:rsid w:val="00031DD1"/>
    <w:rsid w:val="000321FB"/>
    <w:rsid w:val="000327CE"/>
    <w:rsid w:val="00032B95"/>
    <w:rsid w:val="00032BDD"/>
    <w:rsid w:val="00033486"/>
    <w:rsid w:val="00033863"/>
    <w:rsid w:val="00033AC7"/>
    <w:rsid w:val="00033B76"/>
    <w:rsid w:val="00033EEC"/>
    <w:rsid w:val="00034092"/>
    <w:rsid w:val="00034E74"/>
    <w:rsid w:val="000351DE"/>
    <w:rsid w:val="00035C7F"/>
    <w:rsid w:val="00035DC0"/>
    <w:rsid w:val="000362A2"/>
    <w:rsid w:val="000363DC"/>
    <w:rsid w:val="00036757"/>
    <w:rsid w:val="00036829"/>
    <w:rsid w:val="00036A1E"/>
    <w:rsid w:val="00036AE7"/>
    <w:rsid w:val="00036F68"/>
    <w:rsid w:val="000378F0"/>
    <w:rsid w:val="00037D45"/>
    <w:rsid w:val="00037E63"/>
    <w:rsid w:val="00040895"/>
    <w:rsid w:val="000409D2"/>
    <w:rsid w:val="000410A0"/>
    <w:rsid w:val="00041A76"/>
    <w:rsid w:val="00041ADA"/>
    <w:rsid w:val="00041BA8"/>
    <w:rsid w:val="0004231B"/>
    <w:rsid w:val="000426FF"/>
    <w:rsid w:val="00042759"/>
    <w:rsid w:val="00042ADC"/>
    <w:rsid w:val="00042AFA"/>
    <w:rsid w:val="00043037"/>
    <w:rsid w:val="000435EE"/>
    <w:rsid w:val="00043864"/>
    <w:rsid w:val="00043C37"/>
    <w:rsid w:val="00043E7C"/>
    <w:rsid w:val="0004400C"/>
    <w:rsid w:val="000441E2"/>
    <w:rsid w:val="000444FA"/>
    <w:rsid w:val="000444FD"/>
    <w:rsid w:val="00045017"/>
    <w:rsid w:val="0004514A"/>
    <w:rsid w:val="00045A2B"/>
    <w:rsid w:val="00045EE7"/>
    <w:rsid w:val="000461E9"/>
    <w:rsid w:val="000465E4"/>
    <w:rsid w:val="0004671B"/>
    <w:rsid w:val="0004698F"/>
    <w:rsid w:val="00046D64"/>
    <w:rsid w:val="00046E8B"/>
    <w:rsid w:val="000470E1"/>
    <w:rsid w:val="000472B1"/>
    <w:rsid w:val="00047354"/>
    <w:rsid w:val="00047524"/>
    <w:rsid w:val="00047749"/>
    <w:rsid w:val="00047BC7"/>
    <w:rsid w:val="00047DAD"/>
    <w:rsid w:val="00047E77"/>
    <w:rsid w:val="00047F6A"/>
    <w:rsid w:val="0005015E"/>
    <w:rsid w:val="000508C2"/>
    <w:rsid w:val="00050C45"/>
    <w:rsid w:val="00051DFD"/>
    <w:rsid w:val="00051F49"/>
    <w:rsid w:val="00051F6E"/>
    <w:rsid w:val="00052291"/>
    <w:rsid w:val="00052760"/>
    <w:rsid w:val="00052AD8"/>
    <w:rsid w:val="00052C6E"/>
    <w:rsid w:val="000531CB"/>
    <w:rsid w:val="0005356A"/>
    <w:rsid w:val="000539D0"/>
    <w:rsid w:val="00054621"/>
    <w:rsid w:val="000546C0"/>
    <w:rsid w:val="000546D7"/>
    <w:rsid w:val="00054763"/>
    <w:rsid w:val="00054A8D"/>
    <w:rsid w:val="00054DEF"/>
    <w:rsid w:val="00055227"/>
    <w:rsid w:val="0005559C"/>
    <w:rsid w:val="0005560A"/>
    <w:rsid w:val="00055898"/>
    <w:rsid w:val="00055941"/>
    <w:rsid w:val="00055C85"/>
    <w:rsid w:val="00055D9F"/>
    <w:rsid w:val="00055DDF"/>
    <w:rsid w:val="0005645F"/>
    <w:rsid w:val="0005655E"/>
    <w:rsid w:val="00056629"/>
    <w:rsid w:val="000568C1"/>
    <w:rsid w:val="00056C5B"/>
    <w:rsid w:val="00056D11"/>
    <w:rsid w:val="00056ECF"/>
    <w:rsid w:val="00056FF7"/>
    <w:rsid w:val="00057126"/>
    <w:rsid w:val="00057936"/>
    <w:rsid w:val="000604AB"/>
    <w:rsid w:val="000604DF"/>
    <w:rsid w:val="00060595"/>
    <w:rsid w:val="000605F6"/>
    <w:rsid w:val="0006092D"/>
    <w:rsid w:val="00060ACB"/>
    <w:rsid w:val="00060C53"/>
    <w:rsid w:val="000618D2"/>
    <w:rsid w:val="00061D9B"/>
    <w:rsid w:val="00061EBE"/>
    <w:rsid w:val="00062396"/>
    <w:rsid w:val="00062419"/>
    <w:rsid w:val="00062495"/>
    <w:rsid w:val="00062810"/>
    <w:rsid w:val="00062C95"/>
    <w:rsid w:val="000634D3"/>
    <w:rsid w:val="000636C6"/>
    <w:rsid w:val="0006388A"/>
    <w:rsid w:val="00063AD9"/>
    <w:rsid w:val="00063BEC"/>
    <w:rsid w:val="00063FA0"/>
    <w:rsid w:val="00064396"/>
    <w:rsid w:val="0006507B"/>
    <w:rsid w:val="000653B5"/>
    <w:rsid w:val="000654B0"/>
    <w:rsid w:val="00065736"/>
    <w:rsid w:val="00066360"/>
    <w:rsid w:val="000664CD"/>
    <w:rsid w:val="000665AA"/>
    <w:rsid w:val="0006692B"/>
    <w:rsid w:val="00066AF8"/>
    <w:rsid w:val="00067127"/>
    <w:rsid w:val="00067C74"/>
    <w:rsid w:val="00070190"/>
    <w:rsid w:val="00070262"/>
    <w:rsid w:val="00070C32"/>
    <w:rsid w:val="00071174"/>
    <w:rsid w:val="00071248"/>
    <w:rsid w:val="00071E9C"/>
    <w:rsid w:val="000720B9"/>
    <w:rsid w:val="00072506"/>
    <w:rsid w:val="00072B69"/>
    <w:rsid w:val="00072C9F"/>
    <w:rsid w:val="000737F7"/>
    <w:rsid w:val="00073ED6"/>
    <w:rsid w:val="00074085"/>
    <w:rsid w:val="00074236"/>
    <w:rsid w:val="0007427B"/>
    <w:rsid w:val="00074632"/>
    <w:rsid w:val="0007492E"/>
    <w:rsid w:val="00074C84"/>
    <w:rsid w:val="00074FC1"/>
    <w:rsid w:val="0007516B"/>
    <w:rsid w:val="0007547F"/>
    <w:rsid w:val="00075C9F"/>
    <w:rsid w:val="00075CEC"/>
    <w:rsid w:val="00076371"/>
    <w:rsid w:val="0007672F"/>
    <w:rsid w:val="00076B54"/>
    <w:rsid w:val="00076C22"/>
    <w:rsid w:val="000771E3"/>
    <w:rsid w:val="00077227"/>
    <w:rsid w:val="000774F0"/>
    <w:rsid w:val="000777DE"/>
    <w:rsid w:val="00077803"/>
    <w:rsid w:val="000778FD"/>
    <w:rsid w:val="00077970"/>
    <w:rsid w:val="00077A37"/>
    <w:rsid w:val="00077CE4"/>
    <w:rsid w:val="0008023B"/>
    <w:rsid w:val="00080510"/>
    <w:rsid w:val="00080909"/>
    <w:rsid w:val="00080ACB"/>
    <w:rsid w:val="00080BC6"/>
    <w:rsid w:val="00080E11"/>
    <w:rsid w:val="00080E29"/>
    <w:rsid w:val="0008126C"/>
    <w:rsid w:val="000812CA"/>
    <w:rsid w:val="000818E2"/>
    <w:rsid w:val="00081C90"/>
    <w:rsid w:val="00081E63"/>
    <w:rsid w:val="000822AE"/>
    <w:rsid w:val="00082537"/>
    <w:rsid w:val="0008258D"/>
    <w:rsid w:val="000825D0"/>
    <w:rsid w:val="00082996"/>
    <w:rsid w:val="0008305C"/>
    <w:rsid w:val="000839CB"/>
    <w:rsid w:val="00083E99"/>
    <w:rsid w:val="00083F11"/>
    <w:rsid w:val="000840D2"/>
    <w:rsid w:val="000841BF"/>
    <w:rsid w:val="0008427E"/>
    <w:rsid w:val="00084850"/>
    <w:rsid w:val="00084989"/>
    <w:rsid w:val="00084D6B"/>
    <w:rsid w:val="00084E81"/>
    <w:rsid w:val="00084E9D"/>
    <w:rsid w:val="00084FA8"/>
    <w:rsid w:val="00085051"/>
    <w:rsid w:val="000855A4"/>
    <w:rsid w:val="000856C5"/>
    <w:rsid w:val="00085A72"/>
    <w:rsid w:val="00085C31"/>
    <w:rsid w:val="00085D37"/>
    <w:rsid w:val="00085F35"/>
    <w:rsid w:val="0008635E"/>
    <w:rsid w:val="00086942"/>
    <w:rsid w:val="00086EB6"/>
    <w:rsid w:val="000874F0"/>
    <w:rsid w:val="00087565"/>
    <w:rsid w:val="00087715"/>
    <w:rsid w:val="00087BD2"/>
    <w:rsid w:val="00087E4A"/>
    <w:rsid w:val="000901E8"/>
    <w:rsid w:val="000901F5"/>
    <w:rsid w:val="000902D9"/>
    <w:rsid w:val="00090C7E"/>
    <w:rsid w:val="000911AC"/>
    <w:rsid w:val="000913E5"/>
    <w:rsid w:val="0009143D"/>
    <w:rsid w:val="000914CB"/>
    <w:rsid w:val="00091756"/>
    <w:rsid w:val="00091A01"/>
    <w:rsid w:val="00091CE5"/>
    <w:rsid w:val="00092106"/>
    <w:rsid w:val="0009211D"/>
    <w:rsid w:val="0009254F"/>
    <w:rsid w:val="00092600"/>
    <w:rsid w:val="0009262B"/>
    <w:rsid w:val="00092A56"/>
    <w:rsid w:val="00092D3F"/>
    <w:rsid w:val="00092D86"/>
    <w:rsid w:val="00092E80"/>
    <w:rsid w:val="00093198"/>
    <w:rsid w:val="00093310"/>
    <w:rsid w:val="00093462"/>
    <w:rsid w:val="0009357C"/>
    <w:rsid w:val="0009387B"/>
    <w:rsid w:val="00093C4F"/>
    <w:rsid w:val="00093DD0"/>
    <w:rsid w:val="0009445C"/>
    <w:rsid w:val="000944BF"/>
    <w:rsid w:val="000944DA"/>
    <w:rsid w:val="000945FA"/>
    <w:rsid w:val="00094699"/>
    <w:rsid w:val="0009480E"/>
    <w:rsid w:val="00095047"/>
    <w:rsid w:val="000950D6"/>
    <w:rsid w:val="00095200"/>
    <w:rsid w:val="000954E3"/>
    <w:rsid w:val="00095FE5"/>
    <w:rsid w:val="0009616D"/>
    <w:rsid w:val="00096284"/>
    <w:rsid w:val="000963FE"/>
    <w:rsid w:val="00096B1F"/>
    <w:rsid w:val="00097774"/>
    <w:rsid w:val="0009777D"/>
    <w:rsid w:val="00097C4D"/>
    <w:rsid w:val="00097EC6"/>
    <w:rsid w:val="000A0009"/>
    <w:rsid w:val="000A0150"/>
    <w:rsid w:val="000A02E8"/>
    <w:rsid w:val="000A0744"/>
    <w:rsid w:val="000A0759"/>
    <w:rsid w:val="000A1BC0"/>
    <w:rsid w:val="000A2192"/>
    <w:rsid w:val="000A2EB5"/>
    <w:rsid w:val="000A2F9E"/>
    <w:rsid w:val="000A35FD"/>
    <w:rsid w:val="000A3825"/>
    <w:rsid w:val="000A3E47"/>
    <w:rsid w:val="000A3F3F"/>
    <w:rsid w:val="000A44F2"/>
    <w:rsid w:val="000A4817"/>
    <w:rsid w:val="000A4BDC"/>
    <w:rsid w:val="000A4E90"/>
    <w:rsid w:val="000A522B"/>
    <w:rsid w:val="000A547D"/>
    <w:rsid w:val="000A5787"/>
    <w:rsid w:val="000A5848"/>
    <w:rsid w:val="000A6039"/>
    <w:rsid w:val="000A67EC"/>
    <w:rsid w:val="000A6967"/>
    <w:rsid w:val="000A6A69"/>
    <w:rsid w:val="000A714F"/>
    <w:rsid w:val="000A7453"/>
    <w:rsid w:val="000A7AF6"/>
    <w:rsid w:val="000A7D08"/>
    <w:rsid w:val="000A7F07"/>
    <w:rsid w:val="000B0121"/>
    <w:rsid w:val="000B03FD"/>
    <w:rsid w:val="000B0670"/>
    <w:rsid w:val="000B06F7"/>
    <w:rsid w:val="000B0862"/>
    <w:rsid w:val="000B0BDC"/>
    <w:rsid w:val="000B0E75"/>
    <w:rsid w:val="000B1199"/>
    <w:rsid w:val="000B15AB"/>
    <w:rsid w:val="000B17DD"/>
    <w:rsid w:val="000B23E8"/>
    <w:rsid w:val="000B2D20"/>
    <w:rsid w:val="000B2D70"/>
    <w:rsid w:val="000B2DC1"/>
    <w:rsid w:val="000B2DCB"/>
    <w:rsid w:val="000B3320"/>
    <w:rsid w:val="000B35CC"/>
    <w:rsid w:val="000B3880"/>
    <w:rsid w:val="000B4750"/>
    <w:rsid w:val="000B48D2"/>
    <w:rsid w:val="000B4E0A"/>
    <w:rsid w:val="000B51A3"/>
    <w:rsid w:val="000B557F"/>
    <w:rsid w:val="000B5BE7"/>
    <w:rsid w:val="000B5CC0"/>
    <w:rsid w:val="000B5CE0"/>
    <w:rsid w:val="000B5EC4"/>
    <w:rsid w:val="000B5F97"/>
    <w:rsid w:val="000B6A07"/>
    <w:rsid w:val="000B6CAC"/>
    <w:rsid w:val="000B7612"/>
    <w:rsid w:val="000B770B"/>
    <w:rsid w:val="000B7803"/>
    <w:rsid w:val="000B78AE"/>
    <w:rsid w:val="000B7FEB"/>
    <w:rsid w:val="000C03FB"/>
    <w:rsid w:val="000C0485"/>
    <w:rsid w:val="000C0513"/>
    <w:rsid w:val="000C0B47"/>
    <w:rsid w:val="000C0D63"/>
    <w:rsid w:val="000C1092"/>
    <w:rsid w:val="000C156D"/>
    <w:rsid w:val="000C199A"/>
    <w:rsid w:val="000C2A4F"/>
    <w:rsid w:val="000C2FA7"/>
    <w:rsid w:val="000C2FD1"/>
    <w:rsid w:val="000C3285"/>
    <w:rsid w:val="000C360E"/>
    <w:rsid w:val="000C3DF9"/>
    <w:rsid w:val="000C423C"/>
    <w:rsid w:val="000C4439"/>
    <w:rsid w:val="000C47A1"/>
    <w:rsid w:val="000C4950"/>
    <w:rsid w:val="000C4CCF"/>
    <w:rsid w:val="000C4CF2"/>
    <w:rsid w:val="000C4FFF"/>
    <w:rsid w:val="000C50B5"/>
    <w:rsid w:val="000C532E"/>
    <w:rsid w:val="000C5332"/>
    <w:rsid w:val="000C54F1"/>
    <w:rsid w:val="000C6241"/>
    <w:rsid w:val="000C632A"/>
    <w:rsid w:val="000C6610"/>
    <w:rsid w:val="000C6713"/>
    <w:rsid w:val="000C6AA3"/>
    <w:rsid w:val="000C6EC0"/>
    <w:rsid w:val="000C6FD1"/>
    <w:rsid w:val="000C7805"/>
    <w:rsid w:val="000C7A9D"/>
    <w:rsid w:val="000C7AD4"/>
    <w:rsid w:val="000D047F"/>
    <w:rsid w:val="000D0A6F"/>
    <w:rsid w:val="000D0AEF"/>
    <w:rsid w:val="000D0B39"/>
    <w:rsid w:val="000D0EE6"/>
    <w:rsid w:val="000D1678"/>
    <w:rsid w:val="000D1BFC"/>
    <w:rsid w:val="000D1D5D"/>
    <w:rsid w:val="000D1EEE"/>
    <w:rsid w:val="000D20B5"/>
    <w:rsid w:val="000D23CE"/>
    <w:rsid w:val="000D281A"/>
    <w:rsid w:val="000D2823"/>
    <w:rsid w:val="000D2848"/>
    <w:rsid w:val="000D291C"/>
    <w:rsid w:val="000D2C57"/>
    <w:rsid w:val="000D2EA8"/>
    <w:rsid w:val="000D326A"/>
    <w:rsid w:val="000D3361"/>
    <w:rsid w:val="000D38E5"/>
    <w:rsid w:val="000D39E3"/>
    <w:rsid w:val="000D425F"/>
    <w:rsid w:val="000D4579"/>
    <w:rsid w:val="000D45C2"/>
    <w:rsid w:val="000D4844"/>
    <w:rsid w:val="000D48E2"/>
    <w:rsid w:val="000D4A10"/>
    <w:rsid w:val="000D51FB"/>
    <w:rsid w:val="000D5CA0"/>
    <w:rsid w:val="000D60A7"/>
    <w:rsid w:val="000D636F"/>
    <w:rsid w:val="000D6515"/>
    <w:rsid w:val="000D69A8"/>
    <w:rsid w:val="000D721B"/>
    <w:rsid w:val="000D76C2"/>
    <w:rsid w:val="000D79AD"/>
    <w:rsid w:val="000D7C47"/>
    <w:rsid w:val="000E0180"/>
    <w:rsid w:val="000E0393"/>
    <w:rsid w:val="000E03A9"/>
    <w:rsid w:val="000E0640"/>
    <w:rsid w:val="000E0788"/>
    <w:rsid w:val="000E0BE9"/>
    <w:rsid w:val="000E108C"/>
    <w:rsid w:val="000E135D"/>
    <w:rsid w:val="000E170A"/>
    <w:rsid w:val="000E1A82"/>
    <w:rsid w:val="000E1C20"/>
    <w:rsid w:val="000E1C7D"/>
    <w:rsid w:val="000E1FC7"/>
    <w:rsid w:val="000E205E"/>
    <w:rsid w:val="000E24A9"/>
    <w:rsid w:val="000E316B"/>
    <w:rsid w:val="000E32A0"/>
    <w:rsid w:val="000E364D"/>
    <w:rsid w:val="000E3E8A"/>
    <w:rsid w:val="000E4567"/>
    <w:rsid w:val="000E4790"/>
    <w:rsid w:val="000E4971"/>
    <w:rsid w:val="000E4BC9"/>
    <w:rsid w:val="000E589C"/>
    <w:rsid w:val="000E58B6"/>
    <w:rsid w:val="000E5934"/>
    <w:rsid w:val="000E5E0D"/>
    <w:rsid w:val="000E5F6E"/>
    <w:rsid w:val="000E615A"/>
    <w:rsid w:val="000E62F0"/>
    <w:rsid w:val="000E7144"/>
    <w:rsid w:val="000E725B"/>
    <w:rsid w:val="000E7272"/>
    <w:rsid w:val="000E730A"/>
    <w:rsid w:val="000E74F0"/>
    <w:rsid w:val="000E77A0"/>
    <w:rsid w:val="000E7846"/>
    <w:rsid w:val="000F00BA"/>
    <w:rsid w:val="000F017C"/>
    <w:rsid w:val="000F0467"/>
    <w:rsid w:val="000F0E9C"/>
    <w:rsid w:val="000F17E7"/>
    <w:rsid w:val="000F25E5"/>
    <w:rsid w:val="000F27F7"/>
    <w:rsid w:val="000F316A"/>
    <w:rsid w:val="000F3231"/>
    <w:rsid w:val="000F34E4"/>
    <w:rsid w:val="000F38DA"/>
    <w:rsid w:val="000F3B7B"/>
    <w:rsid w:val="000F3C74"/>
    <w:rsid w:val="000F42E4"/>
    <w:rsid w:val="000F499E"/>
    <w:rsid w:val="000F4BB8"/>
    <w:rsid w:val="000F4FA9"/>
    <w:rsid w:val="000F53FB"/>
    <w:rsid w:val="000F58E2"/>
    <w:rsid w:val="000F5AAC"/>
    <w:rsid w:val="000F5C13"/>
    <w:rsid w:val="000F5CAD"/>
    <w:rsid w:val="000F5CF9"/>
    <w:rsid w:val="000F5D0D"/>
    <w:rsid w:val="000F5DC5"/>
    <w:rsid w:val="000F64BC"/>
    <w:rsid w:val="000F663E"/>
    <w:rsid w:val="000F6805"/>
    <w:rsid w:val="000F6D2B"/>
    <w:rsid w:val="000F6E2E"/>
    <w:rsid w:val="000F7127"/>
    <w:rsid w:val="000F7150"/>
    <w:rsid w:val="000F7ABF"/>
    <w:rsid w:val="000F7B54"/>
    <w:rsid w:val="001000B3"/>
    <w:rsid w:val="00100B08"/>
    <w:rsid w:val="00100BA6"/>
    <w:rsid w:val="00100D0E"/>
    <w:rsid w:val="00100E81"/>
    <w:rsid w:val="00100F8A"/>
    <w:rsid w:val="00101445"/>
    <w:rsid w:val="00101648"/>
    <w:rsid w:val="00101688"/>
    <w:rsid w:val="00101C86"/>
    <w:rsid w:val="00101F8D"/>
    <w:rsid w:val="00102698"/>
    <w:rsid w:val="001028E1"/>
    <w:rsid w:val="00102AC4"/>
    <w:rsid w:val="00103C40"/>
    <w:rsid w:val="00103E42"/>
    <w:rsid w:val="00104383"/>
    <w:rsid w:val="0010449B"/>
    <w:rsid w:val="001044EB"/>
    <w:rsid w:val="0010452E"/>
    <w:rsid w:val="00104777"/>
    <w:rsid w:val="0010492E"/>
    <w:rsid w:val="00104A05"/>
    <w:rsid w:val="00105121"/>
    <w:rsid w:val="00105258"/>
    <w:rsid w:val="001053AE"/>
    <w:rsid w:val="00105ACA"/>
    <w:rsid w:val="00105AE2"/>
    <w:rsid w:val="00105FE4"/>
    <w:rsid w:val="001060C6"/>
    <w:rsid w:val="00106864"/>
    <w:rsid w:val="001068B1"/>
    <w:rsid w:val="00106B80"/>
    <w:rsid w:val="00106BF9"/>
    <w:rsid w:val="001077DA"/>
    <w:rsid w:val="00107AE3"/>
    <w:rsid w:val="00107C6E"/>
    <w:rsid w:val="00107DEF"/>
    <w:rsid w:val="00107F2F"/>
    <w:rsid w:val="00107F63"/>
    <w:rsid w:val="0011032E"/>
    <w:rsid w:val="00110458"/>
    <w:rsid w:val="001107E3"/>
    <w:rsid w:val="00110807"/>
    <w:rsid w:val="00110AC2"/>
    <w:rsid w:val="00110F7C"/>
    <w:rsid w:val="0011105A"/>
    <w:rsid w:val="0011161A"/>
    <w:rsid w:val="00111679"/>
    <w:rsid w:val="00111B04"/>
    <w:rsid w:val="00111CBB"/>
    <w:rsid w:val="001120A5"/>
    <w:rsid w:val="001126BD"/>
    <w:rsid w:val="001128B1"/>
    <w:rsid w:val="00112DD1"/>
    <w:rsid w:val="00112DD3"/>
    <w:rsid w:val="0011348B"/>
    <w:rsid w:val="00113779"/>
    <w:rsid w:val="00114212"/>
    <w:rsid w:val="00115790"/>
    <w:rsid w:val="001157F1"/>
    <w:rsid w:val="00115982"/>
    <w:rsid w:val="00115B4F"/>
    <w:rsid w:val="00115B97"/>
    <w:rsid w:val="00115EAE"/>
    <w:rsid w:val="00116505"/>
    <w:rsid w:val="0011657A"/>
    <w:rsid w:val="0011679F"/>
    <w:rsid w:val="00116AA3"/>
    <w:rsid w:val="00116BF5"/>
    <w:rsid w:val="00116C53"/>
    <w:rsid w:val="0011717A"/>
    <w:rsid w:val="00117BCF"/>
    <w:rsid w:val="00117D43"/>
    <w:rsid w:val="001207B0"/>
    <w:rsid w:val="00120C93"/>
    <w:rsid w:val="00120D1A"/>
    <w:rsid w:val="0012131F"/>
    <w:rsid w:val="00121799"/>
    <w:rsid w:val="00121995"/>
    <w:rsid w:val="001222FC"/>
    <w:rsid w:val="00123902"/>
    <w:rsid w:val="00123EE8"/>
    <w:rsid w:val="00124A51"/>
    <w:rsid w:val="00124D10"/>
    <w:rsid w:val="00124F01"/>
    <w:rsid w:val="00124FA6"/>
    <w:rsid w:val="001254A9"/>
    <w:rsid w:val="00125557"/>
    <w:rsid w:val="0012565A"/>
    <w:rsid w:val="0012589E"/>
    <w:rsid w:val="001258CB"/>
    <w:rsid w:val="0012596D"/>
    <w:rsid w:val="00125CF6"/>
    <w:rsid w:val="00125D2E"/>
    <w:rsid w:val="0012609F"/>
    <w:rsid w:val="0012613A"/>
    <w:rsid w:val="001262B6"/>
    <w:rsid w:val="001265F9"/>
    <w:rsid w:val="00126621"/>
    <w:rsid w:val="00126B1D"/>
    <w:rsid w:val="00126BF5"/>
    <w:rsid w:val="001271AD"/>
    <w:rsid w:val="00127E2C"/>
    <w:rsid w:val="001301E9"/>
    <w:rsid w:val="001301F1"/>
    <w:rsid w:val="001306CF"/>
    <w:rsid w:val="00130B00"/>
    <w:rsid w:val="00130B54"/>
    <w:rsid w:val="00131527"/>
    <w:rsid w:val="00131967"/>
    <w:rsid w:val="00131A88"/>
    <w:rsid w:val="00131B68"/>
    <w:rsid w:val="00131D82"/>
    <w:rsid w:val="00132075"/>
    <w:rsid w:val="00132360"/>
    <w:rsid w:val="0013279A"/>
    <w:rsid w:val="00132B22"/>
    <w:rsid w:val="00132F66"/>
    <w:rsid w:val="0013316F"/>
    <w:rsid w:val="00133400"/>
    <w:rsid w:val="00133D36"/>
    <w:rsid w:val="001346EE"/>
    <w:rsid w:val="00134A29"/>
    <w:rsid w:val="00135473"/>
    <w:rsid w:val="00135AA3"/>
    <w:rsid w:val="00135DFB"/>
    <w:rsid w:val="00136229"/>
    <w:rsid w:val="00136BC1"/>
    <w:rsid w:val="00136F7C"/>
    <w:rsid w:val="00137645"/>
    <w:rsid w:val="001377B0"/>
    <w:rsid w:val="00137C88"/>
    <w:rsid w:val="00140071"/>
    <w:rsid w:val="0014015A"/>
    <w:rsid w:val="001403C5"/>
    <w:rsid w:val="001404BA"/>
    <w:rsid w:val="001406A5"/>
    <w:rsid w:val="001406E0"/>
    <w:rsid w:val="001409B6"/>
    <w:rsid w:val="00140AB2"/>
    <w:rsid w:val="00140E5B"/>
    <w:rsid w:val="00140E99"/>
    <w:rsid w:val="00141797"/>
    <w:rsid w:val="001417D8"/>
    <w:rsid w:val="00141B75"/>
    <w:rsid w:val="001423BB"/>
    <w:rsid w:val="00142431"/>
    <w:rsid w:val="001427E6"/>
    <w:rsid w:val="00142B03"/>
    <w:rsid w:val="00142C9C"/>
    <w:rsid w:val="00142DB2"/>
    <w:rsid w:val="001432E0"/>
    <w:rsid w:val="00143472"/>
    <w:rsid w:val="0014359B"/>
    <w:rsid w:val="001435BA"/>
    <w:rsid w:val="00143AE5"/>
    <w:rsid w:val="00143F67"/>
    <w:rsid w:val="00144497"/>
    <w:rsid w:val="00144902"/>
    <w:rsid w:val="00144BA3"/>
    <w:rsid w:val="00144F82"/>
    <w:rsid w:val="001451E0"/>
    <w:rsid w:val="00145234"/>
    <w:rsid w:val="00145540"/>
    <w:rsid w:val="001456B0"/>
    <w:rsid w:val="00145FEC"/>
    <w:rsid w:val="0014626A"/>
    <w:rsid w:val="00146ACF"/>
    <w:rsid w:val="00146B8C"/>
    <w:rsid w:val="00146CFF"/>
    <w:rsid w:val="001477D0"/>
    <w:rsid w:val="00147BC9"/>
    <w:rsid w:val="001506BA"/>
    <w:rsid w:val="00150948"/>
    <w:rsid w:val="00150CF4"/>
    <w:rsid w:val="00151B70"/>
    <w:rsid w:val="00152175"/>
    <w:rsid w:val="00153803"/>
    <w:rsid w:val="00153CDA"/>
    <w:rsid w:val="00153D6F"/>
    <w:rsid w:val="001541D8"/>
    <w:rsid w:val="001546C7"/>
    <w:rsid w:val="001547AB"/>
    <w:rsid w:val="001549C1"/>
    <w:rsid w:val="00154DA6"/>
    <w:rsid w:val="0015559B"/>
    <w:rsid w:val="00155874"/>
    <w:rsid w:val="00155A8F"/>
    <w:rsid w:val="00155D80"/>
    <w:rsid w:val="00155F27"/>
    <w:rsid w:val="001560EF"/>
    <w:rsid w:val="0015629B"/>
    <w:rsid w:val="001568C3"/>
    <w:rsid w:val="0015695B"/>
    <w:rsid w:val="00156F8F"/>
    <w:rsid w:val="00157130"/>
    <w:rsid w:val="001576B1"/>
    <w:rsid w:val="00157D66"/>
    <w:rsid w:val="00157DC3"/>
    <w:rsid w:val="00160271"/>
    <w:rsid w:val="0016047B"/>
    <w:rsid w:val="00160A4C"/>
    <w:rsid w:val="00160C16"/>
    <w:rsid w:val="00160F44"/>
    <w:rsid w:val="001610A9"/>
    <w:rsid w:val="00161511"/>
    <w:rsid w:val="001618EE"/>
    <w:rsid w:val="001619C9"/>
    <w:rsid w:val="00161D57"/>
    <w:rsid w:val="00162130"/>
    <w:rsid w:val="0016214A"/>
    <w:rsid w:val="001622D3"/>
    <w:rsid w:val="0016287E"/>
    <w:rsid w:val="00162913"/>
    <w:rsid w:val="00162A68"/>
    <w:rsid w:val="00162B50"/>
    <w:rsid w:val="00162D4F"/>
    <w:rsid w:val="00162F4E"/>
    <w:rsid w:val="001636C9"/>
    <w:rsid w:val="00163719"/>
    <w:rsid w:val="001639D6"/>
    <w:rsid w:val="00163EFF"/>
    <w:rsid w:val="00163F66"/>
    <w:rsid w:val="0016403D"/>
    <w:rsid w:val="00164139"/>
    <w:rsid w:val="00164763"/>
    <w:rsid w:val="0016478E"/>
    <w:rsid w:val="001649EC"/>
    <w:rsid w:val="00164F78"/>
    <w:rsid w:val="001651F7"/>
    <w:rsid w:val="00165295"/>
    <w:rsid w:val="00165EC4"/>
    <w:rsid w:val="00165EDB"/>
    <w:rsid w:val="001660F7"/>
    <w:rsid w:val="001661BE"/>
    <w:rsid w:val="001661FB"/>
    <w:rsid w:val="001666C2"/>
    <w:rsid w:val="00167167"/>
    <w:rsid w:val="001671A0"/>
    <w:rsid w:val="0016746A"/>
    <w:rsid w:val="00167602"/>
    <w:rsid w:val="0016767F"/>
    <w:rsid w:val="0016791F"/>
    <w:rsid w:val="00167A06"/>
    <w:rsid w:val="00167D21"/>
    <w:rsid w:val="00170120"/>
    <w:rsid w:val="001705EB"/>
    <w:rsid w:val="0017118B"/>
    <w:rsid w:val="0017133A"/>
    <w:rsid w:val="00171635"/>
    <w:rsid w:val="00171749"/>
    <w:rsid w:val="001724C8"/>
    <w:rsid w:val="00172DFF"/>
    <w:rsid w:val="00172F9F"/>
    <w:rsid w:val="00172FA7"/>
    <w:rsid w:val="0017338F"/>
    <w:rsid w:val="00173565"/>
    <w:rsid w:val="00173682"/>
    <w:rsid w:val="001736CD"/>
    <w:rsid w:val="001738D7"/>
    <w:rsid w:val="00173B07"/>
    <w:rsid w:val="001741AF"/>
    <w:rsid w:val="0017462F"/>
    <w:rsid w:val="001748CF"/>
    <w:rsid w:val="001748ED"/>
    <w:rsid w:val="0017500E"/>
    <w:rsid w:val="00175088"/>
    <w:rsid w:val="00175132"/>
    <w:rsid w:val="001751FA"/>
    <w:rsid w:val="001755AE"/>
    <w:rsid w:val="0017585E"/>
    <w:rsid w:val="00175DDE"/>
    <w:rsid w:val="00175EA1"/>
    <w:rsid w:val="0017606D"/>
    <w:rsid w:val="001776DB"/>
    <w:rsid w:val="00177D02"/>
    <w:rsid w:val="00177D3F"/>
    <w:rsid w:val="001801D4"/>
    <w:rsid w:val="00180219"/>
    <w:rsid w:val="00180862"/>
    <w:rsid w:val="00180F99"/>
    <w:rsid w:val="00181907"/>
    <w:rsid w:val="00181C10"/>
    <w:rsid w:val="00181D9C"/>
    <w:rsid w:val="00182378"/>
    <w:rsid w:val="00182449"/>
    <w:rsid w:val="0018263A"/>
    <w:rsid w:val="00182B6D"/>
    <w:rsid w:val="00183253"/>
    <w:rsid w:val="001836AD"/>
    <w:rsid w:val="00183781"/>
    <w:rsid w:val="001837FF"/>
    <w:rsid w:val="0018382A"/>
    <w:rsid w:val="00183AD2"/>
    <w:rsid w:val="00183EFF"/>
    <w:rsid w:val="00183F90"/>
    <w:rsid w:val="001845D1"/>
    <w:rsid w:val="00184B0E"/>
    <w:rsid w:val="0018529F"/>
    <w:rsid w:val="001853C2"/>
    <w:rsid w:val="00185502"/>
    <w:rsid w:val="0018589D"/>
    <w:rsid w:val="00185C3A"/>
    <w:rsid w:val="00185E72"/>
    <w:rsid w:val="00185EB7"/>
    <w:rsid w:val="00186133"/>
    <w:rsid w:val="0018631A"/>
    <w:rsid w:val="001866B2"/>
    <w:rsid w:val="00186B11"/>
    <w:rsid w:val="00186E95"/>
    <w:rsid w:val="00187256"/>
    <w:rsid w:val="0018752F"/>
    <w:rsid w:val="00187628"/>
    <w:rsid w:val="00187A31"/>
    <w:rsid w:val="00187CCB"/>
    <w:rsid w:val="0019004D"/>
    <w:rsid w:val="0019013F"/>
    <w:rsid w:val="0019037B"/>
    <w:rsid w:val="0019069B"/>
    <w:rsid w:val="001908F9"/>
    <w:rsid w:val="00190C35"/>
    <w:rsid w:val="00190DE3"/>
    <w:rsid w:val="001918B0"/>
    <w:rsid w:val="00191A9D"/>
    <w:rsid w:val="00191F78"/>
    <w:rsid w:val="00191FAC"/>
    <w:rsid w:val="001920EB"/>
    <w:rsid w:val="00192431"/>
    <w:rsid w:val="0019296E"/>
    <w:rsid w:val="00192E33"/>
    <w:rsid w:val="00192F11"/>
    <w:rsid w:val="001936E2"/>
    <w:rsid w:val="00193838"/>
    <w:rsid w:val="00193D32"/>
    <w:rsid w:val="00194050"/>
    <w:rsid w:val="00194201"/>
    <w:rsid w:val="00194AD8"/>
    <w:rsid w:val="00194D4A"/>
    <w:rsid w:val="00195222"/>
    <w:rsid w:val="00195452"/>
    <w:rsid w:val="00195848"/>
    <w:rsid w:val="00195C19"/>
    <w:rsid w:val="00195F3A"/>
    <w:rsid w:val="001960D6"/>
    <w:rsid w:val="001970CD"/>
    <w:rsid w:val="0019730D"/>
    <w:rsid w:val="001975D8"/>
    <w:rsid w:val="00197B24"/>
    <w:rsid w:val="00197F56"/>
    <w:rsid w:val="001A03D0"/>
    <w:rsid w:val="001A16B8"/>
    <w:rsid w:val="001A178E"/>
    <w:rsid w:val="001A249E"/>
    <w:rsid w:val="001A25C8"/>
    <w:rsid w:val="001A2654"/>
    <w:rsid w:val="001A3109"/>
    <w:rsid w:val="001A3613"/>
    <w:rsid w:val="001A36BE"/>
    <w:rsid w:val="001A374B"/>
    <w:rsid w:val="001A43FA"/>
    <w:rsid w:val="001A4519"/>
    <w:rsid w:val="001A45B5"/>
    <w:rsid w:val="001A47C5"/>
    <w:rsid w:val="001A49FD"/>
    <w:rsid w:val="001A4D9A"/>
    <w:rsid w:val="001A50F5"/>
    <w:rsid w:val="001A545F"/>
    <w:rsid w:val="001A5771"/>
    <w:rsid w:val="001A587F"/>
    <w:rsid w:val="001A59B7"/>
    <w:rsid w:val="001A59FB"/>
    <w:rsid w:val="001A5E9E"/>
    <w:rsid w:val="001A6354"/>
    <w:rsid w:val="001A6366"/>
    <w:rsid w:val="001A65B0"/>
    <w:rsid w:val="001A67F9"/>
    <w:rsid w:val="001A69C8"/>
    <w:rsid w:val="001A6E9C"/>
    <w:rsid w:val="001A7AE8"/>
    <w:rsid w:val="001A7B09"/>
    <w:rsid w:val="001B149F"/>
    <w:rsid w:val="001B1C99"/>
    <w:rsid w:val="001B204E"/>
    <w:rsid w:val="001B21BF"/>
    <w:rsid w:val="001B21FD"/>
    <w:rsid w:val="001B2372"/>
    <w:rsid w:val="001B2441"/>
    <w:rsid w:val="001B2AD7"/>
    <w:rsid w:val="001B2D27"/>
    <w:rsid w:val="001B32DC"/>
    <w:rsid w:val="001B33A7"/>
    <w:rsid w:val="001B3443"/>
    <w:rsid w:val="001B351C"/>
    <w:rsid w:val="001B3792"/>
    <w:rsid w:val="001B3BFC"/>
    <w:rsid w:val="001B3DE6"/>
    <w:rsid w:val="001B3E62"/>
    <w:rsid w:val="001B4388"/>
    <w:rsid w:val="001B4669"/>
    <w:rsid w:val="001B4D20"/>
    <w:rsid w:val="001B555C"/>
    <w:rsid w:val="001B5A91"/>
    <w:rsid w:val="001B5CEB"/>
    <w:rsid w:val="001B66C8"/>
    <w:rsid w:val="001B6A21"/>
    <w:rsid w:val="001B6BB1"/>
    <w:rsid w:val="001B6C1D"/>
    <w:rsid w:val="001B6F9E"/>
    <w:rsid w:val="001B706B"/>
    <w:rsid w:val="001B7632"/>
    <w:rsid w:val="001B76E9"/>
    <w:rsid w:val="001B7E19"/>
    <w:rsid w:val="001B7F84"/>
    <w:rsid w:val="001C09DF"/>
    <w:rsid w:val="001C1156"/>
    <w:rsid w:val="001C14A9"/>
    <w:rsid w:val="001C1D19"/>
    <w:rsid w:val="001C223D"/>
    <w:rsid w:val="001C2553"/>
    <w:rsid w:val="001C267B"/>
    <w:rsid w:val="001C2805"/>
    <w:rsid w:val="001C2A9B"/>
    <w:rsid w:val="001C2B3C"/>
    <w:rsid w:val="001C2EED"/>
    <w:rsid w:val="001C3262"/>
    <w:rsid w:val="001C3A39"/>
    <w:rsid w:val="001C3D79"/>
    <w:rsid w:val="001C3DD6"/>
    <w:rsid w:val="001C3E2C"/>
    <w:rsid w:val="001C4299"/>
    <w:rsid w:val="001C42CD"/>
    <w:rsid w:val="001C45EF"/>
    <w:rsid w:val="001C46E8"/>
    <w:rsid w:val="001C4874"/>
    <w:rsid w:val="001C504A"/>
    <w:rsid w:val="001C51B6"/>
    <w:rsid w:val="001C5583"/>
    <w:rsid w:val="001C5C33"/>
    <w:rsid w:val="001C5F94"/>
    <w:rsid w:val="001C63FE"/>
    <w:rsid w:val="001C6E66"/>
    <w:rsid w:val="001D06D9"/>
    <w:rsid w:val="001D0732"/>
    <w:rsid w:val="001D0786"/>
    <w:rsid w:val="001D0A85"/>
    <w:rsid w:val="001D0C5F"/>
    <w:rsid w:val="001D1100"/>
    <w:rsid w:val="001D1391"/>
    <w:rsid w:val="001D1715"/>
    <w:rsid w:val="001D1742"/>
    <w:rsid w:val="001D18D8"/>
    <w:rsid w:val="001D1C3D"/>
    <w:rsid w:val="001D1C4E"/>
    <w:rsid w:val="001D25D7"/>
    <w:rsid w:val="001D26E0"/>
    <w:rsid w:val="001D3061"/>
    <w:rsid w:val="001D3CBC"/>
    <w:rsid w:val="001D3CF9"/>
    <w:rsid w:val="001D3D9A"/>
    <w:rsid w:val="001D3E51"/>
    <w:rsid w:val="001D3FD3"/>
    <w:rsid w:val="001D4103"/>
    <w:rsid w:val="001D4181"/>
    <w:rsid w:val="001D41DC"/>
    <w:rsid w:val="001D50B2"/>
    <w:rsid w:val="001D5504"/>
    <w:rsid w:val="001D5904"/>
    <w:rsid w:val="001D5FCC"/>
    <w:rsid w:val="001D61C0"/>
    <w:rsid w:val="001D6627"/>
    <w:rsid w:val="001D6721"/>
    <w:rsid w:val="001D7045"/>
    <w:rsid w:val="001D71F4"/>
    <w:rsid w:val="001D760B"/>
    <w:rsid w:val="001D7645"/>
    <w:rsid w:val="001D7A9A"/>
    <w:rsid w:val="001D7CF3"/>
    <w:rsid w:val="001D7FA2"/>
    <w:rsid w:val="001E0330"/>
    <w:rsid w:val="001E0588"/>
    <w:rsid w:val="001E0849"/>
    <w:rsid w:val="001E0AA8"/>
    <w:rsid w:val="001E0B57"/>
    <w:rsid w:val="001E0BC8"/>
    <w:rsid w:val="001E110A"/>
    <w:rsid w:val="001E1172"/>
    <w:rsid w:val="001E1D88"/>
    <w:rsid w:val="001E1E2F"/>
    <w:rsid w:val="001E1E86"/>
    <w:rsid w:val="001E2057"/>
    <w:rsid w:val="001E2106"/>
    <w:rsid w:val="001E238E"/>
    <w:rsid w:val="001E2483"/>
    <w:rsid w:val="001E2891"/>
    <w:rsid w:val="001E2B1E"/>
    <w:rsid w:val="001E2CFF"/>
    <w:rsid w:val="001E2F1E"/>
    <w:rsid w:val="001E2F24"/>
    <w:rsid w:val="001E30D4"/>
    <w:rsid w:val="001E34DF"/>
    <w:rsid w:val="001E3F72"/>
    <w:rsid w:val="001E45E1"/>
    <w:rsid w:val="001E474F"/>
    <w:rsid w:val="001E4BB6"/>
    <w:rsid w:val="001E52EB"/>
    <w:rsid w:val="001E5590"/>
    <w:rsid w:val="001E569D"/>
    <w:rsid w:val="001E5D1B"/>
    <w:rsid w:val="001E61D2"/>
    <w:rsid w:val="001E62BC"/>
    <w:rsid w:val="001E6A71"/>
    <w:rsid w:val="001E6CA2"/>
    <w:rsid w:val="001E6EC2"/>
    <w:rsid w:val="001E724E"/>
    <w:rsid w:val="001E740C"/>
    <w:rsid w:val="001E75D4"/>
    <w:rsid w:val="001E7E81"/>
    <w:rsid w:val="001F041F"/>
    <w:rsid w:val="001F05B1"/>
    <w:rsid w:val="001F0E6D"/>
    <w:rsid w:val="001F1019"/>
    <w:rsid w:val="001F1046"/>
    <w:rsid w:val="001F1235"/>
    <w:rsid w:val="001F124C"/>
    <w:rsid w:val="001F1CB3"/>
    <w:rsid w:val="001F29DF"/>
    <w:rsid w:val="001F2A50"/>
    <w:rsid w:val="001F2B4C"/>
    <w:rsid w:val="001F31F0"/>
    <w:rsid w:val="001F3288"/>
    <w:rsid w:val="001F3460"/>
    <w:rsid w:val="001F38B5"/>
    <w:rsid w:val="001F3C23"/>
    <w:rsid w:val="001F3C3E"/>
    <w:rsid w:val="001F4081"/>
    <w:rsid w:val="001F4168"/>
    <w:rsid w:val="001F4409"/>
    <w:rsid w:val="001F4457"/>
    <w:rsid w:val="001F4CC0"/>
    <w:rsid w:val="001F4D7F"/>
    <w:rsid w:val="001F50B1"/>
    <w:rsid w:val="001F536F"/>
    <w:rsid w:val="001F5377"/>
    <w:rsid w:val="001F5743"/>
    <w:rsid w:val="001F59D8"/>
    <w:rsid w:val="001F631D"/>
    <w:rsid w:val="001F6381"/>
    <w:rsid w:val="001F67B0"/>
    <w:rsid w:val="001F6ADE"/>
    <w:rsid w:val="001F700D"/>
    <w:rsid w:val="001F70E3"/>
    <w:rsid w:val="001F732F"/>
    <w:rsid w:val="001F7361"/>
    <w:rsid w:val="001F78AD"/>
    <w:rsid w:val="0020097E"/>
    <w:rsid w:val="00201087"/>
    <w:rsid w:val="002011B0"/>
    <w:rsid w:val="00201B4F"/>
    <w:rsid w:val="00201E51"/>
    <w:rsid w:val="002020F2"/>
    <w:rsid w:val="002025C3"/>
    <w:rsid w:val="0020270B"/>
    <w:rsid w:val="0020272C"/>
    <w:rsid w:val="00202FF4"/>
    <w:rsid w:val="002030E0"/>
    <w:rsid w:val="00203181"/>
    <w:rsid w:val="00203783"/>
    <w:rsid w:val="0020385F"/>
    <w:rsid w:val="0020388A"/>
    <w:rsid w:val="00203D57"/>
    <w:rsid w:val="00204329"/>
    <w:rsid w:val="00204713"/>
    <w:rsid w:val="002047C1"/>
    <w:rsid w:val="00204DB9"/>
    <w:rsid w:val="0020573E"/>
    <w:rsid w:val="002063B1"/>
    <w:rsid w:val="002064EA"/>
    <w:rsid w:val="002068A0"/>
    <w:rsid w:val="00206D43"/>
    <w:rsid w:val="00206F79"/>
    <w:rsid w:val="00207021"/>
    <w:rsid w:val="0020727E"/>
    <w:rsid w:val="0020732F"/>
    <w:rsid w:val="00207661"/>
    <w:rsid w:val="00207D00"/>
    <w:rsid w:val="002101D0"/>
    <w:rsid w:val="00210342"/>
    <w:rsid w:val="00210570"/>
    <w:rsid w:val="002105C1"/>
    <w:rsid w:val="00210914"/>
    <w:rsid w:val="00210AEF"/>
    <w:rsid w:val="00210C3A"/>
    <w:rsid w:val="00210DD1"/>
    <w:rsid w:val="00211667"/>
    <w:rsid w:val="002116FD"/>
    <w:rsid w:val="002117CF"/>
    <w:rsid w:val="002118C8"/>
    <w:rsid w:val="00211E9C"/>
    <w:rsid w:val="00211F87"/>
    <w:rsid w:val="002121DD"/>
    <w:rsid w:val="002129BB"/>
    <w:rsid w:val="00212F7D"/>
    <w:rsid w:val="0021381D"/>
    <w:rsid w:val="00213975"/>
    <w:rsid w:val="00213E0F"/>
    <w:rsid w:val="00213EF5"/>
    <w:rsid w:val="0021444B"/>
    <w:rsid w:val="00214E37"/>
    <w:rsid w:val="00214F3C"/>
    <w:rsid w:val="00214FC7"/>
    <w:rsid w:val="00215651"/>
    <w:rsid w:val="00215C29"/>
    <w:rsid w:val="0021645E"/>
    <w:rsid w:val="00216A20"/>
    <w:rsid w:val="00216AB7"/>
    <w:rsid w:val="00216BF5"/>
    <w:rsid w:val="00217509"/>
    <w:rsid w:val="00217544"/>
    <w:rsid w:val="002177C0"/>
    <w:rsid w:val="00217B53"/>
    <w:rsid w:val="00217E6F"/>
    <w:rsid w:val="002200A4"/>
    <w:rsid w:val="002204C7"/>
    <w:rsid w:val="002206B2"/>
    <w:rsid w:val="002208BC"/>
    <w:rsid w:val="00220D07"/>
    <w:rsid w:val="00221652"/>
    <w:rsid w:val="002216DE"/>
    <w:rsid w:val="002221F9"/>
    <w:rsid w:val="00222302"/>
    <w:rsid w:val="0022256C"/>
    <w:rsid w:val="00222708"/>
    <w:rsid w:val="0022289B"/>
    <w:rsid w:val="002229B0"/>
    <w:rsid w:val="00222FF9"/>
    <w:rsid w:val="002233F5"/>
    <w:rsid w:val="0022384B"/>
    <w:rsid w:val="00223B49"/>
    <w:rsid w:val="00223D29"/>
    <w:rsid w:val="00223D5A"/>
    <w:rsid w:val="002243DA"/>
    <w:rsid w:val="00224CB2"/>
    <w:rsid w:val="00224DD4"/>
    <w:rsid w:val="00224F20"/>
    <w:rsid w:val="00225A11"/>
    <w:rsid w:val="00225F1D"/>
    <w:rsid w:val="00226183"/>
    <w:rsid w:val="002265EC"/>
    <w:rsid w:val="00226778"/>
    <w:rsid w:val="00226B52"/>
    <w:rsid w:val="00226D22"/>
    <w:rsid w:val="00226E3B"/>
    <w:rsid w:val="002271C7"/>
    <w:rsid w:val="002273FA"/>
    <w:rsid w:val="00227582"/>
    <w:rsid w:val="002278A0"/>
    <w:rsid w:val="0023003E"/>
    <w:rsid w:val="002309CC"/>
    <w:rsid w:val="00230DFD"/>
    <w:rsid w:val="0023150B"/>
    <w:rsid w:val="002316B2"/>
    <w:rsid w:val="00231843"/>
    <w:rsid w:val="002319C2"/>
    <w:rsid w:val="00231BA9"/>
    <w:rsid w:val="00231F29"/>
    <w:rsid w:val="0023209F"/>
    <w:rsid w:val="0023291F"/>
    <w:rsid w:val="00232A79"/>
    <w:rsid w:val="002332BF"/>
    <w:rsid w:val="00233588"/>
    <w:rsid w:val="002336B5"/>
    <w:rsid w:val="00233C01"/>
    <w:rsid w:val="00233D1E"/>
    <w:rsid w:val="00233EB2"/>
    <w:rsid w:val="0023413C"/>
    <w:rsid w:val="00234270"/>
    <w:rsid w:val="00234575"/>
    <w:rsid w:val="002345EC"/>
    <w:rsid w:val="0023464A"/>
    <w:rsid w:val="00234663"/>
    <w:rsid w:val="002346F0"/>
    <w:rsid w:val="00234EBA"/>
    <w:rsid w:val="00235024"/>
    <w:rsid w:val="00235357"/>
    <w:rsid w:val="00235848"/>
    <w:rsid w:val="002358F5"/>
    <w:rsid w:val="00235B92"/>
    <w:rsid w:val="00236083"/>
    <w:rsid w:val="00236231"/>
    <w:rsid w:val="0023629D"/>
    <w:rsid w:val="002366E9"/>
    <w:rsid w:val="00236F30"/>
    <w:rsid w:val="0023722A"/>
    <w:rsid w:val="00237255"/>
    <w:rsid w:val="002400A7"/>
    <w:rsid w:val="00240277"/>
    <w:rsid w:val="0024044D"/>
    <w:rsid w:val="00240972"/>
    <w:rsid w:val="002410D4"/>
    <w:rsid w:val="00242163"/>
    <w:rsid w:val="002424AF"/>
    <w:rsid w:val="00242D19"/>
    <w:rsid w:val="00242D5F"/>
    <w:rsid w:val="00242E41"/>
    <w:rsid w:val="00242F67"/>
    <w:rsid w:val="00242F89"/>
    <w:rsid w:val="0024356E"/>
    <w:rsid w:val="002439DC"/>
    <w:rsid w:val="00243B6E"/>
    <w:rsid w:val="00244108"/>
    <w:rsid w:val="002441D2"/>
    <w:rsid w:val="00244639"/>
    <w:rsid w:val="002446EF"/>
    <w:rsid w:val="00244B05"/>
    <w:rsid w:val="00244B63"/>
    <w:rsid w:val="00244D14"/>
    <w:rsid w:val="00244DC1"/>
    <w:rsid w:val="00244DC8"/>
    <w:rsid w:val="00245650"/>
    <w:rsid w:val="00245667"/>
    <w:rsid w:val="002458BA"/>
    <w:rsid w:val="002458E7"/>
    <w:rsid w:val="00245AFA"/>
    <w:rsid w:val="00245CE9"/>
    <w:rsid w:val="00245F44"/>
    <w:rsid w:val="0024636C"/>
    <w:rsid w:val="0024636D"/>
    <w:rsid w:val="00246A0E"/>
    <w:rsid w:val="0024727C"/>
    <w:rsid w:val="002478D5"/>
    <w:rsid w:val="00247925"/>
    <w:rsid w:val="00247DC7"/>
    <w:rsid w:val="00247F68"/>
    <w:rsid w:val="002500D7"/>
    <w:rsid w:val="00251006"/>
    <w:rsid w:val="00251253"/>
    <w:rsid w:val="002518D1"/>
    <w:rsid w:val="00251E80"/>
    <w:rsid w:val="002522AA"/>
    <w:rsid w:val="002524D5"/>
    <w:rsid w:val="002525F6"/>
    <w:rsid w:val="00252730"/>
    <w:rsid w:val="002531E2"/>
    <w:rsid w:val="00253279"/>
    <w:rsid w:val="00253293"/>
    <w:rsid w:val="0025336E"/>
    <w:rsid w:val="002534C5"/>
    <w:rsid w:val="00253595"/>
    <w:rsid w:val="0025359A"/>
    <w:rsid w:val="00253625"/>
    <w:rsid w:val="00253B1D"/>
    <w:rsid w:val="00253B7F"/>
    <w:rsid w:val="00253EFA"/>
    <w:rsid w:val="00253F67"/>
    <w:rsid w:val="0025418F"/>
    <w:rsid w:val="002548C9"/>
    <w:rsid w:val="00254CE9"/>
    <w:rsid w:val="00254DCF"/>
    <w:rsid w:val="00254F3E"/>
    <w:rsid w:val="0025534B"/>
    <w:rsid w:val="00255567"/>
    <w:rsid w:val="00255618"/>
    <w:rsid w:val="00255A65"/>
    <w:rsid w:val="00255BB7"/>
    <w:rsid w:val="00255F95"/>
    <w:rsid w:val="00256016"/>
    <w:rsid w:val="0025634A"/>
    <w:rsid w:val="002567AB"/>
    <w:rsid w:val="00256D78"/>
    <w:rsid w:val="00257541"/>
    <w:rsid w:val="00257A39"/>
    <w:rsid w:val="00257AC4"/>
    <w:rsid w:val="00257BBE"/>
    <w:rsid w:val="00257CC4"/>
    <w:rsid w:val="00257F4D"/>
    <w:rsid w:val="00260016"/>
    <w:rsid w:val="002605B6"/>
    <w:rsid w:val="00260CDF"/>
    <w:rsid w:val="00261535"/>
    <w:rsid w:val="00261675"/>
    <w:rsid w:val="00261888"/>
    <w:rsid w:val="00261D9F"/>
    <w:rsid w:val="00261E44"/>
    <w:rsid w:val="00261EEF"/>
    <w:rsid w:val="0026252F"/>
    <w:rsid w:val="0026279E"/>
    <w:rsid w:val="00262A1A"/>
    <w:rsid w:val="00262A87"/>
    <w:rsid w:val="00262D63"/>
    <w:rsid w:val="00263486"/>
    <w:rsid w:val="00264D26"/>
    <w:rsid w:val="00264DDA"/>
    <w:rsid w:val="00264EB8"/>
    <w:rsid w:val="002650F4"/>
    <w:rsid w:val="00266232"/>
    <w:rsid w:val="0026643B"/>
    <w:rsid w:val="00266AD7"/>
    <w:rsid w:val="00266FFF"/>
    <w:rsid w:val="0026761F"/>
    <w:rsid w:val="00267642"/>
    <w:rsid w:val="00267AEA"/>
    <w:rsid w:val="00267B56"/>
    <w:rsid w:val="00270034"/>
    <w:rsid w:val="002700E6"/>
    <w:rsid w:val="002707B9"/>
    <w:rsid w:val="0027096E"/>
    <w:rsid w:val="00270E03"/>
    <w:rsid w:val="00270FBF"/>
    <w:rsid w:val="00271149"/>
    <w:rsid w:val="0027163E"/>
    <w:rsid w:val="00271881"/>
    <w:rsid w:val="00271D3C"/>
    <w:rsid w:val="00271E7C"/>
    <w:rsid w:val="00272920"/>
    <w:rsid w:val="0027294B"/>
    <w:rsid w:val="00272B03"/>
    <w:rsid w:val="0027367A"/>
    <w:rsid w:val="002738EA"/>
    <w:rsid w:val="00273EB4"/>
    <w:rsid w:val="00274342"/>
    <w:rsid w:val="00274682"/>
    <w:rsid w:val="00274AD6"/>
    <w:rsid w:val="00274DA3"/>
    <w:rsid w:val="00275158"/>
    <w:rsid w:val="00275236"/>
    <w:rsid w:val="002752F0"/>
    <w:rsid w:val="00275803"/>
    <w:rsid w:val="002759C5"/>
    <w:rsid w:val="00275C5A"/>
    <w:rsid w:val="00275CB6"/>
    <w:rsid w:val="00275D7C"/>
    <w:rsid w:val="002761ED"/>
    <w:rsid w:val="00277060"/>
    <w:rsid w:val="0027709E"/>
    <w:rsid w:val="002774D3"/>
    <w:rsid w:val="00277D82"/>
    <w:rsid w:val="002800C4"/>
    <w:rsid w:val="00280BE6"/>
    <w:rsid w:val="00281014"/>
    <w:rsid w:val="00282330"/>
    <w:rsid w:val="00282B86"/>
    <w:rsid w:val="00282F6F"/>
    <w:rsid w:val="002835E8"/>
    <w:rsid w:val="002839E7"/>
    <w:rsid w:val="0028445B"/>
    <w:rsid w:val="0028579F"/>
    <w:rsid w:val="002857C3"/>
    <w:rsid w:val="002858A8"/>
    <w:rsid w:val="0028591B"/>
    <w:rsid w:val="00285BCE"/>
    <w:rsid w:val="00285F7F"/>
    <w:rsid w:val="002862F4"/>
    <w:rsid w:val="0028665D"/>
    <w:rsid w:val="0028758F"/>
    <w:rsid w:val="00287A45"/>
    <w:rsid w:val="002901A7"/>
    <w:rsid w:val="00290FC3"/>
    <w:rsid w:val="00291061"/>
    <w:rsid w:val="002910AC"/>
    <w:rsid w:val="002914E7"/>
    <w:rsid w:val="00291BEF"/>
    <w:rsid w:val="00292091"/>
    <w:rsid w:val="00292C22"/>
    <w:rsid w:val="0029304C"/>
    <w:rsid w:val="00293484"/>
    <w:rsid w:val="002939F0"/>
    <w:rsid w:val="0029456B"/>
    <w:rsid w:val="0029457E"/>
    <w:rsid w:val="002947CC"/>
    <w:rsid w:val="00294A90"/>
    <w:rsid w:val="002954FB"/>
    <w:rsid w:val="00295BF7"/>
    <w:rsid w:val="0029613C"/>
    <w:rsid w:val="00296E2E"/>
    <w:rsid w:val="00296F48"/>
    <w:rsid w:val="00297931"/>
    <w:rsid w:val="00297E9D"/>
    <w:rsid w:val="00297F81"/>
    <w:rsid w:val="002A031B"/>
    <w:rsid w:val="002A074C"/>
    <w:rsid w:val="002A0CF6"/>
    <w:rsid w:val="002A0D55"/>
    <w:rsid w:val="002A1218"/>
    <w:rsid w:val="002A14AB"/>
    <w:rsid w:val="002A2404"/>
    <w:rsid w:val="002A2460"/>
    <w:rsid w:val="002A25D4"/>
    <w:rsid w:val="002A2ADE"/>
    <w:rsid w:val="002A2E8E"/>
    <w:rsid w:val="002A2F50"/>
    <w:rsid w:val="002A31B6"/>
    <w:rsid w:val="002A37AB"/>
    <w:rsid w:val="002A4018"/>
    <w:rsid w:val="002A43DE"/>
    <w:rsid w:val="002A4511"/>
    <w:rsid w:val="002A4661"/>
    <w:rsid w:val="002A478E"/>
    <w:rsid w:val="002A4B42"/>
    <w:rsid w:val="002A4C47"/>
    <w:rsid w:val="002A4D1D"/>
    <w:rsid w:val="002A4E30"/>
    <w:rsid w:val="002A5AD9"/>
    <w:rsid w:val="002A5AE6"/>
    <w:rsid w:val="002A5E69"/>
    <w:rsid w:val="002A6615"/>
    <w:rsid w:val="002A6AA2"/>
    <w:rsid w:val="002A6B0A"/>
    <w:rsid w:val="002A6B20"/>
    <w:rsid w:val="002A71D1"/>
    <w:rsid w:val="002A7943"/>
    <w:rsid w:val="002A7949"/>
    <w:rsid w:val="002A7F11"/>
    <w:rsid w:val="002B018F"/>
    <w:rsid w:val="002B054D"/>
    <w:rsid w:val="002B05A1"/>
    <w:rsid w:val="002B084C"/>
    <w:rsid w:val="002B09A4"/>
    <w:rsid w:val="002B0ABF"/>
    <w:rsid w:val="002B11F5"/>
    <w:rsid w:val="002B1619"/>
    <w:rsid w:val="002B1C1F"/>
    <w:rsid w:val="002B2253"/>
    <w:rsid w:val="002B253A"/>
    <w:rsid w:val="002B2960"/>
    <w:rsid w:val="002B298C"/>
    <w:rsid w:val="002B376A"/>
    <w:rsid w:val="002B3E19"/>
    <w:rsid w:val="002B3E1F"/>
    <w:rsid w:val="002B3FF0"/>
    <w:rsid w:val="002B4204"/>
    <w:rsid w:val="002B432F"/>
    <w:rsid w:val="002B4983"/>
    <w:rsid w:val="002B507C"/>
    <w:rsid w:val="002B56F1"/>
    <w:rsid w:val="002B586B"/>
    <w:rsid w:val="002B5E18"/>
    <w:rsid w:val="002B62B3"/>
    <w:rsid w:val="002B6427"/>
    <w:rsid w:val="002B6754"/>
    <w:rsid w:val="002B690C"/>
    <w:rsid w:val="002B6CCE"/>
    <w:rsid w:val="002B6D33"/>
    <w:rsid w:val="002B7086"/>
    <w:rsid w:val="002B7393"/>
    <w:rsid w:val="002B765A"/>
    <w:rsid w:val="002B7D9D"/>
    <w:rsid w:val="002C0316"/>
    <w:rsid w:val="002C148C"/>
    <w:rsid w:val="002C1F69"/>
    <w:rsid w:val="002C2331"/>
    <w:rsid w:val="002C2510"/>
    <w:rsid w:val="002C2775"/>
    <w:rsid w:val="002C27C1"/>
    <w:rsid w:val="002C2B5F"/>
    <w:rsid w:val="002C2E65"/>
    <w:rsid w:val="002C315B"/>
    <w:rsid w:val="002C3249"/>
    <w:rsid w:val="002C36E3"/>
    <w:rsid w:val="002C4582"/>
    <w:rsid w:val="002C4871"/>
    <w:rsid w:val="002C4D51"/>
    <w:rsid w:val="002C4D76"/>
    <w:rsid w:val="002C5038"/>
    <w:rsid w:val="002C5099"/>
    <w:rsid w:val="002C562F"/>
    <w:rsid w:val="002C57E0"/>
    <w:rsid w:val="002C5889"/>
    <w:rsid w:val="002C59CC"/>
    <w:rsid w:val="002C6493"/>
    <w:rsid w:val="002C68DF"/>
    <w:rsid w:val="002C6B46"/>
    <w:rsid w:val="002C6D75"/>
    <w:rsid w:val="002C6E5E"/>
    <w:rsid w:val="002C7149"/>
    <w:rsid w:val="002C71CE"/>
    <w:rsid w:val="002C75EF"/>
    <w:rsid w:val="002C7A25"/>
    <w:rsid w:val="002C7B44"/>
    <w:rsid w:val="002D08F8"/>
    <w:rsid w:val="002D0996"/>
    <w:rsid w:val="002D0C88"/>
    <w:rsid w:val="002D0F47"/>
    <w:rsid w:val="002D19BC"/>
    <w:rsid w:val="002D1A84"/>
    <w:rsid w:val="002D1C07"/>
    <w:rsid w:val="002D20DE"/>
    <w:rsid w:val="002D25B0"/>
    <w:rsid w:val="002D25D8"/>
    <w:rsid w:val="002D2BC9"/>
    <w:rsid w:val="002D2D8D"/>
    <w:rsid w:val="002D32AE"/>
    <w:rsid w:val="002D32EC"/>
    <w:rsid w:val="002D3E62"/>
    <w:rsid w:val="002D43BD"/>
    <w:rsid w:val="002D47C9"/>
    <w:rsid w:val="002D496D"/>
    <w:rsid w:val="002D4CEA"/>
    <w:rsid w:val="002D4DBD"/>
    <w:rsid w:val="002D5406"/>
    <w:rsid w:val="002D568E"/>
    <w:rsid w:val="002D56A3"/>
    <w:rsid w:val="002D577C"/>
    <w:rsid w:val="002D6014"/>
    <w:rsid w:val="002D61E8"/>
    <w:rsid w:val="002D6585"/>
    <w:rsid w:val="002D6833"/>
    <w:rsid w:val="002D7832"/>
    <w:rsid w:val="002D784F"/>
    <w:rsid w:val="002D78CA"/>
    <w:rsid w:val="002D7CC4"/>
    <w:rsid w:val="002E1071"/>
    <w:rsid w:val="002E1221"/>
    <w:rsid w:val="002E15B9"/>
    <w:rsid w:val="002E15D9"/>
    <w:rsid w:val="002E1E37"/>
    <w:rsid w:val="002E1FC6"/>
    <w:rsid w:val="002E207B"/>
    <w:rsid w:val="002E2158"/>
    <w:rsid w:val="002E2179"/>
    <w:rsid w:val="002E261B"/>
    <w:rsid w:val="002E2FFE"/>
    <w:rsid w:val="002E3226"/>
    <w:rsid w:val="002E3E97"/>
    <w:rsid w:val="002E3F43"/>
    <w:rsid w:val="002E400B"/>
    <w:rsid w:val="002E454B"/>
    <w:rsid w:val="002E4707"/>
    <w:rsid w:val="002E48F6"/>
    <w:rsid w:val="002E49E7"/>
    <w:rsid w:val="002E4E2C"/>
    <w:rsid w:val="002E4F02"/>
    <w:rsid w:val="002E58C7"/>
    <w:rsid w:val="002E63A8"/>
    <w:rsid w:val="002E68AA"/>
    <w:rsid w:val="002E6A84"/>
    <w:rsid w:val="002E6AAE"/>
    <w:rsid w:val="002E6CC7"/>
    <w:rsid w:val="002E7453"/>
    <w:rsid w:val="002E7722"/>
    <w:rsid w:val="002E79DB"/>
    <w:rsid w:val="002E7ADD"/>
    <w:rsid w:val="002E7BD9"/>
    <w:rsid w:val="002E7D08"/>
    <w:rsid w:val="002E7FC6"/>
    <w:rsid w:val="002F027D"/>
    <w:rsid w:val="002F0594"/>
    <w:rsid w:val="002F0651"/>
    <w:rsid w:val="002F07BA"/>
    <w:rsid w:val="002F0DA9"/>
    <w:rsid w:val="002F1014"/>
    <w:rsid w:val="002F10AA"/>
    <w:rsid w:val="002F1322"/>
    <w:rsid w:val="002F1473"/>
    <w:rsid w:val="002F1485"/>
    <w:rsid w:val="002F1544"/>
    <w:rsid w:val="002F1686"/>
    <w:rsid w:val="002F17F8"/>
    <w:rsid w:val="002F1BE6"/>
    <w:rsid w:val="002F1C1F"/>
    <w:rsid w:val="002F1E3B"/>
    <w:rsid w:val="002F2591"/>
    <w:rsid w:val="002F272A"/>
    <w:rsid w:val="002F27A5"/>
    <w:rsid w:val="002F2A35"/>
    <w:rsid w:val="002F2AD7"/>
    <w:rsid w:val="002F2B81"/>
    <w:rsid w:val="002F2F1B"/>
    <w:rsid w:val="002F2F88"/>
    <w:rsid w:val="002F333C"/>
    <w:rsid w:val="002F353E"/>
    <w:rsid w:val="002F3667"/>
    <w:rsid w:val="002F4156"/>
    <w:rsid w:val="002F4580"/>
    <w:rsid w:val="002F4CA3"/>
    <w:rsid w:val="002F5026"/>
    <w:rsid w:val="002F5225"/>
    <w:rsid w:val="002F5748"/>
    <w:rsid w:val="002F5826"/>
    <w:rsid w:val="002F5BC3"/>
    <w:rsid w:val="002F5CBD"/>
    <w:rsid w:val="002F62CD"/>
    <w:rsid w:val="002F643C"/>
    <w:rsid w:val="002F6577"/>
    <w:rsid w:val="002F6EB4"/>
    <w:rsid w:val="002F71C0"/>
    <w:rsid w:val="002F74F1"/>
    <w:rsid w:val="002F777D"/>
    <w:rsid w:val="002F79D2"/>
    <w:rsid w:val="002F7CEA"/>
    <w:rsid w:val="003001DE"/>
    <w:rsid w:val="0030043A"/>
    <w:rsid w:val="00300496"/>
    <w:rsid w:val="0030052B"/>
    <w:rsid w:val="003006E8"/>
    <w:rsid w:val="0030076A"/>
    <w:rsid w:val="00301017"/>
    <w:rsid w:val="00301320"/>
    <w:rsid w:val="00301332"/>
    <w:rsid w:val="0030155F"/>
    <w:rsid w:val="0030190B"/>
    <w:rsid w:val="00301A65"/>
    <w:rsid w:val="00302037"/>
    <w:rsid w:val="00302872"/>
    <w:rsid w:val="003034CA"/>
    <w:rsid w:val="003035B0"/>
    <w:rsid w:val="00303A91"/>
    <w:rsid w:val="00304163"/>
    <w:rsid w:val="0030454B"/>
    <w:rsid w:val="0030483E"/>
    <w:rsid w:val="00304913"/>
    <w:rsid w:val="003052F0"/>
    <w:rsid w:val="0030569A"/>
    <w:rsid w:val="00305835"/>
    <w:rsid w:val="0030587B"/>
    <w:rsid w:val="003059F6"/>
    <w:rsid w:val="00305A5B"/>
    <w:rsid w:val="00305B5E"/>
    <w:rsid w:val="00305D65"/>
    <w:rsid w:val="003061B6"/>
    <w:rsid w:val="003066EA"/>
    <w:rsid w:val="003067E7"/>
    <w:rsid w:val="003069EB"/>
    <w:rsid w:val="00306AB4"/>
    <w:rsid w:val="00306CAB"/>
    <w:rsid w:val="00306D98"/>
    <w:rsid w:val="003072BA"/>
    <w:rsid w:val="0030786C"/>
    <w:rsid w:val="00307B69"/>
    <w:rsid w:val="00307C14"/>
    <w:rsid w:val="00310057"/>
    <w:rsid w:val="0031031A"/>
    <w:rsid w:val="003106AE"/>
    <w:rsid w:val="00310981"/>
    <w:rsid w:val="00310EEA"/>
    <w:rsid w:val="00311233"/>
    <w:rsid w:val="003114DF"/>
    <w:rsid w:val="00311D9B"/>
    <w:rsid w:val="00311E68"/>
    <w:rsid w:val="003124D9"/>
    <w:rsid w:val="00312594"/>
    <w:rsid w:val="00312A05"/>
    <w:rsid w:val="00312DB7"/>
    <w:rsid w:val="00313203"/>
    <w:rsid w:val="0031333D"/>
    <w:rsid w:val="003142B3"/>
    <w:rsid w:val="0031493C"/>
    <w:rsid w:val="003149C2"/>
    <w:rsid w:val="00315498"/>
    <w:rsid w:val="003155A6"/>
    <w:rsid w:val="00315B75"/>
    <w:rsid w:val="003162C6"/>
    <w:rsid w:val="003162D5"/>
    <w:rsid w:val="003163CC"/>
    <w:rsid w:val="00316474"/>
    <w:rsid w:val="00316877"/>
    <w:rsid w:val="003169A5"/>
    <w:rsid w:val="00316B3F"/>
    <w:rsid w:val="00316C65"/>
    <w:rsid w:val="00317033"/>
    <w:rsid w:val="0031795F"/>
    <w:rsid w:val="00317A2F"/>
    <w:rsid w:val="00317F39"/>
    <w:rsid w:val="00320096"/>
    <w:rsid w:val="00320180"/>
    <w:rsid w:val="003201FA"/>
    <w:rsid w:val="003203A5"/>
    <w:rsid w:val="00320B1F"/>
    <w:rsid w:val="00320B6B"/>
    <w:rsid w:val="00320BAB"/>
    <w:rsid w:val="003210A1"/>
    <w:rsid w:val="003210CB"/>
    <w:rsid w:val="00321133"/>
    <w:rsid w:val="003213A9"/>
    <w:rsid w:val="00321627"/>
    <w:rsid w:val="00321A0B"/>
    <w:rsid w:val="00321CE2"/>
    <w:rsid w:val="003220A7"/>
    <w:rsid w:val="00322107"/>
    <w:rsid w:val="003222C6"/>
    <w:rsid w:val="00322355"/>
    <w:rsid w:val="00322846"/>
    <w:rsid w:val="00322E26"/>
    <w:rsid w:val="00322EE8"/>
    <w:rsid w:val="00323D50"/>
    <w:rsid w:val="00324B7C"/>
    <w:rsid w:val="00325166"/>
    <w:rsid w:val="003251F5"/>
    <w:rsid w:val="003252C6"/>
    <w:rsid w:val="00325852"/>
    <w:rsid w:val="00325D72"/>
    <w:rsid w:val="00325DD3"/>
    <w:rsid w:val="00326BD4"/>
    <w:rsid w:val="00326BFC"/>
    <w:rsid w:val="00326DA7"/>
    <w:rsid w:val="003270E4"/>
    <w:rsid w:val="0032770A"/>
    <w:rsid w:val="003277D6"/>
    <w:rsid w:val="003278AB"/>
    <w:rsid w:val="00327CC2"/>
    <w:rsid w:val="00327F56"/>
    <w:rsid w:val="00330228"/>
    <w:rsid w:val="00330407"/>
    <w:rsid w:val="00330D46"/>
    <w:rsid w:val="00330DAA"/>
    <w:rsid w:val="00330F5C"/>
    <w:rsid w:val="00331250"/>
    <w:rsid w:val="00331289"/>
    <w:rsid w:val="0033183D"/>
    <w:rsid w:val="0033226E"/>
    <w:rsid w:val="0033232C"/>
    <w:rsid w:val="00332D82"/>
    <w:rsid w:val="00332DB3"/>
    <w:rsid w:val="00333578"/>
    <w:rsid w:val="0033368D"/>
    <w:rsid w:val="003338C2"/>
    <w:rsid w:val="00333EE0"/>
    <w:rsid w:val="0033458D"/>
    <w:rsid w:val="003347DA"/>
    <w:rsid w:val="003351A3"/>
    <w:rsid w:val="0033561B"/>
    <w:rsid w:val="0033565B"/>
    <w:rsid w:val="003360EF"/>
    <w:rsid w:val="003362F5"/>
    <w:rsid w:val="003366C9"/>
    <w:rsid w:val="00336C9F"/>
    <w:rsid w:val="00336CF7"/>
    <w:rsid w:val="00336EDC"/>
    <w:rsid w:val="00336FE8"/>
    <w:rsid w:val="00336FF8"/>
    <w:rsid w:val="003371B0"/>
    <w:rsid w:val="00337272"/>
    <w:rsid w:val="00337B83"/>
    <w:rsid w:val="00337F08"/>
    <w:rsid w:val="003400FE"/>
    <w:rsid w:val="0034078A"/>
    <w:rsid w:val="00340DF1"/>
    <w:rsid w:val="00340E23"/>
    <w:rsid w:val="00340F1E"/>
    <w:rsid w:val="00340FF5"/>
    <w:rsid w:val="0034114E"/>
    <w:rsid w:val="003416F9"/>
    <w:rsid w:val="00341941"/>
    <w:rsid w:val="003419D2"/>
    <w:rsid w:val="0034218C"/>
    <w:rsid w:val="0034266C"/>
    <w:rsid w:val="00342EF4"/>
    <w:rsid w:val="00342F20"/>
    <w:rsid w:val="0034311E"/>
    <w:rsid w:val="0034373D"/>
    <w:rsid w:val="003438D4"/>
    <w:rsid w:val="00343C4A"/>
    <w:rsid w:val="00344057"/>
    <w:rsid w:val="00344883"/>
    <w:rsid w:val="003448B4"/>
    <w:rsid w:val="0034528C"/>
    <w:rsid w:val="00345333"/>
    <w:rsid w:val="003458E3"/>
    <w:rsid w:val="00345DA3"/>
    <w:rsid w:val="00346031"/>
    <w:rsid w:val="00346396"/>
    <w:rsid w:val="00346416"/>
    <w:rsid w:val="00346533"/>
    <w:rsid w:val="00346828"/>
    <w:rsid w:val="00346ACD"/>
    <w:rsid w:val="0034700C"/>
    <w:rsid w:val="00347481"/>
    <w:rsid w:val="003475B2"/>
    <w:rsid w:val="003475CE"/>
    <w:rsid w:val="00347A61"/>
    <w:rsid w:val="00347DF0"/>
    <w:rsid w:val="00347E06"/>
    <w:rsid w:val="0035034C"/>
    <w:rsid w:val="00350EC4"/>
    <w:rsid w:val="003515A5"/>
    <w:rsid w:val="00351641"/>
    <w:rsid w:val="00351704"/>
    <w:rsid w:val="00351789"/>
    <w:rsid w:val="003517F9"/>
    <w:rsid w:val="00351BA9"/>
    <w:rsid w:val="00351F97"/>
    <w:rsid w:val="00352743"/>
    <w:rsid w:val="00352844"/>
    <w:rsid w:val="00352977"/>
    <w:rsid w:val="00352F1E"/>
    <w:rsid w:val="003538D3"/>
    <w:rsid w:val="00353CA0"/>
    <w:rsid w:val="00353CA7"/>
    <w:rsid w:val="00354400"/>
    <w:rsid w:val="003547A4"/>
    <w:rsid w:val="00354F64"/>
    <w:rsid w:val="0035540E"/>
    <w:rsid w:val="00355749"/>
    <w:rsid w:val="00355A68"/>
    <w:rsid w:val="00355D41"/>
    <w:rsid w:val="00355F63"/>
    <w:rsid w:val="0035610D"/>
    <w:rsid w:val="0035620E"/>
    <w:rsid w:val="00356618"/>
    <w:rsid w:val="00356659"/>
    <w:rsid w:val="00356A90"/>
    <w:rsid w:val="00356FE8"/>
    <w:rsid w:val="00357080"/>
    <w:rsid w:val="003575BE"/>
    <w:rsid w:val="00357F3D"/>
    <w:rsid w:val="003602CF"/>
    <w:rsid w:val="00360345"/>
    <w:rsid w:val="00360387"/>
    <w:rsid w:val="00360605"/>
    <w:rsid w:val="003607C4"/>
    <w:rsid w:val="0036080F"/>
    <w:rsid w:val="00360B1C"/>
    <w:rsid w:val="0036112F"/>
    <w:rsid w:val="0036126D"/>
    <w:rsid w:val="003614F1"/>
    <w:rsid w:val="00361642"/>
    <w:rsid w:val="0036175D"/>
    <w:rsid w:val="003617F6"/>
    <w:rsid w:val="003619CB"/>
    <w:rsid w:val="00361A05"/>
    <w:rsid w:val="00361BDC"/>
    <w:rsid w:val="003624C4"/>
    <w:rsid w:val="00362562"/>
    <w:rsid w:val="003625A2"/>
    <w:rsid w:val="00362676"/>
    <w:rsid w:val="00362BAC"/>
    <w:rsid w:val="00362C18"/>
    <w:rsid w:val="003630E7"/>
    <w:rsid w:val="00363273"/>
    <w:rsid w:val="003636FD"/>
    <w:rsid w:val="00363B00"/>
    <w:rsid w:val="00363B21"/>
    <w:rsid w:val="00363E91"/>
    <w:rsid w:val="00364AB1"/>
    <w:rsid w:val="00364B68"/>
    <w:rsid w:val="00365120"/>
    <w:rsid w:val="00365246"/>
    <w:rsid w:val="003654AC"/>
    <w:rsid w:val="00365537"/>
    <w:rsid w:val="00366BE9"/>
    <w:rsid w:val="00366ED0"/>
    <w:rsid w:val="0036703D"/>
    <w:rsid w:val="003671F0"/>
    <w:rsid w:val="00367C3F"/>
    <w:rsid w:val="003700CC"/>
    <w:rsid w:val="00370A06"/>
    <w:rsid w:val="00370BDF"/>
    <w:rsid w:val="00370D11"/>
    <w:rsid w:val="00371041"/>
    <w:rsid w:val="003710CF"/>
    <w:rsid w:val="0037139D"/>
    <w:rsid w:val="003714BC"/>
    <w:rsid w:val="00371A76"/>
    <w:rsid w:val="00371D83"/>
    <w:rsid w:val="00371DB7"/>
    <w:rsid w:val="0037204B"/>
    <w:rsid w:val="00372561"/>
    <w:rsid w:val="003728C6"/>
    <w:rsid w:val="003728DF"/>
    <w:rsid w:val="00372D75"/>
    <w:rsid w:val="003731D8"/>
    <w:rsid w:val="00373208"/>
    <w:rsid w:val="0037358A"/>
    <w:rsid w:val="00373C36"/>
    <w:rsid w:val="00373CE7"/>
    <w:rsid w:val="00373ED1"/>
    <w:rsid w:val="003742D9"/>
    <w:rsid w:val="00374BA9"/>
    <w:rsid w:val="00375061"/>
    <w:rsid w:val="003750F6"/>
    <w:rsid w:val="00375146"/>
    <w:rsid w:val="00375978"/>
    <w:rsid w:val="00375985"/>
    <w:rsid w:val="003760FC"/>
    <w:rsid w:val="00376874"/>
    <w:rsid w:val="00376F91"/>
    <w:rsid w:val="00377207"/>
    <w:rsid w:val="0037736A"/>
    <w:rsid w:val="003775FD"/>
    <w:rsid w:val="003776A8"/>
    <w:rsid w:val="00377EE6"/>
    <w:rsid w:val="00377EF7"/>
    <w:rsid w:val="00377EFC"/>
    <w:rsid w:val="00377F4B"/>
    <w:rsid w:val="003805D1"/>
    <w:rsid w:val="00381169"/>
    <w:rsid w:val="00381560"/>
    <w:rsid w:val="0038181C"/>
    <w:rsid w:val="003818FE"/>
    <w:rsid w:val="00381909"/>
    <w:rsid w:val="0038204C"/>
    <w:rsid w:val="00382FDB"/>
    <w:rsid w:val="003830AA"/>
    <w:rsid w:val="0038365C"/>
    <w:rsid w:val="0038369B"/>
    <w:rsid w:val="00383B78"/>
    <w:rsid w:val="00383C9E"/>
    <w:rsid w:val="00383EC1"/>
    <w:rsid w:val="00384161"/>
    <w:rsid w:val="00384431"/>
    <w:rsid w:val="003847C7"/>
    <w:rsid w:val="00385A9D"/>
    <w:rsid w:val="00385AB8"/>
    <w:rsid w:val="00385B46"/>
    <w:rsid w:val="00385C5D"/>
    <w:rsid w:val="00385FE6"/>
    <w:rsid w:val="00386354"/>
    <w:rsid w:val="0038659C"/>
    <w:rsid w:val="0038677C"/>
    <w:rsid w:val="003868B9"/>
    <w:rsid w:val="0038693E"/>
    <w:rsid w:val="00386B00"/>
    <w:rsid w:val="00387121"/>
    <w:rsid w:val="003871D5"/>
    <w:rsid w:val="003875E7"/>
    <w:rsid w:val="00387917"/>
    <w:rsid w:val="003902B1"/>
    <w:rsid w:val="00390933"/>
    <w:rsid w:val="00390D03"/>
    <w:rsid w:val="00391024"/>
    <w:rsid w:val="0039102E"/>
    <w:rsid w:val="00391265"/>
    <w:rsid w:val="0039179C"/>
    <w:rsid w:val="00391D6D"/>
    <w:rsid w:val="00392006"/>
    <w:rsid w:val="00392014"/>
    <w:rsid w:val="003922E6"/>
    <w:rsid w:val="00392431"/>
    <w:rsid w:val="00392837"/>
    <w:rsid w:val="00393440"/>
    <w:rsid w:val="00393622"/>
    <w:rsid w:val="003939E2"/>
    <w:rsid w:val="00393C02"/>
    <w:rsid w:val="00394077"/>
    <w:rsid w:val="0039434B"/>
    <w:rsid w:val="00394647"/>
    <w:rsid w:val="0039474D"/>
    <w:rsid w:val="00394779"/>
    <w:rsid w:val="003949F7"/>
    <w:rsid w:val="003956D2"/>
    <w:rsid w:val="003957E2"/>
    <w:rsid w:val="00395815"/>
    <w:rsid w:val="00395B6B"/>
    <w:rsid w:val="00395F58"/>
    <w:rsid w:val="0039621B"/>
    <w:rsid w:val="003962EC"/>
    <w:rsid w:val="00396896"/>
    <w:rsid w:val="00396B24"/>
    <w:rsid w:val="00396FD0"/>
    <w:rsid w:val="003970D3"/>
    <w:rsid w:val="0039752C"/>
    <w:rsid w:val="0039775F"/>
    <w:rsid w:val="00397A7B"/>
    <w:rsid w:val="00397B11"/>
    <w:rsid w:val="00397DC2"/>
    <w:rsid w:val="00397F07"/>
    <w:rsid w:val="003A01B6"/>
    <w:rsid w:val="003A053F"/>
    <w:rsid w:val="003A05E5"/>
    <w:rsid w:val="003A0667"/>
    <w:rsid w:val="003A084A"/>
    <w:rsid w:val="003A09AF"/>
    <w:rsid w:val="003A0ADA"/>
    <w:rsid w:val="003A0D6C"/>
    <w:rsid w:val="003A105A"/>
    <w:rsid w:val="003A1666"/>
    <w:rsid w:val="003A1A7A"/>
    <w:rsid w:val="003A2392"/>
    <w:rsid w:val="003A27DF"/>
    <w:rsid w:val="003A27F6"/>
    <w:rsid w:val="003A2831"/>
    <w:rsid w:val="003A2CC8"/>
    <w:rsid w:val="003A300B"/>
    <w:rsid w:val="003A31E8"/>
    <w:rsid w:val="003A32A0"/>
    <w:rsid w:val="003A32D3"/>
    <w:rsid w:val="003A345E"/>
    <w:rsid w:val="003A36E0"/>
    <w:rsid w:val="003A3A95"/>
    <w:rsid w:val="003A3AE4"/>
    <w:rsid w:val="003A3CB6"/>
    <w:rsid w:val="003A3ED1"/>
    <w:rsid w:val="003A3F03"/>
    <w:rsid w:val="003A40E0"/>
    <w:rsid w:val="003A44DB"/>
    <w:rsid w:val="003A47CD"/>
    <w:rsid w:val="003A4C14"/>
    <w:rsid w:val="003A4C5F"/>
    <w:rsid w:val="003A543A"/>
    <w:rsid w:val="003A547E"/>
    <w:rsid w:val="003A5F2F"/>
    <w:rsid w:val="003A64FC"/>
    <w:rsid w:val="003A6693"/>
    <w:rsid w:val="003A69DB"/>
    <w:rsid w:val="003A6A18"/>
    <w:rsid w:val="003A6E76"/>
    <w:rsid w:val="003A6EB2"/>
    <w:rsid w:val="003A7403"/>
    <w:rsid w:val="003A741D"/>
    <w:rsid w:val="003A7641"/>
    <w:rsid w:val="003A7672"/>
    <w:rsid w:val="003A76D0"/>
    <w:rsid w:val="003A771D"/>
    <w:rsid w:val="003A77CD"/>
    <w:rsid w:val="003A798C"/>
    <w:rsid w:val="003A7B93"/>
    <w:rsid w:val="003A7C54"/>
    <w:rsid w:val="003A7FB3"/>
    <w:rsid w:val="003B0D60"/>
    <w:rsid w:val="003B0ED3"/>
    <w:rsid w:val="003B1CE2"/>
    <w:rsid w:val="003B2440"/>
    <w:rsid w:val="003B2979"/>
    <w:rsid w:val="003B3569"/>
    <w:rsid w:val="003B3627"/>
    <w:rsid w:val="003B3971"/>
    <w:rsid w:val="003B41D0"/>
    <w:rsid w:val="003B493C"/>
    <w:rsid w:val="003B4B39"/>
    <w:rsid w:val="003B4B6E"/>
    <w:rsid w:val="003B4CEE"/>
    <w:rsid w:val="003B511C"/>
    <w:rsid w:val="003B5272"/>
    <w:rsid w:val="003B52BF"/>
    <w:rsid w:val="003B54C5"/>
    <w:rsid w:val="003B558D"/>
    <w:rsid w:val="003B55D1"/>
    <w:rsid w:val="003B5AD2"/>
    <w:rsid w:val="003B5B61"/>
    <w:rsid w:val="003B5DE6"/>
    <w:rsid w:val="003B5E5E"/>
    <w:rsid w:val="003B6051"/>
    <w:rsid w:val="003B698F"/>
    <w:rsid w:val="003B6BE6"/>
    <w:rsid w:val="003B6E44"/>
    <w:rsid w:val="003B6E59"/>
    <w:rsid w:val="003B70B5"/>
    <w:rsid w:val="003B7939"/>
    <w:rsid w:val="003B79FE"/>
    <w:rsid w:val="003B7C1A"/>
    <w:rsid w:val="003C008F"/>
    <w:rsid w:val="003C08EE"/>
    <w:rsid w:val="003C0A2E"/>
    <w:rsid w:val="003C0F05"/>
    <w:rsid w:val="003C0F6C"/>
    <w:rsid w:val="003C10A3"/>
    <w:rsid w:val="003C10D4"/>
    <w:rsid w:val="003C1654"/>
    <w:rsid w:val="003C1E55"/>
    <w:rsid w:val="003C21B5"/>
    <w:rsid w:val="003C247E"/>
    <w:rsid w:val="003C2613"/>
    <w:rsid w:val="003C26FE"/>
    <w:rsid w:val="003C340A"/>
    <w:rsid w:val="003C3689"/>
    <w:rsid w:val="003C37BB"/>
    <w:rsid w:val="003C3DC9"/>
    <w:rsid w:val="003C41A6"/>
    <w:rsid w:val="003C4DB6"/>
    <w:rsid w:val="003C5438"/>
    <w:rsid w:val="003C5542"/>
    <w:rsid w:val="003C5675"/>
    <w:rsid w:val="003C5ADE"/>
    <w:rsid w:val="003C5C2B"/>
    <w:rsid w:val="003C6D5B"/>
    <w:rsid w:val="003C6E44"/>
    <w:rsid w:val="003C7331"/>
    <w:rsid w:val="003C74F8"/>
    <w:rsid w:val="003C7BFB"/>
    <w:rsid w:val="003C7C15"/>
    <w:rsid w:val="003C7CAB"/>
    <w:rsid w:val="003C7D19"/>
    <w:rsid w:val="003C7D2F"/>
    <w:rsid w:val="003D0161"/>
    <w:rsid w:val="003D0436"/>
    <w:rsid w:val="003D0823"/>
    <w:rsid w:val="003D0999"/>
    <w:rsid w:val="003D0BAB"/>
    <w:rsid w:val="003D0C5A"/>
    <w:rsid w:val="003D0C90"/>
    <w:rsid w:val="003D0EFF"/>
    <w:rsid w:val="003D106E"/>
    <w:rsid w:val="003D1324"/>
    <w:rsid w:val="003D1828"/>
    <w:rsid w:val="003D1A4C"/>
    <w:rsid w:val="003D1DE4"/>
    <w:rsid w:val="003D1E9A"/>
    <w:rsid w:val="003D1EAD"/>
    <w:rsid w:val="003D2422"/>
    <w:rsid w:val="003D25DB"/>
    <w:rsid w:val="003D26CB"/>
    <w:rsid w:val="003D28E3"/>
    <w:rsid w:val="003D2A48"/>
    <w:rsid w:val="003D314B"/>
    <w:rsid w:val="003D317F"/>
    <w:rsid w:val="003D3441"/>
    <w:rsid w:val="003D3808"/>
    <w:rsid w:val="003D39A1"/>
    <w:rsid w:val="003D3C24"/>
    <w:rsid w:val="003D3F12"/>
    <w:rsid w:val="003D3F5C"/>
    <w:rsid w:val="003D3FBF"/>
    <w:rsid w:val="003D424A"/>
    <w:rsid w:val="003D4A30"/>
    <w:rsid w:val="003D4CAC"/>
    <w:rsid w:val="003D4DDD"/>
    <w:rsid w:val="003D5111"/>
    <w:rsid w:val="003D5151"/>
    <w:rsid w:val="003D5515"/>
    <w:rsid w:val="003D59FB"/>
    <w:rsid w:val="003D639F"/>
    <w:rsid w:val="003D68A3"/>
    <w:rsid w:val="003D6A3C"/>
    <w:rsid w:val="003D6BA6"/>
    <w:rsid w:val="003D6DED"/>
    <w:rsid w:val="003D7452"/>
    <w:rsid w:val="003D7546"/>
    <w:rsid w:val="003D7777"/>
    <w:rsid w:val="003D78B4"/>
    <w:rsid w:val="003D79BB"/>
    <w:rsid w:val="003D7A3C"/>
    <w:rsid w:val="003D7B3E"/>
    <w:rsid w:val="003D7C98"/>
    <w:rsid w:val="003D7CB8"/>
    <w:rsid w:val="003D7CE8"/>
    <w:rsid w:val="003D7D9D"/>
    <w:rsid w:val="003E0175"/>
    <w:rsid w:val="003E0501"/>
    <w:rsid w:val="003E0543"/>
    <w:rsid w:val="003E05A1"/>
    <w:rsid w:val="003E0B8A"/>
    <w:rsid w:val="003E0E3C"/>
    <w:rsid w:val="003E113C"/>
    <w:rsid w:val="003E140B"/>
    <w:rsid w:val="003E15DB"/>
    <w:rsid w:val="003E18CB"/>
    <w:rsid w:val="003E1B59"/>
    <w:rsid w:val="003E21E6"/>
    <w:rsid w:val="003E27DC"/>
    <w:rsid w:val="003E35ED"/>
    <w:rsid w:val="003E39FA"/>
    <w:rsid w:val="003E3EBC"/>
    <w:rsid w:val="003E3FBC"/>
    <w:rsid w:val="003E442E"/>
    <w:rsid w:val="003E464E"/>
    <w:rsid w:val="003E47D3"/>
    <w:rsid w:val="003E47E5"/>
    <w:rsid w:val="003E4AF2"/>
    <w:rsid w:val="003E52B3"/>
    <w:rsid w:val="003E5603"/>
    <w:rsid w:val="003E561A"/>
    <w:rsid w:val="003E56B0"/>
    <w:rsid w:val="003E5ACB"/>
    <w:rsid w:val="003E6DC5"/>
    <w:rsid w:val="003E6F2A"/>
    <w:rsid w:val="003E7357"/>
    <w:rsid w:val="003E749E"/>
    <w:rsid w:val="003E7B10"/>
    <w:rsid w:val="003F02E4"/>
    <w:rsid w:val="003F07C6"/>
    <w:rsid w:val="003F093B"/>
    <w:rsid w:val="003F0962"/>
    <w:rsid w:val="003F0B91"/>
    <w:rsid w:val="003F16B6"/>
    <w:rsid w:val="003F1781"/>
    <w:rsid w:val="003F19BA"/>
    <w:rsid w:val="003F25E0"/>
    <w:rsid w:val="003F29EA"/>
    <w:rsid w:val="003F320A"/>
    <w:rsid w:val="003F321E"/>
    <w:rsid w:val="003F3387"/>
    <w:rsid w:val="003F342E"/>
    <w:rsid w:val="003F3D44"/>
    <w:rsid w:val="003F3EE9"/>
    <w:rsid w:val="003F4156"/>
    <w:rsid w:val="003F4481"/>
    <w:rsid w:val="003F4550"/>
    <w:rsid w:val="003F46A0"/>
    <w:rsid w:val="003F483F"/>
    <w:rsid w:val="003F5ADF"/>
    <w:rsid w:val="003F6089"/>
    <w:rsid w:val="003F6097"/>
    <w:rsid w:val="003F643D"/>
    <w:rsid w:val="003F6766"/>
    <w:rsid w:val="003F6AED"/>
    <w:rsid w:val="003F70FA"/>
    <w:rsid w:val="003F7D91"/>
    <w:rsid w:val="0040017D"/>
    <w:rsid w:val="0040061E"/>
    <w:rsid w:val="00400B29"/>
    <w:rsid w:val="004010DC"/>
    <w:rsid w:val="0040183E"/>
    <w:rsid w:val="004018E5"/>
    <w:rsid w:val="00402130"/>
    <w:rsid w:val="00402812"/>
    <w:rsid w:val="00402CE7"/>
    <w:rsid w:val="00403979"/>
    <w:rsid w:val="00403CD7"/>
    <w:rsid w:val="0040416B"/>
    <w:rsid w:val="00404252"/>
    <w:rsid w:val="004044E4"/>
    <w:rsid w:val="0040504B"/>
    <w:rsid w:val="00405484"/>
    <w:rsid w:val="00405499"/>
    <w:rsid w:val="004059F4"/>
    <w:rsid w:val="00405B91"/>
    <w:rsid w:val="004061BA"/>
    <w:rsid w:val="004067CD"/>
    <w:rsid w:val="00407227"/>
    <w:rsid w:val="004073D1"/>
    <w:rsid w:val="00407740"/>
    <w:rsid w:val="00407FE5"/>
    <w:rsid w:val="004101B0"/>
    <w:rsid w:val="00410326"/>
    <w:rsid w:val="00410708"/>
    <w:rsid w:val="0041072E"/>
    <w:rsid w:val="004108D4"/>
    <w:rsid w:val="004108E5"/>
    <w:rsid w:val="00410EC7"/>
    <w:rsid w:val="00411329"/>
    <w:rsid w:val="00411B39"/>
    <w:rsid w:val="00411D0B"/>
    <w:rsid w:val="00411F53"/>
    <w:rsid w:val="004120CA"/>
    <w:rsid w:val="004127A7"/>
    <w:rsid w:val="00412814"/>
    <w:rsid w:val="00412E7A"/>
    <w:rsid w:val="00412EF2"/>
    <w:rsid w:val="00412F06"/>
    <w:rsid w:val="00413830"/>
    <w:rsid w:val="00413A1E"/>
    <w:rsid w:val="00413FD9"/>
    <w:rsid w:val="00414392"/>
    <w:rsid w:val="00414476"/>
    <w:rsid w:val="00414C2E"/>
    <w:rsid w:val="00414D43"/>
    <w:rsid w:val="00414F46"/>
    <w:rsid w:val="0041517D"/>
    <w:rsid w:val="004151CF"/>
    <w:rsid w:val="00415935"/>
    <w:rsid w:val="00415D07"/>
    <w:rsid w:val="00415F73"/>
    <w:rsid w:val="0041609A"/>
    <w:rsid w:val="004160A6"/>
    <w:rsid w:val="0041621A"/>
    <w:rsid w:val="00416364"/>
    <w:rsid w:val="00416528"/>
    <w:rsid w:val="00416A91"/>
    <w:rsid w:val="00416BB4"/>
    <w:rsid w:val="00416E45"/>
    <w:rsid w:val="004175CF"/>
    <w:rsid w:val="004175FE"/>
    <w:rsid w:val="00417613"/>
    <w:rsid w:val="00417668"/>
    <w:rsid w:val="0042047F"/>
    <w:rsid w:val="0042068D"/>
    <w:rsid w:val="00420AA6"/>
    <w:rsid w:val="00420B9F"/>
    <w:rsid w:val="0042122E"/>
    <w:rsid w:val="004213A0"/>
    <w:rsid w:val="00421689"/>
    <w:rsid w:val="0042192C"/>
    <w:rsid w:val="004219DE"/>
    <w:rsid w:val="00421A35"/>
    <w:rsid w:val="004221BA"/>
    <w:rsid w:val="00422260"/>
    <w:rsid w:val="00422D9C"/>
    <w:rsid w:val="00422FA1"/>
    <w:rsid w:val="00423BD2"/>
    <w:rsid w:val="0042413F"/>
    <w:rsid w:val="00424670"/>
    <w:rsid w:val="004248C3"/>
    <w:rsid w:val="0042499D"/>
    <w:rsid w:val="00424B62"/>
    <w:rsid w:val="00424E50"/>
    <w:rsid w:val="00424FDE"/>
    <w:rsid w:val="00425135"/>
    <w:rsid w:val="00425457"/>
    <w:rsid w:val="0042597B"/>
    <w:rsid w:val="004259DC"/>
    <w:rsid w:val="00426695"/>
    <w:rsid w:val="00426C7E"/>
    <w:rsid w:val="004271DD"/>
    <w:rsid w:val="00427BC3"/>
    <w:rsid w:val="00427FE0"/>
    <w:rsid w:val="0043002F"/>
    <w:rsid w:val="004302FF"/>
    <w:rsid w:val="00430490"/>
    <w:rsid w:val="00431610"/>
    <w:rsid w:val="00431957"/>
    <w:rsid w:val="004319F8"/>
    <w:rsid w:val="00431BB2"/>
    <w:rsid w:val="00431E55"/>
    <w:rsid w:val="00432182"/>
    <w:rsid w:val="004321F6"/>
    <w:rsid w:val="0043272B"/>
    <w:rsid w:val="00432DC1"/>
    <w:rsid w:val="00432F98"/>
    <w:rsid w:val="00433019"/>
    <w:rsid w:val="00433044"/>
    <w:rsid w:val="00433322"/>
    <w:rsid w:val="00433376"/>
    <w:rsid w:val="0043396C"/>
    <w:rsid w:val="00434088"/>
    <w:rsid w:val="00434101"/>
    <w:rsid w:val="00434823"/>
    <w:rsid w:val="00434A13"/>
    <w:rsid w:val="00434B0D"/>
    <w:rsid w:val="00434B23"/>
    <w:rsid w:val="00434C37"/>
    <w:rsid w:val="00434F5C"/>
    <w:rsid w:val="0043552A"/>
    <w:rsid w:val="004358FA"/>
    <w:rsid w:val="00435913"/>
    <w:rsid w:val="00435A05"/>
    <w:rsid w:val="00435A7A"/>
    <w:rsid w:val="00435F32"/>
    <w:rsid w:val="004360DF"/>
    <w:rsid w:val="00436532"/>
    <w:rsid w:val="004366D4"/>
    <w:rsid w:val="00436BCC"/>
    <w:rsid w:val="00436E88"/>
    <w:rsid w:val="0043735A"/>
    <w:rsid w:val="004375B9"/>
    <w:rsid w:val="0043775E"/>
    <w:rsid w:val="00437A72"/>
    <w:rsid w:val="004400D3"/>
    <w:rsid w:val="00440357"/>
    <w:rsid w:val="00440596"/>
    <w:rsid w:val="004406B7"/>
    <w:rsid w:val="0044081D"/>
    <w:rsid w:val="00440843"/>
    <w:rsid w:val="00441019"/>
    <w:rsid w:val="004410E9"/>
    <w:rsid w:val="00441136"/>
    <w:rsid w:val="00441345"/>
    <w:rsid w:val="00441C6A"/>
    <w:rsid w:val="0044203D"/>
    <w:rsid w:val="004421E3"/>
    <w:rsid w:val="004422A8"/>
    <w:rsid w:val="00442394"/>
    <w:rsid w:val="004428D0"/>
    <w:rsid w:val="004428EB"/>
    <w:rsid w:val="0044334C"/>
    <w:rsid w:val="00443940"/>
    <w:rsid w:val="0044398A"/>
    <w:rsid w:val="00443BF8"/>
    <w:rsid w:val="00444134"/>
    <w:rsid w:val="00444185"/>
    <w:rsid w:val="004443A7"/>
    <w:rsid w:val="0044442C"/>
    <w:rsid w:val="00444689"/>
    <w:rsid w:val="00444730"/>
    <w:rsid w:val="00444A0E"/>
    <w:rsid w:val="004454DB"/>
    <w:rsid w:val="00445941"/>
    <w:rsid w:val="0044611C"/>
    <w:rsid w:val="004464EB"/>
    <w:rsid w:val="0044712A"/>
    <w:rsid w:val="004472F4"/>
    <w:rsid w:val="004474FE"/>
    <w:rsid w:val="00447747"/>
    <w:rsid w:val="00447887"/>
    <w:rsid w:val="00447D26"/>
    <w:rsid w:val="00447DFC"/>
    <w:rsid w:val="00447F01"/>
    <w:rsid w:val="004506D9"/>
    <w:rsid w:val="00451704"/>
    <w:rsid w:val="004519C4"/>
    <w:rsid w:val="00451C79"/>
    <w:rsid w:val="00451E74"/>
    <w:rsid w:val="00452073"/>
    <w:rsid w:val="00452153"/>
    <w:rsid w:val="004523E5"/>
    <w:rsid w:val="00452822"/>
    <w:rsid w:val="00452EC6"/>
    <w:rsid w:val="004530CD"/>
    <w:rsid w:val="004536D4"/>
    <w:rsid w:val="00453941"/>
    <w:rsid w:val="00453B51"/>
    <w:rsid w:val="00453DB8"/>
    <w:rsid w:val="004543FF"/>
    <w:rsid w:val="00454885"/>
    <w:rsid w:val="00454C86"/>
    <w:rsid w:val="00454E5B"/>
    <w:rsid w:val="00454F0E"/>
    <w:rsid w:val="00455902"/>
    <w:rsid w:val="00455A93"/>
    <w:rsid w:val="00455D45"/>
    <w:rsid w:val="004567E0"/>
    <w:rsid w:val="004568C5"/>
    <w:rsid w:val="004570F0"/>
    <w:rsid w:val="0045755E"/>
    <w:rsid w:val="004604C6"/>
    <w:rsid w:val="00460BDC"/>
    <w:rsid w:val="00460C1B"/>
    <w:rsid w:val="0046127E"/>
    <w:rsid w:val="004614B1"/>
    <w:rsid w:val="00461851"/>
    <w:rsid w:val="00461DB0"/>
    <w:rsid w:val="00461E5B"/>
    <w:rsid w:val="00462076"/>
    <w:rsid w:val="00462245"/>
    <w:rsid w:val="0046237E"/>
    <w:rsid w:val="00462E3C"/>
    <w:rsid w:val="004634FA"/>
    <w:rsid w:val="00463B4F"/>
    <w:rsid w:val="00464595"/>
    <w:rsid w:val="004647EF"/>
    <w:rsid w:val="004648C4"/>
    <w:rsid w:val="00464B88"/>
    <w:rsid w:val="00464BE9"/>
    <w:rsid w:val="00464C2B"/>
    <w:rsid w:val="004658B5"/>
    <w:rsid w:val="0046594F"/>
    <w:rsid w:val="004663CD"/>
    <w:rsid w:val="004671A6"/>
    <w:rsid w:val="004678B0"/>
    <w:rsid w:val="004679CF"/>
    <w:rsid w:val="00470787"/>
    <w:rsid w:val="004707FF"/>
    <w:rsid w:val="0047080F"/>
    <w:rsid w:val="00470AA0"/>
    <w:rsid w:val="00470FB8"/>
    <w:rsid w:val="00471A07"/>
    <w:rsid w:val="00471B33"/>
    <w:rsid w:val="00471EA5"/>
    <w:rsid w:val="00471FB5"/>
    <w:rsid w:val="00472221"/>
    <w:rsid w:val="004729EC"/>
    <w:rsid w:val="00472A79"/>
    <w:rsid w:val="00472CDB"/>
    <w:rsid w:val="00473169"/>
    <w:rsid w:val="004735A5"/>
    <w:rsid w:val="00473EB9"/>
    <w:rsid w:val="00473F19"/>
    <w:rsid w:val="00474232"/>
    <w:rsid w:val="00474D27"/>
    <w:rsid w:val="004750FA"/>
    <w:rsid w:val="00475170"/>
    <w:rsid w:val="004754BC"/>
    <w:rsid w:val="00475E22"/>
    <w:rsid w:val="00476699"/>
    <w:rsid w:val="004767AD"/>
    <w:rsid w:val="004768F9"/>
    <w:rsid w:val="0047754B"/>
    <w:rsid w:val="0047788F"/>
    <w:rsid w:val="00477CE0"/>
    <w:rsid w:val="00477EDE"/>
    <w:rsid w:val="00477F7B"/>
    <w:rsid w:val="00480022"/>
    <w:rsid w:val="004807E4"/>
    <w:rsid w:val="0048088E"/>
    <w:rsid w:val="00480A75"/>
    <w:rsid w:val="00480BE4"/>
    <w:rsid w:val="00480DEE"/>
    <w:rsid w:val="00480F2B"/>
    <w:rsid w:val="004814E1"/>
    <w:rsid w:val="00481644"/>
    <w:rsid w:val="00481988"/>
    <w:rsid w:val="00481999"/>
    <w:rsid w:val="004819F7"/>
    <w:rsid w:val="00481D65"/>
    <w:rsid w:val="004822B7"/>
    <w:rsid w:val="00482373"/>
    <w:rsid w:val="00482700"/>
    <w:rsid w:val="00482720"/>
    <w:rsid w:val="00482A95"/>
    <w:rsid w:val="00482B97"/>
    <w:rsid w:val="00482E2C"/>
    <w:rsid w:val="00483500"/>
    <w:rsid w:val="004835E7"/>
    <w:rsid w:val="00483721"/>
    <w:rsid w:val="004837ED"/>
    <w:rsid w:val="00484206"/>
    <w:rsid w:val="00484D15"/>
    <w:rsid w:val="00484F0E"/>
    <w:rsid w:val="00485332"/>
    <w:rsid w:val="004853E1"/>
    <w:rsid w:val="00485572"/>
    <w:rsid w:val="004859E1"/>
    <w:rsid w:val="00485A2C"/>
    <w:rsid w:val="0048604E"/>
    <w:rsid w:val="004861C1"/>
    <w:rsid w:val="00486591"/>
    <w:rsid w:val="004867E2"/>
    <w:rsid w:val="004868E8"/>
    <w:rsid w:val="00486981"/>
    <w:rsid w:val="00486D18"/>
    <w:rsid w:val="004870AC"/>
    <w:rsid w:val="004877D9"/>
    <w:rsid w:val="00487ABA"/>
    <w:rsid w:val="004903F8"/>
    <w:rsid w:val="00490B17"/>
    <w:rsid w:val="00491ADD"/>
    <w:rsid w:val="00491B3A"/>
    <w:rsid w:val="00491E14"/>
    <w:rsid w:val="0049243A"/>
    <w:rsid w:val="00492704"/>
    <w:rsid w:val="00492CFD"/>
    <w:rsid w:val="00492D1E"/>
    <w:rsid w:val="00492DE1"/>
    <w:rsid w:val="0049382B"/>
    <w:rsid w:val="0049386D"/>
    <w:rsid w:val="00494207"/>
    <w:rsid w:val="0049441D"/>
    <w:rsid w:val="004948F6"/>
    <w:rsid w:val="00494DD5"/>
    <w:rsid w:val="00494DEE"/>
    <w:rsid w:val="00494F17"/>
    <w:rsid w:val="00495443"/>
    <w:rsid w:val="0049561F"/>
    <w:rsid w:val="00495649"/>
    <w:rsid w:val="004957EB"/>
    <w:rsid w:val="00495A7B"/>
    <w:rsid w:val="00495C2E"/>
    <w:rsid w:val="00496281"/>
    <w:rsid w:val="004962D2"/>
    <w:rsid w:val="004965BF"/>
    <w:rsid w:val="00496654"/>
    <w:rsid w:val="00496893"/>
    <w:rsid w:val="00496FFC"/>
    <w:rsid w:val="004970B2"/>
    <w:rsid w:val="00497FD2"/>
    <w:rsid w:val="004A037C"/>
    <w:rsid w:val="004A0AC8"/>
    <w:rsid w:val="004A0C66"/>
    <w:rsid w:val="004A0DA1"/>
    <w:rsid w:val="004A0E03"/>
    <w:rsid w:val="004A1177"/>
    <w:rsid w:val="004A1198"/>
    <w:rsid w:val="004A13D6"/>
    <w:rsid w:val="004A16FC"/>
    <w:rsid w:val="004A18FD"/>
    <w:rsid w:val="004A1961"/>
    <w:rsid w:val="004A215E"/>
    <w:rsid w:val="004A27F3"/>
    <w:rsid w:val="004A2922"/>
    <w:rsid w:val="004A2987"/>
    <w:rsid w:val="004A2BE2"/>
    <w:rsid w:val="004A2C0D"/>
    <w:rsid w:val="004A3620"/>
    <w:rsid w:val="004A3723"/>
    <w:rsid w:val="004A38F7"/>
    <w:rsid w:val="004A3C6D"/>
    <w:rsid w:val="004A4208"/>
    <w:rsid w:val="004A4400"/>
    <w:rsid w:val="004A4508"/>
    <w:rsid w:val="004A48F7"/>
    <w:rsid w:val="004A49C6"/>
    <w:rsid w:val="004A4F05"/>
    <w:rsid w:val="004A5156"/>
    <w:rsid w:val="004A52E9"/>
    <w:rsid w:val="004A53B9"/>
    <w:rsid w:val="004A5687"/>
    <w:rsid w:val="004A59E0"/>
    <w:rsid w:val="004A5DEC"/>
    <w:rsid w:val="004A5F13"/>
    <w:rsid w:val="004A5F83"/>
    <w:rsid w:val="004A6040"/>
    <w:rsid w:val="004A6529"/>
    <w:rsid w:val="004A6597"/>
    <w:rsid w:val="004A6BD1"/>
    <w:rsid w:val="004A6C16"/>
    <w:rsid w:val="004A6CA8"/>
    <w:rsid w:val="004A7848"/>
    <w:rsid w:val="004A793B"/>
    <w:rsid w:val="004A7B17"/>
    <w:rsid w:val="004A7C8C"/>
    <w:rsid w:val="004B07B0"/>
    <w:rsid w:val="004B0B01"/>
    <w:rsid w:val="004B0C18"/>
    <w:rsid w:val="004B1CB4"/>
    <w:rsid w:val="004B2166"/>
    <w:rsid w:val="004B2A8A"/>
    <w:rsid w:val="004B2C71"/>
    <w:rsid w:val="004B2F18"/>
    <w:rsid w:val="004B3161"/>
    <w:rsid w:val="004B3521"/>
    <w:rsid w:val="004B37B6"/>
    <w:rsid w:val="004B3DDB"/>
    <w:rsid w:val="004B4066"/>
    <w:rsid w:val="004B4299"/>
    <w:rsid w:val="004B44FD"/>
    <w:rsid w:val="004B482A"/>
    <w:rsid w:val="004B4C0A"/>
    <w:rsid w:val="004B54D4"/>
    <w:rsid w:val="004B57E1"/>
    <w:rsid w:val="004B5869"/>
    <w:rsid w:val="004B5CC5"/>
    <w:rsid w:val="004B5CFC"/>
    <w:rsid w:val="004B5EB1"/>
    <w:rsid w:val="004B5F3D"/>
    <w:rsid w:val="004B66B7"/>
    <w:rsid w:val="004B6AA6"/>
    <w:rsid w:val="004B6C12"/>
    <w:rsid w:val="004B6F79"/>
    <w:rsid w:val="004B6F82"/>
    <w:rsid w:val="004B72D1"/>
    <w:rsid w:val="004B774D"/>
    <w:rsid w:val="004C05DF"/>
    <w:rsid w:val="004C065A"/>
    <w:rsid w:val="004C06C9"/>
    <w:rsid w:val="004C09EB"/>
    <w:rsid w:val="004C0F09"/>
    <w:rsid w:val="004C0FD6"/>
    <w:rsid w:val="004C1133"/>
    <w:rsid w:val="004C1671"/>
    <w:rsid w:val="004C1B26"/>
    <w:rsid w:val="004C22A2"/>
    <w:rsid w:val="004C2AC2"/>
    <w:rsid w:val="004C3082"/>
    <w:rsid w:val="004C3169"/>
    <w:rsid w:val="004C326C"/>
    <w:rsid w:val="004C32C7"/>
    <w:rsid w:val="004C333E"/>
    <w:rsid w:val="004C4061"/>
    <w:rsid w:val="004C4535"/>
    <w:rsid w:val="004C4AED"/>
    <w:rsid w:val="004C4B4F"/>
    <w:rsid w:val="004C4D4B"/>
    <w:rsid w:val="004C4DFD"/>
    <w:rsid w:val="004C617E"/>
    <w:rsid w:val="004C6301"/>
    <w:rsid w:val="004C65C0"/>
    <w:rsid w:val="004C66C2"/>
    <w:rsid w:val="004C67EC"/>
    <w:rsid w:val="004C685B"/>
    <w:rsid w:val="004C6EAF"/>
    <w:rsid w:val="004C76BD"/>
    <w:rsid w:val="004C7717"/>
    <w:rsid w:val="004C7E05"/>
    <w:rsid w:val="004D05C3"/>
    <w:rsid w:val="004D0909"/>
    <w:rsid w:val="004D0EBC"/>
    <w:rsid w:val="004D116B"/>
    <w:rsid w:val="004D1AD7"/>
    <w:rsid w:val="004D1AFF"/>
    <w:rsid w:val="004D1F5D"/>
    <w:rsid w:val="004D21C8"/>
    <w:rsid w:val="004D21C9"/>
    <w:rsid w:val="004D2C2D"/>
    <w:rsid w:val="004D2FBA"/>
    <w:rsid w:val="004D360E"/>
    <w:rsid w:val="004D380E"/>
    <w:rsid w:val="004D382D"/>
    <w:rsid w:val="004D3AC8"/>
    <w:rsid w:val="004D47EF"/>
    <w:rsid w:val="004D499C"/>
    <w:rsid w:val="004D550C"/>
    <w:rsid w:val="004D5DE4"/>
    <w:rsid w:val="004D6146"/>
    <w:rsid w:val="004D626F"/>
    <w:rsid w:val="004D6602"/>
    <w:rsid w:val="004D69B5"/>
    <w:rsid w:val="004D6C01"/>
    <w:rsid w:val="004D7227"/>
    <w:rsid w:val="004D7963"/>
    <w:rsid w:val="004D79CD"/>
    <w:rsid w:val="004D7AF2"/>
    <w:rsid w:val="004D7B5E"/>
    <w:rsid w:val="004D7E27"/>
    <w:rsid w:val="004E01A3"/>
    <w:rsid w:val="004E0606"/>
    <w:rsid w:val="004E0E7F"/>
    <w:rsid w:val="004E0EB8"/>
    <w:rsid w:val="004E114A"/>
    <w:rsid w:val="004E1653"/>
    <w:rsid w:val="004E17A5"/>
    <w:rsid w:val="004E1819"/>
    <w:rsid w:val="004E18E9"/>
    <w:rsid w:val="004E1A87"/>
    <w:rsid w:val="004E1D1A"/>
    <w:rsid w:val="004E25DA"/>
    <w:rsid w:val="004E2A21"/>
    <w:rsid w:val="004E2AD2"/>
    <w:rsid w:val="004E2ADC"/>
    <w:rsid w:val="004E2D86"/>
    <w:rsid w:val="004E37C5"/>
    <w:rsid w:val="004E3C0D"/>
    <w:rsid w:val="004E3F4B"/>
    <w:rsid w:val="004E4208"/>
    <w:rsid w:val="004E43B2"/>
    <w:rsid w:val="004E49E3"/>
    <w:rsid w:val="004E4A59"/>
    <w:rsid w:val="004E5046"/>
    <w:rsid w:val="004E61BC"/>
    <w:rsid w:val="004E649C"/>
    <w:rsid w:val="004E72E8"/>
    <w:rsid w:val="004E7C6A"/>
    <w:rsid w:val="004F04C1"/>
    <w:rsid w:val="004F067A"/>
    <w:rsid w:val="004F0B27"/>
    <w:rsid w:val="004F0B70"/>
    <w:rsid w:val="004F0EF2"/>
    <w:rsid w:val="004F0F48"/>
    <w:rsid w:val="004F1720"/>
    <w:rsid w:val="004F1D02"/>
    <w:rsid w:val="004F1D73"/>
    <w:rsid w:val="004F1DA1"/>
    <w:rsid w:val="004F20E4"/>
    <w:rsid w:val="004F23F8"/>
    <w:rsid w:val="004F2679"/>
    <w:rsid w:val="004F2BF4"/>
    <w:rsid w:val="004F2F21"/>
    <w:rsid w:val="004F3C12"/>
    <w:rsid w:val="004F3DE5"/>
    <w:rsid w:val="004F3E6A"/>
    <w:rsid w:val="004F4603"/>
    <w:rsid w:val="004F47D1"/>
    <w:rsid w:val="004F4850"/>
    <w:rsid w:val="004F487E"/>
    <w:rsid w:val="004F4910"/>
    <w:rsid w:val="004F4D63"/>
    <w:rsid w:val="004F4F6C"/>
    <w:rsid w:val="004F50CA"/>
    <w:rsid w:val="004F51C4"/>
    <w:rsid w:val="004F6740"/>
    <w:rsid w:val="004F67C8"/>
    <w:rsid w:val="004F6913"/>
    <w:rsid w:val="004F697B"/>
    <w:rsid w:val="004F6A1A"/>
    <w:rsid w:val="004F753F"/>
    <w:rsid w:val="004F7766"/>
    <w:rsid w:val="004F7865"/>
    <w:rsid w:val="004F78BA"/>
    <w:rsid w:val="004F78EB"/>
    <w:rsid w:val="004F7A21"/>
    <w:rsid w:val="005002A6"/>
    <w:rsid w:val="00500C98"/>
    <w:rsid w:val="00501132"/>
    <w:rsid w:val="0050174E"/>
    <w:rsid w:val="00501854"/>
    <w:rsid w:val="005019BA"/>
    <w:rsid w:val="00501A1A"/>
    <w:rsid w:val="0050219B"/>
    <w:rsid w:val="00502A2C"/>
    <w:rsid w:val="00503386"/>
    <w:rsid w:val="0050376D"/>
    <w:rsid w:val="00503F17"/>
    <w:rsid w:val="00503F3A"/>
    <w:rsid w:val="00503F40"/>
    <w:rsid w:val="00504C76"/>
    <w:rsid w:val="00505C19"/>
    <w:rsid w:val="00505C7D"/>
    <w:rsid w:val="00505F6E"/>
    <w:rsid w:val="005064A4"/>
    <w:rsid w:val="0050651B"/>
    <w:rsid w:val="005067F8"/>
    <w:rsid w:val="00506928"/>
    <w:rsid w:val="00506972"/>
    <w:rsid w:val="00506A2B"/>
    <w:rsid w:val="00506ACF"/>
    <w:rsid w:val="00506B1D"/>
    <w:rsid w:val="00506C59"/>
    <w:rsid w:val="0050703A"/>
    <w:rsid w:val="00507179"/>
    <w:rsid w:val="005072D5"/>
    <w:rsid w:val="0050744F"/>
    <w:rsid w:val="00507658"/>
    <w:rsid w:val="005077D9"/>
    <w:rsid w:val="005077EF"/>
    <w:rsid w:val="00507AEC"/>
    <w:rsid w:val="00507F79"/>
    <w:rsid w:val="0051003C"/>
    <w:rsid w:val="00510288"/>
    <w:rsid w:val="005105D4"/>
    <w:rsid w:val="005110CD"/>
    <w:rsid w:val="00511870"/>
    <w:rsid w:val="00511AD5"/>
    <w:rsid w:val="00511D28"/>
    <w:rsid w:val="00511DC7"/>
    <w:rsid w:val="00512097"/>
    <w:rsid w:val="00512BBF"/>
    <w:rsid w:val="00512D1D"/>
    <w:rsid w:val="0051335F"/>
    <w:rsid w:val="0051339B"/>
    <w:rsid w:val="00513499"/>
    <w:rsid w:val="005135D4"/>
    <w:rsid w:val="00513613"/>
    <w:rsid w:val="00513681"/>
    <w:rsid w:val="005136BB"/>
    <w:rsid w:val="005136C8"/>
    <w:rsid w:val="005142C5"/>
    <w:rsid w:val="00514ADD"/>
    <w:rsid w:val="00514CF0"/>
    <w:rsid w:val="0051501B"/>
    <w:rsid w:val="0051515E"/>
    <w:rsid w:val="005152B5"/>
    <w:rsid w:val="00515672"/>
    <w:rsid w:val="00515886"/>
    <w:rsid w:val="005158E4"/>
    <w:rsid w:val="00516092"/>
    <w:rsid w:val="0051615C"/>
    <w:rsid w:val="00516368"/>
    <w:rsid w:val="00516AB2"/>
    <w:rsid w:val="00516E59"/>
    <w:rsid w:val="0051745A"/>
    <w:rsid w:val="0051765B"/>
    <w:rsid w:val="005200CB"/>
    <w:rsid w:val="005202BE"/>
    <w:rsid w:val="00520402"/>
    <w:rsid w:val="0052043E"/>
    <w:rsid w:val="00520A68"/>
    <w:rsid w:val="00520E2C"/>
    <w:rsid w:val="0052123C"/>
    <w:rsid w:val="00521319"/>
    <w:rsid w:val="005214A2"/>
    <w:rsid w:val="005215CA"/>
    <w:rsid w:val="00521ABB"/>
    <w:rsid w:val="00521BE3"/>
    <w:rsid w:val="00521EB7"/>
    <w:rsid w:val="005220CB"/>
    <w:rsid w:val="005223BE"/>
    <w:rsid w:val="005223C5"/>
    <w:rsid w:val="005225FC"/>
    <w:rsid w:val="00522BC8"/>
    <w:rsid w:val="0052308D"/>
    <w:rsid w:val="005234ED"/>
    <w:rsid w:val="005236E6"/>
    <w:rsid w:val="00523C28"/>
    <w:rsid w:val="00524363"/>
    <w:rsid w:val="005243C2"/>
    <w:rsid w:val="00524410"/>
    <w:rsid w:val="00524A02"/>
    <w:rsid w:val="00524D91"/>
    <w:rsid w:val="00524E9E"/>
    <w:rsid w:val="00525EEE"/>
    <w:rsid w:val="0052629D"/>
    <w:rsid w:val="00527065"/>
    <w:rsid w:val="005272DB"/>
    <w:rsid w:val="00527527"/>
    <w:rsid w:val="00527664"/>
    <w:rsid w:val="005277E3"/>
    <w:rsid w:val="00527BF2"/>
    <w:rsid w:val="0053014A"/>
    <w:rsid w:val="00530D58"/>
    <w:rsid w:val="00530D93"/>
    <w:rsid w:val="005311CE"/>
    <w:rsid w:val="00531382"/>
    <w:rsid w:val="00531543"/>
    <w:rsid w:val="0053158F"/>
    <w:rsid w:val="0053176B"/>
    <w:rsid w:val="0053257E"/>
    <w:rsid w:val="005326F8"/>
    <w:rsid w:val="0053276E"/>
    <w:rsid w:val="0053298D"/>
    <w:rsid w:val="00533887"/>
    <w:rsid w:val="00533902"/>
    <w:rsid w:val="005340FB"/>
    <w:rsid w:val="005341B3"/>
    <w:rsid w:val="005343C2"/>
    <w:rsid w:val="00534BA3"/>
    <w:rsid w:val="00534D13"/>
    <w:rsid w:val="00534F64"/>
    <w:rsid w:val="00535006"/>
    <w:rsid w:val="005351E3"/>
    <w:rsid w:val="0053577E"/>
    <w:rsid w:val="00535A4A"/>
    <w:rsid w:val="00535C46"/>
    <w:rsid w:val="00535DF5"/>
    <w:rsid w:val="0053604E"/>
    <w:rsid w:val="005365A3"/>
    <w:rsid w:val="00536809"/>
    <w:rsid w:val="00536942"/>
    <w:rsid w:val="00536F42"/>
    <w:rsid w:val="00537182"/>
    <w:rsid w:val="0053719E"/>
    <w:rsid w:val="005377B7"/>
    <w:rsid w:val="00537A00"/>
    <w:rsid w:val="00537AFE"/>
    <w:rsid w:val="00537DD4"/>
    <w:rsid w:val="00537EEF"/>
    <w:rsid w:val="00537EFD"/>
    <w:rsid w:val="0054066B"/>
    <w:rsid w:val="00540A58"/>
    <w:rsid w:val="00540D2B"/>
    <w:rsid w:val="00541154"/>
    <w:rsid w:val="0054116A"/>
    <w:rsid w:val="005412F5"/>
    <w:rsid w:val="00541360"/>
    <w:rsid w:val="005418D4"/>
    <w:rsid w:val="00541C24"/>
    <w:rsid w:val="00541EDD"/>
    <w:rsid w:val="005420CB"/>
    <w:rsid w:val="005424FF"/>
    <w:rsid w:val="005426D0"/>
    <w:rsid w:val="00542743"/>
    <w:rsid w:val="00542C2D"/>
    <w:rsid w:val="005449FD"/>
    <w:rsid w:val="00545634"/>
    <w:rsid w:val="00545640"/>
    <w:rsid w:val="00545C64"/>
    <w:rsid w:val="00545D2B"/>
    <w:rsid w:val="005463E2"/>
    <w:rsid w:val="005478BD"/>
    <w:rsid w:val="005479E3"/>
    <w:rsid w:val="005479FB"/>
    <w:rsid w:val="00550490"/>
    <w:rsid w:val="00550661"/>
    <w:rsid w:val="005508AB"/>
    <w:rsid w:val="00550BF0"/>
    <w:rsid w:val="00550F4F"/>
    <w:rsid w:val="00551260"/>
    <w:rsid w:val="00551424"/>
    <w:rsid w:val="0055164E"/>
    <w:rsid w:val="00551985"/>
    <w:rsid w:val="00551B24"/>
    <w:rsid w:val="00552012"/>
    <w:rsid w:val="00552BD3"/>
    <w:rsid w:val="00553277"/>
    <w:rsid w:val="005532A0"/>
    <w:rsid w:val="00554113"/>
    <w:rsid w:val="005545B6"/>
    <w:rsid w:val="00554C0E"/>
    <w:rsid w:val="00555109"/>
    <w:rsid w:val="0055589F"/>
    <w:rsid w:val="005559A9"/>
    <w:rsid w:val="0055619E"/>
    <w:rsid w:val="005564B0"/>
    <w:rsid w:val="00556B35"/>
    <w:rsid w:val="00556B60"/>
    <w:rsid w:val="00556D06"/>
    <w:rsid w:val="00556FCE"/>
    <w:rsid w:val="0055731C"/>
    <w:rsid w:val="0055734A"/>
    <w:rsid w:val="0055741A"/>
    <w:rsid w:val="0055744A"/>
    <w:rsid w:val="00557E2E"/>
    <w:rsid w:val="00560AD3"/>
    <w:rsid w:val="005610FD"/>
    <w:rsid w:val="00561172"/>
    <w:rsid w:val="005611B7"/>
    <w:rsid w:val="005613B9"/>
    <w:rsid w:val="00561716"/>
    <w:rsid w:val="00561739"/>
    <w:rsid w:val="0056174A"/>
    <w:rsid w:val="005618D4"/>
    <w:rsid w:val="00561906"/>
    <w:rsid w:val="005632EC"/>
    <w:rsid w:val="00563536"/>
    <w:rsid w:val="005637C5"/>
    <w:rsid w:val="0056397B"/>
    <w:rsid w:val="00563B31"/>
    <w:rsid w:val="00563DA7"/>
    <w:rsid w:val="00563DD0"/>
    <w:rsid w:val="00564224"/>
    <w:rsid w:val="0056450A"/>
    <w:rsid w:val="00564867"/>
    <w:rsid w:val="0056514A"/>
    <w:rsid w:val="005655DA"/>
    <w:rsid w:val="005657E3"/>
    <w:rsid w:val="00565C79"/>
    <w:rsid w:val="00565DF0"/>
    <w:rsid w:val="00566222"/>
    <w:rsid w:val="00566725"/>
    <w:rsid w:val="0056696F"/>
    <w:rsid w:val="005675C9"/>
    <w:rsid w:val="00567B9D"/>
    <w:rsid w:val="00567BD7"/>
    <w:rsid w:val="005701AF"/>
    <w:rsid w:val="005702F6"/>
    <w:rsid w:val="0057047D"/>
    <w:rsid w:val="005705B9"/>
    <w:rsid w:val="00570BED"/>
    <w:rsid w:val="0057149F"/>
    <w:rsid w:val="00571B3C"/>
    <w:rsid w:val="0057202D"/>
    <w:rsid w:val="00572269"/>
    <w:rsid w:val="0057244A"/>
    <w:rsid w:val="00572C24"/>
    <w:rsid w:val="00572F26"/>
    <w:rsid w:val="00572F48"/>
    <w:rsid w:val="0057321F"/>
    <w:rsid w:val="0057339C"/>
    <w:rsid w:val="0057391C"/>
    <w:rsid w:val="00573CF3"/>
    <w:rsid w:val="00573D60"/>
    <w:rsid w:val="00574AD9"/>
    <w:rsid w:val="00574BA5"/>
    <w:rsid w:val="005750C5"/>
    <w:rsid w:val="00575255"/>
    <w:rsid w:val="005752DE"/>
    <w:rsid w:val="00575446"/>
    <w:rsid w:val="005759C7"/>
    <w:rsid w:val="00575D60"/>
    <w:rsid w:val="00575D8D"/>
    <w:rsid w:val="00575EAB"/>
    <w:rsid w:val="00575F92"/>
    <w:rsid w:val="00576200"/>
    <w:rsid w:val="00576334"/>
    <w:rsid w:val="005763CE"/>
    <w:rsid w:val="005764DF"/>
    <w:rsid w:val="005767B3"/>
    <w:rsid w:val="00576972"/>
    <w:rsid w:val="00576AA7"/>
    <w:rsid w:val="005770E8"/>
    <w:rsid w:val="00577248"/>
    <w:rsid w:val="005778D0"/>
    <w:rsid w:val="00577DC2"/>
    <w:rsid w:val="005800C0"/>
    <w:rsid w:val="005800E6"/>
    <w:rsid w:val="0058015F"/>
    <w:rsid w:val="0058052F"/>
    <w:rsid w:val="005806AA"/>
    <w:rsid w:val="005808F5"/>
    <w:rsid w:val="00581397"/>
    <w:rsid w:val="005816F7"/>
    <w:rsid w:val="005822C3"/>
    <w:rsid w:val="00582F28"/>
    <w:rsid w:val="0058335D"/>
    <w:rsid w:val="00583699"/>
    <w:rsid w:val="00583729"/>
    <w:rsid w:val="0058378B"/>
    <w:rsid w:val="00583C36"/>
    <w:rsid w:val="00583E0F"/>
    <w:rsid w:val="005840CC"/>
    <w:rsid w:val="00584403"/>
    <w:rsid w:val="0058463B"/>
    <w:rsid w:val="00584BE0"/>
    <w:rsid w:val="00584EAB"/>
    <w:rsid w:val="0058532E"/>
    <w:rsid w:val="0058582E"/>
    <w:rsid w:val="00585B86"/>
    <w:rsid w:val="00585CDD"/>
    <w:rsid w:val="0058680C"/>
    <w:rsid w:val="00586BD4"/>
    <w:rsid w:val="00586D43"/>
    <w:rsid w:val="00586DAF"/>
    <w:rsid w:val="00587058"/>
    <w:rsid w:val="00587079"/>
    <w:rsid w:val="0058796E"/>
    <w:rsid w:val="005901D1"/>
    <w:rsid w:val="00590545"/>
    <w:rsid w:val="00591092"/>
    <w:rsid w:val="00591957"/>
    <w:rsid w:val="00591F0B"/>
    <w:rsid w:val="00591F6D"/>
    <w:rsid w:val="005929DF"/>
    <w:rsid w:val="00592B75"/>
    <w:rsid w:val="00592F3C"/>
    <w:rsid w:val="00593BBF"/>
    <w:rsid w:val="00594491"/>
    <w:rsid w:val="00594502"/>
    <w:rsid w:val="0059459D"/>
    <w:rsid w:val="00594D83"/>
    <w:rsid w:val="00595461"/>
    <w:rsid w:val="00595916"/>
    <w:rsid w:val="0059648C"/>
    <w:rsid w:val="00596BCA"/>
    <w:rsid w:val="00596F85"/>
    <w:rsid w:val="00597652"/>
    <w:rsid w:val="00597BF9"/>
    <w:rsid w:val="005A0183"/>
    <w:rsid w:val="005A0691"/>
    <w:rsid w:val="005A0B5A"/>
    <w:rsid w:val="005A0C11"/>
    <w:rsid w:val="005A1846"/>
    <w:rsid w:val="005A1ECC"/>
    <w:rsid w:val="005A1F29"/>
    <w:rsid w:val="005A2529"/>
    <w:rsid w:val="005A265B"/>
    <w:rsid w:val="005A2B4A"/>
    <w:rsid w:val="005A2B5D"/>
    <w:rsid w:val="005A2F28"/>
    <w:rsid w:val="005A3089"/>
    <w:rsid w:val="005A309A"/>
    <w:rsid w:val="005A3737"/>
    <w:rsid w:val="005A373D"/>
    <w:rsid w:val="005A3D29"/>
    <w:rsid w:val="005A3DBA"/>
    <w:rsid w:val="005A3F7E"/>
    <w:rsid w:val="005A3F97"/>
    <w:rsid w:val="005A452A"/>
    <w:rsid w:val="005A467B"/>
    <w:rsid w:val="005A4987"/>
    <w:rsid w:val="005A4B2D"/>
    <w:rsid w:val="005A4C7C"/>
    <w:rsid w:val="005A5DDA"/>
    <w:rsid w:val="005A61B4"/>
    <w:rsid w:val="005A6A8C"/>
    <w:rsid w:val="005A6C7F"/>
    <w:rsid w:val="005A7A83"/>
    <w:rsid w:val="005A7BF9"/>
    <w:rsid w:val="005A7DF5"/>
    <w:rsid w:val="005B034F"/>
    <w:rsid w:val="005B04AE"/>
    <w:rsid w:val="005B089A"/>
    <w:rsid w:val="005B0B58"/>
    <w:rsid w:val="005B0FFA"/>
    <w:rsid w:val="005B13F6"/>
    <w:rsid w:val="005B1605"/>
    <w:rsid w:val="005B174B"/>
    <w:rsid w:val="005B17AB"/>
    <w:rsid w:val="005B17DA"/>
    <w:rsid w:val="005B1E1B"/>
    <w:rsid w:val="005B25D1"/>
    <w:rsid w:val="005B276F"/>
    <w:rsid w:val="005B2782"/>
    <w:rsid w:val="005B2A48"/>
    <w:rsid w:val="005B2FF7"/>
    <w:rsid w:val="005B32BD"/>
    <w:rsid w:val="005B37BB"/>
    <w:rsid w:val="005B3A80"/>
    <w:rsid w:val="005B4275"/>
    <w:rsid w:val="005B46C8"/>
    <w:rsid w:val="005B47C3"/>
    <w:rsid w:val="005B4A18"/>
    <w:rsid w:val="005B4A67"/>
    <w:rsid w:val="005B4B23"/>
    <w:rsid w:val="005B4D40"/>
    <w:rsid w:val="005B4E53"/>
    <w:rsid w:val="005B5857"/>
    <w:rsid w:val="005B626F"/>
    <w:rsid w:val="005B6DEB"/>
    <w:rsid w:val="005B6E66"/>
    <w:rsid w:val="005B6FAC"/>
    <w:rsid w:val="005B77EF"/>
    <w:rsid w:val="005B7F75"/>
    <w:rsid w:val="005C03E4"/>
    <w:rsid w:val="005C0599"/>
    <w:rsid w:val="005C064C"/>
    <w:rsid w:val="005C175F"/>
    <w:rsid w:val="005C1906"/>
    <w:rsid w:val="005C19C4"/>
    <w:rsid w:val="005C1A92"/>
    <w:rsid w:val="005C1B83"/>
    <w:rsid w:val="005C1D9F"/>
    <w:rsid w:val="005C1FFE"/>
    <w:rsid w:val="005C220D"/>
    <w:rsid w:val="005C25FF"/>
    <w:rsid w:val="005C2670"/>
    <w:rsid w:val="005C2701"/>
    <w:rsid w:val="005C2876"/>
    <w:rsid w:val="005C2A6F"/>
    <w:rsid w:val="005C2AC6"/>
    <w:rsid w:val="005C2D55"/>
    <w:rsid w:val="005C2EA1"/>
    <w:rsid w:val="005C33F5"/>
    <w:rsid w:val="005C346B"/>
    <w:rsid w:val="005C3DD9"/>
    <w:rsid w:val="005C4032"/>
    <w:rsid w:val="005C4935"/>
    <w:rsid w:val="005C4968"/>
    <w:rsid w:val="005C506B"/>
    <w:rsid w:val="005C5283"/>
    <w:rsid w:val="005C52C9"/>
    <w:rsid w:val="005C532E"/>
    <w:rsid w:val="005C547C"/>
    <w:rsid w:val="005C5594"/>
    <w:rsid w:val="005C5842"/>
    <w:rsid w:val="005C588C"/>
    <w:rsid w:val="005C5ABC"/>
    <w:rsid w:val="005C5ACF"/>
    <w:rsid w:val="005C5FA0"/>
    <w:rsid w:val="005C639E"/>
    <w:rsid w:val="005C69CC"/>
    <w:rsid w:val="005C729F"/>
    <w:rsid w:val="005C7B0A"/>
    <w:rsid w:val="005C7D3A"/>
    <w:rsid w:val="005C7D86"/>
    <w:rsid w:val="005D033F"/>
    <w:rsid w:val="005D03ED"/>
    <w:rsid w:val="005D044D"/>
    <w:rsid w:val="005D0AB4"/>
    <w:rsid w:val="005D0ABD"/>
    <w:rsid w:val="005D11D2"/>
    <w:rsid w:val="005D18AD"/>
    <w:rsid w:val="005D1D0B"/>
    <w:rsid w:val="005D20A7"/>
    <w:rsid w:val="005D258A"/>
    <w:rsid w:val="005D26B4"/>
    <w:rsid w:val="005D2DD4"/>
    <w:rsid w:val="005D2FA5"/>
    <w:rsid w:val="005D2FA7"/>
    <w:rsid w:val="005D3133"/>
    <w:rsid w:val="005D3365"/>
    <w:rsid w:val="005D34D7"/>
    <w:rsid w:val="005D39A6"/>
    <w:rsid w:val="005D3A20"/>
    <w:rsid w:val="005D3AF2"/>
    <w:rsid w:val="005D4189"/>
    <w:rsid w:val="005D464F"/>
    <w:rsid w:val="005D47F1"/>
    <w:rsid w:val="005D59EA"/>
    <w:rsid w:val="005D5FC3"/>
    <w:rsid w:val="005D602E"/>
    <w:rsid w:val="005D624C"/>
    <w:rsid w:val="005D6264"/>
    <w:rsid w:val="005D62C1"/>
    <w:rsid w:val="005D642E"/>
    <w:rsid w:val="005D6CEA"/>
    <w:rsid w:val="005D7209"/>
    <w:rsid w:val="005D789E"/>
    <w:rsid w:val="005D7AE9"/>
    <w:rsid w:val="005D7AEF"/>
    <w:rsid w:val="005D7DDD"/>
    <w:rsid w:val="005E05E8"/>
    <w:rsid w:val="005E0A09"/>
    <w:rsid w:val="005E1021"/>
    <w:rsid w:val="005E1274"/>
    <w:rsid w:val="005E1451"/>
    <w:rsid w:val="005E151C"/>
    <w:rsid w:val="005E1995"/>
    <w:rsid w:val="005E2665"/>
    <w:rsid w:val="005E3251"/>
    <w:rsid w:val="005E3F88"/>
    <w:rsid w:val="005E4114"/>
    <w:rsid w:val="005E421E"/>
    <w:rsid w:val="005E4719"/>
    <w:rsid w:val="005E494E"/>
    <w:rsid w:val="005E4ACB"/>
    <w:rsid w:val="005E4D55"/>
    <w:rsid w:val="005E4F10"/>
    <w:rsid w:val="005E57EF"/>
    <w:rsid w:val="005E59E3"/>
    <w:rsid w:val="005E5EB5"/>
    <w:rsid w:val="005E6C8D"/>
    <w:rsid w:val="005E6CBC"/>
    <w:rsid w:val="005E72FF"/>
    <w:rsid w:val="005E73C0"/>
    <w:rsid w:val="005E7795"/>
    <w:rsid w:val="005E7B78"/>
    <w:rsid w:val="005F01F5"/>
    <w:rsid w:val="005F0381"/>
    <w:rsid w:val="005F07ED"/>
    <w:rsid w:val="005F093C"/>
    <w:rsid w:val="005F12A8"/>
    <w:rsid w:val="005F12B1"/>
    <w:rsid w:val="005F18C1"/>
    <w:rsid w:val="005F1ADD"/>
    <w:rsid w:val="005F2698"/>
    <w:rsid w:val="005F2706"/>
    <w:rsid w:val="005F2863"/>
    <w:rsid w:val="005F28D8"/>
    <w:rsid w:val="005F2910"/>
    <w:rsid w:val="005F2BC6"/>
    <w:rsid w:val="005F34DD"/>
    <w:rsid w:val="005F3D85"/>
    <w:rsid w:val="005F4219"/>
    <w:rsid w:val="005F4968"/>
    <w:rsid w:val="005F4E5D"/>
    <w:rsid w:val="005F4F8A"/>
    <w:rsid w:val="005F5CB2"/>
    <w:rsid w:val="005F5CF7"/>
    <w:rsid w:val="005F639E"/>
    <w:rsid w:val="005F6433"/>
    <w:rsid w:val="005F6A8F"/>
    <w:rsid w:val="005F6BB7"/>
    <w:rsid w:val="005F6C85"/>
    <w:rsid w:val="005F7588"/>
    <w:rsid w:val="005F7947"/>
    <w:rsid w:val="005F7B18"/>
    <w:rsid w:val="0060083A"/>
    <w:rsid w:val="0060113C"/>
    <w:rsid w:val="006013F0"/>
    <w:rsid w:val="00601996"/>
    <w:rsid w:val="00602F05"/>
    <w:rsid w:val="00603037"/>
    <w:rsid w:val="0060326C"/>
    <w:rsid w:val="006034DB"/>
    <w:rsid w:val="006035BF"/>
    <w:rsid w:val="00603783"/>
    <w:rsid w:val="00603B65"/>
    <w:rsid w:val="00603DB9"/>
    <w:rsid w:val="0060406F"/>
    <w:rsid w:val="006042B2"/>
    <w:rsid w:val="0060460E"/>
    <w:rsid w:val="00604AD3"/>
    <w:rsid w:val="00605261"/>
    <w:rsid w:val="006053DA"/>
    <w:rsid w:val="006057C5"/>
    <w:rsid w:val="00605BD9"/>
    <w:rsid w:val="00605ED2"/>
    <w:rsid w:val="00606088"/>
    <w:rsid w:val="006060A5"/>
    <w:rsid w:val="00606BBF"/>
    <w:rsid w:val="00606FBA"/>
    <w:rsid w:val="006071B0"/>
    <w:rsid w:val="00607569"/>
    <w:rsid w:val="00607669"/>
    <w:rsid w:val="006076F4"/>
    <w:rsid w:val="006077D5"/>
    <w:rsid w:val="00607AFD"/>
    <w:rsid w:val="00607F82"/>
    <w:rsid w:val="00610305"/>
    <w:rsid w:val="00610948"/>
    <w:rsid w:val="006109B7"/>
    <w:rsid w:val="006111F9"/>
    <w:rsid w:val="00611B12"/>
    <w:rsid w:val="00611B45"/>
    <w:rsid w:val="00611E2D"/>
    <w:rsid w:val="00611E88"/>
    <w:rsid w:val="006124C5"/>
    <w:rsid w:val="00612CED"/>
    <w:rsid w:val="00612F97"/>
    <w:rsid w:val="006132A5"/>
    <w:rsid w:val="0061345D"/>
    <w:rsid w:val="00613A70"/>
    <w:rsid w:val="00613BC6"/>
    <w:rsid w:val="00613F62"/>
    <w:rsid w:val="00614A71"/>
    <w:rsid w:val="00614B0C"/>
    <w:rsid w:val="00614D74"/>
    <w:rsid w:val="00614F2B"/>
    <w:rsid w:val="00614F93"/>
    <w:rsid w:val="00615089"/>
    <w:rsid w:val="00615494"/>
    <w:rsid w:val="0061549B"/>
    <w:rsid w:val="0061558E"/>
    <w:rsid w:val="006155B7"/>
    <w:rsid w:val="00615BF6"/>
    <w:rsid w:val="00615D8D"/>
    <w:rsid w:val="00616599"/>
    <w:rsid w:val="00616714"/>
    <w:rsid w:val="00616802"/>
    <w:rsid w:val="00616A78"/>
    <w:rsid w:val="00616A96"/>
    <w:rsid w:val="00616AC0"/>
    <w:rsid w:val="00616F0F"/>
    <w:rsid w:val="00616FE9"/>
    <w:rsid w:val="0061718C"/>
    <w:rsid w:val="00617788"/>
    <w:rsid w:val="00617973"/>
    <w:rsid w:val="00617CA1"/>
    <w:rsid w:val="00617E12"/>
    <w:rsid w:val="00620165"/>
    <w:rsid w:val="006205B8"/>
    <w:rsid w:val="00620C25"/>
    <w:rsid w:val="00620E62"/>
    <w:rsid w:val="00620F67"/>
    <w:rsid w:val="0062135F"/>
    <w:rsid w:val="00621477"/>
    <w:rsid w:val="006217B0"/>
    <w:rsid w:val="00621ACD"/>
    <w:rsid w:val="00621ADA"/>
    <w:rsid w:val="00621DC7"/>
    <w:rsid w:val="00621EF8"/>
    <w:rsid w:val="00621F70"/>
    <w:rsid w:val="00623490"/>
    <w:rsid w:val="006235D6"/>
    <w:rsid w:val="00623F7B"/>
    <w:rsid w:val="00624092"/>
    <w:rsid w:val="00624124"/>
    <w:rsid w:val="006244AD"/>
    <w:rsid w:val="00624850"/>
    <w:rsid w:val="00624BD4"/>
    <w:rsid w:val="00624C27"/>
    <w:rsid w:val="00624F71"/>
    <w:rsid w:val="00625281"/>
    <w:rsid w:val="0062540C"/>
    <w:rsid w:val="00625CEF"/>
    <w:rsid w:val="00625F62"/>
    <w:rsid w:val="0062610A"/>
    <w:rsid w:val="006262CD"/>
    <w:rsid w:val="00626672"/>
    <w:rsid w:val="006266D1"/>
    <w:rsid w:val="006268B8"/>
    <w:rsid w:val="00626AD2"/>
    <w:rsid w:val="00626E9C"/>
    <w:rsid w:val="00627395"/>
    <w:rsid w:val="00627561"/>
    <w:rsid w:val="006278AA"/>
    <w:rsid w:val="00627D13"/>
    <w:rsid w:val="006302B7"/>
    <w:rsid w:val="00630750"/>
    <w:rsid w:val="00630B66"/>
    <w:rsid w:val="00630DB6"/>
    <w:rsid w:val="00630E16"/>
    <w:rsid w:val="00630E87"/>
    <w:rsid w:val="0063112A"/>
    <w:rsid w:val="00631297"/>
    <w:rsid w:val="00631328"/>
    <w:rsid w:val="0063158F"/>
    <w:rsid w:val="00631CBB"/>
    <w:rsid w:val="00631D6B"/>
    <w:rsid w:val="00631F33"/>
    <w:rsid w:val="00632098"/>
    <w:rsid w:val="00632183"/>
    <w:rsid w:val="00632234"/>
    <w:rsid w:val="00632277"/>
    <w:rsid w:val="00632388"/>
    <w:rsid w:val="006327EB"/>
    <w:rsid w:val="00632A03"/>
    <w:rsid w:val="00632ACC"/>
    <w:rsid w:val="00632CE3"/>
    <w:rsid w:val="00632DAF"/>
    <w:rsid w:val="00632F8A"/>
    <w:rsid w:val="00632FC4"/>
    <w:rsid w:val="00633034"/>
    <w:rsid w:val="006330A1"/>
    <w:rsid w:val="006331B3"/>
    <w:rsid w:val="00633388"/>
    <w:rsid w:val="00633619"/>
    <w:rsid w:val="00633A52"/>
    <w:rsid w:val="00633E01"/>
    <w:rsid w:val="00633FED"/>
    <w:rsid w:val="006341A5"/>
    <w:rsid w:val="0063454F"/>
    <w:rsid w:val="0063479F"/>
    <w:rsid w:val="00634D39"/>
    <w:rsid w:val="00634F6B"/>
    <w:rsid w:val="006353F0"/>
    <w:rsid w:val="0063548B"/>
    <w:rsid w:val="006355DD"/>
    <w:rsid w:val="006357B5"/>
    <w:rsid w:val="006358A5"/>
    <w:rsid w:val="00635FAE"/>
    <w:rsid w:val="00636180"/>
    <w:rsid w:val="006364A1"/>
    <w:rsid w:val="00636519"/>
    <w:rsid w:val="006365FE"/>
    <w:rsid w:val="006366B8"/>
    <w:rsid w:val="0063678E"/>
    <w:rsid w:val="00636CFB"/>
    <w:rsid w:val="00636E10"/>
    <w:rsid w:val="00636EEE"/>
    <w:rsid w:val="0063709B"/>
    <w:rsid w:val="0063766D"/>
    <w:rsid w:val="00637BFD"/>
    <w:rsid w:val="00637C5C"/>
    <w:rsid w:val="00637CB5"/>
    <w:rsid w:val="00640234"/>
    <w:rsid w:val="00640BA7"/>
    <w:rsid w:val="006411D9"/>
    <w:rsid w:val="00641591"/>
    <w:rsid w:val="006415F6"/>
    <w:rsid w:val="00641715"/>
    <w:rsid w:val="00641C4E"/>
    <w:rsid w:val="00641FB3"/>
    <w:rsid w:val="00642181"/>
    <w:rsid w:val="00642671"/>
    <w:rsid w:val="00642B3F"/>
    <w:rsid w:val="00642B67"/>
    <w:rsid w:val="00642CAA"/>
    <w:rsid w:val="00642F83"/>
    <w:rsid w:val="006434AA"/>
    <w:rsid w:val="00643622"/>
    <w:rsid w:val="00644019"/>
    <w:rsid w:val="0064434C"/>
    <w:rsid w:val="00644571"/>
    <w:rsid w:val="00644917"/>
    <w:rsid w:val="00644BE9"/>
    <w:rsid w:val="006457A3"/>
    <w:rsid w:val="00645845"/>
    <w:rsid w:val="00645CDF"/>
    <w:rsid w:val="00645E95"/>
    <w:rsid w:val="00646119"/>
    <w:rsid w:val="006465C4"/>
    <w:rsid w:val="006467D0"/>
    <w:rsid w:val="00646D61"/>
    <w:rsid w:val="00646DEF"/>
    <w:rsid w:val="006471CC"/>
    <w:rsid w:val="006472FE"/>
    <w:rsid w:val="0064732F"/>
    <w:rsid w:val="00647A29"/>
    <w:rsid w:val="00647A93"/>
    <w:rsid w:val="00647B6E"/>
    <w:rsid w:val="00650552"/>
    <w:rsid w:val="0065079F"/>
    <w:rsid w:val="006507D3"/>
    <w:rsid w:val="00650E06"/>
    <w:rsid w:val="006513F3"/>
    <w:rsid w:val="00651ADE"/>
    <w:rsid w:val="00651C6E"/>
    <w:rsid w:val="006524D4"/>
    <w:rsid w:val="00652503"/>
    <w:rsid w:val="006525E3"/>
    <w:rsid w:val="006527D9"/>
    <w:rsid w:val="00652A28"/>
    <w:rsid w:val="00652A39"/>
    <w:rsid w:val="00652B5D"/>
    <w:rsid w:val="00652C9F"/>
    <w:rsid w:val="0065316C"/>
    <w:rsid w:val="006531B0"/>
    <w:rsid w:val="006532F2"/>
    <w:rsid w:val="006535AA"/>
    <w:rsid w:val="0065379F"/>
    <w:rsid w:val="00653846"/>
    <w:rsid w:val="0065384A"/>
    <w:rsid w:val="00653865"/>
    <w:rsid w:val="00653BDC"/>
    <w:rsid w:val="00653FA5"/>
    <w:rsid w:val="00654009"/>
    <w:rsid w:val="00654801"/>
    <w:rsid w:val="00654821"/>
    <w:rsid w:val="006548C0"/>
    <w:rsid w:val="006548FE"/>
    <w:rsid w:val="00654B1A"/>
    <w:rsid w:val="00654B53"/>
    <w:rsid w:val="00655087"/>
    <w:rsid w:val="006553D1"/>
    <w:rsid w:val="006555A3"/>
    <w:rsid w:val="00655DEF"/>
    <w:rsid w:val="00655F69"/>
    <w:rsid w:val="00656188"/>
    <w:rsid w:val="006563A6"/>
    <w:rsid w:val="006567E4"/>
    <w:rsid w:val="006569B4"/>
    <w:rsid w:val="00656AA6"/>
    <w:rsid w:val="00657067"/>
    <w:rsid w:val="0065715A"/>
    <w:rsid w:val="00657469"/>
    <w:rsid w:val="0065756B"/>
    <w:rsid w:val="0066058A"/>
    <w:rsid w:val="006608E9"/>
    <w:rsid w:val="00660A28"/>
    <w:rsid w:val="00660F3F"/>
    <w:rsid w:val="006610F1"/>
    <w:rsid w:val="006614C8"/>
    <w:rsid w:val="006619DF"/>
    <w:rsid w:val="00661C6B"/>
    <w:rsid w:val="00661C78"/>
    <w:rsid w:val="00661FC0"/>
    <w:rsid w:val="0066200E"/>
    <w:rsid w:val="00662158"/>
    <w:rsid w:val="006621B2"/>
    <w:rsid w:val="00662898"/>
    <w:rsid w:val="0066290D"/>
    <w:rsid w:val="00662CCD"/>
    <w:rsid w:val="00662D3E"/>
    <w:rsid w:val="006636B7"/>
    <w:rsid w:val="00664847"/>
    <w:rsid w:val="00664E56"/>
    <w:rsid w:val="00664F1C"/>
    <w:rsid w:val="00664F63"/>
    <w:rsid w:val="006654CB"/>
    <w:rsid w:val="00665B59"/>
    <w:rsid w:val="00665C58"/>
    <w:rsid w:val="00665E27"/>
    <w:rsid w:val="00665FBD"/>
    <w:rsid w:val="00665FEF"/>
    <w:rsid w:val="0066616F"/>
    <w:rsid w:val="00666BB0"/>
    <w:rsid w:val="00666F4F"/>
    <w:rsid w:val="00667042"/>
    <w:rsid w:val="006673C6"/>
    <w:rsid w:val="006675FE"/>
    <w:rsid w:val="006676F0"/>
    <w:rsid w:val="00667B59"/>
    <w:rsid w:val="00667BE3"/>
    <w:rsid w:val="00667BFC"/>
    <w:rsid w:val="00667EC1"/>
    <w:rsid w:val="00670810"/>
    <w:rsid w:val="0067085A"/>
    <w:rsid w:val="00670912"/>
    <w:rsid w:val="00670B53"/>
    <w:rsid w:val="00671004"/>
    <w:rsid w:val="006711AD"/>
    <w:rsid w:val="00671E5E"/>
    <w:rsid w:val="00671FB4"/>
    <w:rsid w:val="00671FFA"/>
    <w:rsid w:val="006721DD"/>
    <w:rsid w:val="00672533"/>
    <w:rsid w:val="00672646"/>
    <w:rsid w:val="006727E1"/>
    <w:rsid w:val="00673145"/>
    <w:rsid w:val="0067318A"/>
    <w:rsid w:val="00673579"/>
    <w:rsid w:val="006735CD"/>
    <w:rsid w:val="0067398C"/>
    <w:rsid w:val="00673F74"/>
    <w:rsid w:val="006748A0"/>
    <w:rsid w:val="0067498F"/>
    <w:rsid w:val="00674A64"/>
    <w:rsid w:val="00674E24"/>
    <w:rsid w:val="00674E42"/>
    <w:rsid w:val="00674EE5"/>
    <w:rsid w:val="00675AC9"/>
    <w:rsid w:val="00675CA2"/>
    <w:rsid w:val="00676110"/>
    <w:rsid w:val="0067655E"/>
    <w:rsid w:val="00676563"/>
    <w:rsid w:val="00676ACB"/>
    <w:rsid w:val="00676D49"/>
    <w:rsid w:val="006778B9"/>
    <w:rsid w:val="006779FA"/>
    <w:rsid w:val="00677E58"/>
    <w:rsid w:val="00680096"/>
    <w:rsid w:val="00680485"/>
    <w:rsid w:val="00680E79"/>
    <w:rsid w:val="006812EE"/>
    <w:rsid w:val="006813A2"/>
    <w:rsid w:val="006813F8"/>
    <w:rsid w:val="00681A8F"/>
    <w:rsid w:val="00681B00"/>
    <w:rsid w:val="00682112"/>
    <w:rsid w:val="00682A95"/>
    <w:rsid w:val="00682BA6"/>
    <w:rsid w:val="00682CD7"/>
    <w:rsid w:val="0068310A"/>
    <w:rsid w:val="00683450"/>
    <w:rsid w:val="00685470"/>
    <w:rsid w:val="0068553B"/>
    <w:rsid w:val="00685886"/>
    <w:rsid w:val="00685A5E"/>
    <w:rsid w:val="0068603E"/>
    <w:rsid w:val="00686413"/>
    <w:rsid w:val="006865CB"/>
    <w:rsid w:val="006868E3"/>
    <w:rsid w:val="00686957"/>
    <w:rsid w:val="006872BA"/>
    <w:rsid w:val="006872E7"/>
    <w:rsid w:val="00687458"/>
    <w:rsid w:val="00687477"/>
    <w:rsid w:val="00687606"/>
    <w:rsid w:val="00687619"/>
    <w:rsid w:val="00687BC5"/>
    <w:rsid w:val="00687FD9"/>
    <w:rsid w:val="006904A5"/>
    <w:rsid w:val="00690795"/>
    <w:rsid w:val="0069101B"/>
    <w:rsid w:val="00691648"/>
    <w:rsid w:val="006917D7"/>
    <w:rsid w:val="006921DA"/>
    <w:rsid w:val="00692E1F"/>
    <w:rsid w:val="00692F1B"/>
    <w:rsid w:val="0069332C"/>
    <w:rsid w:val="00693CD6"/>
    <w:rsid w:val="0069434C"/>
    <w:rsid w:val="006947B7"/>
    <w:rsid w:val="00694B55"/>
    <w:rsid w:val="00694BC6"/>
    <w:rsid w:val="00694E1B"/>
    <w:rsid w:val="00694F2C"/>
    <w:rsid w:val="00694F44"/>
    <w:rsid w:val="006952D5"/>
    <w:rsid w:val="006958C2"/>
    <w:rsid w:val="006958FD"/>
    <w:rsid w:val="00695CFF"/>
    <w:rsid w:val="00695E32"/>
    <w:rsid w:val="0069634A"/>
    <w:rsid w:val="00696662"/>
    <w:rsid w:val="006967CA"/>
    <w:rsid w:val="00696EF9"/>
    <w:rsid w:val="00696F51"/>
    <w:rsid w:val="00696FD9"/>
    <w:rsid w:val="006970B7"/>
    <w:rsid w:val="006979A5"/>
    <w:rsid w:val="00697B6C"/>
    <w:rsid w:val="00697EE2"/>
    <w:rsid w:val="006A016F"/>
    <w:rsid w:val="006A02B9"/>
    <w:rsid w:val="006A0447"/>
    <w:rsid w:val="006A04DD"/>
    <w:rsid w:val="006A05BA"/>
    <w:rsid w:val="006A0BDD"/>
    <w:rsid w:val="006A0DF5"/>
    <w:rsid w:val="006A0DF7"/>
    <w:rsid w:val="006A1BA8"/>
    <w:rsid w:val="006A1E9F"/>
    <w:rsid w:val="006A1FEB"/>
    <w:rsid w:val="006A2425"/>
    <w:rsid w:val="006A2560"/>
    <w:rsid w:val="006A25BF"/>
    <w:rsid w:val="006A2844"/>
    <w:rsid w:val="006A3A18"/>
    <w:rsid w:val="006A3C18"/>
    <w:rsid w:val="006A3C67"/>
    <w:rsid w:val="006A4321"/>
    <w:rsid w:val="006A4331"/>
    <w:rsid w:val="006A43D9"/>
    <w:rsid w:val="006A4F83"/>
    <w:rsid w:val="006A4F9B"/>
    <w:rsid w:val="006A5754"/>
    <w:rsid w:val="006A604A"/>
    <w:rsid w:val="006A62A1"/>
    <w:rsid w:val="006A64A2"/>
    <w:rsid w:val="006A6844"/>
    <w:rsid w:val="006A693A"/>
    <w:rsid w:val="006A6B99"/>
    <w:rsid w:val="006A7389"/>
    <w:rsid w:val="006A799F"/>
    <w:rsid w:val="006A7E5F"/>
    <w:rsid w:val="006B0238"/>
    <w:rsid w:val="006B0E15"/>
    <w:rsid w:val="006B1325"/>
    <w:rsid w:val="006B13CD"/>
    <w:rsid w:val="006B13E6"/>
    <w:rsid w:val="006B164D"/>
    <w:rsid w:val="006B261B"/>
    <w:rsid w:val="006B2775"/>
    <w:rsid w:val="006B2C90"/>
    <w:rsid w:val="006B35E6"/>
    <w:rsid w:val="006B35F6"/>
    <w:rsid w:val="006B38EC"/>
    <w:rsid w:val="006B406B"/>
    <w:rsid w:val="006B406C"/>
    <w:rsid w:val="006B443D"/>
    <w:rsid w:val="006B465A"/>
    <w:rsid w:val="006B49A6"/>
    <w:rsid w:val="006B4A82"/>
    <w:rsid w:val="006B4AA9"/>
    <w:rsid w:val="006B4C9D"/>
    <w:rsid w:val="006B4D1D"/>
    <w:rsid w:val="006B51DA"/>
    <w:rsid w:val="006B5229"/>
    <w:rsid w:val="006B52A7"/>
    <w:rsid w:val="006B52AF"/>
    <w:rsid w:val="006B5B8B"/>
    <w:rsid w:val="006B5CCE"/>
    <w:rsid w:val="006B6B61"/>
    <w:rsid w:val="006B6DD0"/>
    <w:rsid w:val="006B6EB5"/>
    <w:rsid w:val="006B7234"/>
    <w:rsid w:val="006B78CE"/>
    <w:rsid w:val="006B7AB8"/>
    <w:rsid w:val="006B7DF6"/>
    <w:rsid w:val="006C011C"/>
    <w:rsid w:val="006C027D"/>
    <w:rsid w:val="006C0297"/>
    <w:rsid w:val="006C02DF"/>
    <w:rsid w:val="006C0399"/>
    <w:rsid w:val="006C0483"/>
    <w:rsid w:val="006C0499"/>
    <w:rsid w:val="006C06B9"/>
    <w:rsid w:val="006C1173"/>
    <w:rsid w:val="006C162F"/>
    <w:rsid w:val="006C20A1"/>
    <w:rsid w:val="006C2544"/>
    <w:rsid w:val="006C2961"/>
    <w:rsid w:val="006C29A6"/>
    <w:rsid w:val="006C2A8E"/>
    <w:rsid w:val="006C2AF1"/>
    <w:rsid w:val="006C3255"/>
    <w:rsid w:val="006C3F26"/>
    <w:rsid w:val="006C406E"/>
    <w:rsid w:val="006C4484"/>
    <w:rsid w:val="006C485A"/>
    <w:rsid w:val="006C4A35"/>
    <w:rsid w:val="006C4E31"/>
    <w:rsid w:val="006C563E"/>
    <w:rsid w:val="006C59A8"/>
    <w:rsid w:val="006C5ADE"/>
    <w:rsid w:val="006C6243"/>
    <w:rsid w:val="006C698C"/>
    <w:rsid w:val="006C6A85"/>
    <w:rsid w:val="006C777F"/>
    <w:rsid w:val="006C78BD"/>
    <w:rsid w:val="006D01BE"/>
    <w:rsid w:val="006D0AA6"/>
    <w:rsid w:val="006D0C10"/>
    <w:rsid w:val="006D0D17"/>
    <w:rsid w:val="006D0F38"/>
    <w:rsid w:val="006D10FF"/>
    <w:rsid w:val="006D13F3"/>
    <w:rsid w:val="006D17FD"/>
    <w:rsid w:val="006D1C44"/>
    <w:rsid w:val="006D256D"/>
    <w:rsid w:val="006D2952"/>
    <w:rsid w:val="006D31A8"/>
    <w:rsid w:val="006D324A"/>
    <w:rsid w:val="006D35A0"/>
    <w:rsid w:val="006D372F"/>
    <w:rsid w:val="006D3756"/>
    <w:rsid w:val="006D3830"/>
    <w:rsid w:val="006D3C7D"/>
    <w:rsid w:val="006D3D05"/>
    <w:rsid w:val="006D4659"/>
    <w:rsid w:val="006D4AFD"/>
    <w:rsid w:val="006D4B48"/>
    <w:rsid w:val="006D4BFB"/>
    <w:rsid w:val="006D4FE3"/>
    <w:rsid w:val="006D5C5E"/>
    <w:rsid w:val="006D5D5F"/>
    <w:rsid w:val="006D60E3"/>
    <w:rsid w:val="006D68AB"/>
    <w:rsid w:val="006D68FB"/>
    <w:rsid w:val="006D6C17"/>
    <w:rsid w:val="006D7108"/>
    <w:rsid w:val="006D741C"/>
    <w:rsid w:val="006D7437"/>
    <w:rsid w:val="006D7931"/>
    <w:rsid w:val="006D7C2F"/>
    <w:rsid w:val="006D7CB6"/>
    <w:rsid w:val="006E01D7"/>
    <w:rsid w:val="006E02A6"/>
    <w:rsid w:val="006E0F4A"/>
    <w:rsid w:val="006E1482"/>
    <w:rsid w:val="006E1514"/>
    <w:rsid w:val="006E1A0E"/>
    <w:rsid w:val="006E1EB7"/>
    <w:rsid w:val="006E21D6"/>
    <w:rsid w:val="006E2868"/>
    <w:rsid w:val="006E286E"/>
    <w:rsid w:val="006E2B75"/>
    <w:rsid w:val="006E3177"/>
    <w:rsid w:val="006E337F"/>
    <w:rsid w:val="006E3613"/>
    <w:rsid w:val="006E3A35"/>
    <w:rsid w:val="006E3AA7"/>
    <w:rsid w:val="006E3D10"/>
    <w:rsid w:val="006E4909"/>
    <w:rsid w:val="006E4C8C"/>
    <w:rsid w:val="006E5600"/>
    <w:rsid w:val="006E56C5"/>
    <w:rsid w:val="006E5ED2"/>
    <w:rsid w:val="006E5F84"/>
    <w:rsid w:val="006E612D"/>
    <w:rsid w:val="006E61FA"/>
    <w:rsid w:val="006E623E"/>
    <w:rsid w:val="006E624C"/>
    <w:rsid w:val="006E6837"/>
    <w:rsid w:val="006E6869"/>
    <w:rsid w:val="006E6A32"/>
    <w:rsid w:val="006E6E8D"/>
    <w:rsid w:val="006E7289"/>
    <w:rsid w:val="006E732F"/>
    <w:rsid w:val="006E7C59"/>
    <w:rsid w:val="006E7ED8"/>
    <w:rsid w:val="006F034E"/>
    <w:rsid w:val="006F05EC"/>
    <w:rsid w:val="006F05FB"/>
    <w:rsid w:val="006F08E1"/>
    <w:rsid w:val="006F090F"/>
    <w:rsid w:val="006F0B6B"/>
    <w:rsid w:val="006F0D78"/>
    <w:rsid w:val="006F0FE9"/>
    <w:rsid w:val="006F10BC"/>
    <w:rsid w:val="006F141B"/>
    <w:rsid w:val="006F1422"/>
    <w:rsid w:val="006F15B8"/>
    <w:rsid w:val="006F1617"/>
    <w:rsid w:val="006F1BBA"/>
    <w:rsid w:val="006F1BF6"/>
    <w:rsid w:val="006F1C07"/>
    <w:rsid w:val="006F1F44"/>
    <w:rsid w:val="006F2815"/>
    <w:rsid w:val="006F2828"/>
    <w:rsid w:val="006F2B3B"/>
    <w:rsid w:val="006F2CAE"/>
    <w:rsid w:val="006F2D08"/>
    <w:rsid w:val="006F306C"/>
    <w:rsid w:val="006F3519"/>
    <w:rsid w:val="006F3913"/>
    <w:rsid w:val="006F44E2"/>
    <w:rsid w:val="006F4BD5"/>
    <w:rsid w:val="006F4C79"/>
    <w:rsid w:val="006F4CFB"/>
    <w:rsid w:val="006F4EDA"/>
    <w:rsid w:val="006F51BF"/>
    <w:rsid w:val="006F5369"/>
    <w:rsid w:val="006F5A6F"/>
    <w:rsid w:val="006F5B86"/>
    <w:rsid w:val="006F5D3A"/>
    <w:rsid w:val="006F63A5"/>
    <w:rsid w:val="006F63E9"/>
    <w:rsid w:val="006F646D"/>
    <w:rsid w:val="006F6471"/>
    <w:rsid w:val="006F6886"/>
    <w:rsid w:val="006F6BC7"/>
    <w:rsid w:val="006F74EA"/>
    <w:rsid w:val="006F7B64"/>
    <w:rsid w:val="00700206"/>
    <w:rsid w:val="0070037B"/>
    <w:rsid w:val="00701033"/>
    <w:rsid w:val="00701060"/>
    <w:rsid w:val="007011A9"/>
    <w:rsid w:val="007011E6"/>
    <w:rsid w:val="0070142B"/>
    <w:rsid w:val="007016F1"/>
    <w:rsid w:val="00702043"/>
    <w:rsid w:val="00702151"/>
    <w:rsid w:val="007021E6"/>
    <w:rsid w:val="00702441"/>
    <w:rsid w:val="00702616"/>
    <w:rsid w:val="00702763"/>
    <w:rsid w:val="0070276E"/>
    <w:rsid w:val="00702881"/>
    <w:rsid w:val="00702F8F"/>
    <w:rsid w:val="007030D2"/>
    <w:rsid w:val="00703387"/>
    <w:rsid w:val="007037C6"/>
    <w:rsid w:val="0070381E"/>
    <w:rsid w:val="00703D8B"/>
    <w:rsid w:val="00703F55"/>
    <w:rsid w:val="00704029"/>
    <w:rsid w:val="007040CA"/>
    <w:rsid w:val="00704118"/>
    <w:rsid w:val="007049C9"/>
    <w:rsid w:val="00705B71"/>
    <w:rsid w:val="0070658D"/>
    <w:rsid w:val="007066BE"/>
    <w:rsid w:val="00706702"/>
    <w:rsid w:val="007079FC"/>
    <w:rsid w:val="00707DA5"/>
    <w:rsid w:val="00707E4A"/>
    <w:rsid w:val="00707F49"/>
    <w:rsid w:val="00707FA0"/>
    <w:rsid w:val="007102C2"/>
    <w:rsid w:val="00710311"/>
    <w:rsid w:val="007114EE"/>
    <w:rsid w:val="00711A36"/>
    <w:rsid w:val="007120A7"/>
    <w:rsid w:val="007125D3"/>
    <w:rsid w:val="00712CCA"/>
    <w:rsid w:val="00712F4B"/>
    <w:rsid w:val="007132C7"/>
    <w:rsid w:val="007141A6"/>
    <w:rsid w:val="0071446D"/>
    <w:rsid w:val="00714986"/>
    <w:rsid w:val="00714B5F"/>
    <w:rsid w:val="00714C26"/>
    <w:rsid w:val="0071529C"/>
    <w:rsid w:val="00715B57"/>
    <w:rsid w:val="00715F10"/>
    <w:rsid w:val="007162EA"/>
    <w:rsid w:val="007166C9"/>
    <w:rsid w:val="00716753"/>
    <w:rsid w:val="0071681D"/>
    <w:rsid w:val="0071686F"/>
    <w:rsid w:val="007170DA"/>
    <w:rsid w:val="007172AD"/>
    <w:rsid w:val="00717546"/>
    <w:rsid w:val="00717847"/>
    <w:rsid w:val="007178FE"/>
    <w:rsid w:val="00717E71"/>
    <w:rsid w:val="00717FF2"/>
    <w:rsid w:val="00720801"/>
    <w:rsid w:val="00722763"/>
    <w:rsid w:val="00722B1B"/>
    <w:rsid w:val="00722F06"/>
    <w:rsid w:val="007231B0"/>
    <w:rsid w:val="00723486"/>
    <w:rsid w:val="007237CB"/>
    <w:rsid w:val="00723C43"/>
    <w:rsid w:val="00723F55"/>
    <w:rsid w:val="00724089"/>
    <w:rsid w:val="0072416F"/>
    <w:rsid w:val="00725D75"/>
    <w:rsid w:val="00725E17"/>
    <w:rsid w:val="007260EE"/>
    <w:rsid w:val="007266CB"/>
    <w:rsid w:val="00727548"/>
    <w:rsid w:val="00727A55"/>
    <w:rsid w:val="00727B1C"/>
    <w:rsid w:val="00727C94"/>
    <w:rsid w:val="00727F29"/>
    <w:rsid w:val="007302D6"/>
    <w:rsid w:val="00731030"/>
    <w:rsid w:val="00731B0A"/>
    <w:rsid w:val="00731BB4"/>
    <w:rsid w:val="00731CCC"/>
    <w:rsid w:val="00731EAE"/>
    <w:rsid w:val="00732946"/>
    <w:rsid w:val="00732A9D"/>
    <w:rsid w:val="00732D38"/>
    <w:rsid w:val="00733073"/>
    <w:rsid w:val="00733137"/>
    <w:rsid w:val="0073432F"/>
    <w:rsid w:val="00734CBF"/>
    <w:rsid w:val="00735033"/>
    <w:rsid w:val="0073508C"/>
    <w:rsid w:val="00735328"/>
    <w:rsid w:val="00735624"/>
    <w:rsid w:val="00735D1E"/>
    <w:rsid w:val="00735EC4"/>
    <w:rsid w:val="0073684F"/>
    <w:rsid w:val="0073685B"/>
    <w:rsid w:val="00736A0C"/>
    <w:rsid w:val="00741291"/>
    <w:rsid w:val="00741440"/>
    <w:rsid w:val="00741B57"/>
    <w:rsid w:val="00741C39"/>
    <w:rsid w:val="00741F2A"/>
    <w:rsid w:val="00742A28"/>
    <w:rsid w:val="00742B13"/>
    <w:rsid w:val="00742BD0"/>
    <w:rsid w:val="00742DB4"/>
    <w:rsid w:val="00742FDE"/>
    <w:rsid w:val="007433EE"/>
    <w:rsid w:val="007434FF"/>
    <w:rsid w:val="00743605"/>
    <w:rsid w:val="00743CC4"/>
    <w:rsid w:val="00743F47"/>
    <w:rsid w:val="0074424B"/>
    <w:rsid w:val="0074442B"/>
    <w:rsid w:val="00744686"/>
    <w:rsid w:val="007448BB"/>
    <w:rsid w:val="007449BF"/>
    <w:rsid w:val="00744D1B"/>
    <w:rsid w:val="00746274"/>
    <w:rsid w:val="007463FE"/>
    <w:rsid w:val="00746664"/>
    <w:rsid w:val="00746675"/>
    <w:rsid w:val="0074670F"/>
    <w:rsid w:val="00746BC0"/>
    <w:rsid w:val="00746E75"/>
    <w:rsid w:val="007473AE"/>
    <w:rsid w:val="007478D7"/>
    <w:rsid w:val="007479BC"/>
    <w:rsid w:val="00747D51"/>
    <w:rsid w:val="00747E9B"/>
    <w:rsid w:val="00750130"/>
    <w:rsid w:val="00750702"/>
    <w:rsid w:val="0075097F"/>
    <w:rsid w:val="00750FB0"/>
    <w:rsid w:val="00750FFD"/>
    <w:rsid w:val="007510B4"/>
    <w:rsid w:val="0075112B"/>
    <w:rsid w:val="007512C9"/>
    <w:rsid w:val="00751B7D"/>
    <w:rsid w:val="00751B85"/>
    <w:rsid w:val="00751D4D"/>
    <w:rsid w:val="00752142"/>
    <w:rsid w:val="007523F9"/>
    <w:rsid w:val="0075252E"/>
    <w:rsid w:val="00752BB3"/>
    <w:rsid w:val="00753130"/>
    <w:rsid w:val="0075357E"/>
    <w:rsid w:val="00753B29"/>
    <w:rsid w:val="00753DBB"/>
    <w:rsid w:val="0075454E"/>
    <w:rsid w:val="0075473F"/>
    <w:rsid w:val="00754CAE"/>
    <w:rsid w:val="00754D51"/>
    <w:rsid w:val="00754F53"/>
    <w:rsid w:val="007553DA"/>
    <w:rsid w:val="007554AD"/>
    <w:rsid w:val="00755501"/>
    <w:rsid w:val="00755567"/>
    <w:rsid w:val="00755584"/>
    <w:rsid w:val="00755C58"/>
    <w:rsid w:val="007561FF"/>
    <w:rsid w:val="007565C8"/>
    <w:rsid w:val="0075696B"/>
    <w:rsid w:val="00757005"/>
    <w:rsid w:val="007571DE"/>
    <w:rsid w:val="007573E8"/>
    <w:rsid w:val="0076008D"/>
    <w:rsid w:val="0076045D"/>
    <w:rsid w:val="007605F8"/>
    <w:rsid w:val="00760601"/>
    <w:rsid w:val="00760C4E"/>
    <w:rsid w:val="00760C8D"/>
    <w:rsid w:val="00760CF5"/>
    <w:rsid w:val="00760F63"/>
    <w:rsid w:val="00760F9E"/>
    <w:rsid w:val="00760FBD"/>
    <w:rsid w:val="007613B5"/>
    <w:rsid w:val="007616E6"/>
    <w:rsid w:val="00761759"/>
    <w:rsid w:val="007618F7"/>
    <w:rsid w:val="00761B16"/>
    <w:rsid w:val="00761E67"/>
    <w:rsid w:val="00761F5D"/>
    <w:rsid w:val="0076230A"/>
    <w:rsid w:val="007626AA"/>
    <w:rsid w:val="007627BE"/>
    <w:rsid w:val="00762F2F"/>
    <w:rsid w:val="0076326B"/>
    <w:rsid w:val="00763752"/>
    <w:rsid w:val="00763A83"/>
    <w:rsid w:val="0076404C"/>
    <w:rsid w:val="0076447F"/>
    <w:rsid w:val="007646AE"/>
    <w:rsid w:val="00764EBF"/>
    <w:rsid w:val="00764F03"/>
    <w:rsid w:val="007650C1"/>
    <w:rsid w:val="00765216"/>
    <w:rsid w:val="00765B1A"/>
    <w:rsid w:val="00765B92"/>
    <w:rsid w:val="00765C04"/>
    <w:rsid w:val="00765D26"/>
    <w:rsid w:val="00765DC1"/>
    <w:rsid w:val="007660A6"/>
    <w:rsid w:val="0076690A"/>
    <w:rsid w:val="00766DC8"/>
    <w:rsid w:val="00766FA9"/>
    <w:rsid w:val="00767328"/>
    <w:rsid w:val="0076787C"/>
    <w:rsid w:val="00767B92"/>
    <w:rsid w:val="00767E23"/>
    <w:rsid w:val="007707BB"/>
    <w:rsid w:val="00771398"/>
    <w:rsid w:val="00771EF7"/>
    <w:rsid w:val="00772394"/>
    <w:rsid w:val="00772910"/>
    <w:rsid w:val="0077346D"/>
    <w:rsid w:val="00773899"/>
    <w:rsid w:val="00773994"/>
    <w:rsid w:val="00773C60"/>
    <w:rsid w:val="00773E4B"/>
    <w:rsid w:val="00774248"/>
    <w:rsid w:val="0077427D"/>
    <w:rsid w:val="007742A6"/>
    <w:rsid w:val="00774305"/>
    <w:rsid w:val="007748B1"/>
    <w:rsid w:val="00774B7D"/>
    <w:rsid w:val="00774D23"/>
    <w:rsid w:val="0077503A"/>
    <w:rsid w:val="007756A0"/>
    <w:rsid w:val="00775A8C"/>
    <w:rsid w:val="00775E87"/>
    <w:rsid w:val="007765D7"/>
    <w:rsid w:val="00776E54"/>
    <w:rsid w:val="00777335"/>
    <w:rsid w:val="0077743B"/>
    <w:rsid w:val="00777AA4"/>
    <w:rsid w:val="00777DA5"/>
    <w:rsid w:val="00780750"/>
    <w:rsid w:val="00780914"/>
    <w:rsid w:val="00780F12"/>
    <w:rsid w:val="00780F3A"/>
    <w:rsid w:val="00781285"/>
    <w:rsid w:val="007813FC"/>
    <w:rsid w:val="00781974"/>
    <w:rsid w:val="00782022"/>
    <w:rsid w:val="00782652"/>
    <w:rsid w:val="0078280B"/>
    <w:rsid w:val="0078289C"/>
    <w:rsid w:val="00783189"/>
    <w:rsid w:val="007833EA"/>
    <w:rsid w:val="007835AF"/>
    <w:rsid w:val="00783C94"/>
    <w:rsid w:val="00783DDE"/>
    <w:rsid w:val="007843F2"/>
    <w:rsid w:val="007846FA"/>
    <w:rsid w:val="00784D77"/>
    <w:rsid w:val="007850E8"/>
    <w:rsid w:val="00785402"/>
    <w:rsid w:val="007855DD"/>
    <w:rsid w:val="007859D4"/>
    <w:rsid w:val="00785A41"/>
    <w:rsid w:val="00785A9F"/>
    <w:rsid w:val="00785AE0"/>
    <w:rsid w:val="00785E3F"/>
    <w:rsid w:val="007864EC"/>
    <w:rsid w:val="007868DF"/>
    <w:rsid w:val="00787454"/>
    <w:rsid w:val="00787803"/>
    <w:rsid w:val="00787BA7"/>
    <w:rsid w:val="007901ED"/>
    <w:rsid w:val="00790908"/>
    <w:rsid w:val="0079097F"/>
    <w:rsid w:val="007917D4"/>
    <w:rsid w:val="007917D7"/>
    <w:rsid w:val="007919AB"/>
    <w:rsid w:val="00791DC6"/>
    <w:rsid w:val="00791F81"/>
    <w:rsid w:val="00792287"/>
    <w:rsid w:val="007925DF"/>
    <w:rsid w:val="00792CC4"/>
    <w:rsid w:val="00792F9D"/>
    <w:rsid w:val="0079359B"/>
    <w:rsid w:val="00793BAA"/>
    <w:rsid w:val="00793BBE"/>
    <w:rsid w:val="00793C8A"/>
    <w:rsid w:val="00794E21"/>
    <w:rsid w:val="00795033"/>
    <w:rsid w:val="00795258"/>
    <w:rsid w:val="00795D23"/>
    <w:rsid w:val="007961A4"/>
    <w:rsid w:val="00796678"/>
    <w:rsid w:val="00796E11"/>
    <w:rsid w:val="00796FB2"/>
    <w:rsid w:val="007971DE"/>
    <w:rsid w:val="00797428"/>
    <w:rsid w:val="00797670"/>
    <w:rsid w:val="0079781E"/>
    <w:rsid w:val="00797897"/>
    <w:rsid w:val="00797E46"/>
    <w:rsid w:val="007A04FA"/>
    <w:rsid w:val="007A08AA"/>
    <w:rsid w:val="007A0A12"/>
    <w:rsid w:val="007A1172"/>
    <w:rsid w:val="007A12F7"/>
    <w:rsid w:val="007A132D"/>
    <w:rsid w:val="007A1345"/>
    <w:rsid w:val="007A1873"/>
    <w:rsid w:val="007A1C44"/>
    <w:rsid w:val="007A1D07"/>
    <w:rsid w:val="007A1D41"/>
    <w:rsid w:val="007A1E8C"/>
    <w:rsid w:val="007A2047"/>
    <w:rsid w:val="007A21AA"/>
    <w:rsid w:val="007A21AF"/>
    <w:rsid w:val="007A25E6"/>
    <w:rsid w:val="007A2906"/>
    <w:rsid w:val="007A2B92"/>
    <w:rsid w:val="007A2DA7"/>
    <w:rsid w:val="007A2DDB"/>
    <w:rsid w:val="007A2FA0"/>
    <w:rsid w:val="007A30FF"/>
    <w:rsid w:val="007A33A7"/>
    <w:rsid w:val="007A340F"/>
    <w:rsid w:val="007A3B37"/>
    <w:rsid w:val="007A41CD"/>
    <w:rsid w:val="007A436A"/>
    <w:rsid w:val="007A43C8"/>
    <w:rsid w:val="007A4BFF"/>
    <w:rsid w:val="007A4EAF"/>
    <w:rsid w:val="007A5269"/>
    <w:rsid w:val="007A5EF4"/>
    <w:rsid w:val="007A642D"/>
    <w:rsid w:val="007A651B"/>
    <w:rsid w:val="007A6A56"/>
    <w:rsid w:val="007A6C05"/>
    <w:rsid w:val="007A6C5E"/>
    <w:rsid w:val="007A70BA"/>
    <w:rsid w:val="007A73E4"/>
    <w:rsid w:val="007A7BC4"/>
    <w:rsid w:val="007B0708"/>
    <w:rsid w:val="007B084A"/>
    <w:rsid w:val="007B0977"/>
    <w:rsid w:val="007B0D25"/>
    <w:rsid w:val="007B0D68"/>
    <w:rsid w:val="007B0F8B"/>
    <w:rsid w:val="007B1742"/>
    <w:rsid w:val="007B1821"/>
    <w:rsid w:val="007B1B8C"/>
    <w:rsid w:val="007B1C14"/>
    <w:rsid w:val="007B1E1D"/>
    <w:rsid w:val="007B1E4F"/>
    <w:rsid w:val="007B1E9B"/>
    <w:rsid w:val="007B2411"/>
    <w:rsid w:val="007B246D"/>
    <w:rsid w:val="007B251D"/>
    <w:rsid w:val="007B26C6"/>
    <w:rsid w:val="007B2A41"/>
    <w:rsid w:val="007B2EF4"/>
    <w:rsid w:val="007B3533"/>
    <w:rsid w:val="007B3BD4"/>
    <w:rsid w:val="007B413A"/>
    <w:rsid w:val="007B4F58"/>
    <w:rsid w:val="007B507E"/>
    <w:rsid w:val="007B514B"/>
    <w:rsid w:val="007B528D"/>
    <w:rsid w:val="007B5469"/>
    <w:rsid w:val="007B5B0B"/>
    <w:rsid w:val="007B61A6"/>
    <w:rsid w:val="007B6269"/>
    <w:rsid w:val="007B63CA"/>
    <w:rsid w:val="007B680A"/>
    <w:rsid w:val="007B6938"/>
    <w:rsid w:val="007B6980"/>
    <w:rsid w:val="007B77D1"/>
    <w:rsid w:val="007C03BD"/>
    <w:rsid w:val="007C07C7"/>
    <w:rsid w:val="007C093F"/>
    <w:rsid w:val="007C0ECA"/>
    <w:rsid w:val="007C11DB"/>
    <w:rsid w:val="007C1830"/>
    <w:rsid w:val="007C1C71"/>
    <w:rsid w:val="007C1CD9"/>
    <w:rsid w:val="007C1E46"/>
    <w:rsid w:val="007C219B"/>
    <w:rsid w:val="007C299A"/>
    <w:rsid w:val="007C31C1"/>
    <w:rsid w:val="007C32EF"/>
    <w:rsid w:val="007C361D"/>
    <w:rsid w:val="007C396B"/>
    <w:rsid w:val="007C3B5A"/>
    <w:rsid w:val="007C3D4E"/>
    <w:rsid w:val="007C447C"/>
    <w:rsid w:val="007C45DA"/>
    <w:rsid w:val="007C4B5E"/>
    <w:rsid w:val="007C4B84"/>
    <w:rsid w:val="007C4C97"/>
    <w:rsid w:val="007C5036"/>
    <w:rsid w:val="007C558B"/>
    <w:rsid w:val="007C5941"/>
    <w:rsid w:val="007C5E4B"/>
    <w:rsid w:val="007C5F7C"/>
    <w:rsid w:val="007C6295"/>
    <w:rsid w:val="007C6481"/>
    <w:rsid w:val="007C66A0"/>
    <w:rsid w:val="007C69F7"/>
    <w:rsid w:val="007C6BD5"/>
    <w:rsid w:val="007C6BDE"/>
    <w:rsid w:val="007C6CD1"/>
    <w:rsid w:val="007C6F49"/>
    <w:rsid w:val="007C70FF"/>
    <w:rsid w:val="007C7313"/>
    <w:rsid w:val="007C7576"/>
    <w:rsid w:val="007C7737"/>
    <w:rsid w:val="007C78D7"/>
    <w:rsid w:val="007C7B66"/>
    <w:rsid w:val="007C7BA9"/>
    <w:rsid w:val="007C7C25"/>
    <w:rsid w:val="007D004F"/>
    <w:rsid w:val="007D0058"/>
    <w:rsid w:val="007D00EA"/>
    <w:rsid w:val="007D035F"/>
    <w:rsid w:val="007D06B2"/>
    <w:rsid w:val="007D071D"/>
    <w:rsid w:val="007D07EE"/>
    <w:rsid w:val="007D0B38"/>
    <w:rsid w:val="007D0BE3"/>
    <w:rsid w:val="007D0BF5"/>
    <w:rsid w:val="007D1593"/>
    <w:rsid w:val="007D17D0"/>
    <w:rsid w:val="007D2203"/>
    <w:rsid w:val="007D2637"/>
    <w:rsid w:val="007D35C5"/>
    <w:rsid w:val="007D3C21"/>
    <w:rsid w:val="007D4268"/>
    <w:rsid w:val="007D524B"/>
    <w:rsid w:val="007D5440"/>
    <w:rsid w:val="007D553F"/>
    <w:rsid w:val="007D5595"/>
    <w:rsid w:val="007D597A"/>
    <w:rsid w:val="007D59B7"/>
    <w:rsid w:val="007D5B08"/>
    <w:rsid w:val="007D60C2"/>
    <w:rsid w:val="007D67B7"/>
    <w:rsid w:val="007D69EB"/>
    <w:rsid w:val="007D711F"/>
    <w:rsid w:val="007D73F3"/>
    <w:rsid w:val="007D77D7"/>
    <w:rsid w:val="007D7881"/>
    <w:rsid w:val="007E017E"/>
    <w:rsid w:val="007E04BA"/>
    <w:rsid w:val="007E0649"/>
    <w:rsid w:val="007E0D2D"/>
    <w:rsid w:val="007E0E6E"/>
    <w:rsid w:val="007E1052"/>
    <w:rsid w:val="007E128F"/>
    <w:rsid w:val="007E12A6"/>
    <w:rsid w:val="007E153F"/>
    <w:rsid w:val="007E15C4"/>
    <w:rsid w:val="007E167F"/>
    <w:rsid w:val="007E1B4C"/>
    <w:rsid w:val="007E283F"/>
    <w:rsid w:val="007E2CD3"/>
    <w:rsid w:val="007E37A9"/>
    <w:rsid w:val="007E3B40"/>
    <w:rsid w:val="007E40D3"/>
    <w:rsid w:val="007E4479"/>
    <w:rsid w:val="007E4682"/>
    <w:rsid w:val="007E4B0B"/>
    <w:rsid w:val="007E4C7A"/>
    <w:rsid w:val="007E568D"/>
    <w:rsid w:val="007E659F"/>
    <w:rsid w:val="007E7186"/>
    <w:rsid w:val="007E79CC"/>
    <w:rsid w:val="007E7BC0"/>
    <w:rsid w:val="007E7E35"/>
    <w:rsid w:val="007F0711"/>
    <w:rsid w:val="007F08ED"/>
    <w:rsid w:val="007F0ACA"/>
    <w:rsid w:val="007F1017"/>
    <w:rsid w:val="007F1255"/>
    <w:rsid w:val="007F14F0"/>
    <w:rsid w:val="007F1653"/>
    <w:rsid w:val="007F1835"/>
    <w:rsid w:val="007F18E7"/>
    <w:rsid w:val="007F1B73"/>
    <w:rsid w:val="007F2663"/>
    <w:rsid w:val="007F2857"/>
    <w:rsid w:val="007F3292"/>
    <w:rsid w:val="007F3343"/>
    <w:rsid w:val="007F3626"/>
    <w:rsid w:val="007F389E"/>
    <w:rsid w:val="007F39B0"/>
    <w:rsid w:val="007F3C5B"/>
    <w:rsid w:val="007F3CA1"/>
    <w:rsid w:val="007F40AF"/>
    <w:rsid w:val="007F446C"/>
    <w:rsid w:val="007F46DA"/>
    <w:rsid w:val="007F4A3F"/>
    <w:rsid w:val="007F4A61"/>
    <w:rsid w:val="007F4EDF"/>
    <w:rsid w:val="007F5255"/>
    <w:rsid w:val="007F56CC"/>
    <w:rsid w:val="007F5839"/>
    <w:rsid w:val="007F5938"/>
    <w:rsid w:val="007F5BA0"/>
    <w:rsid w:val="007F5CDD"/>
    <w:rsid w:val="007F6129"/>
    <w:rsid w:val="007F61C2"/>
    <w:rsid w:val="007F6251"/>
    <w:rsid w:val="007F6260"/>
    <w:rsid w:val="007F6C47"/>
    <w:rsid w:val="007F6FFD"/>
    <w:rsid w:val="007F7197"/>
    <w:rsid w:val="007F72F5"/>
    <w:rsid w:val="007F7352"/>
    <w:rsid w:val="007F77FF"/>
    <w:rsid w:val="007F78DC"/>
    <w:rsid w:val="007F7B25"/>
    <w:rsid w:val="008000DC"/>
    <w:rsid w:val="00800C08"/>
    <w:rsid w:val="00800C36"/>
    <w:rsid w:val="00800CC8"/>
    <w:rsid w:val="00801053"/>
    <w:rsid w:val="00801ECF"/>
    <w:rsid w:val="00802002"/>
    <w:rsid w:val="008023FD"/>
    <w:rsid w:val="00803AC4"/>
    <w:rsid w:val="00803C0F"/>
    <w:rsid w:val="00803E30"/>
    <w:rsid w:val="008040D0"/>
    <w:rsid w:val="0080479D"/>
    <w:rsid w:val="00804A22"/>
    <w:rsid w:val="00804C82"/>
    <w:rsid w:val="00804F0E"/>
    <w:rsid w:val="00805142"/>
    <w:rsid w:val="00805229"/>
    <w:rsid w:val="00805FCE"/>
    <w:rsid w:val="00805FD1"/>
    <w:rsid w:val="0080618B"/>
    <w:rsid w:val="00807284"/>
    <w:rsid w:val="00807429"/>
    <w:rsid w:val="0080787A"/>
    <w:rsid w:val="00807A8B"/>
    <w:rsid w:val="00807F11"/>
    <w:rsid w:val="00810127"/>
    <w:rsid w:val="00810182"/>
    <w:rsid w:val="00810482"/>
    <w:rsid w:val="00810B05"/>
    <w:rsid w:val="00810B19"/>
    <w:rsid w:val="00811383"/>
    <w:rsid w:val="008114C4"/>
    <w:rsid w:val="008116DE"/>
    <w:rsid w:val="008118E1"/>
    <w:rsid w:val="00812149"/>
    <w:rsid w:val="00812CAC"/>
    <w:rsid w:val="00812E2F"/>
    <w:rsid w:val="00813591"/>
    <w:rsid w:val="00813B52"/>
    <w:rsid w:val="008141CE"/>
    <w:rsid w:val="0081452B"/>
    <w:rsid w:val="00814A39"/>
    <w:rsid w:val="00814B35"/>
    <w:rsid w:val="00814BAC"/>
    <w:rsid w:val="00814DB0"/>
    <w:rsid w:val="00814F07"/>
    <w:rsid w:val="00815914"/>
    <w:rsid w:val="00815BB9"/>
    <w:rsid w:val="0081631E"/>
    <w:rsid w:val="00816361"/>
    <w:rsid w:val="008166B4"/>
    <w:rsid w:val="008166EF"/>
    <w:rsid w:val="00816877"/>
    <w:rsid w:val="00816929"/>
    <w:rsid w:val="00816B77"/>
    <w:rsid w:val="00816BAA"/>
    <w:rsid w:val="00816E22"/>
    <w:rsid w:val="00816FEF"/>
    <w:rsid w:val="00817512"/>
    <w:rsid w:val="00817DC8"/>
    <w:rsid w:val="00820523"/>
    <w:rsid w:val="00820A8C"/>
    <w:rsid w:val="00820C21"/>
    <w:rsid w:val="00820F87"/>
    <w:rsid w:val="00821038"/>
    <w:rsid w:val="008215FB"/>
    <w:rsid w:val="00821622"/>
    <w:rsid w:val="00821A52"/>
    <w:rsid w:val="00821AB1"/>
    <w:rsid w:val="00821BCB"/>
    <w:rsid w:val="00821D32"/>
    <w:rsid w:val="00821DE8"/>
    <w:rsid w:val="008220CC"/>
    <w:rsid w:val="00823174"/>
    <w:rsid w:val="00823840"/>
    <w:rsid w:val="00824199"/>
    <w:rsid w:val="008242FE"/>
    <w:rsid w:val="008244FE"/>
    <w:rsid w:val="008250C2"/>
    <w:rsid w:val="00825751"/>
    <w:rsid w:val="00825907"/>
    <w:rsid w:val="00826075"/>
    <w:rsid w:val="0082615F"/>
    <w:rsid w:val="00826325"/>
    <w:rsid w:val="00826437"/>
    <w:rsid w:val="008264EB"/>
    <w:rsid w:val="0082656F"/>
    <w:rsid w:val="008268CE"/>
    <w:rsid w:val="00826C35"/>
    <w:rsid w:val="008275E7"/>
    <w:rsid w:val="00827C23"/>
    <w:rsid w:val="00827C64"/>
    <w:rsid w:val="0083114D"/>
    <w:rsid w:val="008311DD"/>
    <w:rsid w:val="008316EA"/>
    <w:rsid w:val="00831953"/>
    <w:rsid w:val="00831DA4"/>
    <w:rsid w:val="00832616"/>
    <w:rsid w:val="008327D5"/>
    <w:rsid w:val="00832927"/>
    <w:rsid w:val="00833B05"/>
    <w:rsid w:val="00833D39"/>
    <w:rsid w:val="00833F28"/>
    <w:rsid w:val="00834176"/>
    <w:rsid w:val="0083449C"/>
    <w:rsid w:val="008345C4"/>
    <w:rsid w:val="00834B32"/>
    <w:rsid w:val="00835049"/>
    <w:rsid w:val="00835B4E"/>
    <w:rsid w:val="00836031"/>
    <w:rsid w:val="008360BB"/>
    <w:rsid w:val="008362B4"/>
    <w:rsid w:val="0083687F"/>
    <w:rsid w:val="008368D3"/>
    <w:rsid w:val="00836D15"/>
    <w:rsid w:val="00837143"/>
    <w:rsid w:val="0083727F"/>
    <w:rsid w:val="008379F4"/>
    <w:rsid w:val="00837AF3"/>
    <w:rsid w:val="00837CE2"/>
    <w:rsid w:val="00840768"/>
    <w:rsid w:val="00840CA2"/>
    <w:rsid w:val="00841383"/>
    <w:rsid w:val="00841AEB"/>
    <w:rsid w:val="00841F52"/>
    <w:rsid w:val="0084206F"/>
    <w:rsid w:val="00842F9A"/>
    <w:rsid w:val="008433A2"/>
    <w:rsid w:val="00843519"/>
    <w:rsid w:val="00843529"/>
    <w:rsid w:val="0084374F"/>
    <w:rsid w:val="00843BA2"/>
    <w:rsid w:val="00844022"/>
    <w:rsid w:val="00844302"/>
    <w:rsid w:val="0084432E"/>
    <w:rsid w:val="00844A22"/>
    <w:rsid w:val="00845135"/>
    <w:rsid w:val="00845303"/>
    <w:rsid w:val="008458F1"/>
    <w:rsid w:val="00845C7B"/>
    <w:rsid w:val="00846614"/>
    <w:rsid w:val="00847253"/>
    <w:rsid w:val="00847678"/>
    <w:rsid w:val="00847703"/>
    <w:rsid w:val="00847D04"/>
    <w:rsid w:val="00847DF5"/>
    <w:rsid w:val="0085024D"/>
    <w:rsid w:val="008502F0"/>
    <w:rsid w:val="00850BF3"/>
    <w:rsid w:val="008514CA"/>
    <w:rsid w:val="00851713"/>
    <w:rsid w:val="00851901"/>
    <w:rsid w:val="00851B8D"/>
    <w:rsid w:val="00851B97"/>
    <w:rsid w:val="00851D2A"/>
    <w:rsid w:val="00851FA7"/>
    <w:rsid w:val="008522C8"/>
    <w:rsid w:val="00852353"/>
    <w:rsid w:val="00852655"/>
    <w:rsid w:val="00852F4A"/>
    <w:rsid w:val="00852FFD"/>
    <w:rsid w:val="0085309D"/>
    <w:rsid w:val="008538B5"/>
    <w:rsid w:val="00853B99"/>
    <w:rsid w:val="00853FEC"/>
    <w:rsid w:val="008546F0"/>
    <w:rsid w:val="008552AE"/>
    <w:rsid w:val="00855C72"/>
    <w:rsid w:val="0085672E"/>
    <w:rsid w:val="00856834"/>
    <w:rsid w:val="00856897"/>
    <w:rsid w:val="00856984"/>
    <w:rsid w:val="00856E85"/>
    <w:rsid w:val="00856E9A"/>
    <w:rsid w:val="008575E1"/>
    <w:rsid w:val="00857799"/>
    <w:rsid w:val="0086075D"/>
    <w:rsid w:val="00860BB7"/>
    <w:rsid w:val="0086181C"/>
    <w:rsid w:val="00861952"/>
    <w:rsid w:val="008621B6"/>
    <w:rsid w:val="00862439"/>
    <w:rsid w:val="00862502"/>
    <w:rsid w:val="00862BEF"/>
    <w:rsid w:val="00862CC1"/>
    <w:rsid w:val="00862FE1"/>
    <w:rsid w:val="00863454"/>
    <w:rsid w:val="0086352B"/>
    <w:rsid w:val="008639C1"/>
    <w:rsid w:val="0086405D"/>
    <w:rsid w:val="00864245"/>
    <w:rsid w:val="008642A7"/>
    <w:rsid w:val="00864425"/>
    <w:rsid w:val="008649D2"/>
    <w:rsid w:val="00864D9A"/>
    <w:rsid w:val="00865275"/>
    <w:rsid w:val="00865FAD"/>
    <w:rsid w:val="008660D4"/>
    <w:rsid w:val="0086614A"/>
    <w:rsid w:val="00866318"/>
    <w:rsid w:val="00866938"/>
    <w:rsid w:val="00866DAE"/>
    <w:rsid w:val="00866FBE"/>
    <w:rsid w:val="008670C2"/>
    <w:rsid w:val="008672B0"/>
    <w:rsid w:val="008679F2"/>
    <w:rsid w:val="00867C8E"/>
    <w:rsid w:val="00870250"/>
    <w:rsid w:val="00870464"/>
    <w:rsid w:val="008705A5"/>
    <w:rsid w:val="00870632"/>
    <w:rsid w:val="008707B9"/>
    <w:rsid w:val="00870B1F"/>
    <w:rsid w:val="0087114F"/>
    <w:rsid w:val="0087163C"/>
    <w:rsid w:val="00871743"/>
    <w:rsid w:val="008717AB"/>
    <w:rsid w:val="00871F23"/>
    <w:rsid w:val="00871FA9"/>
    <w:rsid w:val="0087249D"/>
    <w:rsid w:val="008728E9"/>
    <w:rsid w:val="00872A2C"/>
    <w:rsid w:val="00873120"/>
    <w:rsid w:val="0087327D"/>
    <w:rsid w:val="0087333F"/>
    <w:rsid w:val="00873570"/>
    <w:rsid w:val="00873572"/>
    <w:rsid w:val="008738BD"/>
    <w:rsid w:val="008738D1"/>
    <w:rsid w:val="008739FD"/>
    <w:rsid w:val="00873D79"/>
    <w:rsid w:val="008742AB"/>
    <w:rsid w:val="008743D1"/>
    <w:rsid w:val="00874A2B"/>
    <w:rsid w:val="00874C01"/>
    <w:rsid w:val="00874E27"/>
    <w:rsid w:val="0087557F"/>
    <w:rsid w:val="00875AD9"/>
    <w:rsid w:val="00875E80"/>
    <w:rsid w:val="008763C3"/>
    <w:rsid w:val="00876DB0"/>
    <w:rsid w:val="00877017"/>
    <w:rsid w:val="0087793A"/>
    <w:rsid w:val="00877C23"/>
    <w:rsid w:val="00880553"/>
    <w:rsid w:val="00880A8A"/>
    <w:rsid w:val="00880B1D"/>
    <w:rsid w:val="00880E30"/>
    <w:rsid w:val="00880F6F"/>
    <w:rsid w:val="00881E73"/>
    <w:rsid w:val="00882874"/>
    <w:rsid w:val="00882B31"/>
    <w:rsid w:val="00882B83"/>
    <w:rsid w:val="00882E3C"/>
    <w:rsid w:val="0088308A"/>
    <w:rsid w:val="00883146"/>
    <w:rsid w:val="0088377D"/>
    <w:rsid w:val="00883787"/>
    <w:rsid w:val="00883C32"/>
    <w:rsid w:val="00884677"/>
    <w:rsid w:val="008847BB"/>
    <w:rsid w:val="0088504E"/>
    <w:rsid w:val="00885103"/>
    <w:rsid w:val="00885288"/>
    <w:rsid w:val="008855E4"/>
    <w:rsid w:val="0088571D"/>
    <w:rsid w:val="00886050"/>
    <w:rsid w:val="0088631F"/>
    <w:rsid w:val="00886670"/>
    <w:rsid w:val="00886C96"/>
    <w:rsid w:val="00886CD2"/>
    <w:rsid w:val="0088727D"/>
    <w:rsid w:val="008874D7"/>
    <w:rsid w:val="00887C94"/>
    <w:rsid w:val="008901EE"/>
    <w:rsid w:val="008903B1"/>
    <w:rsid w:val="0089066C"/>
    <w:rsid w:val="008908B3"/>
    <w:rsid w:val="00890D6B"/>
    <w:rsid w:val="00890DDB"/>
    <w:rsid w:val="008912A7"/>
    <w:rsid w:val="008912B3"/>
    <w:rsid w:val="00891469"/>
    <w:rsid w:val="00891565"/>
    <w:rsid w:val="00891E6F"/>
    <w:rsid w:val="00891E9A"/>
    <w:rsid w:val="00892010"/>
    <w:rsid w:val="008923B4"/>
    <w:rsid w:val="008925AA"/>
    <w:rsid w:val="0089275D"/>
    <w:rsid w:val="008927C8"/>
    <w:rsid w:val="00892A36"/>
    <w:rsid w:val="008930D3"/>
    <w:rsid w:val="00893239"/>
    <w:rsid w:val="008932A1"/>
    <w:rsid w:val="00893A9D"/>
    <w:rsid w:val="00893DC7"/>
    <w:rsid w:val="008940DA"/>
    <w:rsid w:val="00894489"/>
    <w:rsid w:val="00894961"/>
    <w:rsid w:val="008949E7"/>
    <w:rsid w:val="00894CD6"/>
    <w:rsid w:val="00895065"/>
    <w:rsid w:val="008952A1"/>
    <w:rsid w:val="0089542B"/>
    <w:rsid w:val="008959C1"/>
    <w:rsid w:val="00895ACF"/>
    <w:rsid w:val="008963A5"/>
    <w:rsid w:val="0089693E"/>
    <w:rsid w:val="00896C85"/>
    <w:rsid w:val="00896D5D"/>
    <w:rsid w:val="00896DE9"/>
    <w:rsid w:val="00897420"/>
    <w:rsid w:val="008974FB"/>
    <w:rsid w:val="00897D0A"/>
    <w:rsid w:val="008A00B1"/>
    <w:rsid w:val="008A0E49"/>
    <w:rsid w:val="008A0F3B"/>
    <w:rsid w:val="008A11C6"/>
    <w:rsid w:val="008A1D03"/>
    <w:rsid w:val="008A1E4B"/>
    <w:rsid w:val="008A240D"/>
    <w:rsid w:val="008A261F"/>
    <w:rsid w:val="008A2A86"/>
    <w:rsid w:val="008A3158"/>
    <w:rsid w:val="008A3363"/>
    <w:rsid w:val="008A3371"/>
    <w:rsid w:val="008A3A7C"/>
    <w:rsid w:val="008A3BC6"/>
    <w:rsid w:val="008A3C3E"/>
    <w:rsid w:val="008A3E4C"/>
    <w:rsid w:val="008A43F5"/>
    <w:rsid w:val="008A44B9"/>
    <w:rsid w:val="008A480E"/>
    <w:rsid w:val="008A4B15"/>
    <w:rsid w:val="008A4DAE"/>
    <w:rsid w:val="008A5325"/>
    <w:rsid w:val="008A568E"/>
    <w:rsid w:val="008A56E6"/>
    <w:rsid w:val="008A65E1"/>
    <w:rsid w:val="008A664B"/>
    <w:rsid w:val="008A6724"/>
    <w:rsid w:val="008A77C5"/>
    <w:rsid w:val="008A784B"/>
    <w:rsid w:val="008A79DE"/>
    <w:rsid w:val="008A7CD8"/>
    <w:rsid w:val="008A7D0F"/>
    <w:rsid w:val="008A7E34"/>
    <w:rsid w:val="008B00B9"/>
    <w:rsid w:val="008B023E"/>
    <w:rsid w:val="008B02D6"/>
    <w:rsid w:val="008B0698"/>
    <w:rsid w:val="008B0A4B"/>
    <w:rsid w:val="008B0EEB"/>
    <w:rsid w:val="008B146C"/>
    <w:rsid w:val="008B1757"/>
    <w:rsid w:val="008B18C5"/>
    <w:rsid w:val="008B1960"/>
    <w:rsid w:val="008B1C33"/>
    <w:rsid w:val="008B1FAA"/>
    <w:rsid w:val="008B244C"/>
    <w:rsid w:val="008B2AA8"/>
    <w:rsid w:val="008B2AC6"/>
    <w:rsid w:val="008B30A5"/>
    <w:rsid w:val="008B3400"/>
    <w:rsid w:val="008B3CA5"/>
    <w:rsid w:val="008B42F7"/>
    <w:rsid w:val="008B45D4"/>
    <w:rsid w:val="008B4B6F"/>
    <w:rsid w:val="008B53F5"/>
    <w:rsid w:val="008B5643"/>
    <w:rsid w:val="008B56FD"/>
    <w:rsid w:val="008B63D7"/>
    <w:rsid w:val="008B676A"/>
    <w:rsid w:val="008B68D5"/>
    <w:rsid w:val="008B6A3C"/>
    <w:rsid w:val="008B71C2"/>
    <w:rsid w:val="008B7895"/>
    <w:rsid w:val="008B792B"/>
    <w:rsid w:val="008B7992"/>
    <w:rsid w:val="008B7D7E"/>
    <w:rsid w:val="008C0118"/>
    <w:rsid w:val="008C0264"/>
    <w:rsid w:val="008C1028"/>
    <w:rsid w:val="008C11FB"/>
    <w:rsid w:val="008C151D"/>
    <w:rsid w:val="008C1A32"/>
    <w:rsid w:val="008C239D"/>
    <w:rsid w:val="008C267C"/>
    <w:rsid w:val="008C26DA"/>
    <w:rsid w:val="008C2906"/>
    <w:rsid w:val="008C2D3C"/>
    <w:rsid w:val="008C32BE"/>
    <w:rsid w:val="008C33C8"/>
    <w:rsid w:val="008C35A4"/>
    <w:rsid w:val="008C3676"/>
    <w:rsid w:val="008C3ADB"/>
    <w:rsid w:val="008C3D21"/>
    <w:rsid w:val="008C421F"/>
    <w:rsid w:val="008C4417"/>
    <w:rsid w:val="008C4458"/>
    <w:rsid w:val="008C47A8"/>
    <w:rsid w:val="008C5610"/>
    <w:rsid w:val="008C56B8"/>
    <w:rsid w:val="008C5739"/>
    <w:rsid w:val="008C5795"/>
    <w:rsid w:val="008C6328"/>
    <w:rsid w:val="008C68E4"/>
    <w:rsid w:val="008C69D0"/>
    <w:rsid w:val="008C7282"/>
    <w:rsid w:val="008C73CA"/>
    <w:rsid w:val="008C768B"/>
    <w:rsid w:val="008C7AE1"/>
    <w:rsid w:val="008C7ECB"/>
    <w:rsid w:val="008D00A2"/>
    <w:rsid w:val="008D0777"/>
    <w:rsid w:val="008D09E1"/>
    <w:rsid w:val="008D0B47"/>
    <w:rsid w:val="008D1907"/>
    <w:rsid w:val="008D1CC9"/>
    <w:rsid w:val="008D1D63"/>
    <w:rsid w:val="008D1E5D"/>
    <w:rsid w:val="008D20AF"/>
    <w:rsid w:val="008D2340"/>
    <w:rsid w:val="008D2429"/>
    <w:rsid w:val="008D253E"/>
    <w:rsid w:val="008D2C6D"/>
    <w:rsid w:val="008D3B86"/>
    <w:rsid w:val="008D3D2B"/>
    <w:rsid w:val="008D43FD"/>
    <w:rsid w:val="008D4587"/>
    <w:rsid w:val="008D4755"/>
    <w:rsid w:val="008D4C3D"/>
    <w:rsid w:val="008D4F03"/>
    <w:rsid w:val="008D5226"/>
    <w:rsid w:val="008D55B4"/>
    <w:rsid w:val="008D59A3"/>
    <w:rsid w:val="008D5BB0"/>
    <w:rsid w:val="008D5F45"/>
    <w:rsid w:val="008D5F56"/>
    <w:rsid w:val="008D638B"/>
    <w:rsid w:val="008D655C"/>
    <w:rsid w:val="008D66AB"/>
    <w:rsid w:val="008D6A7A"/>
    <w:rsid w:val="008D6B70"/>
    <w:rsid w:val="008D7160"/>
    <w:rsid w:val="008D71C9"/>
    <w:rsid w:val="008D743C"/>
    <w:rsid w:val="008D7680"/>
    <w:rsid w:val="008D7785"/>
    <w:rsid w:val="008D7BDF"/>
    <w:rsid w:val="008D7C49"/>
    <w:rsid w:val="008E01A1"/>
    <w:rsid w:val="008E093D"/>
    <w:rsid w:val="008E0B4E"/>
    <w:rsid w:val="008E0D3C"/>
    <w:rsid w:val="008E0EA7"/>
    <w:rsid w:val="008E0F54"/>
    <w:rsid w:val="008E13AA"/>
    <w:rsid w:val="008E1B9E"/>
    <w:rsid w:val="008E23B8"/>
    <w:rsid w:val="008E23DC"/>
    <w:rsid w:val="008E2465"/>
    <w:rsid w:val="008E25F0"/>
    <w:rsid w:val="008E26F5"/>
    <w:rsid w:val="008E2966"/>
    <w:rsid w:val="008E311B"/>
    <w:rsid w:val="008E33D6"/>
    <w:rsid w:val="008E396F"/>
    <w:rsid w:val="008E3992"/>
    <w:rsid w:val="008E3B0A"/>
    <w:rsid w:val="008E3BD5"/>
    <w:rsid w:val="008E3F30"/>
    <w:rsid w:val="008E4074"/>
    <w:rsid w:val="008E49C2"/>
    <w:rsid w:val="008E4E71"/>
    <w:rsid w:val="008E4EDE"/>
    <w:rsid w:val="008E5284"/>
    <w:rsid w:val="008E556C"/>
    <w:rsid w:val="008E55AB"/>
    <w:rsid w:val="008E6778"/>
    <w:rsid w:val="008E69E7"/>
    <w:rsid w:val="008E6A17"/>
    <w:rsid w:val="008E740E"/>
    <w:rsid w:val="008E757A"/>
    <w:rsid w:val="008F0578"/>
    <w:rsid w:val="008F0A88"/>
    <w:rsid w:val="008F120A"/>
    <w:rsid w:val="008F1E44"/>
    <w:rsid w:val="008F1F4E"/>
    <w:rsid w:val="008F1F5E"/>
    <w:rsid w:val="008F1F78"/>
    <w:rsid w:val="008F2624"/>
    <w:rsid w:val="008F27E0"/>
    <w:rsid w:val="008F2C68"/>
    <w:rsid w:val="008F3326"/>
    <w:rsid w:val="008F3F9C"/>
    <w:rsid w:val="008F4151"/>
    <w:rsid w:val="008F4419"/>
    <w:rsid w:val="008F4577"/>
    <w:rsid w:val="008F48EB"/>
    <w:rsid w:val="008F4F0B"/>
    <w:rsid w:val="008F5180"/>
    <w:rsid w:val="008F51BA"/>
    <w:rsid w:val="008F57D3"/>
    <w:rsid w:val="008F5B9C"/>
    <w:rsid w:val="008F5CC2"/>
    <w:rsid w:val="008F5EB8"/>
    <w:rsid w:val="008F5F91"/>
    <w:rsid w:val="008F6284"/>
    <w:rsid w:val="008F6737"/>
    <w:rsid w:val="008F67B7"/>
    <w:rsid w:val="008F69CB"/>
    <w:rsid w:val="008F6E59"/>
    <w:rsid w:val="009001F7"/>
    <w:rsid w:val="0090042E"/>
    <w:rsid w:val="00900462"/>
    <w:rsid w:val="009004FD"/>
    <w:rsid w:val="0090060C"/>
    <w:rsid w:val="00901854"/>
    <w:rsid w:val="00902248"/>
    <w:rsid w:val="009024DA"/>
    <w:rsid w:val="009025D2"/>
    <w:rsid w:val="009029C5"/>
    <w:rsid w:val="009033FF"/>
    <w:rsid w:val="00903A1A"/>
    <w:rsid w:val="009040ED"/>
    <w:rsid w:val="009041F0"/>
    <w:rsid w:val="0090433F"/>
    <w:rsid w:val="009043D2"/>
    <w:rsid w:val="009046C4"/>
    <w:rsid w:val="00904765"/>
    <w:rsid w:val="00904D9B"/>
    <w:rsid w:val="00904E37"/>
    <w:rsid w:val="00905122"/>
    <w:rsid w:val="0090514A"/>
    <w:rsid w:val="00905966"/>
    <w:rsid w:val="00905D43"/>
    <w:rsid w:val="00905DC5"/>
    <w:rsid w:val="00905E03"/>
    <w:rsid w:val="00905FF7"/>
    <w:rsid w:val="009061C7"/>
    <w:rsid w:val="009062A2"/>
    <w:rsid w:val="009062A5"/>
    <w:rsid w:val="0090699A"/>
    <w:rsid w:val="00906D87"/>
    <w:rsid w:val="009072D4"/>
    <w:rsid w:val="00907699"/>
    <w:rsid w:val="00907822"/>
    <w:rsid w:val="00907A47"/>
    <w:rsid w:val="00910376"/>
    <w:rsid w:val="009103A4"/>
    <w:rsid w:val="009105DA"/>
    <w:rsid w:val="009107DF"/>
    <w:rsid w:val="009109EF"/>
    <w:rsid w:val="00910E09"/>
    <w:rsid w:val="00910FA7"/>
    <w:rsid w:val="00911272"/>
    <w:rsid w:val="00911339"/>
    <w:rsid w:val="009114C4"/>
    <w:rsid w:val="00911718"/>
    <w:rsid w:val="00911E33"/>
    <w:rsid w:val="009124F7"/>
    <w:rsid w:val="0091266B"/>
    <w:rsid w:val="00912743"/>
    <w:rsid w:val="00912AF8"/>
    <w:rsid w:val="00912B1B"/>
    <w:rsid w:val="00913008"/>
    <w:rsid w:val="009135CE"/>
    <w:rsid w:val="009135D0"/>
    <w:rsid w:val="009135D6"/>
    <w:rsid w:val="0091372C"/>
    <w:rsid w:val="009137DF"/>
    <w:rsid w:val="00913E23"/>
    <w:rsid w:val="00914011"/>
    <w:rsid w:val="009142CE"/>
    <w:rsid w:val="00914557"/>
    <w:rsid w:val="009145B7"/>
    <w:rsid w:val="009148BE"/>
    <w:rsid w:val="00914AE2"/>
    <w:rsid w:val="00914C77"/>
    <w:rsid w:val="00914C9B"/>
    <w:rsid w:val="00914D5A"/>
    <w:rsid w:val="00914D67"/>
    <w:rsid w:val="009165E3"/>
    <w:rsid w:val="00916694"/>
    <w:rsid w:val="00916D57"/>
    <w:rsid w:val="00916DC7"/>
    <w:rsid w:val="009170D2"/>
    <w:rsid w:val="00917203"/>
    <w:rsid w:val="009176CD"/>
    <w:rsid w:val="0091783D"/>
    <w:rsid w:val="00917A21"/>
    <w:rsid w:val="00920255"/>
    <w:rsid w:val="009202E6"/>
    <w:rsid w:val="009207A0"/>
    <w:rsid w:val="0092086D"/>
    <w:rsid w:val="00920B99"/>
    <w:rsid w:val="00920C10"/>
    <w:rsid w:val="0092148B"/>
    <w:rsid w:val="009217D2"/>
    <w:rsid w:val="00921ACB"/>
    <w:rsid w:val="00921C67"/>
    <w:rsid w:val="00921C92"/>
    <w:rsid w:val="00921CBB"/>
    <w:rsid w:val="0092283F"/>
    <w:rsid w:val="00922BD5"/>
    <w:rsid w:val="00922D38"/>
    <w:rsid w:val="0092360E"/>
    <w:rsid w:val="0092365F"/>
    <w:rsid w:val="0092369B"/>
    <w:rsid w:val="00923BAA"/>
    <w:rsid w:val="00925D2A"/>
    <w:rsid w:val="00926A52"/>
    <w:rsid w:val="0092753B"/>
    <w:rsid w:val="009279FF"/>
    <w:rsid w:val="009301A7"/>
    <w:rsid w:val="00930264"/>
    <w:rsid w:val="009303D1"/>
    <w:rsid w:val="00930BBF"/>
    <w:rsid w:val="009311F9"/>
    <w:rsid w:val="00931261"/>
    <w:rsid w:val="00931381"/>
    <w:rsid w:val="0093165E"/>
    <w:rsid w:val="00931AC5"/>
    <w:rsid w:val="00931E24"/>
    <w:rsid w:val="00932091"/>
    <w:rsid w:val="009320FE"/>
    <w:rsid w:val="009322F3"/>
    <w:rsid w:val="009329B5"/>
    <w:rsid w:val="00932C88"/>
    <w:rsid w:val="00932C9F"/>
    <w:rsid w:val="00932DD4"/>
    <w:rsid w:val="00932FDD"/>
    <w:rsid w:val="00933010"/>
    <w:rsid w:val="009330D0"/>
    <w:rsid w:val="0093312C"/>
    <w:rsid w:val="009335F8"/>
    <w:rsid w:val="0093374B"/>
    <w:rsid w:val="00933760"/>
    <w:rsid w:val="009337D9"/>
    <w:rsid w:val="0093383F"/>
    <w:rsid w:val="009338BE"/>
    <w:rsid w:val="00933B6B"/>
    <w:rsid w:val="00933D94"/>
    <w:rsid w:val="00934418"/>
    <w:rsid w:val="00934988"/>
    <w:rsid w:val="00934ACA"/>
    <w:rsid w:val="00934D24"/>
    <w:rsid w:val="00934DA8"/>
    <w:rsid w:val="00934F25"/>
    <w:rsid w:val="00935F5A"/>
    <w:rsid w:val="00936041"/>
    <w:rsid w:val="0093609B"/>
    <w:rsid w:val="00936264"/>
    <w:rsid w:val="00936310"/>
    <w:rsid w:val="009363B6"/>
    <w:rsid w:val="00936443"/>
    <w:rsid w:val="00936B7F"/>
    <w:rsid w:val="00937089"/>
    <w:rsid w:val="00937396"/>
    <w:rsid w:val="00937758"/>
    <w:rsid w:val="00937C79"/>
    <w:rsid w:val="00937EE7"/>
    <w:rsid w:val="00940B7B"/>
    <w:rsid w:val="009412C5"/>
    <w:rsid w:val="009417FD"/>
    <w:rsid w:val="009419BF"/>
    <w:rsid w:val="00941AA3"/>
    <w:rsid w:val="00941BA4"/>
    <w:rsid w:val="00941F02"/>
    <w:rsid w:val="00942402"/>
    <w:rsid w:val="009425B2"/>
    <w:rsid w:val="00942C5C"/>
    <w:rsid w:val="00943239"/>
    <w:rsid w:val="009437D5"/>
    <w:rsid w:val="009439DB"/>
    <w:rsid w:val="00943C5B"/>
    <w:rsid w:val="00943EBB"/>
    <w:rsid w:val="00943FFA"/>
    <w:rsid w:val="009440BA"/>
    <w:rsid w:val="0094414C"/>
    <w:rsid w:val="00944E56"/>
    <w:rsid w:val="00944F1F"/>
    <w:rsid w:val="00944F8A"/>
    <w:rsid w:val="0094566D"/>
    <w:rsid w:val="00945922"/>
    <w:rsid w:val="00945A05"/>
    <w:rsid w:val="00945B9D"/>
    <w:rsid w:val="00945F98"/>
    <w:rsid w:val="00945FE5"/>
    <w:rsid w:val="00946CF8"/>
    <w:rsid w:val="00946D9F"/>
    <w:rsid w:val="009471EF"/>
    <w:rsid w:val="009472AA"/>
    <w:rsid w:val="00950765"/>
    <w:rsid w:val="00950CA6"/>
    <w:rsid w:val="00950EAA"/>
    <w:rsid w:val="009510A2"/>
    <w:rsid w:val="009513A8"/>
    <w:rsid w:val="00951B77"/>
    <w:rsid w:val="00951DDB"/>
    <w:rsid w:val="009527AA"/>
    <w:rsid w:val="009529E1"/>
    <w:rsid w:val="00952C97"/>
    <w:rsid w:val="00953257"/>
    <w:rsid w:val="00953527"/>
    <w:rsid w:val="0095474C"/>
    <w:rsid w:val="00954796"/>
    <w:rsid w:val="00954848"/>
    <w:rsid w:val="00954C51"/>
    <w:rsid w:val="0095512E"/>
    <w:rsid w:val="00955601"/>
    <w:rsid w:val="009557CF"/>
    <w:rsid w:val="0095592D"/>
    <w:rsid w:val="00955C11"/>
    <w:rsid w:val="00955C1D"/>
    <w:rsid w:val="00955FF3"/>
    <w:rsid w:val="0095671A"/>
    <w:rsid w:val="00956720"/>
    <w:rsid w:val="00957272"/>
    <w:rsid w:val="00957526"/>
    <w:rsid w:val="009576BB"/>
    <w:rsid w:val="0095774F"/>
    <w:rsid w:val="00957D92"/>
    <w:rsid w:val="009600A5"/>
    <w:rsid w:val="009601F3"/>
    <w:rsid w:val="00960CCE"/>
    <w:rsid w:val="00960CEA"/>
    <w:rsid w:val="00960D68"/>
    <w:rsid w:val="00960D98"/>
    <w:rsid w:val="00960DB5"/>
    <w:rsid w:val="009615A9"/>
    <w:rsid w:val="009626C7"/>
    <w:rsid w:val="0096283A"/>
    <w:rsid w:val="00962CB9"/>
    <w:rsid w:val="00962F99"/>
    <w:rsid w:val="00963734"/>
    <w:rsid w:val="00963742"/>
    <w:rsid w:val="00964237"/>
    <w:rsid w:val="00964312"/>
    <w:rsid w:val="0096475A"/>
    <w:rsid w:val="00964C97"/>
    <w:rsid w:val="00964E95"/>
    <w:rsid w:val="00964FC2"/>
    <w:rsid w:val="009652C5"/>
    <w:rsid w:val="00965B8A"/>
    <w:rsid w:val="00966397"/>
    <w:rsid w:val="009663A7"/>
    <w:rsid w:val="00966871"/>
    <w:rsid w:val="00966AE6"/>
    <w:rsid w:val="00966EF1"/>
    <w:rsid w:val="00967758"/>
    <w:rsid w:val="0096780E"/>
    <w:rsid w:val="00967938"/>
    <w:rsid w:val="009704A0"/>
    <w:rsid w:val="0097071F"/>
    <w:rsid w:val="009709CE"/>
    <w:rsid w:val="009710A7"/>
    <w:rsid w:val="009713A7"/>
    <w:rsid w:val="009714D5"/>
    <w:rsid w:val="009717AC"/>
    <w:rsid w:val="009717C4"/>
    <w:rsid w:val="00971AE5"/>
    <w:rsid w:val="00971B2B"/>
    <w:rsid w:val="00971CBB"/>
    <w:rsid w:val="00971F59"/>
    <w:rsid w:val="00971FE5"/>
    <w:rsid w:val="009722A7"/>
    <w:rsid w:val="00972349"/>
    <w:rsid w:val="00972BB4"/>
    <w:rsid w:val="00972C7A"/>
    <w:rsid w:val="00972D10"/>
    <w:rsid w:val="009737B6"/>
    <w:rsid w:val="00974033"/>
    <w:rsid w:val="00974BD3"/>
    <w:rsid w:val="00974CD1"/>
    <w:rsid w:val="00974D54"/>
    <w:rsid w:val="00974E52"/>
    <w:rsid w:val="00975004"/>
    <w:rsid w:val="00975064"/>
    <w:rsid w:val="009751BC"/>
    <w:rsid w:val="009751C1"/>
    <w:rsid w:val="0097552F"/>
    <w:rsid w:val="00975A23"/>
    <w:rsid w:val="00976337"/>
    <w:rsid w:val="009767E0"/>
    <w:rsid w:val="00977021"/>
    <w:rsid w:val="009774E9"/>
    <w:rsid w:val="00977715"/>
    <w:rsid w:val="0097789F"/>
    <w:rsid w:val="009779F3"/>
    <w:rsid w:val="0098035E"/>
    <w:rsid w:val="0098059F"/>
    <w:rsid w:val="0098094C"/>
    <w:rsid w:val="00980F16"/>
    <w:rsid w:val="009811F1"/>
    <w:rsid w:val="00982282"/>
    <w:rsid w:val="009825E3"/>
    <w:rsid w:val="00982818"/>
    <w:rsid w:val="00982C7B"/>
    <w:rsid w:val="00982F41"/>
    <w:rsid w:val="00983155"/>
    <w:rsid w:val="009836F6"/>
    <w:rsid w:val="00983959"/>
    <w:rsid w:val="00983D4C"/>
    <w:rsid w:val="00983E57"/>
    <w:rsid w:val="00983F39"/>
    <w:rsid w:val="00984017"/>
    <w:rsid w:val="009851B8"/>
    <w:rsid w:val="00985DE2"/>
    <w:rsid w:val="00985FB5"/>
    <w:rsid w:val="00986021"/>
    <w:rsid w:val="009861C4"/>
    <w:rsid w:val="0098639B"/>
    <w:rsid w:val="0098675D"/>
    <w:rsid w:val="00986A9B"/>
    <w:rsid w:val="00986B75"/>
    <w:rsid w:val="00986E69"/>
    <w:rsid w:val="00987BA4"/>
    <w:rsid w:val="00987CA8"/>
    <w:rsid w:val="00990112"/>
    <w:rsid w:val="00990971"/>
    <w:rsid w:val="00990C69"/>
    <w:rsid w:val="00990E01"/>
    <w:rsid w:val="00991660"/>
    <w:rsid w:val="0099177A"/>
    <w:rsid w:val="009921CF"/>
    <w:rsid w:val="0099242D"/>
    <w:rsid w:val="009924C9"/>
    <w:rsid w:val="009926E0"/>
    <w:rsid w:val="009927B9"/>
    <w:rsid w:val="00992814"/>
    <w:rsid w:val="00992A59"/>
    <w:rsid w:val="0099306E"/>
    <w:rsid w:val="00993320"/>
    <w:rsid w:val="0099384A"/>
    <w:rsid w:val="00993937"/>
    <w:rsid w:val="00993C68"/>
    <w:rsid w:val="0099451E"/>
    <w:rsid w:val="00995A02"/>
    <w:rsid w:val="00995E91"/>
    <w:rsid w:val="00996B1A"/>
    <w:rsid w:val="00996C96"/>
    <w:rsid w:val="00996E5C"/>
    <w:rsid w:val="00996F7D"/>
    <w:rsid w:val="00997477"/>
    <w:rsid w:val="00997D62"/>
    <w:rsid w:val="00997DF4"/>
    <w:rsid w:val="00997EEF"/>
    <w:rsid w:val="009A029F"/>
    <w:rsid w:val="009A036B"/>
    <w:rsid w:val="009A0395"/>
    <w:rsid w:val="009A071F"/>
    <w:rsid w:val="009A18F6"/>
    <w:rsid w:val="009A1EE4"/>
    <w:rsid w:val="009A209E"/>
    <w:rsid w:val="009A2AEC"/>
    <w:rsid w:val="009A2DCC"/>
    <w:rsid w:val="009A2E8D"/>
    <w:rsid w:val="009A44C4"/>
    <w:rsid w:val="009A4C46"/>
    <w:rsid w:val="009A5376"/>
    <w:rsid w:val="009A58F4"/>
    <w:rsid w:val="009A5ABC"/>
    <w:rsid w:val="009A5B9C"/>
    <w:rsid w:val="009A5DE6"/>
    <w:rsid w:val="009A69E7"/>
    <w:rsid w:val="009A6D15"/>
    <w:rsid w:val="009A6DFE"/>
    <w:rsid w:val="009A7D1F"/>
    <w:rsid w:val="009A7DDA"/>
    <w:rsid w:val="009A7EA7"/>
    <w:rsid w:val="009A7F10"/>
    <w:rsid w:val="009B0021"/>
    <w:rsid w:val="009B00AB"/>
    <w:rsid w:val="009B03A7"/>
    <w:rsid w:val="009B08AC"/>
    <w:rsid w:val="009B116D"/>
    <w:rsid w:val="009B16BA"/>
    <w:rsid w:val="009B1A62"/>
    <w:rsid w:val="009B28EE"/>
    <w:rsid w:val="009B3099"/>
    <w:rsid w:val="009B3856"/>
    <w:rsid w:val="009B3D9D"/>
    <w:rsid w:val="009B3E26"/>
    <w:rsid w:val="009B3EFE"/>
    <w:rsid w:val="009B467F"/>
    <w:rsid w:val="009B47A0"/>
    <w:rsid w:val="009B4C4D"/>
    <w:rsid w:val="009B4EE7"/>
    <w:rsid w:val="009B4F5C"/>
    <w:rsid w:val="009B5D59"/>
    <w:rsid w:val="009B5D5D"/>
    <w:rsid w:val="009B5E2B"/>
    <w:rsid w:val="009B6456"/>
    <w:rsid w:val="009B6D3C"/>
    <w:rsid w:val="009B6EFE"/>
    <w:rsid w:val="009B717D"/>
    <w:rsid w:val="009B7525"/>
    <w:rsid w:val="009B759A"/>
    <w:rsid w:val="009B76BB"/>
    <w:rsid w:val="009B7D68"/>
    <w:rsid w:val="009C008C"/>
    <w:rsid w:val="009C022D"/>
    <w:rsid w:val="009C0405"/>
    <w:rsid w:val="009C0949"/>
    <w:rsid w:val="009C09F5"/>
    <w:rsid w:val="009C0DAD"/>
    <w:rsid w:val="009C0EA4"/>
    <w:rsid w:val="009C0FE5"/>
    <w:rsid w:val="009C1271"/>
    <w:rsid w:val="009C1465"/>
    <w:rsid w:val="009C158F"/>
    <w:rsid w:val="009C1AE5"/>
    <w:rsid w:val="009C2335"/>
    <w:rsid w:val="009C24E1"/>
    <w:rsid w:val="009C2576"/>
    <w:rsid w:val="009C3706"/>
    <w:rsid w:val="009C37B4"/>
    <w:rsid w:val="009C3859"/>
    <w:rsid w:val="009C3A3A"/>
    <w:rsid w:val="009C3A71"/>
    <w:rsid w:val="009C3D48"/>
    <w:rsid w:val="009C41EE"/>
    <w:rsid w:val="009C445E"/>
    <w:rsid w:val="009C5083"/>
    <w:rsid w:val="009C5259"/>
    <w:rsid w:val="009C528F"/>
    <w:rsid w:val="009C55D3"/>
    <w:rsid w:val="009C57DE"/>
    <w:rsid w:val="009C6566"/>
    <w:rsid w:val="009C6685"/>
    <w:rsid w:val="009C691E"/>
    <w:rsid w:val="009C694E"/>
    <w:rsid w:val="009C69DC"/>
    <w:rsid w:val="009C6CEA"/>
    <w:rsid w:val="009C7235"/>
    <w:rsid w:val="009C74E7"/>
    <w:rsid w:val="009C7B85"/>
    <w:rsid w:val="009D0254"/>
    <w:rsid w:val="009D08DA"/>
    <w:rsid w:val="009D1135"/>
    <w:rsid w:val="009D1316"/>
    <w:rsid w:val="009D1364"/>
    <w:rsid w:val="009D13DA"/>
    <w:rsid w:val="009D1A64"/>
    <w:rsid w:val="009D1B21"/>
    <w:rsid w:val="009D1B3E"/>
    <w:rsid w:val="009D2847"/>
    <w:rsid w:val="009D29A4"/>
    <w:rsid w:val="009D2D5F"/>
    <w:rsid w:val="009D3394"/>
    <w:rsid w:val="009D3474"/>
    <w:rsid w:val="009D40E8"/>
    <w:rsid w:val="009D44A4"/>
    <w:rsid w:val="009D4807"/>
    <w:rsid w:val="009D580D"/>
    <w:rsid w:val="009D5825"/>
    <w:rsid w:val="009D5830"/>
    <w:rsid w:val="009D5B91"/>
    <w:rsid w:val="009D5E8C"/>
    <w:rsid w:val="009D6EBC"/>
    <w:rsid w:val="009D72A7"/>
    <w:rsid w:val="009D792E"/>
    <w:rsid w:val="009D798F"/>
    <w:rsid w:val="009D7BC2"/>
    <w:rsid w:val="009E0032"/>
    <w:rsid w:val="009E0130"/>
    <w:rsid w:val="009E064A"/>
    <w:rsid w:val="009E0760"/>
    <w:rsid w:val="009E086B"/>
    <w:rsid w:val="009E0DFE"/>
    <w:rsid w:val="009E114D"/>
    <w:rsid w:val="009E12C9"/>
    <w:rsid w:val="009E160C"/>
    <w:rsid w:val="009E1C6F"/>
    <w:rsid w:val="009E201B"/>
    <w:rsid w:val="009E2164"/>
    <w:rsid w:val="009E248C"/>
    <w:rsid w:val="009E26AB"/>
    <w:rsid w:val="009E275C"/>
    <w:rsid w:val="009E2DBD"/>
    <w:rsid w:val="009E31F6"/>
    <w:rsid w:val="009E3442"/>
    <w:rsid w:val="009E34CD"/>
    <w:rsid w:val="009E3620"/>
    <w:rsid w:val="009E40C7"/>
    <w:rsid w:val="009E49E3"/>
    <w:rsid w:val="009E4C07"/>
    <w:rsid w:val="009E4EC9"/>
    <w:rsid w:val="009E540E"/>
    <w:rsid w:val="009E557F"/>
    <w:rsid w:val="009E5B2B"/>
    <w:rsid w:val="009E6475"/>
    <w:rsid w:val="009E6686"/>
    <w:rsid w:val="009E6D9F"/>
    <w:rsid w:val="009E6E96"/>
    <w:rsid w:val="009E761A"/>
    <w:rsid w:val="009E777F"/>
    <w:rsid w:val="009E7E72"/>
    <w:rsid w:val="009E7ED6"/>
    <w:rsid w:val="009F07AD"/>
    <w:rsid w:val="009F0FD6"/>
    <w:rsid w:val="009F13E5"/>
    <w:rsid w:val="009F143E"/>
    <w:rsid w:val="009F1727"/>
    <w:rsid w:val="009F18E2"/>
    <w:rsid w:val="009F192F"/>
    <w:rsid w:val="009F1E16"/>
    <w:rsid w:val="009F21F7"/>
    <w:rsid w:val="009F22B9"/>
    <w:rsid w:val="009F28DA"/>
    <w:rsid w:val="009F3B1E"/>
    <w:rsid w:val="009F3E4C"/>
    <w:rsid w:val="009F3F0A"/>
    <w:rsid w:val="009F4533"/>
    <w:rsid w:val="009F4743"/>
    <w:rsid w:val="009F4F80"/>
    <w:rsid w:val="009F54F2"/>
    <w:rsid w:val="009F60BA"/>
    <w:rsid w:val="009F6120"/>
    <w:rsid w:val="009F6143"/>
    <w:rsid w:val="009F630C"/>
    <w:rsid w:val="009F68E6"/>
    <w:rsid w:val="009F6A9C"/>
    <w:rsid w:val="009F6BAE"/>
    <w:rsid w:val="009F7461"/>
    <w:rsid w:val="009F75EE"/>
    <w:rsid w:val="009F77F6"/>
    <w:rsid w:val="009F7DDD"/>
    <w:rsid w:val="00A00531"/>
    <w:rsid w:val="00A00909"/>
    <w:rsid w:val="00A00A50"/>
    <w:rsid w:val="00A00A7D"/>
    <w:rsid w:val="00A00D76"/>
    <w:rsid w:val="00A00E83"/>
    <w:rsid w:val="00A01184"/>
    <w:rsid w:val="00A012C7"/>
    <w:rsid w:val="00A0132E"/>
    <w:rsid w:val="00A01449"/>
    <w:rsid w:val="00A018DD"/>
    <w:rsid w:val="00A01A8E"/>
    <w:rsid w:val="00A01EAB"/>
    <w:rsid w:val="00A02F33"/>
    <w:rsid w:val="00A02F6A"/>
    <w:rsid w:val="00A03231"/>
    <w:rsid w:val="00A0329E"/>
    <w:rsid w:val="00A037C2"/>
    <w:rsid w:val="00A0397F"/>
    <w:rsid w:val="00A03D43"/>
    <w:rsid w:val="00A03D9E"/>
    <w:rsid w:val="00A03EFD"/>
    <w:rsid w:val="00A041C3"/>
    <w:rsid w:val="00A04380"/>
    <w:rsid w:val="00A04786"/>
    <w:rsid w:val="00A05365"/>
    <w:rsid w:val="00A053B6"/>
    <w:rsid w:val="00A05472"/>
    <w:rsid w:val="00A05820"/>
    <w:rsid w:val="00A05906"/>
    <w:rsid w:val="00A05C32"/>
    <w:rsid w:val="00A06360"/>
    <w:rsid w:val="00A063DD"/>
    <w:rsid w:val="00A064B6"/>
    <w:rsid w:val="00A0653F"/>
    <w:rsid w:val="00A06B2A"/>
    <w:rsid w:val="00A06B4E"/>
    <w:rsid w:val="00A0731B"/>
    <w:rsid w:val="00A0791F"/>
    <w:rsid w:val="00A07C5E"/>
    <w:rsid w:val="00A07DB3"/>
    <w:rsid w:val="00A10396"/>
    <w:rsid w:val="00A10B21"/>
    <w:rsid w:val="00A111DB"/>
    <w:rsid w:val="00A11CD0"/>
    <w:rsid w:val="00A121E7"/>
    <w:rsid w:val="00A128DA"/>
    <w:rsid w:val="00A128F7"/>
    <w:rsid w:val="00A12A26"/>
    <w:rsid w:val="00A12B7D"/>
    <w:rsid w:val="00A12E58"/>
    <w:rsid w:val="00A13197"/>
    <w:rsid w:val="00A13246"/>
    <w:rsid w:val="00A13948"/>
    <w:rsid w:val="00A13B90"/>
    <w:rsid w:val="00A14426"/>
    <w:rsid w:val="00A14953"/>
    <w:rsid w:val="00A14B15"/>
    <w:rsid w:val="00A14F19"/>
    <w:rsid w:val="00A1536F"/>
    <w:rsid w:val="00A154BA"/>
    <w:rsid w:val="00A1555B"/>
    <w:rsid w:val="00A155C5"/>
    <w:rsid w:val="00A161C1"/>
    <w:rsid w:val="00A161C3"/>
    <w:rsid w:val="00A16261"/>
    <w:rsid w:val="00A1640A"/>
    <w:rsid w:val="00A1670F"/>
    <w:rsid w:val="00A16AD8"/>
    <w:rsid w:val="00A16DD1"/>
    <w:rsid w:val="00A1759F"/>
    <w:rsid w:val="00A2021E"/>
    <w:rsid w:val="00A20FBC"/>
    <w:rsid w:val="00A2114E"/>
    <w:rsid w:val="00A215D0"/>
    <w:rsid w:val="00A2186D"/>
    <w:rsid w:val="00A2189B"/>
    <w:rsid w:val="00A21C95"/>
    <w:rsid w:val="00A21CF3"/>
    <w:rsid w:val="00A21EE8"/>
    <w:rsid w:val="00A2241C"/>
    <w:rsid w:val="00A23687"/>
    <w:rsid w:val="00A2436B"/>
    <w:rsid w:val="00A24813"/>
    <w:rsid w:val="00A2513A"/>
    <w:rsid w:val="00A258D4"/>
    <w:rsid w:val="00A25E59"/>
    <w:rsid w:val="00A267AF"/>
    <w:rsid w:val="00A267EC"/>
    <w:rsid w:val="00A26B70"/>
    <w:rsid w:val="00A26EC7"/>
    <w:rsid w:val="00A26EFD"/>
    <w:rsid w:val="00A27AEC"/>
    <w:rsid w:val="00A27B87"/>
    <w:rsid w:val="00A27B9D"/>
    <w:rsid w:val="00A27CA0"/>
    <w:rsid w:val="00A27CD9"/>
    <w:rsid w:val="00A27EEF"/>
    <w:rsid w:val="00A3048D"/>
    <w:rsid w:val="00A30C31"/>
    <w:rsid w:val="00A30C32"/>
    <w:rsid w:val="00A31123"/>
    <w:rsid w:val="00A3115D"/>
    <w:rsid w:val="00A317A0"/>
    <w:rsid w:val="00A31BAB"/>
    <w:rsid w:val="00A31DE1"/>
    <w:rsid w:val="00A31F97"/>
    <w:rsid w:val="00A320DB"/>
    <w:rsid w:val="00A3250A"/>
    <w:rsid w:val="00A325F7"/>
    <w:rsid w:val="00A329E6"/>
    <w:rsid w:val="00A32C2C"/>
    <w:rsid w:val="00A3326B"/>
    <w:rsid w:val="00A332E9"/>
    <w:rsid w:val="00A33676"/>
    <w:rsid w:val="00A337AA"/>
    <w:rsid w:val="00A337E6"/>
    <w:rsid w:val="00A33985"/>
    <w:rsid w:val="00A33A0D"/>
    <w:rsid w:val="00A33B8B"/>
    <w:rsid w:val="00A340CC"/>
    <w:rsid w:val="00A3524F"/>
    <w:rsid w:val="00A35258"/>
    <w:rsid w:val="00A356EB"/>
    <w:rsid w:val="00A35C0A"/>
    <w:rsid w:val="00A35D16"/>
    <w:rsid w:val="00A35DBD"/>
    <w:rsid w:val="00A35F0C"/>
    <w:rsid w:val="00A360BC"/>
    <w:rsid w:val="00A36AAD"/>
    <w:rsid w:val="00A36EFE"/>
    <w:rsid w:val="00A37496"/>
    <w:rsid w:val="00A37BCD"/>
    <w:rsid w:val="00A400A2"/>
    <w:rsid w:val="00A4029C"/>
    <w:rsid w:val="00A4063F"/>
    <w:rsid w:val="00A40FE6"/>
    <w:rsid w:val="00A4103C"/>
    <w:rsid w:val="00A41689"/>
    <w:rsid w:val="00A416EF"/>
    <w:rsid w:val="00A41A57"/>
    <w:rsid w:val="00A41D48"/>
    <w:rsid w:val="00A42592"/>
    <w:rsid w:val="00A42C70"/>
    <w:rsid w:val="00A42D7C"/>
    <w:rsid w:val="00A42E25"/>
    <w:rsid w:val="00A4319F"/>
    <w:rsid w:val="00A43C59"/>
    <w:rsid w:val="00A44404"/>
    <w:rsid w:val="00A44719"/>
    <w:rsid w:val="00A451A8"/>
    <w:rsid w:val="00A452AA"/>
    <w:rsid w:val="00A45BCA"/>
    <w:rsid w:val="00A46279"/>
    <w:rsid w:val="00A46352"/>
    <w:rsid w:val="00A464F2"/>
    <w:rsid w:val="00A465F3"/>
    <w:rsid w:val="00A46AC9"/>
    <w:rsid w:val="00A4702C"/>
    <w:rsid w:val="00A47E8F"/>
    <w:rsid w:val="00A5015F"/>
    <w:rsid w:val="00A50648"/>
    <w:rsid w:val="00A5064B"/>
    <w:rsid w:val="00A5064F"/>
    <w:rsid w:val="00A50A69"/>
    <w:rsid w:val="00A50ECD"/>
    <w:rsid w:val="00A518B4"/>
    <w:rsid w:val="00A518F3"/>
    <w:rsid w:val="00A51B6B"/>
    <w:rsid w:val="00A51DF4"/>
    <w:rsid w:val="00A52669"/>
    <w:rsid w:val="00A52729"/>
    <w:rsid w:val="00A53270"/>
    <w:rsid w:val="00A53399"/>
    <w:rsid w:val="00A53675"/>
    <w:rsid w:val="00A53EE4"/>
    <w:rsid w:val="00A54156"/>
    <w:rsid w:val="00A54562"/>
    <w:rsid w:val="00A54725"/>
    <w:rsid w:val="00A54E11"/>
    <w:rsid w:val="00A54EE2"/>
    <w:rsid w:val="00A5528B"/>
    <w:rsid w:val="00A55B76"/>
    <w:rsid w:val="00A55DE6"/>
    <w:rsid w:val="00A561D6"/>
    <w:rsid w:val="00A564D7"/>
    <w:rsid w:val="00A566D1"/>
    <w:rsid w:val="00A569ED"/>
    <w:rsid w:val="00A56B6A"/>
    <w:rsid w:val="00A5712C"/>
    <w:rsid w:val="00A576F7"/>
    <w:rsid w:val="00A577CE"/>
    <w:rsid w:val="00A578DC"/>
    <w:rsid w:val="00A57C60"/>
    <w:rsid w:val="00A6020D"/>
    <w:rsid w:val="00A60328"/>
    <w:rsid w:val="00A60447"/>
    <w:rsid w:val="00A608A3"/>
    <w:rsid w:val="00A60D28"/>
    <w:rsid w:val="00A61223"/>
    <w:rsid w:val="00A6140A"/>
    <w:rsid w:val="00A61CA0"/>
    <w:rsid w:val="00A61D09"/>
    <w:rsid w:val="00A62078"/>
    <w:rsid w:val="00A62121"/>
    <w:rsid w:val="00A6227D"/>
    <w:rsid w:val="00A623AD"/>
    <w:rsid w:val="00A62848"/>
    <w:rsid w:val="00A62A77"/>
    <w:rsid w:val="00A62E8E"/>
    <w:rsid w:val="00A631A9"/>
    <w:rsid w:val="00A6324D"/>
    <w:rsid w:val="00A632C8"/>
    <w:rsid w:val="00A63326"/>
    <w:rsid w:val="00A63388"/>
    <w:rsid w:val="00A637AA"/>
    <w:rsid w:val="00A63957"/>
    <w:rsid w:val="00A63DB0"/>
    <w:rsid w:val="00A63E44"/>
    <w:rsid w:val="00A640E2"/>
    <w:rsid w:val="00A645ED"/>
    <w:rsid w:val="00A646D7"/>
    <w:rsid w:val="00A64B70"/>
    <w:rsid w:val="00A64D65"/>
    <w:rsid w:val="00A64D6E"/>
    <w:rsid w:val="00A64F37"/>
    <w:rsid w:val="00A655AE"/>
    <w:rsid w:val="00A6573A"/>
    <w:rsid w:val="00A65DB8"/>
    <w:rsid w:val="00A65F77"/>
    <w:rsid w:val="00A662C6"/>
    <w:rsid w:val="00A66B0C"/>
    <w:rsid w:val="00A6725B"/>
    <w:rsid w:val="00A67279"/>
    <w:rsid w:val="00A67550"/>
    <w:rsid w:val="00A677A8"/>
    <w:rsid w:val="00A67FC3"/>
    <w:rsid w:val="00A7028B"/>
    <w:rsid w:val="00A70605"/>
    <w:rsid w:val="00A70756"/>
    <w:rsid w:val="00A710F5"/>
    <w:rsid w:val="00A7173A"/>
    <w:rsid w:val="00A718EF"/>
    <w:rsid w:val="00A71CD4"/>
    <w:rsid w:val="00A72438"/>
    <w:rsid w:val="00A73134"/>
    <w:rsid w:val="00A731BD"/>
    <w:rsid w:val="00A73492"/>
    <w:rsid w:val="00A7365A"/>
    <w:rsid w:val="00A73852"/>
    <w:rsid w:val="00A73DB9"/>
    <w:rsid w:val="00A74409"/>
    <w:rsid w:val="00A74630"/>
    <w:rsid w:val="00A748C9"/>
    <w:rsid w:val="00A74987"/>
    <w:rsid w:val="00A74EE0"/>
    <w:rsid w:val="00A75033"/>
    <w:rsid w:val="00A75767"/>
    <w:rsid w:val="00A75ACE"/>
    <w:rsid w:val="00A75BAB"/>
    <w:rsid w:val="00A75EE1"/>
    <w:rsid w:val="00A75FF1"/>
    <w:rsid w:val="00A76001"/>
    <w:rsid w:val="00A76682"/>
    <w:rsid w:val="00A76749"/>
    <w:rsid w:val="00A76A47"/>
    <w:rsid w:val="00A76F76"/>
    <w:rsid w:val="00A77283"/>
    <w:rsid w:val="00A77415"/>
    <w:rsid w:val="00A77664"/>
    <w:rsid w:val="00A777B2"/>
    <w:rsid w:val="00A77A40"/>
    <w:rsid w:val="00A80021"/>
    <w:rsid w:val="00A80086"/>
    <w:rsid w:val="00A80556"/>
    <w:rsid w:val="00A8091C"/>
    <w:rsid w:val="00A81437"/>
    <w:rsid w:val="00A818D5"/>
    <w:rsid w:val="00A81B98"/>
    <w:rsid w:val="00A81DA1"/>
    <w:rsid w:val="00A81E38"/>
    <w:rsid w:val="00A825D4"/>
    <w:rsid w:val="00A828F6"/>
    <w:rsid w:val="00A82B73"/>
    <w:rsid w:val="00A82BD9"/>
    <w:rsid w:val="00A82BF1"/>
    <w:rsid w:val="00A83CF4"/>
    <w:rsid w:val="00A83D1A"/>
    <w:rsid w:val="00A846B3"/>
    <w:rsid w:val="00A84790"/>
    <w:rsid w:val="00A84881"/>
    <w:rsid w:val="00A848D5"/>
    <w:rsid w:val="00A84959"/>
    <w:rsid w:val="00A8499A"/>
    <w:rsid w:val="00A84AD6"/>
    <w:rsid w:val="00A84B76"/>
    <w:rsid w:val="00A858EE"/>
    <w:rsid w:val="00A86279"/>
    <w:rsid w:val="00A86E8B"/>
    <w:rsid w:val="00A86EEE"/>
    <w:rsid w:val="00A870BC"/>
    <w:rsid w:val="00A870DA"/>
    <w:rsid w:val="00A87164"/>
    <w:rsid w:val="00A8764A"/>
    <w:rsid w:val="00A87916"/>
    <w:rsid w:val="00A87AFB"/>
    <w:rsid w:val="00A87D38"/>
    <w:rsid w:val="00A87F20"/>
    <w:rsid w:val="00A9008E"/>
    <w:rsid w:val="00A90778"/>
    <w:rsid w:val="00A908D5"/>
    <w:rsid w:val="00A90DBD"/>
    <w:rsid w:val="00A90ECF"/>
    <w:rsid w:val="00A91443"/>
    <w:rsid w:val="00A91462"/>
    <w:rsid w:val="00A914E3"/>
    <w:rsid w:val="00A922B1"/>
    <w:rsid w:val="00A922F5"/>
    <w:rsid w:val="00A92394"/>
    <w:rsid w:val="00A925A0"/>
    <w:rsid w:val="00A92614"/>
    <w:rsid w:val="00A927A5"/>
    <w:rsid w:val="00A927AF"/>
    <w:rsid w:val="00A927D3"/>
    <w:rsid w:val="00A92D3C"/>
    <w:rsid w:val="00A92E9D"/>
    <w:rsid w:val="00A93072"/>
    <w:rsid w:val="00A930C4"/>
    <w:rsid w:val="00A937B0"/>
    <w:rsid w:val="00A938BD"/>
    <w:rsid w:val="00A93953"/>
    <w:rsid w:val="00A94541"/>
    <w:rsid w:val="00A9459E"/>
    <w:rsid w:val="00A946C7"/>
    <w:rsid w:val="00A9487D"/>
    <w:rsid w:val="00A94CB5"/>
    <w:rsid w:val="00A951D2"/>
    <w:rsid w:val="00A95247"/>
    <w:rsid w:val="00A95683"/>
    <w:rsid w:val="00A957C5"/>
    <w:rsid w:val="00A959D8"/>
    <w:rsid w:val="00A95A61"/>
    <w:rsid w:val="00A95F7D"/>
    <w:rsid w:val="00A96582"/>
    <w:rsid w:val="00A966BA"/>
    <w:rsid w:val="00A96E2C"/>
    <w:rsid w:val="00A96F45"/>
    <w:rsid w:val="00A971E7"/>
    <w:rsid w:val="00A97843"/>
    <w:rsid w:val="00A978FA"/>
    <w:rsid w:val="00A97A58"/>
    <w:rsid w:val="00A97B80"/>
    <w:rsid w:val="00A97EE9"/>
    <w:rsid w:val="00AA06C1"/>
    <w:rsid w:val="00AA0ADA"/>
    <w:rsid w:val="00AA0DCE"/>
    <w:rsid w:val="00AA0E27"/>
    <w:rsid w:val="00AA113D"/>
    <w:rsid w:val="00AA1185"/>
    <w:rsid w:val="00AA11C4"/>
    <w:rsid w:val="00AA146E"/>
    <w:rsid w:val="00AA15DF"/>
    <w:rsid w:val="00AA1EEE"/>
    <w:rsid w:val="00AA2233"/>
    <w:rsid w:val="00AA2A0D"/>
    <w:rsid w:val="00AA2AFE"/>
    <w:rsid w:val="00AA30CB"/>
    <w:rsid w:val="00AA30D5"/>
    <w:rsid w:val="00AA3356"/>
    <w:rsid w:val="00AA4217"/>
    <w:rsid w:val="00AA4953"/>
    <w:rsid w:val="00AA4FD5"/>
    <w:rsid w:val="00AA50DA"/>
    <w:rsid w:val="00AA52E8"/>
    <w:rsid w:val="00AA576B"/>
    <w:rsid w:val="00AA5780"/>
    <w:rsid w:val="00AA5904"/>
    <w:rsid w:val="00AA591A"/>
    <w:rsid w:val="00AA5961"/>
    <w:rsid w:val="00AA638F"/>
    <w:rsid w:val="00AA6576"/>
    <w:rsid w:val="00AA695D"/>
    <w:rsid w:val="00AA6BB3"/>
    <w:rsid w:val="00AA6BD5"/>
    <w:rsid w:val="00AA6BD8"/>
    <w:rsid w:val="00AA6C7D"/>
    <w:rsid w:val="00AA73D5"/>
    <w:rsid w:val="00AA77B7"/>
    <w:rsid w:val="00AA7849"/>
    <w:rsid w:val="00AA78F4"/>
    <w:rsid w:val="00AA7FB7"/>
    <w:rsid w:val="00AA7FD6"/>
    <w:rsid w:val="00AB00C2"/>
    <w:rsid w:val="00AB038D"/>
    <w:rsid w:val="00AB042A"/>
    <w:rsid w:val="00AB0FA5"/>
    <w:rsid w:val="00AB116F"/>
    <w:rsid w:val="00AB11AD"/>
    <w:rsid w:val="00AB1331"/>
    <w:rsid w:val="00AB13AF"/>
    <w:rsid w:val="00AB19EF"/>
    <w:rsid w:val="00AB1C0D"/>
    <w:rsid w:val="00AB21D4"/>
    <w:rsid w:val="00AB21DF"/>
    <w:rsid w:val="00AB2420"/>
    <w:rsid w:val="00AB2495"/>
    <w:rsid w:val="00AB28BD"/>
    <w:rsid w:val="00AB2A30"/>
    <w:rsid w:val="00AB2BE5"/>
    <w:rsid w:val="00AB2D34"/>
    <w:rsid w:val="00AB318F"/>
    <w:rsid w:val="00AB338C"/>
    <w:rsid w:val="00AB3397"/>
    <w:rsid w:val="00AB3430"/>
    <w:rsid w:val="00AB3547"/>
    <w:rsid w:val="00AB37B9"/>
    <w:rsid w:val="00AB3D5B"/>
    <w:rsid w:val="00AB3E5E"/>
    <w:rsid w:val="00AB4AAC"/>
    <w:rsid w:val="00AB4AD1"/>
    <w:rsid w:val="00AB4F39"/>
    <w:rsid w:val="00AB4F55"/>
    <w:rsid w:val="00AB53ED"/>
    <w:rsid w:val="00AB579D"/>
    <w:rsid w:val="00AB5A33"/>
    <w:rsid w:val="00AB5DCF"/>
    <w:rsid w:val="00AB5E03"/>
    <w:rsid w:val="00AB5E07"/>
    <w:rsid w:val="00AB6986"/>
    <w:rsid w:val="00AB6BA9"/>
    <w:rsid w:val="00AB76BD"/>
    <w:rsid w:val="00AB7CFA"/>
    <w:rsid w:val="00AB7FA7"/>
    <w:rsid w:val="00AC006F"/>
    <w:rsid w:val="00AC01FB"/>
    <w:rsid w:val="00AC1557"/>
    <w:rsid w:val="00AC1803"/>
    <w:rsid w:val="00AC1933"/>
    <w:rsid w:val="00AC2119"/>
    <w:rsid w:val="00AC2255"/>
    <w:rsid w:val="00AC23FA"/>
    <w:rsid w:val="00AC2BB2"/>
    <w:rsid w:val="00AC3576"/>
    <w:rsid w:val="00AC3D59"/>
    <w:rsid w:val="00AC3FB5"/>
    <w:rsid w:val="00AC46A7"/>
    <w:rsid w:val="00AC4A73"/>
    <w:rsid w:val="00AC4B91"/>
    <w:rsid w:val="00AC598B"/>
    <w:rsid w:val="00AC5B42"/>
    <w:rsid w:val="00AC5B48"/>
    <w:rsid w:val="00AC62A1"/>
    <w:rsid w:val="00AC62D6"/>
    <w:rsid w:val="00AC6420"/>
    <w:rsid w:val="00AC6756"/>
    <w:rsid w:val="00AC7142"/>
    <w:rsid w:val="00AC7391"/>
    <w:rsid w:val="00AC7947"/>
    <w:rsid w:val="00AD02A6"/>
    <w:rsid w:val="00AD03D6"/>
    <w:rsid w:val="00AD03FF"/>
    <w:rsid w:val="00AD072F"/>
    <w:rsid w:val="00AD0DB1"/>
    <w:rsid w:val="00AD0EFB"/>
    <w:rsid w:val="00AD1450"/>
    <w:rsid w:val="00AD15E8"/>
    <w:rsid w:val="00AD1A9B"/>
    <w:rsid w:val="00AD1F4A"/>
    <w:rsid w:val="00AD1F93"/>
    <w:rsid w:val="00AD1F9E"/>
    <w:rsid w:val="00AD215C"/>
    <w:rsid w:val="00AD29D8"/>
    <w:rsid w:val="00AD2ABC"/>
    <w:rsid w:val="00AD2C0F"/>
    <w:rsid w:val="00AD302A"/>
    <w:rsid w:val="00AD3283"/>
    <w:rsid w:val="00AD3517"/>
    <w:rsid w:val="00AD356D"/>
    <w:rsid w:val="00AD3729"/>
    <w:rsid w:val="00AD389E"/>
    <w:rsid w:val="00AD3D9E"/>
    <w:rsid w:val="00AD42BF"/>
    <w:rsid w:val="00AD4FD0"/>
    <w:rsid w:val="00AD5648"/>
    <w:rsid w:val="00AD5A61"/>
    <w:rsid w:val="00AD5DA5"/>
    <w:rsid w:val="00AD6502"/>
    <w:rsid w:val="00AD68DD"/>
    <w:rsid w:val="00AD7095"/>
    <w:rsid w:val="00AD7200"/>
    <w:rsid w:val="00AD7415"/>
    <w:rsid w:val="00AD7676"/>
    <w:rsid w:val="00AD77A6"/>
    <w:rsid w:val="00AD77D2"/>
    <w:rsid w:val="00AD783F"/>
    <w:rsid w:val="00AE0695"/>
    <w:rsid w:val="00AE166B"/>
    <w:rsid w:val="00AE1883"/>
    <w:rsid w:val="00AE1942"/>
    <w:rsid w:val="00AE2806"/>
    <w:rsid w:val="00AE292D"/>
    <w:rsid w:val="00AE2D7B"/>
    <w:rsid w:val="00AE31CA"/>
    <w:rsid w:val="00AE3BAE"/>
    <w:rsid w:val="00AE3D04"/>
    <w:rsid w:val="00AE3DD5"/>
    <w:rsid w:val="00AE3E7E"/>
    <w:rsid w:val="00AE4405"/>
    <w:rsid w:val="00AE44FB"/>
    <w:rsid w:val="00AE4A6B"/>
    <w:rsid w:val="00AE4AA2"/>
    <w:rsid w:val="00AE4B15"/>
    <w:rsid w:val="00AE56E7"/>
    <w:rsid w:val="00AE575D"/>
    <w:rsid w:val="00AE5C7A"/>
    <w:rsid w:val="00AE6076"/>
    <w:rsid w:val="00AE61E9"/>
    <w:rsid w:val="00AE65D2"/>
    <w:rsid w:val="00AE6A7B"/>
    <w:rsid w:val="00AE7AF6"/>
    <w:rsid w:val="00AE7E53"/>
    <w:rsid w:val="00AF0634"/>
    <w:rsid w:val="00AF08D9"/>
    <w:rsid w:val="00AF1315"/>
    <w:rsid w:val="00AF1400"/>
    <w:rsid w:val="00AF1524"/>
    <w:rsid w:val="00AF17F8"/>
    <w:rsid w:val="00AF1911"/>
    <w:rsid w:val="00AF19BF"/>
    <w:rsid w:val="00AF1ABC"/>
    <w:rsid w:val="00AF2198"/>
    <w:rsid w:val="00AF2C4B"/>
    <w:rsid w:val="00AF2DC3"/>
    <w:rsid w:val="00AF3484"/>
    <w:rsid w:val="00AF35DD"/>
    <w:rsid w:val="00AF392E"/>
    <w:rsid w:val="00AF3EBA"/>
    <w:rsid w:val="00AF434A"/>
    <w:rsid w:val="00AF5092"/>
    <w:rsid w:val="00AF52F2"/>
    <w:rsid w:val="00AF567F"/>
    <w:rsid w:val="00AF57FC"/>
    <w:rsid w:val="00AF58A4"/>
    <w:rsid w:val="00AF59ED"/>
    <w:rsid w:val="00AF5D05"/>
    <w:rsid w:val="00AF5DC6"/>
    <w:rsid w:val="00AF5EA1"/>
    <w:rsid w:val="00AF6172"/>
    <w:rsid w:val="00AF67D9"/>
    <w:rsid w:val="00AF6A46"/>
    <w:rsid w:val="00AF6ADB"/>
    <w:rsid w:val="00AF6C86"/>
    <w:rsid w:val="00AF771B"/>
    <w:rsid w:val="00AF7D14"/>
    <w:rsid w:val="00AF7E49"/>
    <w:rsid w:val="00B00216"/>
    <w:rsid w:val="00B002DD"/>
    <w:rsid w:val="00B00493"/>
    <w:rsid w:val="00B00D89"/>
    <w:rsid w:val="00B013FF"/>
    <w:rsid w:val="00B01443"/>
    <w:rsid w:val="00B01848"/>
    <w:rsid w:val="00B01EF2"/>
    <w:rsid w:val="00B020C1"/>
    <w:rsid w:val="00B0226C"/>
    <w:rsid w:val="00B0291C"/>
    <w:rsid w:val="00B029CF"/>
    <w:rsid w:val="00B0318E"/>
    <w:rsid w:val="00B033E5"/>
    <w:rsid w:val="00B034F6"/>
    <w:rsid w:val="00B03A63"/>
    <w:rsid w:val="00B03F5E"/>
    <w:rsid w:val="00B04719"/>
    <w:rsid w:val="00B04E10"/>
    <w:rsid w:val="00B05B92"/>
    <w:rsid w:val="00B05DA8"/>
    <w:rsid w:val="00B0615D"/>
    <w:rsid w:val="00B06658"/>
    <w:rsid w:val="00B07146"/>
    <w:rsid w:val="00B0717A"/>
    <w:rsid w:val="00B07228"/>
    <w:rsid w:val="00B0738B"/>
    <w:rsid w:val="00B07A85"/>
    <w:rsid w:val="00B1171C"/>
    <w:rsid w:val="00B11E0C"/>
    <w:rsid w:val="00B129A4"/>
    <w:rsid w:val="00B12C5C"/>
    <w:rsid w:val="00B12EE0"/>
    <w:rsid w:val="00B13349"/>
    <w:rsid w:val="00B136CE"/>
    <w:rsid w:val="00B144DB"/>
    <w:rsid w:val="00B14B87"/>
    <w:rsid w:val="00B14C19"/>
    <w:rsid w:val="00B14D99"/>
    <w:rsid w:val="00B1520A"/>
    <w:rsid w:val="00B15904"/>
    <w:rsid w:val="00B15BD6"/>
    <w:rsid w:val="00B15D13"/>
    <w:rsid w:val="00B16064"/>
    <w:rsid w:val="00B160CD"/>
    <w:rsid w:val="00B16C7D"/>
    <w:rsid w:val="00B16FFE"/>
    <w:rsid w:val="00B17290"/>
    <w:rsid w:val="00B17CD3"/>
    <w:rsid w:val="00B17D82"/>
    <w:rsid w:val="00B201A4"/>
    <w:rsid w:val="00B201D1"/>
    <w:rsid w:val="00B20391"/>
    <w:rsid w:val="00B20432"/>
    <w:rsid w:val="00B2059D"/>
    <w:rsid w:val="00B207F7"/>
    <w:rsid w:val="00B213A6"/>
    <w:rsid w:val="00B228F5"/>
    <w:rsid w:val="00B234BF"/>
    <w:rsid w:val="00B2357F"/>
    <w:rsid w:val="00B235B0"/>
    <w:rsid w:val="00B2378F"/>
    <w:rsid w:val="00B23A15"/>
    <w:rsid w:val="00B23ED4"/>
    <w:rsid w:val="00B24048"/>
    <w:rsid w:val="00B2429C"/>
    <w:rsid w:val="00B249DB"/>
    <w:rsid w:val="00B24A1C"/>
    <w:rsid w:val="00B24B91"/>
    <w:rsid w:val="00B24DF6"/>
    <w:rsid w:val="00B24EB4"/>
    <w:rsid w:val="00B25234"/>
    <w:rsid w:val="00B255B4"/>
    <w:rsid w:val="00B25925"/>
    <w:rsid w:val="00B25AAE"/>
    <w:rsid w:val="00B25C7F"/>
    <w:rsid w:val="00B25DDF"/>
    <w:rsid w:val="00B25E4C"/>
    <w:rsid w:val="00B26A00"/>
    <w:rsid w:val="00B26C03"/>
    <w:rsid w:val="00B26D7D"/>
    <w:rsid w:val="00B2713F"/>
    <w:rsid w:val="00B27A61"/>
    <w:rsid w:val="00B3025B"/>
    <w:rsid w:val="00B30625"/>
    <w:rsid w:val="00B30640"/>
    <w:rsid w:val="00B30DE5"/>
    <w:rsid w:val="00B30E26"/>
    <w:rsid w:val="00B31002"/>
    <w:rsid w:val="00B312B4"/>
    <w:rsid w:val="00B315F3"/>
    <w:rsid w:val="00B31644"/>
    <w:rsid w:val="00B317CA"/>
    <w:rsid w:val="00B318A1"/>
    <w:rsid w:val="00B31B7C"/>
    <w:rsid w:val="00B31BEE"/>
    <w:rsid w:val="00B31D56"/>
    <w:rsid w:val="00B32328"/>
    <w:rsid w:val="00B323B5"/>
    <w:rsid w:val="00B3253E"/>
    <w:rsid w:val="00B32B82"/>
    <w:rsid w:val="00B32C5E"/>
    <w:rsid w:val="00B32CF1"/>
    <w:rsid w:val="00B33130"/>
    <w:rsid w:val="00B33554"/>
    <w:rsid w:val="00B33AE3"/>
    <w:rsid w:val="00B33DB6"/>
    <w:rsid w:val="00B341C7"/>
    <w:rsid w:val="00B347FA"/>
    <w:rsid w:val="00B348FC"/>
    <w:rsid w:val="00B34CB4"/>
    <w:rsid w:val="00B34CF3"/>
    <w:rsid w:val="00B34DFF"/>
    <w:rsid w:val="00B34FE2"/>
    <w:rsid w:val="00B35152"/>
    <w:rsid w:val="00B35166"/>
    <w:rsid w:val="00B3572F"/>
    <w:rsid w:val="00B357D8"/>
    <w:rsid w:val="00B35AEE"/>
    <w:rsid w:val="00B35E1C"/>
    <w:rsid w:val="00B360F4"/>
    <w:rsid w:val="00B36333"/>
    <w:rsid w:val="00B3696F"/>
    <w:rsid w:val="00B36A00"/>
    <w:rsid w:val="00B36DF2"/>
    <w:rsid w:val="00B370A7"/>
    <w:rsid w:val="00B377EF"/>
    <w:rsid w:val="00B3792B"/>
    <w:rsid w:val="00B37BFC"/>
    <w:rsid w:val="00B400CB"/>
    <w:rsid w:val="00B40358"/>
    <w:rsid w:val="00B40758"/>
    <w:rsid w:val="00B40DF1"/>
    <w:rsid w:val="00B413EB"/>
    <w:rsid w:val="00B41614"/>
    <w:rsid w:val="00B41B16"/>
    <w:rsid w:val="00B41C7D"/>
    <w:rsid w:val="00B41D25"/>
    <w:rsid w:val="00B41F48"/>
    <w:rsid w:val="00B42449"/>
    <w:rsid w:val="00B42579"/>
    <w:rsid w:val="00B42851"/>
    <w:rsid w:val="00B42852"/>
    <w:rsid w:val="00B42A59"/>
    <w:rsid w:val="00B42F3D"/>
    <w:rsid w:val="00B42F80"/>
    <w:rsid w:val="00B43132"/>
    <w:rsid w:val="00B4332F"/>
    <w:rsid w:val="00B43360"/>
    <w:rsid w:val="00B435CB"/>
    <w:rsid w:val="00B4360A"/>
    <w:rsid w:val="00B43B19"/>
    <w:rsid w:val="00B4445A"/>
    <w:rsid w:val="00B449D4"/>
    <w:rsid w:val="00B44B1B"/>
    <w:rsid w:val="00B44CCC"/>
    <w:rsid w:val="00B45015"/>
    <w:rsid w:val="00B4507B"/>
    <w:rsid w:val="00B45B0B"/>
    <w:rsid w:val="00B45EE7"/>
    <w:rsid w:val="00B45F74"/>
    <w:rsid w:val="00B4609A"/>
    <w:rsid w:val="00B463CD"/>
    <w:rsid w:val="00B465EC"/>
    <w:rsid w:val="00B4661C"/>
    <w:rsid w:val="00B47641"/>
    <w:rsid w:val="00B47AE2"/>
    <w:rsid w:val="00B47E62"/>
    <w:rsid w:val="00B47EBF"/>
    <w:rsid w:val="00B50243"/>
    <w:rsid w:val="00B5050C"/>
    <w:rsid w:val="00B505C8"/>
    <w:rsid w:val="00B508D2"/>
    <w:rsid w:val="00B50908"/>
    <w:rsid w:val="00B50910"/>
    <w:rsid w:val="00B50DB8"/>
    <w:rsid w:val="00B50FE9"/>
    <w:rsid w:val="00B5110A"/>
    <w:rsid w:val="00B517B7"/>
    <w:rsid w:val="00B5191D"/>
    <w:rsid w:val="00B51A50"/>
    <w:rsid w:val="00B51DC6"/>
    <w:rsid w:val="00B51FF7"/>
    <w:rsid w:val="00B52900"/>
    <w:rsid w:val="00B52D34"/>
    <w:rsid w:val="00B53654"/>
    <w:rsid w:val="00B53905"/>
    <w:rsid w:val="00B53CAD"/>
    <w:rsid w:val="00B53D26"/>
    <w:rsid w:val="00B546DB"/>
    <w:rsid w:val="00B54B5B"/>
    <w:rsid w:val="00B54C5F"/>
    <w:rsid w:val="00B54EC5"/>
    <w:rsid w:val="00B550B3"/>
    <w:rsid w:val="00B5562E"/>
    <w:rsid w:val="00B55862"/>
    <w:rsid w:val="00B55A91"/>
    <w:rsid w:val="00B55B99"/>
    <w:rsid w:val="00B55D65"/>
    <w:rsid w:val="00B56305"/>
    <w:rsid w:val="00B56885"/>
    <w:rsid w:val="00B56DC4"/>
    <w:rsid w:val="00B57000"/>
    <w:rsid w:val="00B570D5"/>
    <w:rsid w:val="00B5770B"/>
    <w:rsid w:val="00B57761"/>
    <w:rsid w:val="00B57CCE"/>
    <w:rsid w:val="00B60939"/>
    <w:rsid w:val="00B60AFD"/>
    <w:rsid w:val="00B6137C"/>
    <w:rsid w:val="00B6152B"/>
    <w:rsid w:val="00B620E4"/>
    <w:rsid w:val="00B6230F"/>
    <w:rsid w:val="00B62715"/>
    <w:rsid w:val="00B62BCA"/>
    <w:rsid w:val="00B62C5B"/>
    <w:rsid w:val="00B62C84"/>
    <w:rsid w:val="00B62CBD"/>
    <w:rsid w:val="00B62D60"/>
    <w:rsid w:val="00B634B1"/>
    <w:rsid w:val="00B63ED0"/>
    <w:rsid w:val="00B63F00"/>
    <w:rsid w:val="00B63FB3"/>
    <w:rsid w:val="00B64395"/>
    <w:rsid w:val="00B646A5"/>
    <w:rsid w:val="00B64B60"/>
    <w:rsid w:val="00B64BBD"/>
    <w:rsid w:val="00B652A0"/>
    <w:rsid w:val="00B65611"/>
    <w:rsid w:val="00B65679"/>
    <w:rsid w:val="00B65B8E"/>
    <w:rsid w:val="00B661D5"/>
    <w:rsid w:val="00B66236"/>
    <w:rsid w:val="00B6635D"/>
    <w:rsid w:val="00B66462"/>
    <w:rsid w:val="00B66C8E"/>
    <w:rsid w:val="00B66F6F"/>
    <w:rsid w:val="00B672B3"/>
    <w:rsid w:val="00B674F7"/>
    <w:rsid w:val="00B67561"/>
    <w:rsid w:val="00B67CAC"/>
    <w:rsid w:val="00B709F4"/>
    <w:rsid w:val="00B70D35"/>
    <w:rsid w:val="00B70E8E"/>
    <w:rsid w:val="00B70ED1"/>
    <w:rsid w:val="00B70F9C"/>
    <w:rsid w:val="00B71004"/>
    <w:rsid w:val="00B7142A"/>
    <w:rsid w:val="00B71642"/>
    <w:rsid w:val="00B7181C"/>
    <w:rsid w:val="00B71F58"/>
    <w:rsid w:val="00B72639"/>
    <w:rsid w:val="00B729C4"/>
    <w:rsid w:val="00B73130"/>
    <w:rsid w:val="00B73226"/>
    <w:rsid w:val="00B73565"/>
    <w:rsid w:val="00B736DC"/>
    <w:rsid w:val="00B74119"/>
    <w:rsid w:val="00B742EE"/>
    <w:rsid w:val="00B748B4"/>
    <w:rsid w:val="00B748FF"/>
    <w:rsid w:val="00B749EB"/>
    <w:rsid w:val="00B75182"/>
    <w:rsid w:val="00B75280"/>
    <w:rsid w:val="00B759EA"/>
    <w:rsid w:val="00B75D2E"/>
    <w:rsid w:val="00B75FE8"/>
    <w:rsid w:val="00B760DF"/>
    <w:rsid w:val="00B76379"/>
    <w:rsid w:val="00B767DB"/>
    <w:rsid w:val="00B76845"/>
    <w:rsid w:val="00B76C92"/>
    <w:rsid w:val="00B76DE5"/>
    <w:rsid w:val="00B77299"/>
    <w:rsid w:val="00B77FBD"/>
    <w:rsid w:val="00B804F8"/>
    <w:rsid w:val="00B804F9"/>
    <w:rsid w:val="00B8083C"/>
    <w:rsid w:val="00B80AFC"/>
    <w:rsid w:val="00B80D7B"/>
    <w:rsid w:val="00B80EFD"/>
    <w:rsid w:val="00B80F6F"/>
    <w:rsid w:val="00B811CF"/>
    <w:rsid w:val="00B8184C"/>
    <w:rsid w:val="00B818A4"/>
    <w:rsid w:val="00B81BFD"/>
    <w:rsid w:val="00B81C02"/>
    <w:rsid w:val="00B81F0E"/>
    <w:rsid w:val="00B82118"/>
    <w:rsid w:val="00B82439"/>
    <w:rsid w:val="00B825F5"/>
    <w:rsid w:val="00B82907"/>
    <w:rsid w:val="00B82D4A"/>
    <w:rsid w:val="00B82DDB"/>
    <w:rsid w:val="00B83739"/>
    <w:rsid w:val="00B83A44"/>
    <w:rsid w:val="00B84117"/>
    <w:rsid w:val="00B84518"/>
    <w:rsid w:val="00B845D6"/>
    <w:rsid w:val="00B84661"/>
    <w:rsid w:val="00B847D1"/>
    <w:rsid w:val="00B84B5E"/>
    <w:rsid w:val="00B84BE2"/>
    <w:rsid w:val="00B84E79"/>
    <w:rsid w:val="00B85062"/>
    <w:rsid w:val="00B8512F"/>
    <w:rsid w:val="00B8540D"/>
    <w:rsid w:val="00B855E3"/>
    <w:rsid w:val="00B858F0"/>
    <w:rsid w:val="00B85A65"/>
    <w:rsid w:val="00B85AA2"/>
    <w:rsid w:val="00B85C2B"/>
    <w:rsid w:val="00B85C71"/>
    <w:rsid w:val="00B8618E"/>
    <w:rsid w:val="00B8649C"/>
    <w:rsid w:val="00B8695D"/>
    <w:rsid w:val="00B86C3E"/>
    <w:rsid w:val="00B87122"/>
    <w:rsid w:val="00B878FC"/>
    <w:rsid w:val="00B87C87"/>
    <w:rsid w:val="00B87D3A"/>
    <w:rsid w:val="00B87F0A"/>
    <w:rsid w:val="00B87FE1"/>
    <w:rsid w:val="00B90B33"/>
    <w:rsid w:val="00B90DA9"/>
    <w:rsid w:val="00B91270"/>
    <w:rsid w:val="00B91488"/>
    <w:rsid w:val="00B91495"/>
    <w:rsid w:val="00B916DF"/>
    <w:rsid w:val="00B924CD"/>
    <w:rsid w:val="00B92622"/>
    <w:rsid w:val="00B926D4"/>
    <w:rsid w:val="00B92D0B"/>
    <w:rsid w:val="00B92E5B"/>
    <w:rsid w:val="00B93DF8"/>
    <w:rsid w:val="00B94281"/>
    <w:rsid w:val="00B9449F"/>
    <w:rsid w:val="00B945BD"/>
    <w:rsid w:val="00B945E0"/>
    <w:rsid w:val="00B94945"/>
    <w:rsid w:val="00B94AD5"/>
    <w:rsid w:val="00B94D83"/>
    <w:rsid w:val="00B94DD6"/>
    <w:rsid w:val="00B95208"/>
    <w:rsid w:val="00B953BE"/>
    <w:rsid w:val="00B95656"/>
    <w:rsid w:val="00B9584E"/>
    <w:rsid w:val="00B95912"/>
    <w:rsid w:val="00B95962"/>
    <w:rsid w:val="00B95ABB"/>
    <w:rsid w:val="00B95C02"/>
    <w:rsid w:val="00B95C07"/>
    <w:rsid w:val="00B95F57"/>
    <w:rsid w:val="00B97107"/>
    <w:rsid w:val="00B9747A"/>
    <w:rsid w:val="00B97A4F"/>
    <w:rsid w:val="00BA0637"/>
    <w:rsid w:val="00BA295C"/>
    <w:rsid w:val="00BA2A0F"/>
    <w:rsid w:val="00BA2A42"/>
    <w:rsid w:val="00BA2AEF"/>
    <w:rsid w:val="00BA2B56"/>
    <w:rsid w:val="00BA2CA8"/>
    <w:rsid w:val="00BA322D"/>
    <w:rsid w:val="00BA33DF"/>
    <w:rsid w:val="00BA388B"/>
    <w:rsid w:val="00BA3CAA"/>
    <w:rsid w:val="00BA3F8B"/>
    <w:rsid w:val="00BA4329"/>
    <w:rsid w:val="00BA434B"/>
    <w:rsid w:val="00BA43C6"/>
    <w:rsid w:val="00BA4E49"/>
    <w:rsid w:val="00BA4F33"/>
    <w:rsid w:val="00BA51B0"/>
    <w:rsid w:val="00BA58E7"/>
    <w:rsid w:val="00BA5B11"/>
    <w:rsid w:val="00BA5ECB"/>
    <w:rsid w:val="00BA5F51"/>
    <w:rsid w:val="00BA62D4"/>
    <w:rsid w:val="00BA63FA"/>
    <w:rsid w:val="00BA6D04"/>
    <w:rsid w:val="00BA70BB"/>
    <w:rsid w:val="00BA7324"/>
    <w:rsid w:val="00BA7568"/>
    <w:rsid w:val="00BA779B"/>
    <w:rsid w:val="00BA794A"/>
    <w:rsid w:val="00BB00B3"/>
    <w:rsid w:val="00BB066C"/>
    <w:rsid w:val="00BB07D3"/>
    <w:rsid w:val="00BB0BDD"/>
    <w:rsid w:val="00BB0E3D"/>
    <w:rsid w:val="00BB0E90"/>
    <w:rsid w:val="00BB12B3"/>
    <w:rsid w:val="00BB1525"/>
    <w:rsid w:val="00BB1601"/>
    <w:rsid w:val="00BB176C"/>
    <w:rsid w:val="00BB1A4A"/>
    <w:rsid w:val="00BB21F5"/>
    <w:rsid w:val="00BB2502"/>
    <w:rsid w:val="00BB2A73"/>
    <w:rsid w:val="00BB3080"/>
    <w:rsid w:val="00BB3531"/>
    <w:rsid w:val="00BB35A6"/>
    <w:rsid w:val="00BB3A45"/>
    <w:rsid w:val="00BB3D32"/>
    <w:rsid w:val="00BB3E7F"/>
    <w:rsid w:val="00BB4ACC"/>
    <w:rsid w:val="00BB5363"/>
    <w:rsid w:val="00BB5484"/>
    <w:rsid w:val="00BB6A60"/>
    <w:rsid w:val="00BB6B27"/>
    <w:rsid w:val="00BB703E"/>
    <w:rsid w:val="00BB732D"/>
    <w:rsid w:val="00BB7405"/>
    <w:rsid w:val="00BB7603"/>
    <w:rsid w:val="00BC03FA"/>
    <w:rsid w:val="00BC0556"/>
    <w:rsid w:val="00BC068E"/>
    <w:rsid w:val="00BC09B4"/>
    <w:rsid w:val="00BC0A2E"/>
    <w:rsid w:val="00BC0E1C"/>
    <w:rsid w:val="00BC13F2"/>
    <w:rsid w:val="00BC2351"/>
    <w:rsid w:val="00BC23C5"/>
    <w:rsid w:val="00BC25BC"/>
    <w:rsid w:val="00BC290E"/>
    <w:rsid w:val="00BC31F3"/>
    <w:rsid w:val="00BC3446"/>
    <w:rsid w:val="00BC35B0"/>
    <w:rsid w:val="00BC3631"/>
    <w:rsid w:val="00BC3A18"/>
    <w:rsid w:val="00BC3B96"/>
    <w:rsid w:val="00BC4061"/>
    <w:rsid w:val="00BC46C4"/>
    <w:rsid w:val="00BC47EE"/>
    <w:rsid w:val="00BC491F"/>
    <w:rsid w:val="00BC4A4E"/>
    <w:rsid w:val="00BC4C70"/>
    <w:rsid w:val="00BC4DCC"/>
    <w:rsid w:val="00BC4E87"/>
    <w:rsid w:val="00BC57D9"/>
    <w:rsid w:val="00BC591F"/>
    <w:rsid w:val="00BC63CE"/>
    <w:rsid w:val="00BC6821"/>
    <w:rsid w:val="00BC6AEA"/>
    <w:rsid w:val="00BC6C14"/>
    <w:rsid w:val="00BC6D8E"/>
    <w:rsid w:val="00BC6E02"/>
    <w:rsid w:val="00BC7983"/>
    <w:rsid w:val="00BC7D6D"/>
    <w:rsid w:val="00BD0A13"/>
    <w:rsid w:val="00BD0C42"/>
    <w:rsid w:val="00BD0E07"/>
    <w:rsid w:val="00BD0F00"/>
    <w:rsid w:val="00BD115A"/>
    <w:rsid w:val="00BD2108"/>
    <w:rsid w:val="00BD21E1"/>
    <w:rsid w:val="00BD23BD"/>
    <w:rsid w:val="00BD2E56"/>
    <w:rsid w:val="00BD2ED1"/>
    <w:rsid w:val="00BD2FDF"/>
    <w:rsid w:val="00BD30F3"/>
    <w:rsid w:val="00BD30FB"/>
    <w:rsid w:val="00BD3772"/>
    <w:rsid w:val="00BD476D"/>
    <w:rsid w:val="00BD4DDC"/>
    <w:rsid w:val="00BD4DF8"/>
    <w:rsid w:val="00BD52C4"/>
    <w:rsid w:val="00BD552A"/>
    <w:rsid w:val="00BD5666"/>
    <w:rsid w:val="00BD5D02"/>
    <w:rsid w:val="00BD607F"/>
    <w:rsid w:val="00BD68A3"/>
    <w:rsid w:val="00BD6938"/>
    <w:rsid w:val="00BD6CAC"/>
    <w:rsid w:val="00BD6CF3"/>
    <w:rsid w:val="00BD6D46"/>
    <w:rsid w:val="00BD6D88"/>
    <w:rsid w:val="00BD6EA1"/>
    <w:rsid w:val="00BD7178"/>
    <w:rsid w:val="00BD78A0"/>
    <w:rsid w:val="00BD7F72"/>
    <w:rsid w:val="00BD7F9B"/>
    <w:rsid w:val="00BE04C9"/>
    <w:rsid w:val="00BE09D0"/>
    <w:rsid w:val="00BE0ECA"/>
    <w:rsid w:val="00BE0EEF"/>
    <w:rsid w:val="00BE13AB"/>
    <w:rsid w:val="00BE15EA"/>
    <w:rsid w:val="00BE1818"/>
    <w:rsid w:val="00BE201D"/>
    <w:rsid w:val="00BE2180"/>
    <w:rsid w:val="00BE21F2"/>
    <w:rsid w:val="00BE2702"/>
    <w:rsid w:val="00BE336D"/>
    <w:rsid w:val="00BE406D"/>
    <w:rsid w:val="00BE4275"/>
    <w:rsid w:val="00BE42FC"/>
    <w:rsid w:val="00BE4B81"/>
    <w:rsid w:val="00BE513A"/>
    <w:rsid w:val="00BE5284"/>
    <w:rsid w:val="00BE572E"/>
    <w:rsid w:val="00BE57EB"/>
    <w:rsid w:val="00BE5B6E"/>
    <w:rsid w:val="00BE6A79"/>
    <w:rsid w:val="00BE6B7C"/>
    <w:rsid w:val="00BE6DBC"/>
    <w:rsid w:val="00BE6E04"/>
    <w:rsid w:val="00BE70B0"/>
    <w:rsid w:val="00BE746C"/>
    <w:rsid w:val="00BE7928"/>
    <w:rsid w:val="00BF06AE"/>
    <w:rsid w:val="00BF0BA1"/>
    <w:rsid w:val="00BF0F95"/>
    <w:rsid w:val="00BF11DF"/>
    <w:rsid w:val="00BF1FD8"/>
    <w:rsid w:val="00BF2433"/>
    <w:rsid w:val="00BF2E6E"/>
    <w:rsid w:val="00BF3019"/>
    <w:rsid w:val="00BF304F"/>
    <w:rsid w:val="00BF3113"/>
    <w:rsid w:val="00BF3A09"/>
    <w:rsid w:val="00BF3A1B"/>
    <w:rsid w:val="00BF3A86"/>
    <w:rsid w:val="00BF3BD1"/>
    <w:rsid w:val="00BF43CE"/>
    <w:rsid w:val="00BF4783"/>
    <w:rsid w:val="00BF4956"/>
    <w:rsid w:val="00BF57DD"/>
    <w:rsid w:val="00BF5B54"/>
    <w:rsid w:val="00BF5E9F"/>
    <w:rsid w:val="00BF61C9"/>
    <w:rsid w:val="00BF6576"/>
    <w:rsid w:val="00BF6819"/>
    <w:rsid w:val="00BF6A4A"/>
    <w:rsid w:val="00BF6C94"/>
    <w:rsid w:val="00BF6EC0"/>
    <w:rsid w:val="00BF7473"/>
    <w:rsid w:val="00BF7BCC"/>
    <w:rsid w:val="00C00287"/>
    <w:rsid w:val="00C00424"/>
    <w:rsid w:val="00C00735"/>
    <w:rsid w:val="00C007D3"/>
    <w:rsid w:val="00C00BB0"/>
    <w:rsid w:val="00C00FEF"/>
    <w:rsid w:val="00C01235"/>
    <w:rsid w:val="00C01C48"/>
    <w:rsid w:val="00C01E01"/>
    <w:rsid w:val="00C01F94"/>
    <w:rsid w:val="00C021BF"/>
    <w:rsid w:val="00C02B94"/>
    <w:rsid w:val="00C02D41"/>
    <w:rsid w:val="00C03A61"/>
    <w:rsid w:val="00C03AFB"/>
    <w:rsid w:val="00C03E6A"/>
    <w:rsid w:val="00C04419"/>
    <w:rsid w:val="00C049D4"/>
    <w:rsid w:val="00C04F09"/>
    <w:rsid w:val="00C05BCF"/>
    <w:rsid w:val="00C0668B"/>
    <w:rsid w:val="00C0687C"/>
    <w:rsid w:val="00C06900"/>
    <w:rsid w:val="00C07A2F"/>
    <w:rsid w:val="00C102FF"/>
    <w:rsid w:val="00C103D3"/>
    <w:rsid w:val="00C1069E"/>
    <w:rsid w:val="00C106B4"/>
    <w:rsid w:val="00C106C9"/>
    <w:rsid w:val="00C10904"/>
    <w:rsid w:val="00C10CE6"/>
    <w:rsid w:val="00C10E61"/>
    <w:rsid w:val="00C11281"/>
    <w:rsid w:val="00C115A2"/>
    <w:rsid w:val="00C1179F"/>
    <w:rsid w:val="00C11990"/>
    <w:rsid w:val="00C11A38"/>
    <w:rsid w:val="00C11CB2"/>
    <w:rsid w:val="00C1236A"/>
    <w:rsid w:val="00C12386"/>
    <w:rsid w:val="00C127B9"/>
    <w:rsid w:val="00C128FA"/>
    <w:rsid w:val="00C12A29"/>
    <w:rsid w:val="00C12AA7"/>
    <w:rsid w:val="00C12C14"/>
    <w:rsid w:val="00C12EEF"/>
    <w:rsid w:val="00C13671"/>
    <w:rsid w:val="00C13CC4"/>
    <w:rsid w:val="00C13D37"/>
    <w:rsid w:val="00C148DA"/>
    <w:rsid w:val="00C14A4B"/>
    <w:rsid w:val="00C14CAA"/>
    <w:rsid w:val="00C14D14"/>
    <w:rsid w:val="00C14D5B"/>
    <w:rsid w:val="00C14E65"/>
    <w:rsid w:val="00C14F20"/>
    <w:rsid w:val="00C14F3A"/>
    <w:rsid w:val="00C15A12"/>
    <w:rsid w:val="00C15BC4"/>
    <w:rsid w:val="00C15C15"/>
    <w:rsid w:val="00C15F04"/>
    <w:rsid w:val="00C1639F"/>
    <w:rsid w:val="00C163EE"/>
    <w:rsid w:val="00C16429"/>
    <w:rsid w:val="00C1663D"/>
    <w:rsid w:val="00C1664E"/>
    <w:rsid w:val="00C16870"/>
    <w:rsid w:val="00C16D10"/>
    <w:rsid w:val="00C16DFE"/>
    <w:rsid w:val="00C16F91"/>
    <w:rsid w:val="00C179B3"/>
    <w:rsid w:val="00C17DD1"/>
    <w:rsid w:val="00C17E3F"/>
    <w:rsid w:val="00C17F20"/>
    <w:rsid w:val="00C200AA"/>
    <w:rsid w:val="00C201F6"/>
    <w:rsid w:val="00C20638"/>
    <w:rsid w:val="00C2066B"/>
    <w:rsid w:val="00C20865"/>
    <w:rsid w:val="00C20B84"/>
    <w:rsid w:val="00C21445"/>
    <w:rsid w:val="00C21740"/>
    <w:rsid w:val="00C21F42"/>
    <w:rsid w:val="00C2295C"/>
    <w:rsid w:val="00C22AAC"/>
    <w:rsid w:val="00C22AE0"/>
    <w:rsid w:val="00C23111"/>
    <w:rsid w:val="00C233C3"/>
    <w:rsid w:val="00C237ED"/>
    <w:rsid w:val="00C2431B"/>
    <w:rsid w:val="00C245F0"/>
    <w:rsid w:val="00C24632"/>
    <w:rsid w:val="00C24CC0"/>
    <w:rsid w:val="00C24F3B"/>
    <w:rsid w:val="00C2505B"/>
    <w:rsid w:val="00C25418"/>
    <w:rsid w:val="00C2599B"/>
    <w:rsid w:val="00C25BAD"/>
    <w:rsid w:val="00C25D9C"/>
    <w:rsid w:val="00C261AE"/>
    <w:rsid w:val="00C2778B"/>
    <w:rsid w:val="00C27D4F"/>
    <w:rsid w:val="00C27FF4"/>
    <w:rsid w:val="00C3000B"/>
    <w:rsid w:val="00C30225"/>
    <w:rsid w:val="00C3055C"/>
    <w:rsid w:val="00C30DDA"/>
    <w:rsid w:val="00C31505"/>
    <w:rsid w:val="00C31649"/>
    <w:rsid w:val="00C3173D"/>
    <w:rsid w:val="00C32222"/>
    <w:rsid w:val="00C32679"/>
    <w:rsid w:val="00C33320"/>
    <w:rsid w:val="00C33431"/>
    <w:rsid w:val="00C3394B"/>
    <w:rsid w:val="00C341F2"/>
    <w:rsid w:val="00C34280"/>
    <w:rsid w:val="00C3434C"/>
    <w:rsid w:val="00C34E2F"/>
    <w:rsid w:val="00C356BB"/>
    <w:rsid w:val="00C35766"/>
    <w:rsid w:val="00C35BFA"/>
    <w:rsid w:val="00C36055"/>
    <w:rsid w:val="00C360E7"/>
    <w:rsid w:val="00C36181"/>
    <w:rsid w:val="00C362F4"/>
    <w:rsid w:val="00C37539"/>
    <w:rsid w:val="00C378EE"/>
    <w:rsid w:val="00C3797F"/>
    <w:rsid w:val="00C379CB"/>
    <w:rsid w:val="00C37CA6"/>
    <w:rsid w:val="00C37F75"/>
    <w:rsid w:val="00C4012D"/>
    <w:rsid w:val="00C40385"/>
    <w:rsid w:val="00C40456"/>
    <w:rsid w:val="00C40F0F"/>
    <w:rsid w:val="00C4129B"/>
    <w:rsid w:val="00C41768"/>
    <w:rsid w:val="00C41E44"/>
    <w:rsid w:val="00C421A4"/>
    <w:rsid w:val="00C42BDB"/>
    <w:rsid w:val="00C433C3"/>
    <w:rsid w:val="00C4347D"/>
    <w:rsid w:val="00C43C4E"/>
    <w:rsid w:val="00C4487A"/>
    <w:rsid w:val="00C449D4"/>
    <w:rsid w:val="00C44F07"/>
    <w:rsid w:val="00C45401"/>
    <w:rsid w:val="00C45438"/>
    <w:rsid w:val="00C455C3"/>
    <w:rsid w:val="00C4570F"/>
    <w:rsid w:val="00C4579D"/>
    <w:rsid w:val="00C46203"/>
    <w:rsid w:val="00C46322"/>
    <w:rsid w:val="00C4698F"/>
    <w:rsid w:val="00C469D4"/>
    <w:rsid w:val="00C469F9"/>
    <w:rsid w:val="00C46E24"/>
    <w:rsid w:val="00C46E8F"/>
    <w:rsid w:val="00C4711F"/>
    <w:rsid w:val="00C475AA"/>
    <w:rsid w:val="00C475C8"/>
    <w:rsid w:val="00C47A0C"/>
    <w:rsid w:val="00C501D0"/>
    <w:rsid w:val="00C5022F"/>
    <w:rsid w:val="00C50446"/>
    <w:rsid w:val="00C507C5"/>
    <w:rsid w:val="00C50FAD"/>
    <w:rsid w:val="00C513E5"/>
    <w:rsid w:val="00C51623"/>
    <w:rsid w:val="00C516DA"/>
    <w:rsid w:val="00C51930"/>
    <w:rsid w:val="00C51BB6"/>
    <w:rsid w:val="00C527C7"/>
    <w:rsid w:val="00C52805"/>
    <w:rsid w:val="00C529D9"/>
    <w:rsid w:val="00C52F4D"/>
    <w:rsid w:val="00C539E6"/>
    <w:rsid w:val="00C53C98"/>
    <w:rsid w:val="00C53E5E"/>
    <w:rsid w:val="00C53F1B"/>
    <w:rsid w:val="00C543A5"/>
    <w:rsid w:val="00C54D14"/>
    <w:rsid w:val="00C553A7"/>
    <w:rsid w:val="00C5548B"/>
    <w:rsid w:val="00C55B60"/>
    <w:rsid w:val="00C5610E"/>
    <w:rsid w:val="00C56350"/>
    <w:rsid w:val="00C566BD"/>
    <w:rsid w:val="00C566EC"/>
    <w:rsid w:val="00C56FCF"/>
    <w:rsid w:val="00C5725D"/>
    <w:rsid w:val="00C575E6"/>
    <w:rsid w:val="00C57A37"/>
    <w:rsid w:val="00C57B6C"/>
    <w:rsid w:val="00C6027D"/>
    <w:rsid w:val="00C6035E"/>
    <w:rsid w:val="00C60709"/>
    <w:rsid w:val="00C609D7"/>
    <w:rsid w:val="00C60A41"/>
    <w:rsid w:val="00C60CF7"/>
    <w:rsid w:val="00C60E4B"/>
    <w:rsid w:val="00C61A59"/>
    <w:rsid w:val="00C61D03"/>
    <w:rsid w:val="00C62705"/>
    <w:rsid w:val="00C62711"/>
    <w:rsid w:val="00C62737"/>
    <w:rsid w:val="00C62822"/>
    <w:rsid w:val="00C628A6"/>
    <w:rsid w:val="00C62970"/>
    <w:rsid w:val="00C62B97"/>
    <w:rsid w:val="00C62CD0"/>
    <w:rsid w:val="00C62E2D"/>
    <w:rsid w:val="00C64344"/>
    <w:rsid w:val="00C6476A"/>
    <w:rsid w:val="00C65005"/>
    <w:rsid w:val="00C65108"/>
    <w:rsid w:val="00C651D8"/>
    <w:rsid w:val="00C65576"/>
    <w:rsid w:val="00C65585"/>
    <w:rsid w:val="00C65678"/>
    <w:rsid w:val="00C65A22"/>
    <w:rsid w:val="00C65A4A"/>
    <w:rsid w:val="00C65FE4"/>
    <w:rsid w:val="00C66165"/>
    <w:rsid w:val="00C66654"/>
    <w:rsid w:val="00C66BC4"/>
    <w:rsid w:val="00C66E98"/>
    <w:rsid w:val="00C66F0B"/>
    <w:rsid w:val="00C67120"/>
    <w:rsid w:val="00C6754D"/>
    <w:rsid w:val="00C67812"/>
    <w:rsid w:val="00C678A3"/>
    <w:rsid w:val="00C67CD9"/>
    <w:rsid w:val="00C7035F"/>
    <w:rsid w:val="00C704AC"/>
    <w:rsid w:val="00C7060A"/>
    <w:rsid w:val="00C70854"/>
    <w:rsid w:val="00C70D1C"/>
    <w:rsid w:val="00C71391"/>
    <w:rsid w:val="00C7151A"/>
    <w:rsid w:val="00C715E6"/>
    <w:rsid w:val="00C717E3"/>
    <w:rsid w:val="00C71DAC"/>
    <w:rsid w:val="00C71EB5"/>
    <w:rsid w:val="00C71F60"/>
    <w:rsid w:val="00C72241"/>
    <w:rsid w:val="00C7264D"/>
    <w:rsid w:val="00C73C5E"/>
    <w:rsid w:val="00C73D3D"/>
    <w:rsid w:val="00C73E39"/>
    <w:rsid w:val="00C73ED1"/>
    <w:rsid w:val="00C74CF1"/>
    <w:rsid w:val="00C74E0B"/>
    <w:rsid w:val="00C74E30"/>
    <w:rsid w:val="00C74F02"/>
    <w:rsid w:val="00C750C8"/>
    <w:rsid w:val="00C75419"/>
    <w:rsid w:val="00C7560F"/>
    <w:rsid w:val="00C75C54"/>
    <w:rsid w:val="00C75C87"/>
    <w:rsid w:val="00C75CE5"/>
    <w:rsid w:val="00C75CF1"/>
    <w:rsid w:val="00C76186"/>
    <w:rsid w:val="00C768D1"/>
    <w:rsid w:val="00C76CE6"/>
    <w:rsid w:val="00C76FF9"/>
    <w:rsid w:val="00C77E32"/>
    <w:rsid w:val="00C8017A"/>
    <w:rsid w:val="00C80339"/>
    <w:rsid w:val="00C803EC"/>
    <w:rsid w:val="00C805BF"/>
    <w:rsid w:val="00C809D8"/>
    <w:rsid w:val="00C80A0E"/>
    <w:rsid w:val="00C80B2D"/>
    <w:rsid w:val="00C81057"/>
    <w:rsid w:val="00C81456"/>
    <w:rsid w:val="00C82011"/>
    <w:rsid w:val="00C82051"/>
    <w:rsid w:val="00C8213F"/>
    <w:rsid w:val="00C825E2"/>
    <w:rsid w:val="00C8303F"/>
    <w:rsid w:val="00C834C7"/>
    <w:rsid w:val="00C83712"/>
    <w:rsid w:val="00C83A31"/>
    <w:rsid w:val="00C83A8D"/>
    <w:rsid w:val="00C83DBB"/>
    <w:rsid w:val="00C84119"/>
    <w:rsid w:val="00C84AE5"/>
    <w:rsid w:val="00C85154"/>
    <w:rsid w:val="00C85759"/>
    <w:rsid w:val="00C85A70"/>
    <w:rsid w:val="00C864A9"/>
    <w:rsid w:val="00C864E5"/>
    <w:rsid w:val="00C86C73"/>
    <w:rsid w:val="00C8797A"/>
    <w:rsid w:val="00C87A90"/>
    <w:rsid w:val="00C87B33"/>
    <w:rsid w:val="00C900B8"/>
    <w:rsid w:val="00C90197"/>
    <w:rsid w:val="00C905BD"/>
    <w:rsid w:val="00C90BC5"/>
    <w:rsid w:val="00C90C71"/>
    <w:rsid w:val="00C9119D"/>
    <w:rsid w:val="00C91550"/>
    <w:rsid w:val="00C91589"/>
    <w:rsid w:val="00C91A0E"/>
    <w:rsid w:val="00C91D38"/>
    <w:rsid w:val="00C91F94"/>
    <w:rsid w:val="00C91FD1"/>
    <w:rsid w:val="00C9204F"/>
    <w:rsid w:val="00C928F4"/>
    <w:rsid w:val="00C9313E"/>
    <w:rsid w:val="00C931CF"/>
    <w:rsid w:val="00C931DC"/>
    <w:rsid w:val="00C938CF"/>
    <w:rsid w:val="00C93C34"/>
    <w:rsid w:val="00C93C95"/>
    <w:rsid w:val="00C94053"/>
    <w:rsid w:val="00C94377"/>
    <w:rsid w:val="00C9526B"/>
    <w:rsid w:val="00C959CC"/>
    <w:rsid w:val="00C9624D"/>
    <w:rsid w:val="00C962AB"/>
    <w:rsid w:val="00C969DA"/>
    <w:rsid w:val="00C96FED"/>
    <w:rsid w:val="00C97A61"/>
    <w:rsid w:val="00CA055C"/>
    <w:rsid w:val="00CA09B3"/>
    <w:rsid w:val="00CA1713"/>
    <w:rsid w:val="00CA1BA6"/>
    <w:rsid w:val="00CA222C"/>
    <w:rsid w:val="00CA24D5"/>
    <w:rsid w:val="00CA2C77"/>
    <w:rsid w:val="00CA2F39"/>
    <w:rsid w:val="00CA2FF3"/>
    <w:rsid w:val="00CA366B"/>
    <w:rsid w:val="00CA3A32"/>
    <w:rsid w:val="00CA413F"/>
    <w:rsid w:val="00CA43D5"/>
    <w:rsid w:val="00CA444F"/>
    <w:rsid w:val="00CA4D87"/>
    <w:rsid w:val="00CA4DA9"/>
    <w:rsid w:val="00CA501C"/>
    <w:rsid w:val="00CA5245"/>
    <w:rsid w:val="00CA5619"/>
    <w:rsid w:val="00CA5AEC"/>
    <w:rsid w:val="00CA5DDE"/>
    <w:rsid w:val="00CA5FC4"/>
    <w:rsid w:val="00CA604A"/>
    <w:rsid w:val="00CA6265"/>
    <w:rsid w:val="00CA69AE"/>
    <w:rsid w:val="00CA71F4"/>
    <w:rsid w:val="00CA73BF"/>
    <w:rsid w:val="00CA7513"/>
    <w:rsid w:val="00CA7B09"/>
    <w:rsid w:val="00CA7CC5"/>
    <w:rsid w:val="00CA7FB4"/>
    <w:rsid w:val="00CB005E"/>
    <w:rsid w:val="00CB0503"/>
    <w:rsid w:val="00CB0812"/>
    <w:rsid w:val="00CB0CBD"/>
    <w:rsid w:val="00CB0D2E"/>
    <w:rsid w:val="00CB12A5"/>
    <w:rsid w:val="00CB1811"/>
    <w:rsid w:val="00CB1CAC"/>
    <w:rsid w:val="00CB2D39"/>
    <w:rsid w:val="00CB2E6D"/>
    <w:rsid w:val="00CB2F2A"/>
    <w:rsid w:val="00CB3366"/>
    <w:rsid w:val="00CB33DD"/>
    <w:rsid w:val="00CB351A"/>
    <w:rsid w:val="00CB3753"/>
    <w:rsid w:val="00CB3D69"/>
    <w:rsid w:val="00CB41DC"/>
    <w:rsid w:val="00CB41FB"/>
    <w:rsid w:val="00CB439D"/>
    <w:rsid w:val="00CB44D4"/>
    <w:rsid w:val="00CB456D"/>
    <w:rsid w:val="00CB466C"/>
    <w:rsid w:val="00CB4924"/>
    <w:rsid w:val="00CB4CCA"/>
    <w:rsid w:val="00CB4F05"/>
    <w:rsid w:val="00CB4FC4"/>
    <w:rsid w:val="00CB5159"/>
    <w:rsid w:val="00CB5724"/>
    <w:rsid w:val="00CB59E6"/>
    <w:rsid w:val="00CB5B1A"/>
    <w:rsid w:val="00CB5B37"/>
    <w:rsid w:val="00CB5F4D"/>
    <w:rsid w:val="00CB625C"/>
    <w:rsid w:val="00CB6A17"/>
    <w:rsid w:val="00CB6B22"/>
    <w:rsid w:val="00CB6C9E"/>
    <w:rsid w:val="00CB6E6A"/>
    <w:rsid w:val="00CB71D9"/>
    <w:rsid w:val="00CB72EC"/>
    <w:rsid w:val="00CB7404"/>
    <w:rsid w:val="00CB79C3"/>
    <w:rsid w:val="00CB7A9E"/>
    <w:rsid w:val="00CB7BB1"/>
    <w:rsid w:val="00CB7CAE"/>
    <w:rsid w:val="00CB7F5F"/>
    <w:rsid w:val="00CC0257"/>
    <w:rsid w:val="00CC047A"/>
    <w:rsid w:val="00CC04E4"/>
    <w:rsid w:val="00CC1B39"/>
    <w:rsid w:val="00CC1BFA"/>
    <w:rsid w:val="00CC1D26"/>
    <w:rsid w:val="00CC20D3"/>
    <w:rsid w:val="00CC2380"/>
    <w:rsid w:val="00CC2BAC"/>
    <w:rsid w:val="00CC2D70"/>
    <w:rsid w:val="00CC2E9F"/>
    <w:rsid w:val="00CC30EA"/>
    <w:rsid w:val="00CC3146"/>
    <w:rsid w:val="00CC32DA"/>
    <w:rsid w:val="00CC3414"/>
    <w:rsid w:val="00CC35EA"/>
    <w:rsid w:val="00CC3848"/>
    <w:rsid w:val="00CC3D89"/>
    <w:rsid w:val="00CC40E4"/>
    <w:rsid w:val="00CC44F2"/>
    <w:rsid w:val="00CC4EA7"/>
    <w:rsid w:val="00CC5992"/>
    <w:rsid w:val="00CC5C32"/>
    <w:rsid w:val="00CC6314"/>
    <w:rsid w:val="00CC6359"/>
    <w:rsid w:val="00CC63F8"/>
    <w:rsid w:val="00CC67CB"/>
    <w:rsid w:val="00CC6A48"/>
    <w:rsid w:val="00CC6D5E"/>
    <w:rsid w:val="00CC7279"/>
    <w:rsid w:val="00CC728C"/>
    <w:rsid w:val="00CC7BEC"/>
    <w:rsid w:val="00CC7E2F"/>
    <w:rsid w:val="00CD0200"/>
    <w:rsid w:val="00CD0461"/>
    <w:rsid w:val="00CD0B17"/>
    <w:rsid w:val="00CD0D5D"/>
    <w:rsid w:val="00CD0F92"/>
    <w:rsid w:val="00CD104B"/>
    <w:rsid w:val="00CD10D4"/>
    <w:rsid w:val="00CD1A0A"/>
    <w:rsid w:val="00CD2078"/>
    <w:rsid w:val="00CD20E5"/>
    <w:rsid w:val="00CD2105"/>
    <w:rsid w:val="00CD2D5C"/>
    <w:rsid w:val="00CD31F7"/>
    <w:rsid w:val="00CD35FF"/>
    <w:rsid w:val="00CD366F"/>
    <w:rsid w:val="00CD3B24"/>
    <w:rsid w:val="00CD3DAA"/>
    <w:rsid w:val="00CD3F33"/>
    <w:rsid w:val="00CD3F77"/>
    <w:rsid w:val="00CD4389"/>
    <w:rsid w:val="00CD494E"/>
    <w:rsid w:val="00CD4AC4"/>
    <w:rsid w:val="00CD4D19"/>
    <w:rsid w:val="00CD5A4E"/>
    <w:rsid w:val="00CD5F83"/>
    <w:rsid w:val="00CD6673"/>
    <w:rsid w:val="00CD6ADC"/>
    <w:rsid w:val="00CD6EFE"/>
    <w:rsid w:val="00CD7193"/>
    <w:rsid w:val="00CD77AF"/>
    <w:rsid w:val="00CD7890"/>
    <w:rsid w:val="00CD7A0C"/>
    <w:rsid w:val="00CD7DD0"/>
    <w:rsid w:val="00CE0FE5"/>
    <w:rsid w:val="00CE1364"/>
    <w:rsid w:val="00CE1414"/>
    <w:rsid w:val="00CE1979"/>
    <w:rsid w:val="00CE1B04"/>
    <w:rsid w:val="00CE2722"/>
    <w:rsid w:val="00CE276B"/>
    <w:rsid w:val="00CE3585"/>
    <w:rsid w:val="00CE38C8"/>
    <w:rsid w:val="00CE3A9B"/>
    <w:rsid w:val="00CE4905"/>
    <w:rsid w:val="00CE4F8D"/>
    <w:rsid w:val="00CE5075"/>
    <w:rsid w:val="00CE524F"/>
    <w:rsid w:val="00CE5522"/>
    <w:rsid w:val="00CE58CC"/>
    <w:rsid w:val="00CE5AF6"/>
    <w:rsid w:val="00CE5DEB"/>
    <w:rsid w:val="00CE5E45"/>
    <w:rsid w:val="00CE5FF5"/>
    <w:rsid w:val="00CE611E"/>
    <w:rsid w:val="00CE6274"/>
    <w:rsid w:val="00CE7338"/>
    <w:rsid w:val="00CE74C1"/>
    <w:rsid w:val="00CE77B6"/>
    <w:rsid w:val="00CE79D3"/>
    <w:rsid w:val="00CE7CE5"/>
    <w:rsid w:val="00CE7F83"/>
    <w:rsid w:val="00CF0BFF"/>
    <w:rsid w:val="00CF0C0A"/>
    <w:rsid w:val="00CF1592"/>
    <w:rsid w:val="00CF1FF9"/>
    <w:rsid w:val="00CF2293"/>
    <w:rsid w:val="00CF24D6"/>
    <w:rsid w:val="00CF2531"/>
    <w:rsid w:val="00CF27DC"/>
    <w:rsid w:val="00CF290F"/>
    <w:rsid w:val="00CF2A35"/>
    <w:rsid w:val="00CF2B8D"/>
    <w:rsid w:val="00CF34EB"/>
    <w:rsid w:val="00CF35A7"/>
    <w:rsid w:val="00CF367A"/>
    <w:rsid w:val="00CF3A1B"/>
    <w:rsid w:val="00CF3C51"/>
    <w:rsid w:val="00CF456B"/>
    <w:rsid w:val="00CF471E"/>
    <w:rsid w:val="00CF499E"/>
    <w:rsid w:val="00CF4A06"/>
    <w:rsid w:val="00CF4C6D"/>
    <w:rsid w:val="00CF5A09"/>
    <w:rsid w:val="00CF5A22"/>
    <w:rsid w:val="00CF5ABE"/>
    <w:rsid w:val="00CF601E"/>
    <w:rsid w:val="00CF65CA"/>
    <w:rsid w:val="00CF6A5F"/>
    <w:rsid w:val="00CF6A67"/>
    <w:rsid w:val="00CF6F38"/>
    <w:rsid w:val="00CF7534"/>
    <w:rsid w:val="00CF7B4A"/>
    <w:rsid w:val="00D00876"/>
    <w:rsid w:val="00D00AB6"/>
    <w:rsid w:val="00D00FE8"/>
    <w:rsid w:val="00D01A0E"/>
    <w:rsid w:val="00D02365"/>
    <w:rsid w:val="00D024AD"/>
    <w:rsid w:val="00D0262E"/>
    <w:rsid w:val="00D03679"/>
    <w:rsid w:val="00D036D0"/>
    <w:rsid w:val="00D0405B"/>
    <w:rsid w:val="00D0423C"/>
    <w:rsid w:val="00D0449C"/>
    <w:rsid w:val="00D04767"/>
    <w:rsid w:val="00D04D5C"/>
    <w:rsid w:val="00D04EC0"/>
    <w:rsid w:val="00D0557F"/>
    <w:rsid w:val="00D05864"/>
    <w:rsid w:val="00D05E3D"/>
    <w:rsid w:val="00D06139"/>
    <w:rsid w:val="00D06781"/>
    <w:rsid w:val="00D069AD"/>
    <w:rsid w:val="00D06F98"/>
    <w:rsid w:val="00D0734B"/>
    <w:rsid w:val="00D10344"/>
    <w:rsid w:val="00D10531"/>
    <w:rsid w:val="00D10771"/>
    <w:rsid w:val="00D10828"/>
    <w:rsid w:val="00D10A4A"/>
    <w:rsid w:val="00D10E0E"/>
    <w:rsid w:val="00D10FA9"/>
    <w:rsid w:val="00D110BD"/>
    <w:rsid w:val="00D11212"/>
    <w:rsid w:val="00D115DB"/>
    <w:rsid w:val="00D118B6"/>
    <w:rsid w:val="00D11961"/>
    <w:rsid w:val="00D121C3"/>
    <w:rsid w:val="00D134EC"/>
    <w:rsid w:val="00D13675"/>
    <w:rsid w:val="00D13695"/>
    <w:rsid w:val="00D13CE9"/>
    <w:rsid w:val="00D13FBD"/>
    <w:rsid w:val="00D141E1"/>
    <w:rsid w:val="00D142C5"/>
    <w:rsid w:val="00D145B3"/>
    <w:rsid w:val="00D145D2"/>
    <w:rsid w:val="00D148CA"/>
    <w:rsid w:val="00D14B86"/>
    <w:rsid w:val="00D15314"/>
    <w:rsid w:val="00D153E4"/>
    <w:rsid w:val="00D15B17"/>
    <w:rsid w:val="00D15B48"/>
    <w:rsid w:val="00D15FB0"/>
    <w:rsid w:val="00D16B5C"/>
    <w:rsid w:val="00D171FE"/>
    <w:rsid w:val="00D17C6C"/>
    <w:rsid w:val="00D17D6C"/>
    <w:rsid w:val="00D17EE9"/>
    <w:rsid w:val="00D20660"/>
    <w:rsid w:val="00D2077B"/>
    <w:rsid w:val="00D20F74"/>
    <w:rsid w:val="00D2155B"/>
    <w:rsid w:val="00D21E00"/>
    <w:rsid w:val="00D21F14"/>
    <w:rsid w:val="00D22055"/>
    <w:rsid w:val="00D224A1"/>
    <w:rsid w:val="00D22586"/>
    <w:rsid w:val="00D22942"/>
    <w:rsid w:val="00D22A12"/>
    <w:rsid w:val="00D22D7E"/>
    <w:rsid w:val="00D22DBF"/>
    <w:rsid w:val="00D23D11"/>
    <w:rsid w:val="00D24481"/>
    <w:rsid w:val="00D244B6"/>
    <w:rsid w:val="00D24A70"/>
    <w:rsid w:val="00D24CBC"/>
    <w:rsid w:val="00D24CD2"/>
    <w:rsid w:val="00D2521A"/>
    <w:rsid w:val="00D2527C"/>
    <w:rsid w:val="00D25C75"/>
    <w:rsid w:val="00D25FD4"/>
    <w:rsid w:val="00D263FF"/>
    <w:rsid w:val="00D264F0"/>
    <w:rsid w:val="00D2659B"/>
    <w:rsid w:val="00D265E6"/>
    <w:rsid w:val="00D26657"/>
    <w:rsid w:val="00D26877"/>
    <w:rsid w:val="00D26A44"/>
    <w:rsid w:val="00D26E8E"/>
    <w:rsid w:val="00D27276"/>
    <w:rsid w:val="00D27310"/>
    <w:rsid w:val="00D2754D"/>
    <w:rsid w:val="00D27B27"/>
    <w:rsid w:val="00D3020C"/>
    <w:rsid w:val="00D30539"/>
    <w:rsid w:val="00D308C4"/>
    <w:rsid w:val="00D30D5B"/>
    <w:rsid w:val="00D30F19"/>
    <w:rsid w:val="00D30F1D"/>
    <w:rsid w:val="00D31272"/>
    <w:rsid w:val="00D31767"/>
    <w:rsid w:val="00D319ED"/>
    <w:rsid w:val="00D31B1E"/>
    <w:rsid w:val="00D31B45"/>
    <w:rsid w:val="00D31CB8"/>
    <w:rsid w:val="00D31D18"/>
    <w:rsid w:val="00D3207A"/>
    <w:rsid w:val="00D3243D"/>
    <w:rsid w:val="00D32AF1"/>
    <w:rsid w:val="00D32CE6"/>
    <w:rsid w:val="00D337D7"/>
    <w:rsid w:val="00D33BE9"/>
    <w:rsid w:val="00D33F93"/>
    <w:rsid w:val="00D3430E"/>
    <w:rsid w:val="00D3499D"/>
    <w:rsid w:val="00D34AB7"/>
    <w:rsid w:val="00D34E0D"/>
    <w:rsid w:val="00D352A0"/>
    <w:rsid w:val="00D352D9"/>
    <w:rsid w:val="00D357FF"/>
    <w:rsid w:val="00D35B4C"/>
    <w:rsid w:val="00D360BA"/>
    <w:rsid w:val="00D3623A"/>
    <w:rsid w:val="00D36355"/>
    <w:rsid w:val="00D36691"/>
    <w:rsid w:val="00D369FB"/>
    <w:rsid w:val="00D36A0E"/>
    <w:rsid w:val="00D3722E"/>
    <w:rsid w:val="00D37912"/>
    <w:rsid w:val="00D37B76"/>
    <w:rsid w:val="00D37C66"/>
    <w:rsid w:val="00D37D6F"/>
    <w:rsid w:val="00D4030C"/>
    <w:rsid w:val="00D4059A"/>
    <w:rsid w:val="00D406E3"/>
    <w:rsid w:val="00D40DCD"/>
    <w:rsid w:val="00D41006"/>
    <w:rsid w:val="00D4161F"/>
    <w:rsid w:val="00D41A9C"/>
    <w:rsid w:val="00D41D9D"/>
    <w:rsid w:val="00D42064"/>
    <w:rsid w:val="00D4232F"/>
    <w:rsid w:val="00D424C7"/>
    <w:rsid w:val="00D424D8"/>
    <w:rsid w:val="00D42AA5"/>
    <w:rsid w:val="00D42C99"/>
    <w:rsid w:val="00D43803"/>
    <w:rsid w:val="00D43B2A"/>
    <w:rsid w:val="00D43CF1"/>
    <w:rsid w:val="00D43D83"/>
    <w:rsid w:val="00D444B8"/>
    <w:rsid w:val="00D449E9"/>
    <w:rsid w:val="00D44F77"/>
    <w:rsid w:val="00D45008"/>
    <w:rsid w:val="00D450E7"/>
    <w:rsid w:val="00D453C6"/>
    <w:rsid w:val="00D4590F"/>
    <w:rsid w:val="00D45CE3"/>
    <w:rsid w:val="00D46018"/>
    <w:rsid w:val="00D4638B"/>
    <w:rsid w:val="00D46568"/>
    <w:rsid w:val="00D47575"/>
    <w:rsid w:val="00D477FA"/>
    <w:rsid w:val="00D47921"/>
    <w:rsid w:val="00D47F9B"/>
    <w:rsid w:val="00D501AD"/>
    <w:rsid w:val="00D503FB"/>
    <w:rsid w:val="00D5068B"/>
    <w:rsid w:val="00D50A6F"/>
    <w:rsid w:val="00D50CEC"/>
    <w:rsid w:val="00D50ED1"/>
    <w:rsid w:val="00D51FB0"/>
    <w:rsid w:val="00D520FB"/>
    <w:rsid w:val="00D5243B"/>
    <w:rsid w:val="00D52489"/>
    <w:rsid w:val="00D525C3"/>
    <w:rsid w:val="00D52ABC"/>
    <w:rsid w:val="00D5339F"/>
    <w:rsid w:val="00D533EC"/>
    <w:rsid w:val="00D534AC"/>
    <w:rsid w:val="00D538E1"/>
    <w:rsid w:val="00D53986"/>
    <w:rsid w:val="00D54110"/>
    <w:rsid w:val="00D54905"/>
    <w:rsid w:val="00D5506C"/>
    <w:rsid w:val="00D55746"/>
    <w:rsid w:val="00D55F30"/>
    <w:rsid w:val="00D55FB7"/>
    <w:rsid w:val="00D56014"/>
    <w:rsid w:val="00D5611C"/>
    <w:rsid w:val="00D56356"/>
    <w:rsid w:val="00D565B3"/>
    <w:rsid w:val="00D56984"/>
    <w:rsid w:val="00D56A95"/>
    <w:rsid w:val="00D56F4B"/>
    <w:rsid w:val="00D57339"/>
    <w:rsid w:val="00D575B5"/>
    <w:rsid w:val="00D6076E"/>
    <w:rsid w:val="00D60A06"/>
    <w:rsid w:val="00D60AB4"/>
    <w:rsid w:val="00D60CEA"/>
    <w:rsid w:val="00D61BD6"/>
    <w:rsid w:val="00D62024"/>
    <w:rsid w:val="00D621B8"/>
    <w:rsid w:val="00D6227C"/>
    <w:rsid w:val="00D622E0"/>
    <w:rsid w:val="00D6264E"/>
    <w:rsid w:val="00D62653"/>
    <w:rsid w:val="00D6269A"/>
    <w:rsid w:val="00D6280F"/>
    <w:rsid w:val="00D62FE3"/>
    <w:rsid w:val="00D62FF2"/>
    <w:rsid w:val="00D63023"/>
    <w:rsid w:val="00D630AA"/>
    <w:rsid w:val="00D63234"/>
    <w:rsid w:val="00D634CF"/>
    <w:rsid w:val="00D63B99"/>
    <w:rsid w:val="00D63F6B"/>
    <w:rsid w:val="00D6407D"/>
    <w:rsid w:val="00D64259"/>
    <w:rsid w:val="00D646B8"/>
    <w:rsid w:val="00D64E01"/>
    <w:rsid w:val="00D650BD"/>
    <w:rsid w:val="00D65954"/>
    <w:rsid w:val="00D659D0"/>
    <w:rsid w:val="00D65D56"/>
    <w:rsid w:val="00D66099"/>
    <w:rsid w:val="00D660D5"/>
    <w:rsid w:val="00D661AD"/>
    <w:rsid w:val="00D665B1"/>
    <w:rsid w:val="00D66DE4"/>
    <w:rsid w:val="00D66E01"/>
    <w:rsid w:val="00D66E9B"/>
    <w:rsid w:val="00D67371"/>
    <w:rsid w:val="00D67AC1"/>
    <w:rsid w:val="00D701B2"/>
    <w:rsid w:val="00D7041A"/>
    <w:rsid w:val="00D70B9C"/>
    <w:rsid w:val="00D70BBB"/>
    <w:rsid w:val="00D70F16"/>
    <w:rsid w:val="00D71066"/>
    <w:rsid w:val="00D714B9"/>
    <w:rsid w:val="00D7166F"/>
    <w:rsid w:val="00D71DC1"/>
    <w:rsid w:val="00D72604"/>
    <w:rsid w:val="00D72617"/>
    <w:rsid w:val="00D72887"/>
    <w:rsid w:val="00D72BEF"/>
    <w:rsid w:val="00D72F57"/>
    <w:rsid w:val="00D730A2"/>
    <w:rsid w:val="00D73640"/>
    <w:rsid w:val="00D73FFF"/>
    <w:rsid w:val="00D74376"/>
    <w:rsid w:val="00D7524E"/>
    <w:rsid w:val="00D75522"/>
    <w:rsid w:val="00D7620C"/>
    <w:rsid w:val="00D76A44"/>
    <w:rsid w:val="00D77326"/>
    <w:rsid w:val="00D77378"/>
    <w:rsid w:val="00D775AE"/>
    <w:rsid w:val="00D776C2"/>
    <w:rsid w:val="00D77753"/>
    <w:rsid w:val="00D7777C"/>
    <w:rsid w:val="00D77C87"/>
    <w:rsid w:val="00D80AD2"/>
    <w:rsid w:val="00D80C30"/>
    <w:rsid w:val="00D80FCB"/>
    <w:rsid w:val="00D81063"/>
    <w:rsid w:val="00D812B6"/>
    <w:rsid w:val="00D815EF"/>
    <w:rsid w:val="00D81949"/>
    <w:rsid w:val="00D81F26"/>
    <w:rsid w:val="00D822E2"/>
    <w:rsid w:val="00D82C93"/>
    <w:rsid w:val="00D8321E"/>
    <w:rsid w:val="00D832D7"/>
    <w:rsid w:val="00D83D00"/>
    <w:rsid w:val="00D84191"/>
    <w:rsid w:val="00D843F2"/>
    <w:rsid w:val="00D84498"/>
    <w:rsid w:val="00D8459C"/>
    <w:rsid w:val="00D846AA"/>
    <w:rsid w:val="00D851BD"/>
    <w:rsid w:val="00D853D1"/>
    <w:rsid w:val="00D859A5"/>
    <w:rsid w:val="00D85CE1"/>
    <w:rsid w:val="00D85DE0"/>
    <w:rsid w:val="00D85EA2"/>
    <w:rsid w:val="00D86208"/>
    <w:rsid w:val="00D86231"/>
    <w:rsid w:val="00D86354"/>
    <w:rsid w:val="00D865A0"/>
    <w:rsid w:val="00D8666A"/>
    <w:rsid w:val="00D8710D"/>
    <w:rsid w:val="00D875B9"/>
    <w:rsid w:val="00D87624"/>
    <w:rsid w:val="00D87991"/>
    <w:rsid w:val="00D87C22"/>
    <w:rsid w:val="00D87CFA"/>
    <w:rsid w:val="00D90A30"/>
    <w:rsid w:val="00D90D98"/>
    <w:rsid w:val="00D90DCB"/>
    <w:rsid w:val="00D912AB"/>
    <w:rsid w:val="00D915DA"/>
    <w:rsid w:val="00D91923"/>
    <w:rsid w:val="00D91B34"/>
    <w:rsid w:val="00D91C82"/>
    <w:rsid w:val="00D92145"/>
    <w:rsid w:val="00D925AB"/>
    <w:rsid w:val="00D928DC"/>
    <w:rsid w:val="00D92937"/>
    <w:rsid w:val="00D92E7F"/>
    <w:rsid w:val="00D93280"/>
    <w:rsid w:val="00D9329F"/>
    <w:rsid w:val="00D93753"/>
    <w:rsid w:val="00D93C21"/>
    <w:rsid w:val="00D94084"/>
    <w:rsid w:val="00D950D0"/>
    <w:rsid w:val="00D95172"/>
    <w:rsid w:val="00D952B6"/>
    <w:rsid w:val="00D956CD"/>
    <w:rsid w:val="00D95A38"/>
    <w:rsid w:val="00D95AAB"/>
    <w:rsid w:val="00D9625F"/>
    <w:rsid w:val="00D96638"/>
    <w:rsid w:val="00D9747C"/>
    <w:rsid w:val="00D979A3"/>
    <w:rsid w:val="00DA031D"/>
    <w:rsid w:val="00DA0EA0"/>
    <w:rsid w:val="00DA1BB6"/>
    <w:rsid w:val="00DA1F20"/>
    <w:rsid w:val="00DA1FCB"/>
    <w:rsid w:val="00DA236B"/>
    <w:rsid w:val="00DA2775"/>
    <w:rsid w:val="00DA2E7B"/>
    <w:rsid w:val="00DA30B6"/>
    <w:rsid w:val="00DA30D5"/>
    <w:rsid w:val="00DA3167"/>
    <w:rsid w:val="00DA3482"/>
    <w:rsid w:val="00DA35BD"/>
    <w:rsid w:val="00DA36B0"/>
    <w:rsid w:val="00DA3B33"/>
    <w:rsid w:val="00DA3B8A"/>
    <w:rsid w:val="00DA4DC3"/>
    <w:rsid w:val="00DA541F"/>
    <w:rsid w:val="00DA5908"/>
    <w:rsid w:val="00DA598C"/>
    <w:rsid w:val="00DA5A8F"/>
    <w:rsid w:val="00DA6420"/>
    <w:rsid w:val="00DA64D9"/>
    <w:rsid w:val="00DA693A"/>
    <w:rsid w:val="00DA6AB2"/>
    <w:rsid w:val="00DA6C38"/>
    <w:rsid w:val="00DA753B"/>
    <w:rsid w:val="00DA77A5"/>
    <w:rsid w:val="00DA7B09"/>
    <w:rsid w:val="00DA7B83"/>
    <w:rsid w:val="00DB048A"/>
    <w:rsid w:val="00DB0699"/>
    <w:rsid w:val="00DB08EE"/>
    <w:rsid w:val="00DB0E36"/>
    <w:rsid w:val="00DB223B"/>
    <w:rsid w:val="00DB29F3"/>
    <w:rsid w:val="00DB2E52"/>
    <w:rsid w:val="00DB3136"/>
    <w:rsid w:val="00DB3D02"/>
    <w:rsid w:val="00DB3DBF"/>
    <w:rsid w:val="00DB3F4E"/>
    <w:rsid w:val="00DB4628"/>
    <w:rsid w:val="00DB484F"/>
    <w:rsid w:val="00DB4B1F"/>
    <w:rsid w:val="00DB4B30"/>
    <w:rsid w:val="00DB4B3D"/>
    <w:rsid w:val="00DB5DE9"/>
    <w:rsid w:val="00DB5FA3"/>
    <w:rsid w:val="00DB611B"/>
    <w:rsid w:val="00DB71E3"/>
    <w:rsid w:val="00DB7258"/>
    <w:rsid w:val="00DB7362"/>
    <w:rsid w:val="00DB74F7"/>
    <w:rsid w:val="00DB7BEA"/>
    <w:rsid w:val="00DB7ECE"/>
    <w:rsid w:val="00DB7EEA"/>
    <w:rsid w:val="00DC004A"/>
    <w:rsid w:val="00DC02ED"/>
    <w:rsid w:val="00DC04C6"/>
    <w:rsid w:val="00DC04F6"/>
    <w:rsid w:val="00DC0523"/>
    <w:rsid w:val="00DC0690"/>
    <w:rsid w:val="00DC075E"/>
    <w:rsid w:val="00DC0BDB"/>
    <w:rsid w:val="00DC152C"/>
    <w:rsid w:val="00DC15B3"/>
    <w:rsid w:val="00DC1604"/>
    <w:rsid w:val="00DC17E6"/>
    <w:rsid w:val="00DC1D65"/>
    <w:rsid w:val="00DC23CB"/>
    <w:rsid w:val="00DC2FEE"/>
    <w:rsid w:val="00DC315A"/>
    <w:rsid w:val="00DC324C"/>
    <w:rsid w:val="00DC37C9"/>
    <w:rsid w:val="00DC3C57"/>
    <w:rsid w:val="00DC3DC7"/>
    <w:rsid w:val="00DC3DD5"/>
    <w:rsid w:val="00DC46C0"/>
    <w:rsid w:val="00DC4B3B"/>
    <w:rsid w:val="00DC4B88"/>
    <w:rsid w:val="00DC4BC9"/>
    <w:rsid w:val="00DC5501"/>
    <w:rsid w:val="00DC570C"/>
    <w:rsid w:val="00DC5731"/>
    <w:rsid w:val="00DC5DE4"/>
    <w:rsid w:val="00DC5F3C"/>
    <w:rsid w:val="00DC5FF6"/>
    <w:rsid w:val="00DC6875"/>
    <w:rsid w:val="00DC6D2F"/>
    <w:rsid w:val="00DC70C8"/>
    <w:rsid w:val="00DC7154"/>
    <w:rsid w:val="00DC7298"/>
    <w:rsid w:val="00DC72D5"/>
    <w:rsid w:val="00DC7358"/>
    <w:rsid w:val="00DC76F0"/>
    <w:rsid w:val="00DC79BB"/>
    <w:rsid w:val="00DC7E8A"/>
    <w:rsid w:val="00DC7F97"/>
    <w:rsid w:val="00DD06D3"/>
    <w:rsid w:val="00DD07C7"/>
    <w:rsid w:val="00DD09BC"/>
    <w:rsid w:val="00DD0F78"/>
    <w:rsid w:val="00DD172E"/>
    <w:rsid w:val="00DD17B1"/>
    <w:rsid w:val="00DD26AE"/>
    <w:rsid w:val="00DD273C"/>
    <w:rsid w:val="00DD27F8"/>
    <w:rsid w:val="00DD28FA"/>
    <w:rsid w:val="00DD2AB3"/>
    <w:rsid w:val="00DD2CEC"/>
    <w:rsid w:val="00DD32CF"/>
    <w:rsid w:val="00DD333A"/>
    <w:rsid w:val="00DD3630"/>
    <w:rsid w:val="00DD37C6"/>
    <w:rsid w:val="00DD3A58"/>
    <w:rsid w:val="00DD3F28"/>
    <w:rsid w:val="00DD41D4"/>
    <w:rsid w:val="00DD4446"/>
    <w:rsid w:val="00DD44FF"/>
    <w:rsid w:val="00DD4537"/>
    <w:rsid w:val="00DD4E15"/>
    <w:rsid w:val="00DD55DA"/>
    <w:rsid w:val="00DD5670"/>
    <w:rsid w:val="00DD6113"/>
    <w:rsid w:val="00DD6147"/>
    <w:rsid w:val="00DD650E"/>
    <w:rsid w:val="00DD658C"/>
    <w:rsid w:val="00DD68A8"/>
    <w:rsid w:val="00DD6A7F"/>
    <w:rsid w:val="00DD707D"/>
    <w:rsid w:val="00DD73CD"/>
    <w:rsid w:val="00DD770B"/>
    <w:rsid w:val="00DD78E1"/>
    <w:rsid w:val="00DD7BF9"/>
    <w:rsid w:val="00DE0127"/>
    <w:rsid w:val="00DE05AD"/>
    <w:rsid w:val="00DE06B9"/>
    <w:rsid w:val="00DE07AA"/>
    <w:rsid w:val="00DE0838"/>
    <w:rsid w:val="00DE0CDB"/>
    <w:rsid w:val="00DE1A1E"/>
    <w:rsid w:val="00DE1AAE"/>
    <w:rsid w:val="00DE1C80"/>
    <w:rsid w:val="00DE1D84"/>
    <w:rsid w:val="00DE2284"/>
    <w:rsid w:val="00DE2304"/>
    <w:rsid w:val="00DE2440"/>
    <w:rsid w:val="00DE2578"/>
    <w:rsid w:val="00DE273E"/>
    <w:rsid w:val="00DE27AB"/>
    <w:rsid w:val="00DE2AAD"/>
    <w:rsid w:val="00DE3084"/>
    <w:rsid w:val="00DE3110"/>
    <w:rsid w:val="00DE3138"/>
    <w:rsid w:val="00DE34CE"/>
    <w:rsid w:val="00DE37F8"/>
    <w:rsid w:val="00DE3D33"/>
    <w:rsid w:val="00DE3EA2"/>
    <w:rsid w:val="00DE4055"/>
    <w:rsid w:val="00DE4273"/>
    <w:rsid w:val="00DE4279"/>
    <w:rsid w:val="00DE4FCB"/>
    <w:rsid w:val="00DE51D6"/>
    <w:rsid w:val="00DE52BC"/>
    <w:rsid w:val="00DE5D07"/>
    <w:rsid w:val="00DE5D7E"/>
    <w:rsid w:val="00DE5F56"/>
    <w:rsid w:val="00DE6B23"/>
    <w:rsid w:val="00DE6D3E"/>
    <w:rsid w:val="00DE6DD8"/>
    <w:rsid w:val="00DE72A7"/>
    <w:rsid w:val="00DE744D"/>
    <w:rsid w:val="00DE76AC"/>
    <w:rsid w:val="00DE7832"/>
    <w:rsid w:val="00DE7A48"/>
    <w:rsid w:val="00DE7F8F"/>
    <w:rsid w:val="00DF0489"/>
    <w:rsid w:val="00DF07BE"/>
    <w:rsid w:val="00DF0A0D"/>
    <w:rsid w:val="00DF0BCC"/>
    <w:rsid w:val="00DF0CC4"/>
    <w:rsid w:val="00DF11FF"/>
    <w:rsid w:val="00DF17AF"/>
    <w:rsid w:val="00DF18FC"/>
    <w:rsid w:val="00DF1A5F"/>
    <w:rsid w:val="00DF1F44"/>
    <w:rsid w:val="00DF2677"/>
    <w:rsid w:val="00DF2966"/>
    <w:rsid w:val="00DF2D65"/>
    <w:rsid w:val="00DF30C6"/>
    <w:rsid w:val="00DF37BE"/>
    <w:rsid w:val="00DF40D9"/>
    <w:rsid w:val="00DF4A10"/>
    <w:rsid w:val="00DF4BD7"/>
    <w:rsid w:val="00DF58C5"/>
    <w:rsid w:val="00DF5B30"/>
    <w:rsid w:val="00DF5BF6"/>
    <w:rsid w:val="00DF5CC2"/>
    <w:rsid w:val="00DF5D2B"/>
    <w:rsid w:val="00DF6341"/>
    <w:rsid w:val="00DF63E9"/>
    <w:rsid w:val="00DF65C1"/>
    <w:rsid w:val="00DF6656"/>
    <w:rsid w:val="00DF66FD"/>
    <w:rsid w:val="00DF7823"/>
    <w:rsid w:val="00DF7843"/>
    <w:rsid w:val="00DF7905"/>
    <w:rsid w:val="00DF7A83"/>
    <w:rsid w:val="00DF7B21"/>
    <w:rsid w:val="00DF7C9A"/>
    <w:rsid w:val="00E00190"/>
    <w:rsid w:val="00E00877"/>
    <w:rsid w:val="00E00E8E"/>
    <w:rsid w:val="00E0117A"/>
    <w:rsid w:val="00E01FC3"/>
    <w:rsid w:val="00E033D8"/>
    <w:rsid w:val="00E033EC"/>
    <w:rsid w:val="00E03595"/>
    <w:rsid w:val="00E03681"/>
    <w:rsid w:val="00E03D3E"/>
    <w:rsid w:val="00E04572"/>
    <w:rsid w:val="00E04619"/>
    <w:rsid w:val="00E04705"/>
    <w:rsid w:val="00E0481B"/>
    <w:rsid w:val="00E0482D"/>
    <w:rsid w:val="00E04872"/>
    <w:rsid w:val="00E04E76"/>
    <w:rsid w:val="00E0503A"/>
    <w:rsid w:val="00E0507B"/>
    <w:rsid w:val="00E053AD"/>
    <w:rsid w:val="00E05630"/>
    <w:rsid w:val="00E056E4"/>
    <w:rsid w:val="00E05AD5"/>
    <w:rsid w:val="00E05AF7"/>
    <w:rsid w:val="00E05B7D"/>
    <w:rsid w:val="00E05CFC"/>
    <w:rsid w:val="00E05EF4"/>
    <w:rsid w:val="00E063C3"/>
    <w:rsid w:val="00E0665F"/>
    <w:rsid w:val="00E06DBB"/>
    <w:rsid w:val="00E07073"/>
    <w:rsid w:val="00E07428"/>
    <w:rsid w:val="00E07A27"/>
    <w:rsid w:val="00E10149"/>
    <w:rsid w:val="00E1019B"/>
    <w:rsid w:val="00E1075E"/>
    <w:rsid w:val="00E1081C"/>
    <w:rsid w:val="00E10A30"/>
    <w:rsid w:val="00E10A73"/>
    <w:rsid w:val="00E11340"/>
    <w:rsid w:val="00E11656"/>
    <w:rsid w:val="00E1197D"/>
    <w:rsid w:val="00E120DD"/>
    <w:rsid w:val="00E121A7"/>
    <w:rsid w:val="00E122A1"/>
    <w:rsid w:val="00E12393"/>
    <w:rsid w:val="00E12843"/>
    <w:rsid w:val="00E12AFF"/>
    <w:rsid w:val="00E12DBA"/>
    <w:rsid w:val="00E138E6"/>
    <w:rsid w:val="00E13A86"/>
    <w:rsid w:val="00E13FBE"/>
    <w:rsid w:val="00E1424F"/>
    <w:rsid w:val="00E14F0C"/>
    <w:rsid w:val="00E151E6"/>
    <w:rsid w:val="00E1582C"/>
    <w:rsid w:val="00E16372"/>
    <w:rsid w:val="00E1638C"/>
    <w:rsid w:val="00E1673E"/>
    <w:rsid w:val="00E168DC"/>
    <w:rsid w:val="00E168E4"/>
    <w:rsid w:val="00E16AD8"/>
    <w:rsid w:val="00E16B0A"/>
    <w:rsid w:val="00E16C13"/>
    <w:rsid w:val="00E16E73"/>
    <w:rsid w:val="00E1722C"/>
    <w:rsid w:val="00E173FF"/>
    <w:rsid w:val="00E17C5B"/>
    <w:rsid w:val="00E17FFA"/>
    <w:rsid w:val="00E20114"/>
    <w:rsid w:val="00E2065D"/>
    <w:rsid w:val="00E206D0"/>
    <w:rsid w:val="00E209B3"/>
    <w:rsid w:val="00E20ADB"/>
    <w:rsid w:val="00E20E4D"/>
    <w:rsid w:val="00E20ED6"/>
    <w:rsid w:val="00E21267"/>
    <w:rsid w:val="00E21358"/>
    <w:rsid w:val="00E2168D"/>
    <w:rsid w:val="00E21CE5"/>
    <w:rsid w:val="00E221D6"/>
    <w:rsid w:val="00E223D8"/>
    <w:rsid w:val="00E2249B"/>
    <w:rsid w:val="00E224B8"/>
    <w:rsid w:val="00E226DC"/>
    <w:rsid w:val="00E228D3"/>
    <w:rsid w:val="00E22A0D"/>
    <w:rsid w:val="00E22C32"/>
    <w:rsid w:val="00E22E12"/>
    <w:rsid w:val="00E231E1"/>
    <w:rsid w:val="00E23547"/>
    <w:rsid w:val="00E23E5F"/>
    <w:rsid w:val="00E23FBB"/>
    <w:rsid w:val="00E244F6"/>
    <w:rsid w:val="00E24BD7"/>
    <w:rsid w:val="00E24FCF"/>
    <w:rsid w:val="00E25107"/>
    <w:rsid w:val="00E258DB"/>
    <w:rsid w:val="00E25BD9"/>
    <w:rsid w:val="00E25CA3"/>
    <w:rsid w:val="00E26266"/>
    <w:rsid w:val="00E26430"/>
    <w:rsid w:val="00E26E6E"/>
    <w:rsid w:val="00E271B4"/>
    <w:rsid w:val="00E2771E"/>
    <w:rsid w:val="00E2777B"/>
    <w:rsid w:val="00E27811"/>
    <w:rsid w:val="00E27A4F"/>
    <w:rsid w:val="00E27D0E"/>
    <w:rsid w:val="00E3049B"/>
    <w:rsid w:val="00E3060C"/>
    <w:rsid w:val="00E30722"/>
    <w:rsid w:val="00E3092D"/>
    <w:rsid w:val="00E30F26"/>
    <w:rsid w:val="00E30FE4"/>
    <w:rsid w:val="00E311EF"/>
    <w:rsid w:val="00E31811"/>
    <w:rsid w:val="00E3214D"/>
    <w:rsid w:val="00E32180"/>
    <w:rsid w:val="00E32326"/>
    <w:rsid w:val="00E32327"/>
    <w:rsid w:val="00E3250C"/>
    <w:rsid w:val="00E3357D"/>
    <w:rsid w:val="00E33802"/>
    <w:rsid w:val="00E3390F"/>
    <w:rsid w:val="00E33A99"/>
    <w:rsid w:val="00E33ACE"/>
    <w:rsid w:val="00E34586"/>
    <w:rsid w:val="00E34948"/>
    <w:rsid w:val="00E350B3"/>
    <w:rsid w:val="00E35214"/>
    <w:rsid w:val="00E352D7"/>
    <w:rsid w:val="00E35465"/>
    <w:rsid w:val="00E3599F"/>
    <w:rsid w:val="00E35E67"/>
    <w:rsid w:val="00E35F6D"/>
    <w:rsid w:val="00E36046"/>
    <w:rsid w:val="00E362BA"/>
    <w:rsid w:val="00E3648B"/>
    <w:rsid w:val="00E36AFC"/>
    <w:rsid w:val="00E37569"/>
    <w:rsid w:val="00E37942"/>
    <w:rsid w:val="00E37D2D"/>
    <w:rsid w:val="00E401B2"/>
    <w:rsid w:val="00E40368"/>
    <w:rsid w:val="00E403FA"/>
    <w:rsid w:val="00E406A7"/>
    <w:rsid w:val="00E41576"/>
    <w:rsid w:val="00E41CD7"/>
    <w:rsid w:val="00E41E30"/>
    <w:rsid w:val="00E42A5F"/>
    <w:rsid w:val="00E42DE9"/>
    <w:rsid w:val="00E42F73"/>
    <w:rsid w:val="00E42FC1"/>
    <w:rsid w:val="00E430AC"/>
    <w:rsid w:val="00E43194"/>
    <w:rsid w:val="00E43630"/>
    <w:rsid w:val="00E43740"/>
    <w:rsid w:val="00E43D70"/>
    <w:rsid w:val="00E43DF7"/>
    <w:rsid w:val="00E43DFA"/>
    <w:rsid w:val="00E43EB6"/>
    <w:rsid w:val="00E43F7E"/>
    <w:rsid w:val="00E442D0"/>
    <w:rsid w:val="00E444C3"/>
    <w:rsid w:val="00E444C4"/>
    <w:rsid w:val="00E452AC"/>
    <w:rsid w:val="00E45339"/>
    <w:rsid w:val="00E4535F"/>
    <w:rsid w:val="00E453DB"/>
    <w:rsid w:val="00E4554B"/>
    <w:rsid w:val="00E4577E"/>
    <w:rsid w:val="00E4616E"/>
    <w:rsid w:val="00E46439"/>
    <w:rsid w:val="00E466F3"/>
    <w:rsid w:val="00E46701"/>
    <w:rsid w:val="00E46C00"/>
    <w:rsid w:val="00E4703D"/>
    <w:rsid w:val="00E4724B"/>
    <w:rsid w:val="00E47332"/>
    <w:rsid w:val="00E47781"/>
    <w:rsid w:val="00E47A79"/>
    <w:rsid w:val="00E47B2C"/>
    <w:rsid w:val="00E47BE0"/>
    <w:rsid w:val="00E47C48"/>
    <w:rsid w:val="00E502BA"/>
    <w:rsid w:val="00E503CB"/>
    <w:rsid w:val="00E505B3"/>
    <w:rsid w:val="00E50739"/>
    <w:rsid w:val="00E50763"/>
    <w:rsid w:val="00E50F4B"/>
    <w:rsid w:val="00E51560"/>
    <w:rsid w:val="00E51821"/>
    <w:rsid w:val="00E518A6"/>
    <w:rsid w:val="00E51B66"/>
    <w:rsid w:val="00E51DFF"/>
    <w:rsid w:val="00E52DF4"/>
    <w:rsid w:val="00E53174"/>
    <w:rsid w:val="00E5376B"/>
    <w:rsid w:val="00E53B2F"/>
    <w:rsid w:val="00E53B34"/>
    <w:rsid w:val="00E53FC8"/>
    <w:rsid w:val="00E54347"/>
    <w:rsid w:val="00E54930"/>
    <w:rsid w:val="00E55339"/>
    <w:rsid w:val="00E55424"/>
    <w:rsid w:val="00E55915"/>
    <w:rsid w:val="00E55BB5"/>
    <w:rsid w:val="00E563B9"/>
    <w:rsid w:val="00E56D5B"/>
    <w:rsid w:val="00E56E56"/>
    <w:rsid w:val="00E57065"/>
    <w:rsid w:val="00E57C20"/>
    <w:rsid w:val="00E57CE6"/>
    <w:rsid w:val="00E57E8F"/>
    <w:rsid w:val="00E608CF"/>
    <w:rsid w:val="00E608FA"/>
    <w:rsid w:val="00E6091B"/>
    <w:rsid w:val="00E60C99"/>
    <w:rsid w:val="00E60D41"/>
    <w:rsid w:val="00E60E38"/>
    <w:rsid w:val="00E611DF"/>
    <w:rsid w:val="00E614BF"/>
    <w:rsid w:val="00E61790"/>
    <w:rsid w:val="00E6243D"/>
    <w:rsid w:val="00E624DC"/>
    <w:rsid w:val="00E62530"/>
    <w:rsid w:val="00E62729"/>
    <w:rsid w:val="00E628D5"/>
    <w:rsid w:val="00E63D41"/>
    <w:rsid w:val="00E64FA0"/>
    <w:rsid w:val="00E650B8"/>
    <w:rsid w:val="00E6572D"/>
    <w:rsid w:val="00E6590D"/>
    <w:rsid w:val="00E65B1C"/>
    <w:rsid w:val="00E65E79"/>
    <w:rsid w:val="00E662B7"/>
    <w:rsid w:val="00E66BA2"/>
    <w:rsid w:val="00E66C02"/>
    <w:rsid w:val="00E66F3D"/>
    <w:rsid w:val="00E67309"/>
    <w:rsid w:val="00E67416"/>
    <w:rsid w:val="00E67711"/>
    <w:rsid w:val="00E67757"/>
    <w:rsid w:val="00E679A8"/>
    <w:rsid w:val="00E679E4"/>
    <w:rsid w:val="00E7002B"/>
    <w:rsid w:val="00E700C0"/>
    <w:rsid w:val="00E70351"/>
    <w:rsid w:val="00E70919"/>
    <w:rsid w:val="00E70AED"/>
    <w:rsid w:val="00E70B3F"/>
    <w:rsid w:val="00E70EF4"/>
    <w:rsid w:val="00E718B6"/>
    <w:rsid w:val="00E71ED5"/>
    <w:rsid w:val="00E723BA"/>
    <w:rsid w:val="00E724A3"/>
    <w:rsid w:val="00E725C5"/>
    <w:rsid w:val="00E7311B"/>
    <w:rsid w:val="00E73581"/>
    <w:rsid w:val="00E74725"/>
    <w:rsid w:val="00E749C3"/>
    <w:rsid w:val="00E74DAD"/>
    <w:rsid w:val="00E751C5"/>
    <w:rsid w:val="00E752B2"/>
    <w:rsid w:val="00E754B3"/>
    <w:rsid w:val="00E7562B"/>
    <w:rsid w:val="00E75A21"/>
    <w:rsid w:val="00E75B43"/>
    <w:rsid w:val="00E75C84"/>
    <w:rsid w:val="00E75CBC"/>
    <w:rsid w:val="00E76E86"/>
    <w:rsid w:val="00E7747D"/>
    <w:rsid w:val="00E77625"/>
    <w:rsid w:val="00E77677"/>
    <w:rsid w:val="00E77992"/>
    <w:rsid w:val="00E8000E"/>
    <w:rsid w:val="00E804CA"/>
    <w:rsid w:val="00E80929"/>
    <w:rsid w:val="00E81165"/>
    <w:rsid w:val="00E812D1"/>
    <w:rsid w:val="00E81FB9"/>
    <w:rsid w:val="00E8228F"/>
    <w:rsid w:val="00E825BB"/>
    <w:rsid w:val="00E82E5E"/>
    <w:rsid w:val="00E8301C"/>
    <w:rsid w:val="00E833F7"/>
    <w:rsid w:val="00E83507"/>
    <w:rsid w:val="00E83BDF"/>
    <w:rsid w:val="00E83DFB"/>
    <w:rsid w:val="00E83E7D"/>
    <w:rsid w:val="00E8400A"/>
    <w:rsid w:val="00E857FB"/>
    <w:rsid w:val="00E865EE"/>
    <w:rsid w:val="00E86996"/>
    <w:rsid w:val="00E869E2"/>
    <w:rsid w:val="00E869F4"/>
    <w:rsid w:val="00E86D40"/>
    <w:rsid w:val="00E86EA3"/>
    <w:rsid w:val="00E86FAC"/>
    <w:rsid w:val="00E86FCC"/>
    <w:rsid w:val="00E872EE"/>
    <w:rsid w:val="00E874BB"/>
    <w:rsid w:val="00E87A1D"/>
    <w:rsid w:val="00E908C2"/>
    <w:rsid w:val="00E9094A"/>
    <w:rsid w:val="00E90C81"/>
    <w:rsid w:val="00E912BA"/>
    <w:rsid w:val="00E91B1B"/>
    <w:rsid w:val="00E91D21"/>
    <w:rsid w:val="00E91D35"/>
    <w:rsid w:val="00E91E44"/>
    <w:rsid w:val="00E9228F"/>
    <w:rsid w:val="00E923B2"/>
    <w:rsid w:val="00E926A5"/>
    <w:rsid w:val="00E92B79"/>
    <w:rsid w:val="00E94575"/>
    <w:rsid w:val="00E949FC"/>
    <w:rsid w:val="00E9590B"/>
    <w:rsid w:val="00E95A96"/>
    <w:rsid w:val="00E95F76"/>
    <w:rsid w:val="00E962CC"/>
    <w:rsid w:val="00E96422"/>
    <w:rsid w:val="00E9652F"/>
    <w:rsid w:val="00E96715"/>
    <w:rsid w:val="00E9767C"/>
    <w:rsid w:val="00E97D39"/>
    <w:rsid w:val="00EA00ED"/>
    <w:rsid w:val="00EA0573"/>
    <w:rsid w:val="00EA0E3F"/>
    <w:rsid w:val="00EA106C"/>
    <w:rsid w:val="00EA15FC"/>
    <w:rsid w:val="00EA17C3"/>
    <w:rsid w:val="00EA1AE3"/>
    <w:rsid w:val="00EA245A"/>
    <w:rsid w:val="00EA24B3"/>
    <w:rsid w:val="00EA24BF"/>
    <w:rsid w:val="00EA259E"/>
    <w:rsid w:val="00EA2673"/>
    <w:rsid w:val="00EA2CAA"/>
    <w:rsid w:val="00EA3074"/>
    <w:rsid w:val="00EA3114"/>
    <w:rsid w:val="00EA3685"/>
    <w:rsid w:val="00EA3864"/>
    <w:rsid w:val="00EA3A2B"/>
    <w:rsid w:val="00EA42EB"/>
    <w:rsid w:val="00EA45EB"/>
    <w:rsid w:val="00EA4A5B"/>
    <w:rsid w:val="00EA4E67"/>
    <w:rsid w:val="00EA5542"/>
    <w:rsid w:val="00EA5938"/>
    <w:rsid w:val="00EA5F4B"/>
    <w:rsid w:val="00EA60DB"/>
    <w:rsid w:val="00EA6540"/>
    <w:rsid w:val="00EA685E"/>
    <w:rsid w:val="00EA6A92"/>
    <w:rsid w:val="00EA7284"/>
    <w:rsid w:val="00EA72BF"/>
    <w:rsid w:val="00EA76D7"/>
    <w:rsid w:val="00EA791D"/>
    <w:rsid w:val="00EA7C1C"/>
    <w:rsid w:val="00EA7F1C"/>
    <w:rsid w:val="00EB01F5"/>
    <w:rsid w:val="00EB02BA"/>
    <w:rsid w:val="00EB0B9A"/>
    <w:rsid w:val="00EB0D02"/>
    <w:rsid w:val="00EB0E7C"/>
    <w:rsid w:val="00EB1267"/>
    <w:rsid w:val="00EB149A"/>
    <w:rsid w:val="00EB15A7"/>
    <w:rsid w:val="00EB15B6"/>
    <w:rsid w:val="00EB1756"/>
    <w:rsid w:val="00EB193A"/>
    <w:rsid w:val="00EB1CD0"/>
    <w:rsid w:val="00EB21A1"/>
    <w:rsid w:val="00EB2849"/>
    <w:rsid w:val="00EB31F1"/>
    <w:rsid w:val="00EB3D06"/>
    <w:rsid w:val="00EB4552"/>
    <w:rsid w:val="00EB4916"/>
    <w:rsid w:val="00EB4AAB"/>
    <w:rsid w:val="00EB4CBB"/>
    <w:rsid w:val="00EB5749"/>
    <w:rsid w:val="00EB58F1"/>
    <w:rsid w:val="00EB5A51"/>
    <w:rsid w:val="00EB5BF3"/>
    <w:rsid w:val="00EB5E15"/>
    <w:rsid w:val="00EB657C"/>
    <w:rsid w:val="00EB660B"/>
    <w:rsid w:val="00EB695D"/>
    <w:rsid w:val="00EB6A4D"/>
    <w:rsid w:val="00EB6C0B"/>
    <w:rsid w:val="00EB74D5"/>
    <w:rsid w:val="00EB7B62"/>
    <w:rsid w:val="00EB7F5E"/>
    <w:rsid w:val="00EB7FE2"/>
    <w:rsid w:val="00EC00C9"/>
    <w:rsid w:val="00EC01D2"/>
    <w:rsid w:val="00EC04BD"/>
    <w:rsid w:val="00EC056A"/>
    <w:rsid w:val="00EC07CE"/>
    <w:rsid w:val="00EC0A3F"/>
    <w:rsid w:val="00EC0DD9"/>
    <w:rsid w:val="00EC129E"/>
    <w:rsid w:val="00EC1A09"/>
    <w:rsid w:val="00EC260E"/>
    <w:rsid w:val="00EC2649"/>
    <w:rsid w:val="00EC277C"/>
    <w:rsid w:val="00EC2B21"/>
    <w:rsid w:val="00EC2E21"/>
    <w:rsid w:val="00EC2FCF"/>
    <w:rsid w:val="00EC31ED"/>
    <w:rsid w:val="00EC38A5"/>
    <w:rsid w:val="00EC3E87"/>
    <w:rsid w:val="00EC4454"/>
    <w:rsid w:val="00EC47AF"/>
    <w:rsid w:val="00EC5042"/>
    <w:rsid w:val="00EC52FA"/>
    <w:rsid w:val="00EC5619"/>
    <w:rsid w:val="00EC5836"/>
    <w:rsid w:val="00EC679F"/>
    <w:rsid w:val="00EC688C"/>
    <w:rsid w:val="00EC6AFC"/>
    <w:rsid w:val="00EC7225"/>
    <w:rsid w:val="00EC747B"/>
    <w:rsid w:val="00EC76C8"/>
    <w:rsid w:val="00EC7ACF"/>
    <w:rsid w:val="00EC7F21"/>
    <w:rsid w:val="00ED12E3"/>
    <w:rsid w:val="00ED14CE"/>
    <w:rsid w:val="00ED178A"/>
    <w:rsid w:val="00ED1C4D"/>
    <w:rsid w:val="00ED1D05"/>
    <w:rsid w:val="00ED22E0"/>
    <w:rsid w:val="00ED2E72"/>
    <w:rsid w:val="00ED3039"/>
    <w:rsid w:val="00ED33CB"/>
    <w:rsid w:val="00ED47B8"/>
    <w:rsid w:val="00ED4B04"/>
    <w:rsid w:val="00ED57EA"/>
    <w:rsid w:val="00ED5BD4"/>
    <w:rsid w:val="00ED61AE"/>
    <w:rsid w:val="00ED61B9"/>
    <w:rsid w:val="00ED6B80"/>
    <w:rsid w:val="00ED6C71"/>
    <w:rsid w:val="00ED765F"/>
    <w:rsid w:val="00EE05AC"/>
    <w:rsid w:val="00EE07D3"/>
    <w:rsid w:val="00EE083B"/>
    <w:rsid w:val="00EE0E49"/>
    <w:rsid w:val="00EE1185"/>
    <w:rsid w:val="00EE11CD"/>
    <w:rsid w:val="00EE137E"/>
    <w:rsid w:val="00EE1442"/>
    <w:rsid w:val="00EE1996"/>
    <w:rsid w:val="00EE1BEA"/>
    <w:rsid w:val="00EE1C01"/>
    <w:rsid w:val="00EE207C"/>
    <w:rsid w:val="00EE2158"/>
    <w:rsid w:val="00EE22AF"/>
    <w:rsid w:val="00EE2920"/>
    <w:rsid w:val="00EE3A4B"/>
    <w:rsid w:val="00EE3E4A"/>
    <w:rsid w:val="00EE428D"/>
    <w:rsid w:val="00EE42FC"/>
    <w:rsid w:val="00EE43DB"/>
    <w:rsid w:val="00EE454B"/>
    <w:rsid w:val="00EE4B68"/>
    <w:rsid w:val="00EE4CCB"/>
    <w:rsid w:val="00EE5070"/>
    <w:rsid w:val="00EE623E"/>
    <w:rsid w:val="00EE66A5"/>
    <w:rsid w:val="00EE6EBD"/>
    <w:rsid w:val="00EE74EB"/>
    <w:rsid w:val="00EE759E"/>
    <w:rsid w:val="00EE7862"/>
    <w:rsid w:val="00EF0171"/>
    <w:rsid w:val="00EF1B25"/>
    <w:rsid w:val="00EF1CC3"/>
    <w:rsid w:val="00EF1DA0"/>
    <w:rsid w:val="00EF1E6C"/>
    <w:rsid w:val="00EF1FA0"/>
    <w:rsid w:val="00EF22B5"/>
    <w:rsid w:val="00EF22EA"/>
    <w:rsid w:val="00EF2CB6"/>
    <w:rsid w:val="00EF34B0"/>
    <w:rsid w:val="00EF3873"/>
    <w:rsid w:val="00EF3F56"/>
    <w:rsid w:val="00EF43C8"/>
    <w:rsid w:val="00EF45B9"/>
    <w:rsid w:val="00EF4715"/>
    <w:rsid w:val="00EF4747"/>
    <w:rsid w:val="00EF47BF"/>
    <w:rsid w:val="00EF4A49"/>
    <w:rsid w:val="00EF4BF8"/>
    <w:rsid w:val="00EF4C3E"/>
    <w:rsid w:val="00EF4CC3"/>
    <w:rsid w:val="00EF4D22"/>
    <w:rsid w:val="00EF4F4D"/>
    <w:rsid w:val="00EF4FB2"/>
    <w:rsid w:val="00EF51E4"/>
    <w:rsid w:val="00EF57E9"/>
    <w:rsid w:val="00EF610D"/>
    <w:rsid w:val="00EF672C"/>
    <w:rsid w:val="00EF6A57"/>
    <w:rsid w:val="00EF73B1"/>
    <w:rsid w:val="00EF7A7C"/>
    <w:rsid w:val="00EF7A99"/>
    <w:rsid w:val="00F00ACA"/>
    <w:rsid w:val="00F00B80"/>
    <w:rsid w:val="00F01811"/>
    <w:rsid w:val="00F020D3"/>
    <w:rsid w:val="00F02253"/>
    <w:rsid w:val="00F0247C"/>
    <w:rsid w:val="00F02C55"/>
    <w:rsid w:val="00F02E3E"/>
    <w:rsid w:val="00F02F20"/>
    <w:rsid w:val="00F0370F"/>
    <w:rsid w:val="00F03C2E"/>
    <w:rsid w:val="00F03D02"/>
    <w:rsid w:val="00F03D53"/>
    <w:rsid w:val="00F04224"/>
    <w:rsid w:val="00F0450F"/>
    <w:rsid w:val="00F047FE"/>
    <w:rsid w:val="00F0483C"/>
    <w:rsid w:val="00F04898"/>
    <w:rsid w:val="00F04A66"/>
    <w:rsid w:val="00F04B4B"/>
    <w:rsid w:val="00F04F91"/>
    <w:rsid w:val="00F050F9"/>
    <w:rsid w:val="00F0516C"/>
    <w:rsid w:val="00F056C5"/>
    <w:rsid w:val="00F05E6E"/>
    <w:rsid w:val="00F064BB"/>
    <w:rsid w:val="00F0667C"/>
    <w:rsid w:val="00F0668B"/>
    <w:rsid w:val="00F067A2"/>
    <w:rsid w:val="00F067FE"/>
    <w:rsid w:val="00F0776E"/>
    <w:rsid w:val="00F07B9E"/>
    <w:rsid w:val="00F07D8E"/>
    <w:rsid w:val="00F07FC4"/>
    <w:rsid w:val="00F104A6"/>
    <w:rsid w:val="00F1074F"/>
    <w:rsid w:val="00F108C2"/>
    <w:rsid w:val="00F10D2B"/>
    <w:rsid w:val="00F10F8D"/>
    <w:rsid w:val="00F1116F"/>
    <w:rsid w:val="00F11300"/>
    <w:rsid w:val="00F1263A"/>
    <w:rsid w:val="00F12903"/>
    <w:rsid w:val="00F12AA5"/>
    <w:rsid w:val="00F12C87"/>
    <w:rsid w:val="00F12FCD"/>
    <w:rsid w:val="00F131D2"/>
    <w:rsid w:val="00F136BF"/>
    <w:rsid w:val="00F13727"/>
    <w:rsid w:val="00F139C5"/>
    <w:rsid w:val="00F14624"/>
    <w:rsid w:val="00F14794"/>
    <w:rsid w:val="00F147DC"/>
    <w:rsid w:val="00F14891"/>
    <w:rsid w:val="00F14D1B"/>
    <w:rsid w:val="00F1541C"/>
    <w:rsid w:val="00F15971"/>
    <w:rsid w:val="00F15B39"/>
    <w:rsid w:val="00F15B77"/>
    <w:rsid w:val="00F15CA7"/>
    <w:rsid w:val="00F15D50"/>
    <w:rsid w:val="00F16279"/>
    <w:rsid w:val="00F162AA"/>
    <w:rsid w:val="00F167B7"/>
    <w:rsid w:val="00F16A27"/>
    <w:rsid w:val="00F203CA"/>
    <w:rsid w:val="00F20812"/>
    <w:rsid w:val="00F20E14"/>
    <w:rsid w:val="00F211CE"/>
    <w:rsid w:val="00F21236"/>
    <w:rsid w:val="00F21544"/>
    <w:rsid w:val="00F21793"/>
    <w:rsid w:val="00F220FB"/>
    <w:rsid w:val="00F223D2"/>
    <w:rsid w:val="00F22973"/>
    <w:rsid w:val="00F22C42"/>
    <w:rsid w:val="00F2309C"/>
    <w:rsid w:val="00F236F9"/>
    <w:rsid w:val="00F23E37"/>
    <w:rsid w:val="00F2412F"/>
    <w:rsid w:val="00F241BE"/>
    <w:rsid w:val="00F2428E"/>
    <w:rsid w:val="00F24837"/>
    <w:rsid w:val="00F24BB8"/>
    <w:rsid w:val="00F24C1E"/>
    <w:rsid w:val="00F24E0F"/>
    <w:rsid w:val="00F2575F"/>
    <w:rsid w:val="00F2588F"/>
    <w:rsid w:val="00F25E5E"/>
    <w:rsid w:val="00F26042"/>
    <w:rsid w:val="00F2618C"/>
    <w:rsid w:val="00F26B82"/>
    <w:rsid w:val="00F26BD6"/>
    <w:rsid w:val="00F26FF8"/>
    <w:rsid w:val="00F27565"/>
    <w:rsid w:val="00F277BF"/>
    <w:rsid w:val="00F27D0A"/>
    <w:rsid w:val="00F27E68"/>
    <w:rsid w:val="00F27FBC"/>
    <w:rsid w:val="00F30309"/>
    <w:rsid w:val="00F303CF"/>
    <w:rsid w:val="00F30A76"/>
    <w:rsid w:val="00F30D48"/>
    <w:rsid w:val="00F30FE3"/>
    <w:rsid w:val="00F310AC"/>
    <w:rsid w:val="00F310D4"/>
    <w:rsid w:val="00F313A1"/>
    <w:rsid w:val="00F31830"/>
    <w:rsid w:val="00F31D5A"/>
    <w:rsid w:val="00F31F9F"/>
    <w:rsid w:val="00F32924"/>
    <w:rsid w:val="00F333E5"/>
    <w:rsid w:val="00F3346D"/>
    <w:rsid w:val="00F33975"/>
    <w:rsid w:val="00F33DE9"/>
    <w:rsid w:val="00F3424F"/>
    <w:rsid w:val="00F343B1"/>
    <w:rsid w:val="00F34B85"/>
    <w:rsid w:val="00F35399"/>
    <w:rsid w:val="00F3554A"/>
    <w:rsid w:val="00F3567A"/>
    <w:rsid w:val="00F3577C"/>
    <w:rsid w:val="00F35B8F"/>
    <w:rsid w:val="00F35D91"/>
    <w:rsid w:val="00F35E6D"/>
    <w:rsid w:val="00F3600E"/>
    <w:rsid w:val="00F3606C"/>
    <w:rsid w:val="00F360EE"/>
    <w:rsid w:val="00F3619A"/>
    <w:rsid w:val="00F36C41"/>
    <w:rsid w:val="00F36EC3"/>
    <w:rsid w:val="00F374B4"/>
    <w:rsid w:val="00F37849"/>
    <w:rsid w:val="00F37A14"/>
    <w:rsid w:val="00F37D38"/>
    <w:rsid w:val="00F37D54"/>
    <w:rsid w:val="00F40597"/>
    <w:rsid w:val="00F40AAA"/>
    <w:rsid w:val="00F40BA7"/>
    <w:rsid w:val="00F40CE6"/>
    <w:rsid w:val="00F40F9D"/>
    <w:rsid w:val="00F414E4"/>
    <w:rsid w:val="00F41654"/>
    <w:rsid w:val="00F41ACD"/>
    <w:rsid w:val="00F41B64"/>
    <w:rsid w:val="00F41EE9"/>
    <w:rsid w:val="00F42127"/>
    <w:rsid w:val="00F423CA"/>
    <w:rsid w:val="00F4262A"/>
    <w:rsid w:val="00F428CC"/>
    <w:rsid w:val="00F429E6"/>
    <w:rsid w:val="00F42B3C"/>
    <w:rsid w:val="00F42FD4"/>
    <w:rsid w:val="00F4371C"/>
    <w:rsid w:val="00F43944"/>
    <w:rsid w:val="00F443D0"/>
    <w:rsid w:val="00F4466E"/>
    <w:rsid w:val="00F44E35"/>
    <w:rsid w:val="00F4551E"/>
    <w:rsid w:val="00F45810"/>
    <w:rsid w:val="00F45991"/>
    <w:rsid w:val="00F45FC7"/>
    <w:rsid w:val="00F45FE4"/>
    <w:rsid w:val="00F46AE9"/>
    <w:rsid w:val="00F46CB6"/>
    <w:rsid w:val="00F47021"/>
    <w:rsid w:val="00F4756D"/>
    <w:rsid w:val="00F47DE8"/>
    <w:rsid w:val="00F47F56"/>
    <w:rsid w:val="00F50E73"/>
    <w:rsid w:val="00F51D3B"/>
    <w:rsid w:val="00F520ED"/>
    <w:rsid w:val="00F525B6"/>
    <w:rsid w:val="00F5298A"/>
    <w:rsid w:val="00F52B6E"/>
    <w:rsid w:val="00F53267"/>
    <w:rsid w:val="00F533B8"/>
    <w:rsid w:val="00F53620"/>
    <w:rsid w:val="00F540FE"/>
    <w:rsid w:val="00F542C1"/>
    <w:rsid w:val="00F544FD"/>
    <w:rsid w:val="00F54A09"/>
    <w:rsid w:val="00F54BC3"/>
    <w:rsid w:val="00F550E3"/>
    <w:rsid w:val="00F55DDA"/>
    <w:rsid w:val="00F55E73"/>
    <w:rsid w:val="00F55EDA"/>
    <w:rsid w:val="00F564B3"/>
    <w:rsid w:val="00F56C80"/>
    <w:rsid w:val="00F56F23"/>
    <w:rsid w:val="00F56F5B"/>
    <w:rsid w:val="00F57104"/>
    <w:rsid w:val="00F57160"/>
    <w:rsid w:val="00F579D4"/>
    <w:rsid w:val="00F57AD2"/>
    <w:rsid w:val="00F60066"/>
    <w:rsid w:val="00F60092"/>
    <w:rsid w:val="00F60417"/>
    <w:rsid w:val="00F604B1"/>
    <w:rsid w:val="00F60DE8"/>
    <w:rsid w:val="00F60E09"/>
    <w:rsid w:val="00F6142E"/>
    <w:rsid w:val="00F61434"/>
    <w:rsid w:val="00F61466"/>
    <w:rsid w:val="00F61C18"/>
    <w:rsid w:val="00F62059"/>
    <w:rsid w:val="00F62074"/>
    <w:rsid w:val="00F62746"/>
    <w:rsid w:val="00F62E43"/>
    <w:rsid w:val="00F6368C"/>
    <w:rsid w:val="00F63AAF"/>
    <w:rsid w:val="00F63E36"/>
    <w:rsid w:val="00F64288"/>
    <w:rsid w:val="00F64443"/>
    <w:rsid w:val="00F64721"/>
    <w:rsid w:val="00F64DAC"/>
    <w:rsid w:val="00F653CD"/>
    <w:rsid w:val="00F65954"/>
    <w:rsid w:val="00F65F4B"/>
    <w:rsid w:val="00F66659"/>
    <w:rsid w:val="00F66DD4"/>
    <w:rsid w:val="00F6780A"/>
    <w:rsid w:val="00F67A69"/>
    <w:rsid w:val="00F67F70"/>
    <w:rsid w:val="00F70B72"/>
    <w:rsid w:val="00F70BFF"/>
    <w:rsid w:val="00F70C9D"/>
    <w:rsid w:val="00F7118B"/>
    <w:rsid w:val="00F716DB"/>
    <w:rsid w:val="00F7259E"/>
    <w:rsid w:val="00F73349"/>
    <w:rsid w:val="00F7376F"/>
    <w:rsid w:val="00F739DA"/>
    <w:rsid w:val="00F73BA9"/>
    <w:rsid w:val="00F73C8D"/>
    <w:rsid w:val="00F73CE8"/>
    <w:rsid w:val="00F73E08"/>
    <w:rsid w:val="00F742BB"/>
    <w:rsid w:val="00F745FB"/>
    <w:rsid w:val="00F74ADD"/>
    <w:rsid w:val="00F74CD9"/>
    <w:rsid w:val="00F75002"/>
    <w:rsid w:val="00F7542B"/>
    <w:rsid w:val="00F757F6"/>
    <w:rsid w:val="00F75D8E"/>
    <w:rsid w:val="00F75DD8"/>
    <w:rsid w:val="00F75E99"/>
    <w:rsid w:val="00F76236"/>
    <w:rsid w:val="00F7632A"/>
    <w:rsid w:val="00F7645B"/>
    <w:rsid w:val="00F7673D"/>
    <w:rsid w:val="00F7781F"/>
    <w:rsid w:val="00F77F33"/>
    <w:rsid w:val="00F806B1"/>
    <w:rsid w:val="00F8076E"/>
    <w:rsid w:val="00F80A14"/>
    <w:rsid w:val="00F80A7B"/>
    <w:rsid w:val="00F80AC3"/>
    <w:rsid w:val="00F80E5D"/>
    <w:rsid w:val="00F80EAA"/>
    <w:rsid w:val="00F816AB"/>
    <w:rsid w:val="00F817D9"/>
    <w:rsid w:val="00F81C58"/>
    <w:rsid w:val="00F81E78"/>
    <w:rsid w:val="00F8201D"/>
    <w:rsid w:val="00F82160"/>
    <w:rsid w:val="00F82440"/>
    <w:rsid w:val="00F827A6"/>
    <w:rsid w:val="00F82BBB"/>
    <w:rsid w:val="00F83189"/>
    <w:rsid w:val="00F8333C"/>
    <w:rsid w:val="00F834A4"/>
    <w:rsid w:val="00F83686"/>
    <w:rsid w:val="00F83916"/>
    <w:rsid w:val="00F83A5A"/>
    <w:rsid w:val="00F83A82"/>
    <w:rsid w:val="00F83A91"/>
    <w:rsid w:val="00F83B53"/>
    <w:rsid w:val="00F83E33"/>
    <w:rsid w:val="00F840E8"/>
    <w:rsid w:val="00F8413F"/>
    <w:rsid w:val="00F842FD"/>
    <w:rsid w:val="00F843BA"/>
    <w:rsid w:val="00F844AE"/>
    <w:rsid w:val="00F847D0"/>
    <w:rsid w:val="00F85056"/>
    <w:rsid w:val="00F851CE"/>
    <w:rsid w:val="00F860AF"/>
    <w:rsid w:val="00F863B4"/>
    <w:rsid w:val="00F8662D"/>
    <w:rsid w:val="00F867E8"/>
    <w:rsid w:val="00F86DBF"/>
    <w:rsid w:val="00F87579"/>
    <w:rsid w:val="00F875F2"/>
    <w:rsid w:val="00F8789C"/>
    <w:rsid w:val="00F879BE"/>
    <w:rsid w:val="00F9026E"/>
    <w:rsid w:val="00F90F2E"/>
    <w:rsid w:val="00F91219"/>
    <w:rsid w:val="00F91884"/>
    <w:rsid w:val="00F91A10"/>
    <w:rsid w:val="00F91AE4"/>
    <w:rsid w:val="00F91F74"/>
    <w:rsid w:val="00F92444"/>
    <w:rsid w:val="00F9298D"/>
    <w:rsid w:val="00F929F5"/>
    <w:rsid w:val="00F92B24"/>
    <w:rsid w:val="00F92C23"/>
    <w:rsid w:val="00F93487"/>
    <w:rsid w:val="00F938FD"/>
    <w:rsid w:val="00F9393E"/>
    <w:rsid w:val="00F93BE9"/>
    <w:rsid w:val="00F94399"/>
    <w:rsid w:val="00F943D5"/>
    <w:rsid w:val="00F94EDF"/>
    <w:rsid w:val="00F9531B"/>
    <w:rsid w:val="00F9538C"/>
    <w:rsid w:val="00F9548D"/>
    <w:rsid w:val="00F9599B"/>
    <w:rsid w:val="00F95CAE"/>
    <w:rsid w:val="00F960F9"/>
    <w:rsid w:val="00F963A4"/>
    <w:rsid w:val="00F96793"/>
    <w:rsid w:val="00F96FD0"/>
    <w:rsid w:val="00F973BB"/>
    <w:rsid w:val="00F97691"/>
    <w:rsid w:val="00F9770E"/>
    <w:rsid w:val="00F97A78"/>
    <w:rsid w:val="00F97E26"/>
    <w:rsid w:val="00FA0426"/>
    <w:rsid w:val="00FA043A"/>
    <w:rsid w:val="00FA0963"/>
    <w:rsid w:val="00FA0A51"/>
    <w:rsid w:val="00FA0B20"/>
    <w:rsid w:val="00FA0D85"/>
    <w:rsid w:val="00FA1085"/>
    <w:rsid w:val="00FA175B"/>
    <w:rsid w:val="00FA1A05"/>
    <w:rsid w:val="00FA1AB2"/>
    <w:rsid w:val="00FA1CBC"/>
    <w:rsid w:val="00FA2341"/>
    <w:rsid w:val="00FA246C"/>
    <w:rsid w:val="00FA24E7"/>
    <w:rsid w:val="00FA25AF"/>
    <w:rsid w:val="00FA289D"/>
    <w:rsid w:val="00FA3965"/>
    <w:rsid w:val="00FA3FBF"/>
    <w:rsid w:val="00FA4142"/>
    <w:rsid w:val="00FA43BA"/>
    <w:rsid w:val="00FA4733"/>
    <w:rsid w:val="00FA4FB1"/>
    <w:rsid w:val="00FA5E83"/>
    <w:rsid w:val="00FA5EE6"/>
    <w:rsid w:val="00FA691E"/>
    <w:rsid w:val="00FA6F2D"/>
    <w:rsid w:val="00FA6F71"/>
    <w:rsid w:val="00FA7214"/>
    <w:rsid w:val="00FA7956"/>
    <w:rsid w:val="00FB05A7"/>
    <w:rsid w:val="00FB0824"/>
    <w:rsid w:val="00FB112C"/>
    <w:rsid w:val="00FB12CA"/>
    <w:rsid w:val="00FB146D"/>
    <w:rsid w:val="00FB161E"/>
    <w:rsid w:val="00FB18A2"/>
    <w:rsid w:val="00FB1B9D"/>
    <w:rsid w:val="00FB21BB"/>
    <w:rsid w:val="00FB21D9"/>
    <w:rsid w:val="00FB2BC3"/>
    <w:rsid w:val="00FB2FCB"/>
    <w:rsid w:val="00FB339F"/>
    <w:rsid w:val="00FB393A"/>
    <w:rsid w:val="00FB3A68"/>
    <w:rsid w:val="00FB3CF1"/>
    <w:rsid w:val="00FB460A"/>
    <w:rsid w:val="00FB468A"/>
    <w:rsid w:val="00FB47A7"/>
    <w:rsid w:val="00FB47EF"/>
    <w:rsid w:val="00FB4AD2"/>
    <w:rsid w:val="00FB4C9C"/>
    <w:rsid w:val="00FB52BE"/>
    <w:rsid w:val="00FB5A9E"/>
    <w:rsid w:val="00FB6018"/>
    <w:rsid w:val="00FB61F1"/>
    <w:rsid w:val="00FB671E"/>
    <w:rsid w:val="00FB697B"/>
    <w:rsid w:val="00FB69EF"/>
    <w:rsid w:val="00FB6BFD"/>
    <w:rsid w:val="00FB6E57"/>
    <w:rsid w:val="00FB6E6B"/>
    <w:rsid w:val="00FB6E7A"/>
    <w:rsid w:val="00FB7242"/>
    <w:rsid w:val="00FB73F7"/>
    <w:rsid w:val="00FB73FA"/>
    <w:rsid w:val="00FB7513"/>
    <w:rsid w:val="00FB7C55"/>
    <w:rsid w:val="00FC0337"/>
    <w:rsid w:val="00FC0533"/>
    <w:rsid w:val="00FC0973"/>
    <w:rsid w:val="00FC09D0"/>
    <w:rsid w:val="00FC1074"/>
    <w:rsid w:val="00FC117F"/>
    <w:rsid w:val="00FC1513"/>
    <w:rsid w:val="00FC152B"/>
    <w:rsid w:val="00FC15DC"/>
    <w:rsid w:val="00FC1734"/>
    <w:rsid w:val="00FC1753"/>
    <w:rsid w:val="00FC1884"/>
    <w:rsid w:val="00FC26CF"/>
    <w:rsid w:val="00FC2A17"/>
    <w:rsid w:val="00FC2D3A"/>
    <w:rsid w:val="00FC3352"/>
    <w:rsid w:val="00FC371D"/>
    <w:rsid w:val="00FC39FA"/>
    <w:rsid w:val="00FC3B85"/>
    <w:rsid w:val="00FC3CE2"/>
    <w:rsid w:val="00FC597D"/>
    <w:rsid w:val="00FC5F0B"/>
    <w:rsid w:val="00FC5F45"/>
    <w:rsid w:val="00FC6450"/>
    <w:rsid w:val="00FC68EF"/>
    <w:rsid w:val="00FC73D4"/>
    <w:rsid w:val="00FC7C17"/>
    <w:rsid w:val="00FC7EA2"/>
    <w:rsid w:val="00FD0E50"/>
    <w:rsid w:val="00FD0F26"/>
    <w:rsid w:val="00FD1554"/>
    <w:rsid w:val="00FD1739"/>
    <w:rsid w:val="00FD1B23"/>
    <w:rsid w:val="00FD2100"/>
    <w:rsid w:val="00FD23E5"/>
    <w:rsid w:val="00FD2A03"/>
    <w:rsid w:val="00FD2AF2"/>
    <w:rsid w:val="00FD2DD3"/>
    <w:rsid w:val="00FD2E5C"/>
    <w:rsid w:val="00FD2F8D"/>
    <w:rsid w:val="00FD30E3"/>
    <w:rsid w:val="00FD31FC"/>
    <w:rsid w:val="00FD3410"/>
    <w:rsid w:val="00FD3669"/>
    <w:rsid w:val="00FD3678"/>
    <w:rsid w:val="00FD3952"/>
    <w:rsid w:val="00FD3C6F"/>
    <w:rsid w:val="00FD3E15"/>
    <w:rsid w:val="00FD436C"/>
    <w:rsid w:val="00FD446D"/>
    <w:rsid w:val="00FD4584"/>
    <w:rsid w:val="00FD4AA4"/>
    <w:rsid w:val="00FD4CD6"/>
    <w:rsid w:val="00FD4D67"/>
    <w:rsid w:val="00FD4DD9"/>
    <w:rsid w:val="00FD4F2C"/>
    <w:rsid w:val="00FD5767"/>
    <w:rsid w:val="00FD6394"/>
    <w:rsid w:val="00FD63CF"/>
    <w:rsid w:val="00FD682F"/>
    <w:rsid w:val="00FD6853"/>
    <w:rsid w:val="00FD6D18"/>
    <w:rsid w:val="00FD6E9E"/>
    <w:rsid w:val="00FD70E5"/>
    <w:rsid w:val="00FD7190"/>
    <w:rsid w:val="00FD71A7"/>
    <w:rsid w:val="00FD7992"/>
    <w:rsid w:val="00FD7A48"/>
    <w:rsid w:val="00FE058A"/>
    <w:rsid w:val="00FE0890"/>
    <w:rsid w:val="00FE08BB"/>
    <w:rsid w:val="00FE0BCC"/>
    <w:rsid w:val="00FE0E6C"/>
    <w:rsid w:val="00FE0F71"/>
    <w:rsid w:val="00FE1150"/>
    <w:rsid w:val="00FE1266"/>
    <w:rsid w:val="00FE1CDC"/>
    <w:rsid w:val="00FE1D95"/>
    <w:rsid w:val="00FE1E06"/>
    <w:rsid w:val="00FE2535"/>
    <w:rsid w:val="00FE2CA4"/>
    <w:rsid w:val="00FE2CBD"/>
    <w:rsid w:val="00FE2DE0"/>
    <w:rsid w:val="00FE303E"/>
    <w:rsid w:val="00FE3055"/>
    <w:rsid w:val="00FE305E"/>
    <w:rsid w:val="00FE3160"/>
    <w:rsid w:val="00FE3465"/>
    <w:rsid w:val="00FE3496"/>
    <w:rsid w:val="00FE36D3"/>
    <w:rsid w:val="00FE3E2A"/>
    <w:rsid w:val="00FE3F93"/>
    <w:rsid w:val="00FE3FFD"/>
    <w:rsid w:val="00FE42EF"/>
    <w:rsid w:val="00FE443D"/>
    <w:rsid w:val="00FE4825"/>
    <w:rsid w:val="00FE4B09"/>
    <w:rsid w:val="00FE4E96"/>
    <w:rsid w:val="00FE55D4"/>
    <w:rsid w:val="00FE5FB9"/>
    <w:rsid w:val="00FE6005"/>
    <w:rsid w:val="00FE70C3"/>
    <w:rsid w:val="00FE728F"/>
    <w:rsid w:val="00FE7479"/>
    <w:rsid w:val="00FE7480"/>
    <w:rsid w:val="00FE7BCC"/>
    <w:rsid w:val="00FE7E6E"/>
    <w:rsid w:val="00FE7F6E"/>
    <w:rsid w:val="00FE7F83"/>
    <w:rsid w:val="00FF008F"/>
    <w:rsid w:val="00FF05FF"/>
    <w:rsid w:val="00FF0BE5"/>
    <w:rsid w:val="00FF0C95"/>
    <w:rsid w:val="00FF0D29"/>
    <w:rsid w:val="00FF0E60"/>
    <w:rsid w:val="00FF0E64"/>
    <w:rsid w:val="00FF0EC1"/>
    <w:rsid w:val="00FF12BE"/>
    <w:rsid w:val="00FF16F6"/>
    <w:rsid w:val="00FF1A8B"/>
    <w:rsid w:val="00FF1EA4"/>
    <w:rsid w:val="00FF2719"/>
    <w:rsid w:val="00FF2AD9"/>
    <w:rsid w:val="00FF3035"/>
    <w:rsid w:val="00FF311C"/>
    <w:rsid w:val="00FF359F"/>
    <w:rsid w:val="00FF3A64"/>
    <w:rsid w:val="00FF3A82"/>
    <w:rsid w:val="00FF3DCF"/>
    <w:rsid w:val="00FF41A5"/>
    <w:rsid w:val="00FF468D"/>
    <w:rsid w:val="00FF492C"/>
    <w:rsid w:val="00FF4A21"/>
    <w:rsid w:val="00FF4B72"/>
    <w:rsid w:val="00FF4E67"/>
    <w:rsid w:val="00FF555B"/>
    <w:rsid w:val="00FF55AA"/>
    <w:rsid w:val="00FF5AA3"/>
    <w:rsid w:val="00FF5AD8"/>
    <w:rsid w:val="00FF677B"/>
    <w:rsid w:val="00FF7161"/>
    <w:rsid w:val="00FF743F"/>
    <w:rsid w:val="00FF74B5"/>
    <w:rsid w:val="00FF765C"/>
    <w:rsid w:val="00FF7825"/>
    <w:rsid w:val="00FF7B04"/>
    <w:rsid w:val="00FF7EE4"/>
    <w:rsid w:val="014AE87D"/>
    <w:rsid w:val="027DC500"/>
    <w:rsid w:val="02C38160"/>
    <w:rsid w:val="0309A2B3"/>
    <w:rsid w:val="051ED533"/>
    <w:rsid w:val="0546C684"/>
    <w:rsid w:val="055CD80C"/>
    <w:rsid w:val="060E8630"/>
    <w:rsid w:val="073E87A4"/>
    <w:rsid w:val="07C28E7E"/>
    <w:rsid w:val="0875E365"/>
    <w:rsid w:val="093F246B"/>
    <w:rsid w:val="096E9268"/>
    <w:rsid w:val="09943BDE"/>
    <w:rsid w:val="0C709179"/>
    <w:rsid w:val="0CBFF1E7"/>
    <w:rsid w:val="0EF2A384"/>
    <w:rsid w:val="0F6D3134"/>
    <w:rsid w:val="0F7E4386"/>
    <w:rsid w:val="10E372ED"/>
    <w:rsid w:val="112861C8"/>
    <w:rsid w:val="1133648D"/>
    <w:rsid w:val="12AEED13"/>
    <w:rsid w:val="13E393ED"/>
    <w:rsid w:val="14720F71"/>
    <w:rsid w:val="14A53ED5"/>
    <w:rsid w:val="14CFAADE"/>
    <w:rsid w:val="15B05627"/>
    <w:rsid w:val="16CE31E2"/>
    <w:rsid w:val="175CAFF8"/>
    <w:rsid w:val="1793E916"/>
    <w:rsid w:val="17959EF6"/>
    <w:rsid w:val="17C122BB"/>
    <w:rsid w:val="17C92768"/>
    <w:rsid w:val="18B3D7B7"/>
    <w:rsid w:val="18EA6675"/>
    <w:rsid w:val="19107140"/>
    <w:rsid w:val="1B0406CA"/>
    <w:rsid w:val="1B5A27FE"/>
    <w:rsid w:val="1BD9D479"/>
    <w:rsid w:val="1C3DEAB4"/>
    <w:rsid w:val="1C45EF72"/>
    <w:rsid w:val="1C63029D"/>
    <w:rsid w:val="1DFC4561"/>
    <w:rsid w:val="1E70B83A"/>
    <w:rsid w:val="1FA38BE5"/>
    <w:rsid w:val="1FABAE07"/>
    <w:rsid w:val="20C67377"/>
    <w:rsid w:val="210C3F71"/>
    <w:rsid w:val="213C8453"/>
    <w:rsid w:val="21F6A935"/>
    <w:rsid w:val="224C9C89"/>
    <w:rsid w:val="22739929"/>
    <w:rsid w:val="22C424B7"/>
    <w:rsid w:val="236141BC"/>
    <w:rsid w:val="2486FF4E"/>
    <w:rsid w:val="25847160"/>
    <w:rsid w:val="25D3C4D0"/>
    <w:rsid w:val="261A2DA1"/>
    <w:rsid w:val="26345063"/>
    <w:rsid w:val="26DBCEA4"/>
    <w:rsid w:val="27667763"/>
    <w:rsid w:val="279F4DC2"/>
    <w:rsid w:val="2831EF2A"/>
    <w:rsid w:val="288728DE"/>
    <w:rsid w:val="28C3D295"/>
    <w:rsid w:val="28E884C1"/>
    <w:rsid w:val="2948B8A0"/>
    <w:rsid w:val="29555144"/>
    <w:rsid w:val="2A864D1A"/>
    <w:rsid w:val="2AD409D1"/>
    <w:rsid w:val="2B35D576"/>
    <w:rsid w:val="2CCD682D"/>
    <w:rsid w:val="2EC7EE81"/>
    <w:rsid w:val="3024579F"/>
    <w:rsid w:val="31097919"/>
    <w:rsid w:val="31225A80"/>
    <w:rsid w:val="31241996"/>
    <w:rsid w:val="3216ABBD"/>
    <w:rsid w:val="3247F952"/>
    <w:rsid w:val="33930E26"/>
    <w:rsid w:val="339E1A79"/>
    <w:rsid w:val="33B7A8B9"/>
    <w:rsid w:val="34029923"/>
    <w:rsid w:val="3402EED8"/>
    <w:rsid w:val="3486CD2C"/>
    <w:rsid w:val="34888B53"/>
    <w:rsid w:val="34C5BF99"/>
    <w:rsid w:val="34D26864"/>
    <w:rsid w:val="34EA5FCA"/>
    <w:rsid w:val="34FBBBED"/>
    <w:rsid w:val="354790BA"/>
    <w:rsid w:val="3549C0D4"/>
    <w:rsid w:val="3562D983"/>
    <w:rsid w:val="362A7144"/>
    <w:rsid w:val="3669B5FD"/>
    <w:rsid w:val="367C615E"/>
    <w:rsid w:val="371A7D31"/>
    <w:rsid w:val="3742365F"/>
    <w:rsid w:val="377EB954"/>
    <w:rsid w:val="37C64E8B"/>
    <w:rsid w:val="38297791"/>
    <w:rsid w:val="38AE831B"/>
    <w:rsid w:val="3A91DAA0"/>
    <w:rsid w:val="3AC9E35B"/>
    <w:rsid w:val="3B5C2009"/>
    <w:rsid w:val="3C33DA58"/>
    <w:rsid w:val="3C481462"/>
    <w:rsid w:val="3E323020"/>
    <w:rsid w:val="3F1AD41E"/>
    <w:rsid w:val="3F74545D"/>
    <w:rsid w:val="3F9955D2"/>
    <w:rsid w:val="41784906"/>
    <w:rsid w:val="41D5C9A0"/>
    <w:rsid w:val="42FAA814"/>
    <w:rsid w:val="431420D6"/>
    <w:rsid w:val="44A91D8D"/>
    <w:rsid w:val="45EF8F64"/>
    <w:rsid w:val="460356AF"/>
    <w:rsid w:val="468C6327"/>
    <w:rsid w:val="47D64CCF"/>
    <w:rsid w:val="47F11978"/>
    <w:rsid w:val="49284A12"/>
    <w:rsid w:val="49A8C481"/>
    <w:rsid w:val="49ECA0AA"/>
    <w:rsid w:val="49F4D639"/>
    <w:rsid w:val="4A432465"/>
    <w:rsid w:val="4C92C1D7"/>
    <w:rsid w:val="4CF43B7E"/>
    <w:rsid w:val="4CFA0C5F"/>
    <w:rsid w:val="4D6CC754"/>
    <w:rsid w:val="4DD9B6CA"/>
    <w:rsid w:val="4E1273CD"/>
    <w:rsid w:val="4F0D207B"/>
    <w:rsid w:val="4F5B4688"/>
    <w:rsid w:val="4F91A2D2"/>
    <w:rsid w:val="4FD81E03"/>
    <w:rsid w:val="5015BB22"/>
    <w:rsid w:val="5113966D"/>
    <w:rsid w:val="512003E6"/>
    <w:rsid w:val="5135581F"/>
    <w:rsid w:val="525BA2F6"/>
    <w:rsid w:val="526737A3"/>
    <w:rsid w:val="527FBC52"/>
    <w:rsid w:val="52BBD38F"/>
    <w:rsid w:val="52BFF573"/>
    <w:rsid w:val="52D12C1F"/>
    <w:rsid w:val="54EBE0C5"/>
    <w:rsid w:val="5626F629"/>
    <w:rsid w:val="5644939D"/>
    <w:rsid w:val="56DBEA0E"/>
    <w:rsid w:val="56F05A83"/>
    <w:rsid w:val="57C23278"/>
    <w:rsid w:val="58496956"/>
    <w:rsid w:val="5A3D50EA"/>
    <w:rsid w:val="5BBF0142"/>
    <w:rsid w:val="5C30BD37"/>
    <w:rsid w:val="5DBF884B"/>
    <w:rsid w:val="5DFFAAEC"/>
    <w:rsid w:val="5E9780BC"/>
    <w:rsid w:val="5F09249D"/>
    <w:rsid w:val="5F4815E3"/>
    <w:rsid w:val="5F51333E"/>
    <w:rsid w:val="5F51E62F"/>
    <w:rsid w:val="5F9408B5"/>
    <w:rsid w:val="60CB20EB"/>
    <w:rsid w:val="612112FA"/>
    <w:rsid w:val="612922C0"/>
    <w:rsid w:val="61ADD878"/>
    <w:rsid w:val="62B47649"/>
    <w:rsid w:val="62D3236E"/>
    <w:rsid w:val="63943E62"/>
    <w:rsid w:val="64097BCE"/>
    <w:rsid w:val="655C2C2F"/>
    <w:rsid w:val="66192B4C"/>
    <w:rsid w:val="6663BDB0"/>
    <w:rsid w:val="668A24A2"/>
    <w:rsid w:val="67081000"/>
    <w:rsid w:val="671E3271"/>
    <w:rsid w:val="671F0FAA"/>
    <w:rsid w:val="681A2CDB"/>
    <w:rsid w:val="689461AA"/>
    <w:rsid w:val="68FCA772"/>
    <w:rsid w:val="699F8344"/>
    <w:rsid w:val="69F43F99"/>
    <w:rsid w:val="6A01E430"/>
    <w:rsid w:val="6A636197"/>
    <w:rsid w:val="6A6DCB76"/>
    <w:rsid w:val="6AC55542"/>
    <w:rsid w:val="6B0A6E29"/>
    <w:rsid w:val="6B50FD7F"/>
    <w:rsid w:val="6B5AE5B2"/>
    <w:rsid w:val="6B885566"/>
    <w:rsid w:val="6C18E231"/>
    <w:rsid w:val="6CB09716"/>
    <w:rsid w:val="6CEC8DF9"/>
    <w:rsid w:val="6D8C1927"/>
    <w:rsid w:val="6D9850EC"/>
    <w:rsid w:val="6E39478D"/>
    <w:rsid w:val="6E96F096"/>
    <w:rsid w:val="6E9A0A1F"/>
    <w:rsid w:val="6E9F0839"/>
    <w:rsid w:val="6F2C1490"/>
    <w:rsid w:val="6FB704DD"/>
    <w:rsid w:val="6FCA9926"/>
    <w:rsid w:val="70B18A6B"/>
    <w:rsid w:val="70DCDEC0"/>
    <w:rsid w:val="7152CB94"/>
    <w:rsid w:val="71FA797D"/>
    <w:rsid w:val="72ADD03B"/>
    <w:rsid w:val="72D7AE80"/>
    <w:rsid w:val="730FB763"/>
    <w:rsid w:val="73B6D945"/>
    <w:rsid w:val="744C8CB6"/>
    <w:rsid w:val="75520BBE"/>
    <w:rsid w:val="76069FD7"/>
    <w:rsid w:val="7658094F"/>
    <w:rsid w:val="7682EEF6"/>
    <w:rsid w:val="780DABEF"/>
    <w:rsid w:val="78561BC0"/>
    <w:rsid w:val="78F4D8A7"/>
    <w:rsid w:val="7973342F"/>
    <w:rsid w:val="79B9B45B"/>
    <w:rsid w:val="7B0EB33F"/>
    <w:rsid w:val="7BA7AC5E"/>
    <w:rsid w:val="7C2CCCFA"/>
    <w:rsid w:val="7CB244B6"/>
    <w:rsid w:val="7D58AAD2"/>
    <w:rsid w:val="7E51EA34"/>
    <w:rsid w:val="7E604578"/>
    <w:rsid w:val="7ED1EB46"/>
    <w:rsid w:val="7FB76035"/>
    <w:rsid w:val="7FED7030"/>
    <w:rsid w:val="7FFD86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E3D"/>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Bullet,- H17,Bayer Caption,IB Caption,Medical Caption,B Caption,Caption Char2 Char,Caption Char Char Char2,Caption Char1 Char Char Char1,Caption Char2 Char Char Char1 Char1,Caption Char Char1 Char Char Char1 Char1,Caption2"/>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Bullet Char,- H17 Char,Bayer Caption Char,IB Caption Char,Medical Caption Char,B Caption Char,Caption Char2 Char Char,Caption Char Char Char2 Char,Caption Char1 Char Char Char1 Char,Caption2 Char"/>
    <w:link w:val="Caption"/>
    <w:qFormat/>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ES Paragraph,PBAC ES Paragraph,PBAC normal points,Bullet Li"/>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 Li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Char"/>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Char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RTI AMCP Table,new style,Dossier table,Section 3- footnotes,HTAtableplain,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E3390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B0D6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1301F1"/>
    <w:pPr>
      <w:tabs>
        <w:tab w:val="right" w:leader="dot" w:pos="9016"/>
      </w:tabs>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3"/>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17"/>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F29D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F29DF"/>
    <w:rPr>
      <w:rFonts w:ascii="Arial Narrow" w:hAnsi="Arial Narrow" w:cs="Arial"/>
      <w:snapToGrid w:val="0"/>
      <w:sz w:val="18"/>
      <w:szCs w:val="22"/>
    </w:rPr>
  </w:style>
  <w:style w:type="character" w:styleId="UnresolvedMention">
    <w:name w:val="Unresolved Mention"/>
    <w:basedOn w:val="DefaultParagraphFont"/>
    <w:uiPriority w:val="99"/>
    <w:unhideWhenUsed/>
    <w:rsid w:val="006A2425"/>
    <w:rPr>
      <w:color w:val="605E5C"/>
      <w:shd w:val="clear" w:color="auto" w:fill="E1DFDD"/>
    </w:rPr>
  </w:style>
  <w:style w:type="paragraph" w:customStyle="1" w:styleId="Bodytextitalics">
    <w:name w:val="Body text italics"/>
    <w:basedOn w:val="BodyText"/>
    <w:qFormat/>
    <w:rsid w:val="00E81FB9"/>
    <w:pPr>
      <w:spacing w:after="120"/>
      <w:ind w:left="720" w:hanging="720"/>
    </w:pPr>
    <w:rPr>
      <w:rFonts w:asciiTheme="minorHAnsi" w:eastAsiaTheme="minorHAnsi" w:hAnsiTheme="minorHAnsi" w:cstheme="minorBidi"/>
      <w:i/>
      <w:szCs w:val="22"/>
    </w:rPr>
  </w:style>
  <w:style w:type="character" w:customStyle="1" w:styleId="FontItalics">
    <w:name w:val="Font Italics"/>
    <w:basedOn w:val="DefaultParagraphFont"/>
    <w:uiPriority w:val="1"/>
    <w:qFormat/>
    <w:rsid w:val="003E0175"/>
    <w:rPr>
      <w:rFonts w:ascii="Candara" w:hAnsi="Candara"/>
      <w:i/>
      <w:sz w:val="24"/>
    </w:rPr>
  </w:style>
  <w:style w:type="character" w:customStyle="1" w:styleId="Small">
    <w:name w:val="Small"/>
    <w:basedOn w:val="DefaultParagraphFont"/>
    <w:uiPriority w:val="4"/>
    <w:qFormat/>
    <w:rsid w:val="00ED61AE"/>
    <w:rPr>
      <w:rFonts w:asciiTheme="minorHAnsi" w:hAnsiTheme="minorHAnsi"/>
      <w:sz w:val="20"/>
    </w:rPr>
  </w:style>
  <w:style w:type="character" w:customStyle="1" w:styleId="normaltextrun">
    <w:name w:val="normaltextrun"/>
    <w:basedOn w:val="DefaultParagraphFont"/>
    <w:rsid w:val="00245650"/>
  </w:style>
  <w:style w:type="character" w:customStyle="1" w:styleId="eop">
    <w:name w:val="eop"/>
    <w:basedOn w:val="DefaultParagraphFont"/>
    <w:rsid w:val="00245650"/>
  </w:style>
  <w:style w:type="paragraph" w:styleId="FootnoteText">
    <w:name w:val="footnote text"/>
    <w:basedOn w:val="Normal"/>
    <w:link w:val="FootnoteTextChar"/>
    <w:semiHidden/>
    <w:unhideWhenUsed/>
    <w:rsid w:val="00B9747A"/>
    <w:rPr>
      <w:sz w:val="20"/>
      <w:szCs w:val="20"/>
    </w:rPr>
  </w:style>
  <w:style w:type="character" w:customStyle="1" w:styleId="FootnoteTextChar">
    <w:name w:val="Footnote Text Char"/>
    <w:basedOn w:val="DefaultParagraphFont"/>
    <w:link w:val="FootnoteText"/>
    <w:semiHidden/>
    <w:rsid w:val="00B9747A"/>
    <w:rPr>
      <w:rFonts w:ascii="Calibri" w:hAnsi="Calibri" w:cs="Arial"/>
    </w:rPr>
  </w:style>
  <w:style w:type="character" w:styleId="FootnoteReference">
    <w:name w:val="footnote reference"/>
    <w:basedOn w:val="DefaultParagraphFont"/>
    <w:semiHidden/>
    <w:unhideWhenUsed/>
    <w:rsid w:val="00B9747A"/>
    <w:rPr>
      <w:vertAlign w:val="superscript"/>
    </w:rPr>
  </w:style>
  <w:style w:type="paragraph" w:customStyle="1" w:styleId="TableCentre">
    <w:name w:val="Table Centre"/>
    <w:basedOn w:val="Normal"/>
    <w:qFormat/>
    <w:rsid w:val="002F1686"/>
    <w:pPr>
      <w:jc w:val="center"/>
    </w:pPr>
    <w:rPr>
      <w:rFonts w:asciiTheme="minorHAnsi" w:eastAsiaTheme="majorEastAsia" w:hAnsiTheme="minorHAnsi" w:cstheme="minorHAnsi"/>
      <w:sz w:val="20"/>
      <w:szCs w:val="22"/>
      <w:lang w:eastAsia="en-US" w:bidi="en-US"/>
    </w:rPr>
  </w:style>
  <w:style w:type="paragraph" w:styleId="DocumentMap">
    <w:name w:val="Document Map"/>
    <w:basedOn w:val="Normal"/>
    <w:link w:val="DocumentMapChar"/>
    <w:semiHidden/>
    <w:unhideWhenUsed/>
    <w:rsid w:val="002F1686"/>
    <w:rPr>
      <w:rFonts w:ascii="Tahoma" w:eastAsiaTheme="majorEastAsia" w:hAnsi="Tahoma" w:cs="Tahoma"/>
      <w:sz w:val="16"/>
      <w:szCs w:val="16"/>
      <w:lang w:eastAsia="en-US" w:bidi="en-US"/>
    </w:rPr>
  </w:style>
  <w:style w:type="character" w:customStyle="1" w:styleId="DocumentMapChar">
    <w:name w:val="Document Map Char"/>
    <w:basedOn w:val="DefaultParagraphFont"/>
    <w:link w:val="DocumentMap"/>
    <w:semiHidden/>
    <w:rsid w:val="002F1686"/>
    <w:rPr>
      <w:rFonts w:ascii="Tahoma" w:eastAsiaTheme="majorEastAsia" w:hAnsi="Tahoma" w:cs="Tahoma"/>
      <w:sz w:val="16"/>
      <w:szCs w:val="16"/>
      <w:lang w:eastAsia="en-US" w:bidi="en-US"/>
    </w:rPr>
  </w:style>
  <w:style w:type="character" w:customStyle="1" w:styleId="SmallSuperscript">
    <w:name w:val="Small Superscript"/>
    <w:basedOn w:val="Small"/>
    <w:uiPriority w:val="1"/>
    <w:qFormat/>
    <w:rsid w:val="009714D5"/>
    <w:rPr>
      <w:rFonts w:ascii="Candara" w:hAnsi="Candara"/>
      <w:sz w:val="20"/>
      <w:vertAlign w:val="superscript"/>
    </w:rPr>
  </w:style>
  <w:style w:type="paragraph" w:customStyle="1" w:styleId="Table">
    <w:name w:val="Table"/>
    <w:basedOn w:val="Normal"/>
    <w:link w:val="TableChar"/>
    <w:qFormat/>
    <w:rsid w:val="001546C7"/>
    <w:rPr>
      <w:rFonts w:asciiTheme="minorHAnsi" w:eastAsiaTheme="majorEastAsia" w:hAnsiTheme="minorHAnsi" w:cstheme="minorHAnsi"/>
      <w:sz w:val="20"/>
      <w:szCs w:val="22"/>
      <w:lang w:eastAsia="en-US" w:bidi="en-US"/>
    </w:rPr>
  </w:style>
  <w:style w:type="character" w:customStyle="1" w:styleId="TableChar">
    <w:name w:val="Table Char"/>
    <w:basedOn w:val="DefaultParagraphFont"/>
    <w:link w:val="Table"/>
    <w:locked/>
    <w:rsid w:val="001546C7"/>
    <w:rPr>
      <w:rFonts w:asciiTheme="minorHAnsi" w:eastAsiaTheme="majorEastAsia" w:hAnsiTheme="minorHAnsi" w:cstheme="minorHAnsi"/>
      <w:szCs w:val="22"/>
      <w:lang w:eastAsia="en-US" w:bidi="en-US"/>
    </w:rPr>
  </w:style>
  <w:style w:type="table" w:customStyle="1" w:styleId="Section3-footnotes1">
    <w:name w:val="Section 3- footnotes1"/>
    <w:basedOn w:val="TableNormal"/>
    <w:next w:val="TableGrid"/>
    <w:uiPriority w:val="59"/>
    <w:rsid w:val="008E0F54"/>
    <w:rPr>
      <w:rFonts w:ascii="Candara" w:eastAsia="MS Gothic"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Font">
    <w:name w:val="Font"/>
    <w:basedOn w:val="DefaultParagraphFont"/>
    <w:uiPriority w:val="1"/>
    <w:qFormat/>
    <w:rsid w:val="00DD707D"/>
    <w:rPr>
      <w:rFonts w:asciiTheme="minorHAnsi" w:hAnsiTheme="minorHAnsi"/>
      <w:sz w:val="24"/>
    </w:rPr>
  </w:style>
  <w:style w:type="paragraph" w:customStyle="1" w:styleId="TableBullets">
    <w:name w:val="Table Bullets"/>
    <w:basedOn w:val="Table"/>
    <w:uiPriority w:val="5"/>
    <w:qFormat/>
    <w:rsid w:val="008C3676"/>
    <w:pPr>
      <w:numPr>
        <w:numId w:val="6"/>
      </w:numPr>
      <w:ind w:left="357" w:hanging="357"/>
    </w:pPr>
  </w:style>
  <w:style w:type="table" w:customStyle="1" w:styleId="Section3-footnotes2">
    <w:name w:val="Section 3- footnotes2"/>
    <w:basedOn w:val="TableNormal"/>
    <w:next w:val="TableGrid"/>
    <w:uiPriority w:val="59"/>
    <w:rsid w:val="00F37D38"/>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1">
    <w:name w:val="Table Grid1"/>
    <w:basedOn w:val="TableNormal"/>
    <w:next w:val="TableGrid"/>
    <w:uiPriority w:val="59"/>
    <w:rsid w:val="007C6295"/>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FootnoteChar">
    <w:name w:val="Caption Footnote Char"/>
    <w:basedOn w:val="CaptionChar"/>
    <w:link w:val="CaptionFootnote"/>
    <w:rsid w:val="00271149"/>
    <w:rPr>
      <w:rFonts w:asciiTheme="minorHAnsi" w:hAnsiTheme="minorHAnsi" w:cstheme="minorHAnsi"/>
      <w:b w:val="0"/>
      <w:bCs/>
      <w:sz w:val="16"/>
      <w:szCs w:val="18"/>
    </w:rPr>
  </w:style>
  <w:style w:type="paragraph" w:customStyle="1" w:styleId="CaptionFootnote">
    <w:name w:val="Caption Footnote"/>
    <w:basedOn w:val="Caption"/>
    <w:link w:val="CaptionFootnoteChar"/>
    <w:uiPriority w:val="99"/>
    <w:qFormat/>
    <w:rsid w:val="00271149"/>
    <w:pPr>
      <w:keepNext w:val="0"/>
      <w:keepLines w:val="0"/>
      <w:widowControl w:val="0"/>
    </w:pPr>
    <w:rPr>
      <w:rFonts w:asciiTheme="minorHAnsi" w:hAnsiTheme="minorHAnsi" w:cstheme="minorHAnsi"/>
      <w:b w:val="0"/>
      <w:sz w:val="16"/>
    </w:rPr>
  </w:style>
  <w:style w:type="character" w:customStyle="1" w:styleId="FontHighlight">
    <w:name w:val="Font Highlight"/>
    <w:basedOn w:val="Font"/>
    <w:uiPriority w:val="2"/>
    <w:qFormat/>
    <w:rsid w:val="00EB7FE2"/>
    <w:rPr>
      <w:rFonts w:ascii="Candara" w:hAnsi="Candara"/>
      <w:sz w:val="24"/>
      <w:bdr w:val="none" w:sz="0" w:space="0" w:color="auto"/>
      <w:shd w:val="clear" w:color="auto" w:fill="FFFF00"/>
    </w:rPr>
  </w:style>
  <w:style w:type="paragraph" w:customStyle="1" w:styleId="NormalBulletList">
    <w:name w:val="Normal Bullet List"/>
    <w:basedOn w:val="Normal"/>
    <w:uiPriority w:val="3"/>
    <w:qFormat/>
    <w:rsid w:val="002F2F88"/>
    <w:pPr>
      <w:numPr>
        <w:numId w:val="9"/>
      </w:numPr>
      <w:spacing w:after="240" w:line="276" w:lineRule="auto"/>
      <w:ind w:left="357" w:hanging="357"/>
      <w:contextualSpacing/>
    </w:pPr>
    <w:rPr>
      <w:rFonts w:asciiTheme="minorHAnsi" w:eastAsiaTheme="majorEastAsia" w:hAnsiTheme="minorHAnsi" w:cstheme="minorHAnsi"/>
      <w:szCs w:val="22"/>
      <w:lang w:eastAsia="en-US" w:bidi="en-US"/>
    </w:rPr>
  </w:style>
  <w:style w:type="paragraph" w:customStyle="1" w:styleId="NormalBulletList2">
    <w:name w:val="Normal Bullet List 2"/>
    <w:basedOn w:val="NormalBulletList"/>
    <w:qFormat/>
    <w:rsid w:val="002F2F88"/>
    <w:pPr>
      <w:numPr>
        <w:ilvl w:val="1"/>
      </w:numPr>
      <w:spacing w:after="0"/>
      <w:ind w:left="709" w:hanging="357"/>
    </w:pPr>
  </w:style>
  <w:style w:type="paragraph" w:customStyle="1" w:styleId="Tablecommentary">
    <w:name w:val="Table commentary"/>
    <w:basedOn w:val="TableText0"/>
    <w:qFormat/>
    <w:rsid w:val="001D3E51"/>
    <w:pPr>
      <w:keepNext w:val="0"/>
      <w:widowControl w:val="0"/>
    </w:pPr>
    <w:rPr>
      <w:i/>
      <w:iCs/>
    </w:rPr>
  </w:style>
  <w:style w:type="paragraph" w:customStyle="1" w:styleId="Box">
    <w:name w:val="Box"/>
    <w:basedOn w:val="Normal"/>
    <w:qFormat/>
    <w:rsid w:val="00BF6EC0"/>
    <w:pPr>
      <w:pBdr>
        <w:top w:val="single" w:sz="4" w:space="1" w:color="auto"/>
        <w:left w:val="single" w:sz="4" w:space="4" w:color="auto"/>
        <w:bottom w:val="single" w:sz="4" w:space="1" w:color="auto"/>
        <w:right w:val="single" w:sz="4" w:space="4" w:color="auto"/>
      </w:pBdr>
      <w:spacing w:after="200" w:line="276" w:lineRule="auto"/>
    </w:pPr>
    <w:rPr>
      <w:rFonts w:asciiTheme="minorHAnsi" w:eastAsiaTheme="majorEastAsia" w:hAnsiTheme="minorHAnsi" w:cstheme="minorHAnsi"/>
      <w:szCs w:val="22"/>
      <w:lang w:eastAsia="en-US" w:bidi="en-US"/>
    </w:rPr>
  </w:style>
  <w:style w:type="paragraph" w:customStyle="1" w:styleId="EndNoteBibliography">
    <w:name w:val="EndNote Bibliography"/>
    <w:basedOn w:val="Normal"/>
    <w:link w:val="EndNoteBibliographyChar"/>
    <w:rsid w:val="00BF6EC0"/>
    <w:pPr>
      <w:spacing w:before="120" w:after="120"/>
    </w:pPr>
    <w:rPr>
      <w:rFonts w:eastAsiaTheme="majorEastAsia" w:cs="Calibri"/>
      <w:noProof/>
      <w:szCs w:val="22"/>
      <w:lang w:val="en-US" w:eastAsia="en-US" w:bidi="en-US"/>
    </w:rPr>
  </w:style>
  <w:style w:type="character" w:customStyle="1" w:styleId="EndNoteBibliographyChar">
    <w:name w:val="EndNote Bibliography Char"/>
    <w:basedOn w:val="DefaultParagraphFont"/>
    <w:link w:val="EndNoteBibliography"/>
    <w:rsid w:val="00BF6EC0"/>
    <w:rPr>
      <w:rFonts w:ascii="Calibri" w:eastAsiaTheme="majorEastAsia" w:hAnsi="Calibri" w:cs="Calibri"/>
      <w:noProof/>
      <w:sz w:val="24"/>
      <w:szCs w:val="22"/>
      <w:lang w:val="en-US" w:eastAsia="en-US" w:bidi="en-US"/>
    </w:rPr>
  </w:style>
  <w:style w:type="table" w:customStyle="1" w:styleId="Submissionstandard">
    <w:name w:val="Submission standard"/>
    <w:uiPriority w:val="99"/>
    <w:qFormat/>
    <w:rsid w:val="00BF6EC0"/>
    <w:rPr>
      <w:rFonts w:ascii="Arial Narrow" w:hAnsi="Arial Narrow"/>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Franklin Gothic Medium" w:hAnsi="Franklin Gothic Medium" w:cs="Times New Roman"/>
        <w:b/>
        <w:sz w:val="20"/>
      </w:rPr>
      <w:tblPr/>
      <w:tcPr>
        <w:shd w:val="clear" w:color="auto" w:fill="BFBFBF"/>
      </w:tcPr>
    </w:tblStylePr>
  </w:style>
  <w:style w:type="character" w:customStyle="1" w:styleId="cf01">
    <w:name w:val="cf01"/>
    <w:basedOn w:val="DefaultParagraphFont"/>
    <w:rsid w:val="00BF6EC0"/>
    <w:rPr>
      <w:rFonts w:ascii="Segoe UI" w:hAnsi="Segoe UI" w:cs="Segoe UI" w:hint="default"/>
      <w:color w:val="0070C0"/>
      <w:sz w:val="18"/>
      <w:szCs w:val="18"/>
    </w:rPr>
  </w:style>
  <w:style w:type="paragraph" w:customStyle="1" w:styleId="Tablenumbers">
    <w:name w:val="Table numbers"/>
    <w:basedOn w:val="Normal"/>
    <w:link w:val="TablenumbersChar"/>
    <w:qFormat/>
    <w:rsid w:val="00CE7338"/>
    <w:pPr>
      <w:jc w:val="center"/>
    </w:pPr>
    <w:rPr>
      <w:rFonts w:ascii="Arial Narrow" w:hAnsi="Arial Narrow" w:cs="Times New Roman"/>
      <w:snapToGrid w:val="0"/>
      <w:sz w:val="20"/>
    </w:rPr>
  </w:style>
  <w:style w:type="character" w:customStyle="1" w:styleId="TablenumbersChar">
    <w:name w:val="Table numbers Char"/>
    <w:link w:val="Tablenumbers"/>
    <w:rsid w:val="00CE7338"/>
    <w:rPr>
      <w:rFonts w:ascii="Arial Narrow" w:hAnsi="Arial Narrow"/>
      <w:snapToGrid w:val="0"/>
      <w:szCs w:val="24"/>
    </w:rPr>
  </w:style>
  <w:style w:type="character" w:styleId="Mention">
    <w:name w:val="Mention"/>
    <w:basedOn w:val="DefaultParagraphFont"/>
    <w:uiPriority w:val="99"/>
    <w:unhideWhenUsed/>
    <w:rsid w:val="00CE7338"/>
    <w:rPr>
      <w:color w:val="2B579A"/>
      <w:shd w:val="clear" w:color="auto" w:fill="E1DFDD"/>
    </w:rPr>
  </w:style>
  <w:style w:type="character" w:customStyle="1" w:styleId="Heading1Char">
    <w:name w:val="Heading 1 Char"/>
    <w:basedOn w:val="DefaultParagraphFont"/>
    <w:link w:val="Heading1"/>
    <w:uiPriority w:val="9"/>
    <w:rsid w:val="00CE7338"/>
    <w:rPr>
      <w:rFonts w:ascii="Calibri" w:hAnsi="Calibri" w:cs="Arial"/>
      <w:b/>
      <w:caps/>
      <w:sz w:val="32"/>
      <w:szCs w:val="24"/>
    </w:rPr>
  </w:style>
  <w:style w:type="character" w:customStyle="1" w:styleId="Heading3Char">
    <w:name w:val="Heading 3 Char"/>
    <w:basedOn w:val="DefaultParagraphFont"/>
    <w:link w:val="Heading3"/>
    <w:uiPriority w:val="9"/>
    <w:rsid w:val="00CE7338"/>
    <w:rPr>
      <w:rFonts w:ascii="Calibri" w:hAnsi="Calibri" w:cs="Arial"/>
      <w:sz w:val="24"/>
      <w:szCs w:val="24"/>
      <w:u w:val="single"/>
    </w:rPr>
  </w:style>
  <w:style w:type="character" w:customStyle="1" w:styleId="Heading4Char">
    <w:name w:val="Heading 4 Char"/>
    <w:basedOn w:val="DefaultParagraphFont"/>
    <w:link w:val="Heading4"/>
    <w:uiPriority w:val="9"/>
    <w:rsid w:val="00CE7338"/>
    <w:rPr>
      <w:rFonts w:ascii="Calibri" w:hAnsi="Calibri" w:cs="Arial"/>
      <w:b/>
      <w:bCs/>
      <w:i/>
      <w:sz w:val="26"/>
      <w:szCs w:val="28"/>
    </w:rPr>
  </w:style>
  <w:style w:type="character" w:customStyle="1" w:styleId="Heading5Char">
    <w:name w:val="Heading 5 Char"/>
    <w:basedOn w:val="DefaultParagraphFont"/>
    <w:link w:val="Heading5"/>
    <w:uiPriority w:val="9"/>
    <w:rsid w:val="00CE7338"/>
    <w:rPr>
      <w:rFonts w:ascii="Calibri" w:hAnsi="Calibri" w:cs="Arial"/>
      <w:b/>
      <w:bCs/>
      <w:iCs/>
      <w:sz w:val="26"/>
      <w:szCs w:val="26"/>
    </w:rPr>
  </w:style>
  <w:style w:type="character" w:customStyle="1" w:styleId="Heading6Char">
    <w:name w:val="Heading 6 Char"/>
    <w:basedOn w:val="DefaultParagraphFont"/>
    <w:link w:val="Heading6"/>
    <w:uiPriority w:val="9"/>
    <w:rsid w:val="00CE7338"/>
    <w:rPr>
      <w:rFonts w:ascii="Calibri" w:hAnsi="Calibri" w:cs="Arial"/>
      <w:b/>
      <w:bCs/>
      <w:i/>
      <w:sz w:val="24"/>
      <w:szCs w:val="24"/>
    </w:rPr>
  </w:style>
  <w:style w:type="paragraph" w:styleId="Quote">
    <w:name w:val="Quote"/>
    <w:basedOn w:val="Normal"/>
    <w:next w:val="Normal"/>
    <w:link w:val="QuoteChar"/>
    <w:uiPriority w:val="29"/>
    <w:qFormat/>
    <w:rsid w:val="00CE7338"/>
    <w:pPr>
      <w:spacing w:before="160"/>
      <w:jc w:val="center"/>
    </w:pPr>
    <w:rPr>
      <w:i/>
      <w:iCs/>
      <w:color w:val="404040" w:themeColor="text1" w:themeTint="BF"/>
    </w:rPr>
  </w:style>
  <w:style w:type="character" w:customStyle="1" w:styleId="QuoteChar">
    <w:name w:val="Quote Char"/>
    <w:basedOn w:val="DefaultParagraphFont"/>
    <w:link w:val="Quote"/>
    <w:uiPriority w:val="29"/>
    <w:rsid w:val="00CE7338"/>
    <w:rPr>
      <w:rFonts w:ascii="Calibri" w:hAnsi="Calibri" w:cs="Arial"/>
      <w:i/>
      <w:iCs/>
      <w:color w:val="404040" w:themeColor="text1" w:themeTint="BF"/>
      <w:sz w:val="24"/>
      <w:szCs w:val="24"/>
    </w:rPr>
  </w:style>
  <w:style w:type="character" w:styleId="IntenseEmphasis">
    <w:name w:val="Intense Emphasis"/>
    <w:basedOn w:val="DefaultParagraphFont"/>
    <w:uiPriority w:val="21"/>
    <w:qFormat/>
    <w:rsid w:val="00CE7338"/>
    <w:rPr>
      <w:i/>
      <w:iCs/>
      <w:color w:val="365F91" w:themeColor="accent1" w:themeShade="BF"/>
    </w:rPr>
  </w:style>
  <w:style w:type="paragraph" w:styleId="IntenseQuote">
    <w:name w:val="Intense Quote"/>
    <w:basedOn w:val="Normal"/>
    <w:next w:val="Normal"/>
    <w:link w:val="IntenseQuoteChar"/>
    <w:uiPriority w:val="30"/>
    <w:qFormat/>
    <w:rsid w:val="00CE73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E7338"/>
    <w:rPr>
      <w:rFonts w:ascii="Calibri" w:hAnsi="Calibri" w:cs="Arial"/>
      <w:i/>
      <w:iCs/>
      <w:color w:val="365F91" w:themeColor="accent1" w:themeShade="BF"/>
      <w:sz w:val="24"/>
      <w:szCs w:val="24"/>
    </w:rPr>
  </w:style>
  <w:style w:type="character" w:styleId="IntenseReference">
    <w:name w:val="Intense Reference"/>
    <w:basedOn w:val="DefaultParagraphFont"/>
    <w:uiPriority w:val="32"/>
    <w:qFormat/>
    <w:rsid w:val="00CE7338"/>
    <w:rPr>
      <w:b/>
      <w:bCs/>
      <w:smallCaps/>
      <w:color w:val="365F91" w:themeColor="accent1" w:themeShade="BF"/>
      <w:spacing w:val="5"/>
    </w:rPr>
  </w:style>
  <w:style w:type="paragraph" w:customStyle="1" w:styleId="Tablenumber">
    <w:name w:val="Table number"/>
    <w:basedOn w:val="TableText0"/>
    <w:link w:val="TablenumberChar"/>
    <w:qFormat/>
    <w:rsid w:val="00CE7338"/>
    <w:pPr>
      <w:keepLines/>
      <w:jc w:val="center"/>
    </w:pPr>
  </w:style>
  <w:style w:type="character" w:customStyle="1" w:styleId="TablenumberChar">
    <w:name w:val="Table number Char"/>
    <w:basedOn w:val="TableTextChar0"/>
    <w:link w:val="Tablenumber"/>
    <w:rsid w:val="00CE7338"/>
    <w:rPr>
      <w:rFonts w:ascii="Arial Narrow" w:eastAsiaTheme="majorEastAsia" w:hAnsi="Arial Narrow" w:cstheme="majorBidi"/>
      <w:bCs/>
      <w:szCs w:val="24"/>
    </w:rPr>
  </w:style>
  <w:style w:type="character" w:customStyle="1" w:styleId="highwire-citation-authors">
    <w:name w:val="highwire-citation-authors"/>
    <w:basedOn w:val="DefaultParagraphFont"/>
    <w:rsid w:val="005223BE"/>
  </w:style>
  <w:style w:type="character" w:customStyle="1" w:styleId="highwire-citation-author">
    <w:name w:val="highwire-citation-author"/>
    <w:basedOn w:val="DefaultParagraphFont"/>
    <w:rsid w:val="005223BE"/>
  </w:style>
  <w:style w:type="character" w:customStyle="1" w:styleId="nlm-given-names">
    <w:name w:val="nlm-given-names"/>
    <w:basedOn w:val="DefaultParagraphFont"/>
    <w:rsid w:val="005223BE"/>
  </w:style>
  <w:style w:type="character" w:customStyle="1" w:styleId="nlm-surname">
    <w:name w:val="nlm-surname"/>
    <w:basedOn w:val="DefaultParagraphFont"/>
    <w:rsid w:val="005223BE"/>
  </w:style>
  <w:style w:type="character" w:customStyle="1" w:styleId="highwire-cite-metadata-journal">
    <w:name w:val="highwire-cite-metadata-journal"/>
    <w:basedOn w:val="DefaultParagraphFont"/>
    <w:rsid w:val="005223BE"/>
  </w:style>
  <w:style w:type="character" w:customStyle="1" w:styleId="highwire-cite-metadata-pages">
    <w:name w:val="highwire-cite-metadata-pages"/>
    <w:basedOn w:val="DefaultParagraphFont"/>
    <w:rsid w:val="005223BE"/>
  </w:style>
  <w:style w:type="character" w:customStyle="1" w:styleId="ui-provider">
    <w:name w:val="ui-provider"/>
    <w:basedOn w:val="DefaultParagraphFont"/>
    <w:rsid w:val="008368D3"/>
  </w:style>
  <w:style w:type="table" w:customStyle="1" w:styleId="Summarybox1">
    <w:name w:val="Summary box1"/>
    <w:basedOn w:val="TableNormal"/>
    <w:next w:val="TableGrid"/>
    <w:uiPriority w:val="39"/>
    <w:rsid w:val="00EE43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B45F7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45F74"/>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8882853">
      <w:bodyDiv w:val="1"/>
      <w:marLeft w:val="0"/>
      <w:marRight w:val="0"/>
      <w:marTop w:val="0"/>
      <w:marBottom w:val="0"/>
      <w:divBdr>
        <w:top w:val="none" w:sz="0" w:space="0" w:color="auto"/>
        <w:left w:val="none" w:sz="0" w:space="0" w:color="auto"/>
        <w:bottom w:val="none" w:sz="0" w:space="0" w:color="auto"/>
        <w:right w:val="none" w:sz="0" w:space="0" w:color="auto"/>
      </w:divBdr>
    </w:div>
    <w:div w:id="30909080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8750595">
      <w:bodyDiv w:val="1"/>
      <w:marLeft w:val="0"/>
      <w:marRight w:val="0"/>
      <w:marTop w:val="0"/>
      <w:marBottom w:val="0"/>
      <w:divBdr>
        <w:top w:val="none" w:sz="0" w:space="0" w:color="auto"/>
        <w:left w:val="none" w:sz="0" w:space="0" w:color="auto"/>
        <w:bottom w:val="none" w:sz="0" w:space="0" w:color="auto"/>
        <w:right w:val="none" w:sz="0" w:space="0" w:color="auto"/>
      </w:divBdr>
    </w:div>
    <w:div w:id="401221359">
      <w:bodyDiv w:val="1"/>
      <w:marLeft w:val="0"/>
      <w:marRight w:val="0"/>
      <w:marTop w:val="0"/>
      <w:marBottom w:val="0"/>
      <w:divBdr>
        <w:top w:val="none" w:sz="0" w:space="0" w:color="auto"/>
        <w:left w:val="none" w:sz="0" w:space="0" w:color="auto"/>
        <w:bottom w:val="none" w:sz="0" w:space="0" w:color="auto"/>
        <w:right w:val="none" w:sz="0" w:space="0" w:color="auto"/>
      </w:divBdr>
    </w:div>
    <w:div w:id="510147005">
      <w:bodyDiv w:val="1"/>
      <w:marLeft w:val="0"/>
      <w:marRight w:val="0"/>
      <w:marTop w:val="0"/>
      <w:marBottom w:val="0"/>
      <w:divBdr>
        <w:top w:val="none" w:sz="0" w:space="0" w:color="auto"/>
        <w:left w:val="none" w:sz="0" w:space="0" w:color="auto"/>
        <w:bottom w:val="none" w:sz="0" w:space="0" w:color="auto"/>
        <w:right w:val="none" w:sz="0" w:space="0" w:color="auto"/>
      </w:divBdr>
    </w:div>
    <w:div w:id="689915772">
      <w:bodyDiv w:val="1"/>
      <w:marLeft w:val="0"/>
      <w:marRight w:val="0"/>
      <w:marTop w:val="0"/>
      <w:marBottom w:val="0"/>
      <w:divBdr>
        <w:top w:val="none" w:sz="0" w:space="0" w:color="auto"/>
        <w:left w:val="none" w:sz="0" w:space="0" w:color="auto"/>
        <w:bottom w:val="none" w:sz="0" w:space="0" w:color="auto"/>
        <w:right w:val="none" w:sz="0" w:space="0" w:color="auto"/>
      </w:divBdr>
      <w:divsChild>
        <w:div w:id="365301755">
          <w:marLeft w:val="0"/>
          <w:marRight w:val="0"/>
          <w:marTop w:val="75"/>
          <w:marBottom w:val="0"/>
          <w:divBdr>
            <w:top w:val="none" w:sz="0" w:space="0" w:color="auto"/>
            <w:left w:val="none" w:sz="0" w:space="0" w:color="auto"/>
            <w:bottom w:val="none" w:sz="0" w:space="0" w:color="auto"/>
            <w:right w:val="none" w:sz="0" w:space="0" w:color="auto"/>
          </w:divBdr>
        </w:div>
        <w:div w:id="565264416">
          <w:marLeft w:val="0"/>
          <w:marRight w:val="0"/>
          <w:marTop w:val="75"/>
          <w:marBottom w:val="0"/>
          <w:divBdr>
            <w:top w:val="none" w:sz="0" w:space="0" w:color="auto"/>
            <w:left w:val="none" w:sz="0" w:space="0" w:color="auto"/>
            <w:bottom w:val="none" w:sz="0" w:space="0" w:color="auto"/>
            <w:right w:val="none" w:sz="0" w:space="0" w:color="auto"/>
          </w:divBdr>
        </w:div>
        <w:div w:id="1580213992">
          <w:marLeft w:val="0"/>
          <w:marRight w:val="0"/>
          <w:marTop w:val="0"/>
          <w:marBottom w:val="0"/>
          <w:divBdr>
            <w:top w:val="none" w:sz="0" w:space="0" w:color="auto"/>
            <w:left w:val="none" w:sz="0" w:space="0" w:color="auto"/>
            <w:bottom w:val="none" w:sz="0" w:space="0" w:color="auto"/>
            <w:right w:val="none" w:sz="0" w:space="0" w:color="auto"/>
          </w:divBdr>
          <w:divsChild>
            <w:div w:id="17263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49711">
      <w:bodyDiv w:val="1"/>
      <w:marLeft w:val="0"/>
      <w:marRight w:val="0"/>
      <w:marTop w:val="0"/>
      <w:marBottom w:val="0"/>
      <w:divBdr>
        <w:top w:val="none" w:sz="0" w:space="0" w:color="auto"/>
        <w:left w:val="none" w:sz="0" w:space="0" w:color="auto"/>
        <w:bottom w:val="none" w:sz="0" w:space="0" w:color="auto"/>
        <w:right w:val="none" w:sz="0" w:space="0" w:color="auto"/>
      </w:divBdr>
    </w:div>
    <w:div w:id="77706858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3589595">
      <w:bodyDiv w:val="1"/>
      <w:marLeft w:val="0"/>
      <w:marRight w:val="0"/>
      <w:marTop w:val="0"/>
      <w:marBottom w:val="0"/>
      <w:divBdr>
        <w:top w:val="none" w:sz="0" w:space="0" w:color="auto"/>
        <w:left w:val="none" w:sz="0" w:space="0" w:color="auto"/>
        <w:bottom w:val="none" w:sz="0" w:space="0" w:color="auto"/>
        <w:right w:val="none" w:sz="0" w:space="0" w:color="auto"/>
      </w:divBdr>
    </w:div>
    <w:div w:id="892274445">
      <w:bodyDiv w:val="1"/>
      <w:marLeft w:val="0"/>
      <w:marRight w:val="0"/>
      <w:marTop w:val="0"/>
      <w:marBottom w:val="0"/>
      <w:divBdr>
        <w:top w:val="none" w:sz="0" w:space="0" w:color="auto"/>
        <w:left w:val="none" w:sz="0" w:space="0" w:color="auto"/>
        <w:bottom w:val="none" w:sz="0" w:space="0" w:color="auto"/>
        <w:right w:val="none" w:sz="0" w:space="0" w:color="auto"/>
      </w:divBdr>
    </w:div>
    <w:div w:id="951324816">
      <w:bodyDiv w:val="1"/>
      <w:marLeft w:val="0"/>
      <w:marRight w:val="0"/>
      <w:marTop w:val="0"/>
      <w:marBottom w:val="0"/>
      <w:divBdr>
        <w:top w:val="none" w:sz="0" w:space="0" w:color="auto"/>
        <w:left w:val="none" w:sz="0" w:space="0" w:color="auto"/>
        <w:bottom w:val="none" w:sz="0" w:space="0" w:color="auto"/>
        <w:right w:val="none" w:sz="0" w:space="0" w:color="auto"/>
      </w:divBdr>
    </w:div>
    <w:div w:id="1037894261">
      <w:bodyDiv w:val="1"/>
      <w:marLeft w:val="0"/>
      <w:marRight w:val="0"/>
      <w:marTop w:val="0"/>
      <w:marBottom w:val="0"/>
      <w:divBdr>
        <w:top w:val="none" w:sz="0" w:space="0" w:color="auto"/>
        <w:left w:val="none" w:sz="0" w:space="0" w:color="auto"/>
        <w:bottom w:val="none" w:sz="0" w:space="0" w:color="auto"/>
        <w:right w:val="none" w:sz="0" w:space="0" w:color="auto"/>
      </w:divBdr>
    </w:div>
    <w:div w:id="107350226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264070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80456953">
      <w:bodyDiv w:val="1"/>
      <w:marLeft w:val="0"/>
      <w:marRight w:val="0"/>
      <w:marTop w:val="0"/>
      <w:marBottom w:val="0"/>
      <w:divBdr>
        <w:top w:val="none" w:sz="0" w:space="0" w:color="auto"/>
        <w:left w:val="none" w:sz="0" w:space="0" w:color="auto"/>
        <w:bottom w:val="none" w:sz="0" w:space="0" w:color="auto"/>
        <w:right w:val="none" w:sz="0" w:space="0" w:color="auto"/>
      </w:divBdr>
    </w:div>
    <w:div w:id="1287658066">
      <w:bodyDiv w:val="1"/>
      <w:marLeft w:val="0"/>
      <w:marRight w:val="0"/>
      <w:marTop w:val="0"/>
      <w:marBottom w:val="0"/>
      <w:divBdr>
        <w:top w:val="none" w:sz="0" w:space="0" w:color="auto"/>
        <w:left w:val="none" w:sz="0" w:space="0" w:color="auto"/>
        <w:bottom w:val="none" w:sz="0" w:space="0" w:color="auto"/>
        <w:right w:val="none" w:sz="0" w:space="0" w:color="auto"/>
      </w:divBdr>
    </w:div>
    <w:div w:id="1328365383">
      <w:bodyDiv w:val="1"/>
      <w:marLeft w:val="0"/>
      <w:marRight w:val="0"/>
      <w:marTop w:val="0"/>
      <w:marBottom w:val="0"/>
      <w:divBdr>
        <w:top w:val="none" w:sz="0" w:space="0" w:color="auto"/>
        <w:left w:val="none" w:sz="0" w:space="0" w:color="auto"/>
        <w:bottom w:val="none" w:sz="0" w:space="0" w:color="auto"/>
        <w:right w:val="none" w:sz="0" w:space="0" w:color="auto"/>
      </w:divBdr>
    </w:div>
    <w:div w:id="1384216321">
      <w:bodyDiv w:val="1"/>
      <w:marLeft w:val="0"/>
      <w:marRight w:val="0"/>
      <w:marTop w:val="0"/>
      <w:marBottom w:val="0"/>
      <w:divBdr>
        <w:top w:val="none" w:sz="0" w:space="0" w:color="auto"/>
        <w:left w:val="none" w:sz="0" w:space="0" w:color="auto"/>
        <w:bottom w:val="none" w:sz="0" w:space="0" w:color="auto"/>
        <w:right w:val="none" w:sz="0" w:space="0" w:color="auto"/>
      </w:divBdr>
    </w:div>
    <w:div w:id="1436053881">
      <w:bodyDiv w:val="1"/>
      <w:marLeft w:val="0"/>
      <w:marRight w:val="0"/>
      <w:marTop w:val="0"/>
      <w:marBottom w:val="0"/>
      <w:divBdr>
        <w:top w:val="none" w:sz="0" w:space="0" w:color="auto"/>
        <w:left w:val="none" w:sz="0" w:space="0" w:color="auto"/>
        <w:bottom w:val="none" w:sz="0" w:space="0" w:color="auto"/>
        <w:right w:val="none" w:sz="0" w:space="0" w:color="auto"/>
      </w:divBdr>
    </w:div>
    <w:div w:id="1560437121">
      <w:bodyDiv w:val="1"/>
      <w:marLeft w:val="0"/>
      <w:marRight w:val="0"/>
      <w:marTop w:val="0"/>
      <w:marBottom w:val="0"/>
      <w:divBdr>
        <w:top w:val="none" w:sz="0" w:space="0" w:color="auto"/>
        <w:left w:val="none" w:sz="0" w:space="0" w:color="auto"/>
        <w:bottom w:val="none" w:sz="0" w:space="0" w:color="auto"/>
        <w:right w:val="none" w:sz="0" w:space="0" w:color="auto"/>
      </w:divBdr>
    </w:div>
    <w:div w:id="1732577766">
      <w:bodyDiv w:val="1"/>
      <w:marLeft w:val="0"/>
      <w:marRight w:val="0"/>
      <w:marTop w:val="0"/>
      <w:marBottom w:val="0"/>
      <w:divBdr>
        <w:top w:val="none" w:sz="0" w:space="0" w:color="auto"/>
        <w:left w:val="none" w:sz="0" w:space="0" w:color="auto"/>
        <w:bottom w:val="none" w:sz="0" w:space="0" w:color="auto"/>
        <w:right w:val="none" w:sz="0" w:space="0" w:color="auto"/>
      </w:divBdr>
    </w:div>
    <w:div w:id="1776366891">
      <w:bodyDiv w:val="1"/>
      <w:marLeft w:val="0"/>
      <w:marRight w:val="0"/>
      <w:marTop w:val="0"/>
      <w:marBottom w:val="0"/>
      <w:divBdr>
        <w:top w:val="none" w:sz="0" w:space="0" w:color="auto"/>
        <w:left w:val="none" w:sz="0" w:space="0" w:color="auto"/>
        <w:bottom w:val="none" w:sz="0" w:space="0" w:color="auto"/>
        <w:right w:val="none" w:sz="0" w:space="0" w:color="auto"/>
      </w:divBdr>
    </w:div>
    <w:div w:id="1839686528">
      <w:bodyDiv w:val="1"/>
      <w:marLeft w:val="0"/>
      <w:marRight w:val="0"/>
      <w:marTop w:val="0"/>
      <w:marBottom w:val="0"/>
      <w:divBdr>
        <w:top w:val="none" w:sz="0" w:space="0" w:color="auto"/>
        <w:left w:val="none" w:sz="0" w:space="0" w:color="auto"/>
        <w:bottom w:val="none" w:sz="0" w:space="0" w:color="auto"/>
        <w:right w:val="none" w:sz="0" w:space="0" w:color="auto"/>
      </w:divBdr>
    </w:div>
    <w:div w:id="189334579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27898485">
      <w:bodyDiv w:val="1"/>
      <w:marLeft w:val="0"/>
      <w:marRight w:val="0"/>
      <w:marTop w:val="0"/>
      <w:marBottom w:val="0"/>
      <w:divBdr>
        <w:top w:val="none" w:sz="0" w:space="0" w:color="auto"/>
        <w:left w:val="none" w:sz="0" w:space="0" w:color="auto"/>
        <w:bottom w:val="none" w:sz="0" w:space="0" w:color="auto"/>
        <w:right w:val="none" w:sz="0" w:space="0" w:color="auto"/>
      </w:divBdr>
    </w:div>
    <w:div w:id="212076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ta808" TargetMode="External"/><Relationship Id="rId1" Type="http://schemas.openxmlformats.org/officeDocument/2006/relationships/hyperlink" Target="https://www.nice.org.uk/guidance/ta8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BFACECE8-E693-432C-9733-A718D5C364F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D9F692D7-F280-4DF6-BA08-9AC73FD9B7C3}">
  <ds:schemaRefs>
    <ds:schemaRef ds:uri="http://schemas.microsoft.com/sharepoint/v3/contenttype/forms"/>
  </ds:schemaRefs>
</ds:datastoreItem>
</file>

<file path=customXml/itemProps4.xml><?xml version="1.0" encoding="utf-8"?>
<ds:datastoreItem xmlns:ds="http://schemas.openxmlformats.org/officeDocument/2006/customXml" ds:itemID="{29D08E54-7C5B-47B0-BB5D-36DF40B54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54</Pages>
  <Words>21895</Words>
  <Characters>124718</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146321</CharactersWithSpaces>
  <SharedDoc>false</SharedDoc>
  <HLinks>
    <vt:vector size="12" baseType="variant">
      <vt:variant>
        <vt:i4>7864358</vt:i4>
      </vt:variant>
      <vt:variant>
        <vt:i4>3</vt:i4>
      </vt:variant>
      <vt:variant>
        <vt:i4>0</vt:i4>
      </vt:variant>
      <vt:variant>
        <vt:i4>5</vt:i4>
      </vt:variant>
      <vt:variant>
        <vt:lpwstr>https://www.nice.org.uk/guidance/ta808</vt:lpwstr>
      </vt:variant>
      <vt:variant>
        <vt:lpwstr/>
      </vt:variant>
      <vt:variant>
        <vt:i4>7864358</vt:i4>
      </vt:variant>
      <vt:variant>
        <vt:i4>0</vt:i4>
      </vt:variant>
      <vt:variant>
        <vt:i4>0</vt:i4>
      </vt:variant>
      <vt:variant>
        <vt:i4>5</vt:i4>
      </vt:variant>
      <vt:variant>
        <vt:lpwstr>https://www.nice.org.uk/guidance/ta808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2025-03-03T03:06:00Z</dcterms:created>
  <dcterms:modified xsi:type="dcterms:W3CDTF">2025-03-07T02:43:00Z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0x0101007FED174C5281F747A8037A05221D6DBD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